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143.png" ContentType="image/png"/>
  <Override PartName="/word/media/rId139.png" ContentType="image/png"/>
  <Override PartName="/word/media/rId135.png" ContentType="image/png"/>
  <Override PartName="/word/media/rId131.png" ContentType="image/png"/>
  <Override PartName="/word/media/rId147.png" ContentType="image/png"/>
  <Override PartName="/word/media/rId127.png" ContentType="image/png"/>
  <Override PartName="/word/media/rId151.png" ContentType="image/png"/>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pStyle w:val="Title"/>
        <w:spacing w:line="360" w:lineRule="auto"/>
        <w:jc w:val="both"/>
      </w:pPr>
      <w:r>
        <w:t xml:space="preserve">Marco para la Evaluación Multinivel de la Explicabilidad en IA</w:t>
      </w:r>
    </w:p>
    <w:p>
      <w:pPr>
        <w:pStyle w:val="Subtitle"/>
        <w:spacing w:line="360" w:lineRule="auto"/>
        <w:jc w:val="both"/>
      </w:pPr>
      <w:r>
        <w:t xml:space="preserve">Integración de Benchmarking Técnico, Protocolo Reproducible (FOM-7) y Taxonomía de Métricas</w:t>
      </w:r>
    </w:p>
    <w:p>
      <w:pPr>
        <w:pStyle w:val="Author"/>
        <w:spacing w:line="360" w:lineRule="auto"/>
        <w:jc w:val="both"/>
      </w:pPr>
      <w:r>
        <w:t xml:space="preserve">J. Herrera</w:t>
      </w:r>
    </w:p>
    <w:p>
      <w:pPr>
        <w:pStyle w:val="Date"/>
        <w:spacing w:line="360" w:lineRule="auto"/>
        <w:jc w:val="both"/>
      </w:pPr>
      <w:r>
        <w:t xml:space="preserve">2026-04-19</w:t>
      </w:r>
    </w:p>
    <w:sdt>
      <w:sdtPr>
        <w:docPartObj>
          <w:docPartGallery w:val="Table of Contents"/>
          <w:docPartUnique/>
        </w:docPartObj>
      </w:sdtPr>
      <w:sdtContent>
        <w:p>
          <w:pPr>
            <w:pStyle w:val="TtulodeTDC"/>
            <w:spacing w:line="360" w:lineRule="auto"/>
            <w:jc w:val="both"/>
          </w:pPr>
          <w:r>
            <w:t xml:space="preserve">Table of contents</w:t>
          </w:r>
        </w:p>
        <w:p>
          <w:pPr>
            <w:spacing w:line="360" w:lineRule="auto"/>
            <w:jc w:val="both"/>
          </w:pPr>
          <w:r>
            <w:fldChar w:fldCharType="begin" w:dirty="true"/>
            <w:instrText xml:space="preserve">TOC \o "1-3" \h \z \u</w:instrText>
            <w:fldChar w:fldCharType="separate"/>
            <w:fldChar w:fldCharType="end"/>
          </w:r>
        </w:p>
      </w:sdtContent>
    </w:sdt>
    <w:bookmarkStart w:id="25" w:name="X9879de00516a950326abd0572f192803626eb50"/>
    <w:p>
      <w:pPr>
        <w:pStyle w:val="Ttulo1"/>
        <w:spacing w:line="360" w:lineRule="auto"/>
        <w:jc w:val="both"/>
      </w:pPr>
      <w:r>
        <w:t xml:space="preserve">Marco para la Evaluación Multinivel de la Explicabilidad en IA</w:t>
      </w:r>
    </w:p>
    <w:p>
      <w:pPr>
        <w:pStyle w:val="FirstParagraph"/>
        <w:spacing w:line="360" w:lineRule="auto"/>
        <w:jc w:val="both"/>
      </w:pPr>
      <w:r>
        <w:t xml:space="preserve">Integración de Benchmarking Técnico, Protocolo Reproducible (FOM-7) y</w:t>
      </w:r>
      <w:r>
        <w:t xml:space="preserve"> </w:t>
      </w:r>
      <w:r>
        <w:t xml:space="preserve">Taxonomía de Métricas</w:t>
      </w:r>
    </w:p>
    <w:p>
      <w:pPr>
        <w:pStyle w:val="Textoindependiente"/>
        <w:spacing w:line="360" w:lineRule="auto"/>
        <w:jc w:val="both"/>
      </w:pPr>
      <w:r>
        <w:br/>
      </w:r>
    </w:p>
    <w:bookmarkEnd w:id="25"/>
    <w:bookmarkStart w:id="26" w:name="resumen"/>
    <w:p>
      <w:pPr>
        <w:pStyle w:val="Ttulo1"/>
        <w:spacing w:line="360" w:lineRule="auto"/>
        <w:jc w:val="both"/>
      </w:pPr>
      <w:r>
        <w:t xml:space="preserve">Resumen</w:t>
      </w:r>
    </w:p>
    <w:p>
      <w:pPr>
        <w:pStyle w:val="FirstParagraph"/>
        <w:spacing w:line="360" w:lineRule="auto"/>
        <w:jc w:val="bot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spacing w:line="360" w:lineRule="auto"/>
        <w:jc w:val="both"/>
      </w:pPr>
      <w:r>
        <w:t xml:space="preserve">El estudio empírico se realiza sobre el conjunto Adult (UCI Adult Income) y operacionaliza cinco métricas primarias: fidelidad, estabilidad, parsimonia, brecha de fidelidad (</w:t>
      </w:r>
      <w:r>
        <w:rPr>
          <w:i/>
          <w:iCs/>
        </w:rPr>
        <w:t xml:space="preserve">faithfulness gap</w:t>
      </w:r>
      <w:r>
        <w:t xml:space="preserve">) y coste computacional. La inferencia confirmativa se apoya en comparaciones no paramétricas con control de multiplicidad y en un análisis pareado SHAP–LIME para cuantificar el trade-off calidad–coste. Los resultados muestran diferencias grandes y consistentes entre métodos: SHAP domina en fidelidad y estabilidad en los contextos evaluados, mientras que LIME resulta competitivo cuando la latencia es crítica, a costa de explicaciones estructuralmente inestables.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spacing w:line="360" w:lineRule="auto"/>
        <w:jc w:val="both"/>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spacing w:line="360" w:lineRule="auto"/>
        <w:jc w:val="both"/>
      </w:pPr>
      <w:r>
        <w:t xml:space="preserve">Abstract</w:t>
      </w:r>
    </w:p>
    <w:p>
      <w:pPr>
        <w:pStyle w:val="FirstParagraph"/>
        <w:spacing w:line="360" w:lineRule="auto"/>
        <w:jc w:val="bot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spacing w:line="360" w:lineRule="auto"/>
        <w:jc w:val="both"/>
      </w:pPr>
      <w:r>
        <w:t xml:space="preserve">The empirical study uses the Adult (UCI Adult Income) dataset and operationalizes five primary metrics: faithfulness, stability, parsimony, faithfulness gap, and computational cost. Confirmatory inference relies on nonparametric comparisons with multiplicity control and on a paired SHAP–LIME analysis to quantify the quality–cost trade-off. Results show large and consistent differences across methods: SHAP dominates in faithfulness and stability in the evaluated settings, whereas LIME becomes attractive when latency constraints dominate, at the cost of structurally unstable explanations.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spacing w:line="360" w:lineRule="auto"/>
        <w:jc w:val="both"/>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spacing w:line="360" w:lineRule="auto"/>
        <w:jc w:val="both"/>
      </w:pPr>
      <w:r>
        <w:t xml:space="preserve">Introducción</w:t>
      </w:r>
    </w:p>
    <w:p>
      <w:pPr>
        <w:pStyle w:val="FirstParagraph"/>
        <w:spacing w:line="360" w:lineRule="auto"/>
        <w:jc w:val="bot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Anchors</w:t>
      </w:r>
      <w:r>
        <w:t xml:space="preserve"> </w:t>
      </w:r>
      <w:r>
        <w:t xml:space="preserve">(Ribeiro 2018)</w:t>
      </w:r>
      <w:r>
        <w:t xml:space="preserve"> </w:t>
      </w:r>
      <w:r>
        <w:t xml:space="preserve">y DiCE</w:t>
      </w:r>
      <w:r>
        <w:t xml:space="preserve"> </w:t>
      </w:r>
      <w:r>
        <w:t xml:space="preserve">(Mothilal 2020)</w:t>
      </w:r>
      <w:r>
        <w:t xml:space="preserve">— han ganado protagonismo al intentar proporcionar explicaciones</w:t>
      </w:r>
      <w:r>
        <w:t xml:space="preserve"> </w:t>
      </w:r>
      <w:r>
        <w:rPr>
          <w:i/>
          <w:iCs/>
        </w:rPr>
        <w:t xml:space="preserve">post-hoc</w:t>
      </w:r>
      <w:r>
        <w:t xml:space="preserve"> </w:t>
      </w:r>
      <w:r>
        <w:t xml:space="preserve">sin necesidad de alterar los componentes internos del modelo,</w:t>
      </w:r>
      <w:r>
        <w:t xml:space="preserve"> </w:t>
      </w:r>
      <w:r>
        <w:t xml:space="preserve">facilitando así la detección de sesgos y la validación de resultados en</w:t>
      </w:r>
      <w:r>
        <w:t xml:space="preserve"> </w:t>
      </w:r>
      <w:r>
        <w:t xml:space="preserve">aplicaciones críticas.</w:t>
      </w:r>
    </w:p>
    <w:p>
      <w:pPr>
        <w:pStyle w:val="Textoindependiente"/>
        <w:spacing w:line="360" w:lineRule="auto"/>
        <w:jc w:val="both"/>
      </w:pPr>
      <w:r>
        <w:t xml:space="preserve">La urgencia de esta investigación se amplifica por un contexto regulatorio en</w:t>
      </w:r>
      <w:r>
        <w:t xml:space="preserve"> </w:t>
      </w:r>
      <w:r>
        <w:t xml:space="preserve">rápida evolución. El Reglamento General de Protección de Datos de la Unión</w:t>
      </w:r>
      <w:r>
        <w:t xml:space="preserve"> </w:t>
      </w:r>
      <w:r>
        <w:t xml:space="preserve">Europea (GDPR) establece en su Artículo 22 el derecho de las personas a obtener</w:t>
      </w:r>
      <w:r>
        <w:t xml:space="preserve"> </w:t>
      </w:r>
      <w:r>
        <w:t xml:space="preserve">explicaciones significativas sobre decisiones automatizadas que les afecten</w:t>
      </w:r>
      <w:r>
        <w:t xml:space="preserve"> </w:t>
      </w:r>
      <w:r>
        <w:t xml:space="preserve">(Voigt and Bussche 2017)</w:t>
      </w:r>
      <w:r>
        <w:t xml:space="preserve">. La Ley de Inteligencia Artificial de la Unión Europea (EU AI Act,</w:t>
      </w:r>
      <w:r>
        <w:t xml:space="preserve"> </w:t>
      </w:r>
      <w:r>
        <w:t xml:space="preserve">2024) va más lejos: clasifica ciertos sistemas de IA como de alto riesgo y exige</w:t>
      </w:r>
      <w:r>
        <w:t xml:space="preserve"> </w:t>
      </w:r>
      <w:r>
        <w:t xml:space="preserve">requisitos de transparencia, trazabilidad y supervisión humana que dependen</w:t>
      </w:r>
      <w:r>
        <w:t xml:space="preserve"> </w:t>
      </w:r>
      <w:r>
        <w:t xml:space="preserve">directamente de la disponibilidad de métodos de explicación verificables. En el</w:t>
      </w:r>
      <w:r>
        <w:t xml:space="preserve"> </w:t>
      </w:r>
      <w:r>
        <w:t xml:space="preserve">ámbito financiero, la Directiva de Crédito Hipotecario y la regulación bancaria</w:t>
      </w:r>
      <w:r>
        <w:t xml:space="preserve"> </w:t>
      </w:r>
      <w:r>
        <w:t xml:space="preserve">(Basilea IV) demandan modelos auditables. En el sector sanitario, la FDA</w:t>
      </w:r>
      <w:r>
        <w:t xml:space="preserve"> </w:t>
      </w:r>
      <w:r>
        <w:t xml:space="preserve">norteamericana y la EMA europea han publicado marcos de gobernanza que vinculan</w:t>
      </w:r>
      <w:r>
        <w:t xml:space="preserve"> </w:t>
      </w:r>
      <w:r>
        <w:t xml:space="preserve">aprobación de sistemas de IA con explicabilidad comprobable. Esta confluencia</w:t>
      </w:r>
      <w:r>
        <w:t xml:space="preserve"> </w:t>
      </w:r>
      <w:r>
        <w:t xml:space="preserve">normativa convierte la evaluación rigurosa de métodos de explicación en una</w:t>
      </w:r>
      <w:r>
        <w:t xml:space="preserve"> </w:t>
      </w:r>
      <w:r>
        <w:t xml:space="preserve">necesidad operativa, no solo académica.</w:t>
      </w:r>
    </w:p>
    <w:p>
      <w:pPr>
        <w:pStyle w:val="Textoindependiente"/>
        <w:spacing w:line="360" w:lineRule="auto"/>
        <w:jc w:val="both"/>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spacing w:line="360" w:lineRule="auto"/>
        <w:jc w:val="both"/>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w:t>
      </w:r>
      <w:r>
        <w:t xml:space="preserve"> </w:t>
      </w:r>
      <w:r>
        <w:t xml:space="preserve">puntuaciones de fiabilidad resultantes</w:t>
      </w:r>
      <w:r>
        <w:t xml:space="preserve"> </w:t>
      </w:r>
      <w:r>
        <w:t xml:space="preserve">(Zheng et al. 2025)</w:t>
      </w:r>
      <w:r>
        <w:t xml:space="preserve">. Si bien han surgido</w:t>
      </w:r>
      <w:r>
        <w:t xml:space="preserve"> </w:t>
      </w:r>
      <w:r>
        <w:t xml:space="preserve">ecosistemas de 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w:t>
      </w:r>
      <w:r>
        <w:t xml:space="preserve"> </w:t>
      </w:r>
      <w:r>
        <w:t xml:space="preserve">significativa: ninguno de estos marcos ofrece un protocolo operativo completo</w:t>
      </w:r>
      <w:r>
        <w:t xml:space="preserve"> </w:t>
      </w:r>
      <w:r>
        <w:t xml:space="preserve">que conecte diseño experimental, calificación de artefactos, admisibilidad</w:t>
      </w:r>
      <w:r>
        <w:t xml:space="preserve"> </w:t>
      </w:r>
      <w:r>
        <w:t xml:space="preserve">estadística, reproducibilidad y trazabilidad de afirmaciones en una secuencia</w:t>
      </w:r>
      <w:r>
        <w:t xml:space="preserve"> </w:t>
      </w:r>
      <w:r>
        <w:t xml:space="preserve">auditable</w:t>
      </w:r>
      <w:r>
        <w:t xml:space="preserve"> </w:t>
      </w:r>
      <w:r>
        <w:t xml:space="preserve">(Pawlicki et al. 2024; Canha et al. 2025)</w:t>
      </w:r>
      <w:r>
        <w:t xml:space="preserve">. Esa brecha es el problema central de esta</w:t>
      </w:r>
      <w:r>
        <w:t xml:space="preserve"> </w:t>
      </w:r>
      <w:r>
        <w:t xml:space="preserve">tesis.</w:t>
      </w:r>
    </w:p>
    <w:p>
      <w:pPr>
        <w:pStyle w:val="Textoindependiente"/>
        <w:spacing w:line="360" w:lineRule="auto"/>
        <w:jc w:val="both"/>
      </w:pPr>
      <w:r>
        <w:t xml:space="preserve">Esta investigación responde a la brecha con tres contribuciones articuladas.</w:t>
      </w:r>
      <w:r>
        <w:t xml:space="preserve"> </w:t>
      </w:r>
      <w:r>
        <w:t xml:space="preserve">La</w:t>
      </w:r>
      <w:r>
        <w:t xml:space="preserve"> </w:t>
      </w:r>
      <w:r>
        <w:rPr>
          <w:b/>
          <w:bCs/>
        </w:rPr>
        <w:t xml:space="preserve">contribución metodológica</w:t>
      </w:r>
      <w:r>
        <w:t xml:space="preserve"> </w:t>
      </w:r>
      <w:r>
        <w:t xml:space="preserve">es el protocolo FOM-7 (</w:t>
      </w:r>
      <w:r>
        <w:rPr>
          <w:i/>
          <w:iCs/>
        </w:rPr>
        <w:t xml:space="preserve">Framework Operation</w:t>
      </w:r>
      <w:r>
        <w:rPr>
          <w:i/>
          <w:iCs/>
        </w:rPr>
        <w:t xml:space="preserve"> </w:t>
      </w:r>
      <w:r>
        <w:rPr>
          <w:i/>
          <w:iCs/>
        </w:rPr>
        <w:t xml:space="preserve">Method</w:t>
      </w:r>
      <w:r>
        <w:t xml:space="preserve">, siete puertas), una secuencia operativa reproducible que gobierna el</w:t>
      </w:r>
      <w:r>
        <w:t xml:space="preserve"> </w:t>
      </w:r>
      <w:r>
        <w:t xml:space="preserve">ciclo completo de evidencia en evaluación XAI comparativa: desde la congelación</w:t>
      </w:r>
      <w:r>
        <w:t xml:space="preserve"> </w:t>
      </w:r>
      <w:r>
        <w:t xml:space="preserve">del protocolo experimental hasta la trazabilidad de afirmaciones inferenciales.</w:t>
      </w:r>
      <w:r>
        <w:t xml:space="preserve"> </w:t>
      </w:r>
      <w:r>
        <w:t xml:space="preserve">La</w:t>
      </w:r>
      <w:r>
        <w:t xml:space="preserve"> </w:t>
      </w:r>
      <w:r>
        <w:rPr>
          <w:b/>
          <w:bCs/>
        </w:rPr>
        <w:t xml:space="preserve">contribución empírica</w:t>
      </w:r>
      <w:r>
        <w:t xml:space="preserve"> </w:t>
      </w:r>
      <w:r>
        <w:t xml:space="preserve">es un benchmark multi-métrico sobre datos tabulares</w:t>
      </w:r>
      <w:r>
        <w:t xml:space="preserve"> </w:t>
      </w:r>
      <w:r>
        <w:t xml:space="preserve">reales que compara SHAP, LIME, Anchors y DiCE bajo cinco modelos, cinco</w:t>
      </w:r>
      <w:r>
        <w:t xml:space="preserve"> </w:t>
      </w:r>
      <w:r>
        <w:t xml:space="preserve">semillas y tres tamaños de muestra, produciendo 275 artefactos calificados con</w:t>
      </w:r>
      <w:r>
        <w:t xml:space="preserve"> </w:t>
      </w:r>
      <w:r>
        <w:t xml:space="preserve">análisis estadístico mediante pruebas no paramétricas con control de</w:t>
      </w:r>
      <w:r>
        <w:t xml:space="preserve"> </w:t>
      </w:r>
      <w:r>
        <w:t xml:space="preserve">multiplicidad. La</w:t>
      </w:r>
      <w:r>
        <w:t xml:space="preserve"> </w:t>
      </w:r>
      <w:r>
        <w:rPr>
          <w:b/>
          <w:bCs/>
        </w:rPr>
        <w:t xml:space="preserve">contribución teórica</w:t>
      </w:r>
      <w:r>
        <w:t xml:space="preserve"> </w:t>
      </w:r>
      <w:r>
        <w:t xml:space="preserve">es una taxonomía estructurada de</w:t>
      </w:r>
      <w:r>
        <w:t xml:space="preserve"> </w:t>
      </w:r>
      <w:r>
        <w:t xml:space="preserve">cuatro ejes que organiza el espacio de métricas de evaluación XAI,</w:t>
      </w:r>
      <w:r>
        <w:t xml:space="preserve"> </w:t>
      </w:r>
      <w:r>
        <w:t xml:space="preserve">localiza explícitamente las dimensiones cubiertas y no cubiertas por el</w:t>
      </w:r>
      <w:r>
        <w:t xml:space="preserve"> </w:t>
      </w:r>
      <w:r>
        <w:t xml:space="preserve">benchmark, y vincula cada métrica a su alcance inferencial admisible. Juntas,</w:t>
      </w:r>
      <w:r>
        <w:t xml:space="preserve"> </w:t>
      </w:r>
      <w:r>
        <w:t xml:space="preserve">estas tres contribuciones avanzan el campo desde la proliferación de métricas</w:t>
      </w:r>
      <w:r>
        <w:t xml:space="preserve"> </w:t>
      </w:r>
      <w:r>
        <w:t xml:space="preserve">hacia la acumulación sistemática de evidencia defendible.</w:t>
      </w:r>
    </w:p>
    <w:p>
      <w:pPr>
        <w:pStyle w:val="Textoindependiente"/>
        <w:spacing w:line="360" w:lineRule="auto"/>
        <w:jc w:val="both"/>
      </w:pPr>
      <w:r>
        <w:t xml:space="preserve">Para alcanzar estos objetivos, el documento se estructura en seis capítulos</w:t>
      </w:r>
      <w:r>
        <w:t xml:space="preserve"> </w:t>
      </w:r>
      <w:r>
        <w:t xml:space="preserve">y dos elementos complementarios. Tras esta introducción, el</w:t>
      </w:r>
      <w:r>
        <w:t xml:space="preserve"> </w:t>
      </w:r>
      <w:r>
        <w:rPr>
          <w:b/>
          <w:bCs/>
        </w:rPr>
        <w:t xml:space="preserve">Capítulo 1</w:t>
      </w:r>
      <w:r>
        <w:t xml:space="preserve"> </w:t>
      </w:r>
      <w:r>
        <w:t xml:space="preserve">formaliza el problema de investigación, los objetivos específicos y las</w:t>
      </w:r>
      <w:r>
        <w:t xml:space="preserve"> </w:t>
      </w:r>
      <w:r>
        <w:t xml:space="preserve">hipótesis estadísticas. El</w:t>
      </w:r>
      <w:r>
        <w:t xml:space="preserve"> </w:t>
      </w:r>
      <w:r>
        <w:rPr>
          <w:b/>
          <w:bCs/>
        </w:rPr>
        <w:t xml:space="preserve">Capítulo 2</w:t>
      </w:r>
      <w:r>
        <w:t xml:space="preserve"> </w:t>
      </w:r>
      <w:r>
        <w:t xml:space="preserve">establece el marco teórico:</w:t>
      </w:r>
      <w:r>
        <w:t xml:space="preserve"> </w:t>
      </w:r>
      <w:r>
        <w:t xml:space="preserve">desarrolla el desarrollo histórico de la XAI, las distinciones conceptuales</w:t>
      </w:r>
      <w:r>
        <w:t xml:space="preserve"> </w:t>
      </w:r>
      <w:r>
        <w:t xml:space="preserve">fundamentales, los cuatro métodos evaluados y los marcos de evaluación</w:t>
      </w:r>
      <w:r>
        <w:t xml:space="preserve"> </w:t>
      </w:r>
      <w:r>
        <w:t xml:space="preserve">existentes, cerrando con la síntesis crítica que justifica FOM-7. El</w:t>
      </w:r>
      <w:r>
        <w:t xml:space="preserve"> </w:t>
      </w:r>
      <w:r>
        <w:rPr>
          <w:b/>
          <w:bCs/>
        </w:rPr>
        <w:t xml:space="preserve">Capítulo 3</w:t>
      </w:r>
      <w:r>
        <w:t xml:space="preserve"> </w:t>
      </w:r>
      <w:r>
        <w:t xml:space="preserve">describe el diseño experimental: el protocolo FOM-7, el conjunto</w:t>
      </w:r>
      <w:r>
        <w:t xml:space="preserve"> </w:t>
      </w:r>
      <w:r>
        <w:t xml:space="preserve">de datos, el diseño factorial, la operacionalización de métricas, el análisis de</w:t>
      </w:r>
      <w:r>
        <w:t xml:space="preserve"> </w:t>
      </w:r>
      <w:r>
        <w:t xml:space="preserve">cobertura y el plan de inferencia estadística. El</w:t>
      </w:r>
      <w:r>
        <w:t xml:space="preserve"> </w:t>
      </w:r>
      <w:r>
        <w:rPr>
          <w:b/>
          <w:bCs/>
        </w:rPr>
        <w:t xml:space="preserve">Capítulo 4</w:t>
      </w:r>
      <w:r>
        <w:t xml:space="preserve"> </w:t>
      </w:r>
      <w:r>
        <w:t xml:space="preserve">expone y</w:t>
      </w:r>
      <w:r>
        <w:t xml:space="preserve"> </w:t>
      </w:r>
      <w:r>
        <w:t xml:space="preserve">discute los resultados empíricos de los Estudios A y B, con plena trazabilidad</w:t>
      </w:r>
      <w:r>
        <w:t xml:space="preserve"> </w:t>
      </w:r>
      <w:r>
        <w:t xml:space="preserve">de afirmaciones. El</w:t>
      </w:r>
      <w:r>
        <w:t xml:space="preserve"> </w:t>
      </w:r>
      <w:r>
        <w:rPr>
          <w:b/>
          <w:bCs/>
        </w:rPr>
        <w:t xml:space="preserve">Capítulo 5</w:t>
      </w:r>
      <w:r>
        <w:t xml:space="preserve"> </w:t>
      </w:r>
      <w:r>
        <w:t xml:space="preserve">desarrolla la taxonomía de métricas XAI como</w:t>
      </w:r>
      <w:r>
        <w:t xml:space="preserve"> </w:t>
      </w:r>
      <w:r>
        <w:t xml:space="preserve">contribución teórica autónoma. El</w:t>
      </w:r>
      <w:r>
        <w:t xml:space="preserve"> </w:t>
      </w:r>
      <w:r>
        <w:rPr>
          <w:b/>
          <w:bCs/>
        </w:rPr>
        <w:t xml:space="preserve">Capítulo 6</w:t>
      </w:r>
      <w:r>
        <w:t xml:space="preserve"> </w:t>
      </w:r>
      <w:r>
        <w:t xml:space="preserve">sintetiza las conclusiones,</w:t>
      </w:r>
      <w:r>
        <w:t xml:space="preserve"> </w:t>
      </w:r>
      <w:r>
        <w:t xml:space="preserve">separa las contribuciones de la literatura previa, reconoce las limitaciones y</w:t>
      </w:r>
      <w:r>
        <w:t xml:space="preserve"> </w:t>
      </w:r>
      <w:r>
        <w:t xml:space="preserve">propone líneas de investigación futura. Los apéndices documentan los datos,</w:t>
      </w:r>
      <w:r>
        <w:t xml:space="preserve"> </w:t>
      </w:r>
      <w:r>
        <w:t xml:space="preserve">modelos, configuraciones, salidas estadísticas y entorno de reproducción.</w:t>
      </w:r>
    </w:p>
    <w:bookmarkEnd w:id="28"/>
    <w:bookmarkStart w:id="43" w:name="X13574bcfb14bbd4e095f2c559ff6b33999e5b97"/>
    <w:p>
      <w:pPr>
        <w:pStyle w:val="Ttulo1"/>
        <w:spacing w:line="360" w:lineRule="auto"/>
        <w:jc w:val="both"/>
      </w:pPr>
      <w:r>
        <w:t xml:space="preserve">Problema, objetivos y diseño general de la investigación</w:t>
      </w:r>
    </w:p>
    <w:p>
      <w:pPr>
        <w:pStyle w:val="FirstParagraph"/>
        <w:spacing w:line="360" w:lineRule="auto"/>
        <w:jc w:val="bot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spacing w:line="360" w:lineRule="auto"/>
        <w:jc w:val="both"/>
      </w:pPr>
      <w:r>
        <w:t xml:space="preserve">Problema de investigación</w:t>
      </w:r>
    </w:p>
    <w:p>
      <w:pPr>
        <w:pStyle w:val="FirstParagraph"/>
        <w:spacing w:line="360" w:lineRule="auto"/>
        <w:jc w:val="bot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spacing w:line="360" w:lineRule="auto"/>
        <w:jc w:val="both"/>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 Hedström et al. 2023)</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(Alvarez-Melis and Jaakkola 2018;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spacing w:line="360" w:lineRule="auto"/>
        <w:jc w:val="both"/>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spacing w:line="360" w:lineRule="auto"/>
        <w:jc w:val="both"/>
      </w:pPr>
      <w:r>
        <w:t xml:space="preserve">Justificación científica y práctica</w:t>
      </w:r>
    </w:p>
    <w:p>
      <w:pPr>
        <w:pStyle w:val="FirstParagraph"/>
        <w:spacing w:line="360" w:lineRule="auto"/>
        <w:jc w:val="bot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spacing w:line="360" w:lineRule="auto"/>
        <w:jc w:val="both"/>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 Hoffman et al. 2023;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spacing w:line="360" w:lineRule="auto"/>
        <w:jc w:val="both"/>
      </w:pPr>
      <w:r>
        <w:t xml:space="preserve">Objetivos e hipótesis</w:t>
      </w:r>
    </w:p>
    <w:bookmarkStart w:id="31" w:name="objetivo-general"/>
    <w:p>
      <w:pPr>
        <w:pStyle w:val="Ttulo3"/>
        <w:spacing w:line="360" w:lineRule="auto"/>
        <w:jc w:val="both"/>
      </w:pPr>
      <w:r>
        <w:t xml:space="preserve">Objetivo general</w:t>
      </w:r>
    </w:p>
    <w:p>
      <w:pPr>
        <w:pStyle w:val="FirstParagraph"/>
        <w:spacing w:line="360" w:lineRule="auto"/>
        <w:jc w:val="bot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spacing w:line="360" w:lineRule="auto"/>
        <w:jc w:val="both"/>
      </w:pPr>
      <w:r>
        <w:t xml:space="preserve">Objetivos específicos</w:t>
      </w:r>
    </w:p>
    <w:p>
      <w:pPr>
        <w:numPr>
          <w:ilvl w:val="0"/>
          <w:numId w:val="1001"/>
        </w:numPr>
        <w:spacing w:line="360" w:lineRule="auto"/>
        <w:jc w:val="both"/>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spacing w:line="360" w:lineRule="auto"/>
        <w:jc w:val="both"/>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 Kohavi and Becker 1996; Abdul Kadir et al. 2023; Bhattacharya and Verbert 2024)</w:t>
      </w:r>
    </w:p>
    <w:p>
      <w:pPr>
        <w:numPr>
          <w:ilvl w:val="0"/>
          <w:numId w:val="1001"/>
        </w:numPr>
        <w:spacing w:line="360" w:lineRule="auto"/>
        <w:jc w:val="both"/>
      </w:pPr>
      <w:r>
        <w:t xml:space="preserve">Cuantificar las diferencias en el relación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spacing w:line="360" w:lineRule="auto"/>
        <w:jc w:val="both"/>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spacing w:line="360" w:lineRule="auto"/>
        <w:jc w:val="both"/>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spacing w:line="360" w:lineRule="auto"/>
        <w:jc w:val="both"/>
      </w:pPr>
      <w:r>
        <w:t xml:space="preserve">Hipótesis o proposiciones de trabajo</w:t>
      </w:r>
    </w:p>
    <w:p>
      <w:pPr>
        <w:pStyle w:val="FirstParagraph"/>
        <w:spacing w:line="360" w:lineRule="auto"/>
        <w:jc w:val="both"/>
      </w:pPr>
      <w:r>
        <w:t xml:space="preserve">Las hipótesis estadísticas formales se estructuran en torno a los tres ejes</w:t>
      </w:r>
      <w:r>
        <w:t xml:space="preserve"> </w:t>
      </w:r>
      <w:r>
        <w:t xml:space="preserve">confirmatorios de la investigación empírica.</w:t>
      </w:r>
    </w:p>
    <w:p>
      <w:pPr>
        <w:pStyle w:val="Textoindependiente"/>
        <w:spacing w:line="360" w:lineRule="auto"/>
        <w:jc w:val="both"/>
      </w:pPr>
      <w:r>
        <w:rPr>
          <w:b/>
          <w:bCs/>
        </w:rPr>
        <w:t xml:space="preserve">H1 — Diferencias globales entre métodos (fidelidad)</w:t>
      </w:r>
    </w:p>
    <w:p>
      <w:pPr>
        <w:pStyle w:val="Textoindependiente"/>
        <w:spacing w:line="360" w:lineRule="auto"/>
        <w:jc w:val="both"/>
      </w:pPr>
      <ns1:oMath>
        <ns1:sSub>
          <ns1:e>
            <ns1:r>
              <ns1:t>H</ns1:t>
            </ns1:r>
          </ns1:e>
          <ns1:sub>
            <ns1:r>
              <ns1:t>0</ns1:t>
            </ns1:r>
            <ns1:r>
              <ns1:rPr>
                <ns1:sty ns1:val="p"/>
              </ns1:rPr>
              <ns1:t>,</ns1:t>
            </ns1:r>
            <ns1:r>
              <ns1:t>1</ns1:t>
            </ns1:r>
          </ns1:sub>
        </ns1:sSub>
      </ns1:oMath>
      <w:r>
        <w:t xml:space="preserve">: No existen diferencias significativas entre los métodos XAI en la</w:t>
      </w:r>
      <w:r>
        <w:t xml:space="preserve"> </w:t>
      </w:r>
      <w:r>
        <w:t xml:space="preserve">métrica de fidelidad bajo el diseño de bloques emparejados.</w:t>
      </w:r>
    </w:p>
    <w:p>
      <w:pPr>
        <w:pStyle w:val="Textoindependiente"/>
        <w:spacing w:line="360" w:lineRule="auto"/>
        <w:jc w:val="both"/>
      </w:pPr>
      <ns1:oMath>
        <ns1:sSub>
          <ns1:e>
            <ns1:r>
              <ns1:t>H</ns1:t>
            </ns1:r>
          </ns1:e>
          <ns1:sub>
            <ns1:r>
              <ns1:t>1</ns1:t>
            </ns1:r>
            <ns1:r>
              <ns1:rPr>
                <ns1:sty ns1:val="p"/>
              </ns1:rPr>
              <ns1:t>,</ns1:t>
            </ns1:r>
            <ns1:r>
              <ns1:t>1</ns1:t>
            </ns1:r>
          </ns1:sub>
        </ns1:sSub>
      </ns1:oMath>
      <w:r>
        <w:t xml:space="preserve">: Al menos un par de métodos difiere significativamente en fidelidad.</w:t>
      </w:r>
    </w:p>
    <w:p>
      <w:pPr>
        <w:pStyle w:val="Textoindependiente"/>
        <w:spacing w:line="360" w:lineRule="auto"/>
        <w:jc w:val="both"/>
      </w:pPr>
      <w:r>
        <w:rPr>
          <w:b/>
          <w:bCs/>
        </w:rPr>
        <w:t xml:space="preserve">H2 — Diferencias globales entre métodos (estabilidad)</w:t>
      </w:r>
    </w:p>
    <w:p>
      <w:pPr>
        <w:pStyle w:val="Textoindependiente"/>
        <w:spacing w:line="360" w:lineRule="auto"/>
        <w:jc w:val="both"/>
      </w:pPr>
      <ns1:oMath>
        <ns1:sSub>
          <ns1:e>
            <ns1:r>
              <ns1:t>H</ns1:t>
            </ns1:r>
          </ns1:e>
          <ns1:sub>
            <ns1:r>
              <ns1:t>0</ns1:t>
            </ns1:r>
            <ns1:r>
              <ns1:rPr>
                <ns1:sty ns1:val="p"/>
              </ns1:rPr>
              <ns1:t>,</ns1:t>
            </ns1:r>
            <ns1:r>
              <ns1:t>2</ns1:t>
            </ns1:r>
          </ns1:sub>
        </ns1:sSub>
      </ns1:oMath>
      <w:r>
        <w:t xml:space="preserve">: No existen diferencias significativas entre los métodos XAI en la</w:t>
      </w:r>
      <w:r>
        <w:t xml:space="preserve"> </w:t>
      </w:r>
      <w:r>
        <w:t xml:space="preserve">métrica de estabilidad bajo el diseño de bloques emparejados.</w:t>
      </w:r>
    </w:p>
    <w:p>
      <w:pPr>
        <w:pStyle w:val="Textoindependiente"/>
        <w:spacing w:line="360" w:lineRule="auto"/>
        <w:jc w:val="both"/>
      </w:pPr>
      <ns1:oMath>
        <ns1:sSub>
          <ns1:e>
            <ns1:r>
              <ns1:t>H</ns1:t>
            </ns1:r>
          </ns1:e>
          <ns1:sub>
            <ns1:r>
              <ns1:t>1</ns1:t>
            </ns1:r>
            <ns1:r>
              <ns1:rPr>
                <ns1:sty ns1:val="p"/>
              </ns1:rPr>
              <ns1:t>,</ns1:t>
            </ns1:r>
            <ns1:r>
              <ns1:t>2</ns1:t>
            </ns1:r>
          </ns1:sub>
        </ns1:sSub>
      </ns1:oMath>
      <w:r>
        <w:t xml:space="preserve">: Al menos un par de métodos difiere significativamente en estabilidad.</w:t>
      </w:r>
    </w:p>
    <w:p>
      <w:pPr>
        <w:pStyle w:val="Textoindependiente"/>
        <w:spacing w:line="360" w:lineRule="auto"/>
        <w:jc w:val="both"/>
      </w:pPr>
      <w:r>
        <w:rPr>
          <w:b/>
          <w:bCs/>
        </w:rPr>
        <w:t xml:space="preserve">H3 — Relación calidad-coste SHAP vs. LIME</w:t>
      </w:r>
    </w:p>
    <w:p>
      <w:pPr>
        <w:pStyle w:val="Textoindependiente"/>
        <w:spacing w:line="360" w:lineRule="auto"/>
        <w:jc w:val="both"/>
      </w:pPr>
      <ns1:oMath>
        <ns1:sSub>
          <ns1:e>
            <ns1:r>
              <ns1:t>H</ns1:t>
            </ns1:r>
          </ns1:e>
          <ns1:sub>
            <ns1:r>
              <ns1:t>0</ns1:t>
            </ns1:r>
            <ns1:r>
              <ns1:rPr>
                <ns1:sty ns1:val="p"/>
              </ns1:rPr>
              <ns1:t>,</ns1:t>
            </ns1:r>
            <ns1:r>
              <ns1:t>3</ns1:t>
            </ns1:r>
          </ns1:sub>
        </ns1:sSub>
      </ns1:oMath>
      <w:r>
        <w:t xml:space="preserve">: SHAP y LIME no difieren en las métricas de calidad ni en el coste</w:t>
      </w:r>
      <w:r>
        <w:t xml:space="preserve"> </w:t>
      </w:r>
      <w:r>
        <w:t xml:space="preserve">computacional sobre celdas pareadas.</w:t>
      </w:r>
    </w:p>
    <w:p>
      <w:pPr>
        <w:pStyle w:val="Textoindependiente"/>
        <w:spacing w:line="360" w:lineRule="auto"/>
        <w:jc w:val="both"/>
      </w:pPr>
      <ns1:oMath>
        <ns1:sSub>
          <ns1:e>
            <ns1:r>
              <ns1:t>H</ns1:t>
            </ns1:r>
          </ns1:e>
          <ns1:sub>
            <ns1:r>
              <ns1:t>1</ns1:t>
            </ns1:r>
            <ns1:r>
              <ns1:rPr>
                <ns1:sty ns1:val="p"/>
              </ns1:rPr>
              <ns1:t>,</ns1:t>
            </ns1:r>
            <ns1:r>
              <ns1:t>3</ns1:t>
            </ns1:r>
          </ns1:sub>
        </ns1:sSub>
      </ns1:oMath>
      <w:r>
        <w:t xml:space="preserve">: SHAP y LIME difieren significativamente en al menos una métrica de</w:t>
      </w:r>
      <w:r>
        <w:t xml:space="preserve"> </w:t>
      </w:r>
      <w:r>
        <w:t xml:space="preserve">calidad o en el coste computacional sobre celdas pareadas.</w:t>
      </w:r>
    </w:p>
    <w:p>
      <w:pPr>
        <w:pStyle w:val="Textoindependiente"/>
        <w:spacing w:line="360" w:lineRule="auto"/>
        <w:jc w:val="both"/>
      </w:pPr>
      <w:r>
        <w:rPr>
          <w:b/>
          <w:bCs/>
        </w:rPr>
        <w:t xml:space="preserve">P1 — Reproducibilidad del protocolo (proposición)</w:t>
      </w:r>
    </w:p>
    <w:p>
      <w:pPr>
        <w:pStyle w:val="Textoindependiente"/>
        <w:spacing w:line="360" w:lineRule="auto"/>
        <w:jc w:val="both"/>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spacing w:line="360" w:lineRule="auto"/>
        <w:jc w:val="both"/>
      </w:pPr>
      <w:r>
        <w:t xml:space="preserve">Las hipótesis H1 y H2 se contrastan mediante la prueba de Friedman con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(Friedman 1937; Demšar 2006; Nemenyi 1963; Wilcoxon 1945)</w:t>
      </w:r>
      <w:r>
        <w:t xml:space="preserve">.</w:t>
      </w:r>
    </w:p>
    <w:bookmarkEnd w:id="33"/>
    <w:bookmarkEnd w:id="34"/>
    <w:bookmarkStart w:id="42" w:name="metodología-general-de-la-investigación"/>
    <w:p>
      <w:pPr>
        <w:pStyle w:val="Ttulo2"/>
        <w:spacing w:line="360" w:lineRule="auto"/>
        <w:jc w:val="both"/>
      </w:pPr>
      <w:r>
        <w:t xml:space="preserve">Metodología general de la investigación</w:t>
      </w:r>
    </w:p>
    <w:bookmarkStart w:id="35" w:name="enfoque"/>
    <w:p>
      <w:pPr>
        <w:pStyle w:val="Ttulo3"/>
        <w:spacing w:line="360" w:lineRule="auto"/>
        <w:jc w:val="both"/>
      </w:pPr>
      <w:r>
        <w:t xml:space="preserve">Enfoque</w:t>
      </w:r>
    </w:p>
    <w:p>
      <w:pPr>
        <w:pStyle w:val="FirstParagraph"/>
        <w:spacing w:line="360" w:lineRule="auto"/>
        <w:jc w:val="bot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spacing w:line="360" w:lineRule="auto"/>
        <w:jc w:val="both"/>
      </w:pPr>
      <w:r>
        <w:t xml:space="preserve">Tipo de investigación</w:t>
      </w:r>
    </w:p>
    <w:p>
      <w:pPr>
        <w:pStyle w:val="FirstParagraph"/>
        <w:spacing w:line="360" w:lineRule="auto"/>
        <w:jc w:val="bot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spacing w:line="360" w:lineRule="auto"/>
        <w:jc w:val="both"/>
      </w:pPr>
      <w:r>
        <w:t xml:space="preserve">Universo y contexto experimental</w:t>
      </w:r>
    </w:p>
    <w:p>
      <w:pPr>
        <w:pStyle w:val="FirstParagraph"/>
        <w:spacing w:line="360" w:lineRule="auto"/>
        <w:jc w:val="bot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(Kohavi and Becker 1996)</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spacing w:line="360" w:lineRule="auto"/>
        <w:jc w:val="both"/>
      </w:pPr>
      <w:r>
        <w:t xml:space="preserve">Muestra de datasets, modelos y métodos XAI</w:t>
      </w:r>
    </w:p>
    <w:p>
      <w:pPr>
        <w:pStyle w:val="FirstParagraph"/>
        <w:spacing w:line="360" w:lineRule="auto"/>
        <w:jc w:val="bot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ns1:oMath>
        <ns1:r>
          <ns1:t>N</ns1:t>
        </ns1:r>
        <ns1:r>
          <ns1:rPr>
            <ns1:sty ns1:val="p"/>
          </ns1:rPr>
          <ns1:t>∈</ns1:t>
        </ns1:r>
        <ns1:r>
          <ns1:rPr>
            <ns1:sty ns1:val="p"/>
          </ns1:rPr>
          <ns1:t>{</ns1:t>
        </ns1:r>
        <ns1:r>
          <ns1:t>50</ns1:t>
        </ns1:r>
        <ns1:r>
          <ns1:rPr>
            <ns1:sty ns1:val="p"/>
          </ns1:rPr>
          <ns1:t>,</ns1:t>
        </ns1:r>
        <ns1:r>
          <ns1:t>100</ns1:t>
        </ns1:r>
        <ns1:r>
          <ns1:rPr>
            <ns1:sty ns1:val="p"/>
          </ns1:rPr>
          <ns1:t>,</ns1:t>
        </ns1:r>
        <ns1:r>
          <ns1:t>200</ns1:t>
        </ns1:r>
        <ns1:r>
          <ns1:rPr>
            <ns1:sty ns1:val="p"/>
          </ns1:rPr>
          <ns1:t>}</ns1:t>
        </ns1:r>
      </ns1:oMath>
      <w:r>
        <w:t xml:space="preserve">. Cada celda del diseño se replica con cinco semillas de</w:t>
      </w:r>
      <w:r>
        <w:t xml:space="preserve"> </w:t>
      </w:r>
      <w:r>
        <w:t xml:space="preserve">aleatoriedad:</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El tamaño planificado del</w:t>
      </w:r>
      <w:r>
        <w:t xml:space="preserve"> </w:t>
      </w:r>
      <w:r>
        <w:t xml:space="preserve">benchmark primario (Estudio A) es</w:t>
      </w:r>
      <w:r>
        <w:t xml:space="preserve"> </w:t>
      </w:r>
      <ns1:oMath>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spacing w:line="360" w:lineRule="auto"/>
        <w:jc w:val="both"/>
      </w:pPr>
      <w:r>
        <w:t xml:space="preserve">Criterios de inclusión y exclusión</w:t>
      </w:r>
    </w:p>
    <w:p>
      <w:pPr>
        <w:pStyle w:val="FirstParagraph"/>
        <w:spacing w:line="360" w:lineRule="auto"/>
        <w:jc w:val="both"/>
      </w:pPr>
      <w:r>
        <w:rPr>
          <w:b/>
          <w:bCs/>
        </w:rPr>
        <w:t xml:space="preserve">Criterios de inclusión:</w:t>
      </w:r>
    </w:p>
    <w:p>
      <w:pPr>
        <w:pStyle w:val="Compact"/>
        <w:numPr>
          <w:ilvl w:val="0"/>
          <w:numId w:val="1002"/>
        </w:numPr>
        <w:spacing w:line="360" w:lineRule="auto"/>
        <w:jc w:val="both"/>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spacing w:line="360" w:lineRule="auto"/>
        <w:jc w:val="both"/>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spacing w:line="360" w:lineRule="auto"/>
        <w:jc w:val="both"/>
      </w:pPr>
      <w:r>
        <w:t xml:space="preserve">Celdas para las que existen artefactos en ambos métodos comparados (SHAP y</w:t>
      </w:r>
      <w:r>
        <w:t xml:space="preserve"> </w:t>
      </w:r>
      <w:r>
        <w:t xml:space="preserve">LIME) para el análisis pareado del Estudio B.</w:t>
      </w:r>
    </w:p>
    <w:p>
      <w:pPr>
        <w:pStyle w:val="FirstParagraph"/>
        <w:spacing w:line="360" w:lineRule="auto"/>
        <w:jc w:val="both"/>
      </w:pPr>
      <w:r>
        <w:rPr>
          <w:b/>
          <w:bCs/>
        </w:rPr>
        <w:t xml:space="preserve">Criterios de exclusión:</w:t>
      </w:r>
    </w:p>
    <w:p>
      <w:pPr>
        <w:pStyle w:val="Compact"/>
        <w:numPr>
          <w:ilvl w:val="0"/>
          <w:numId w:val="1003"/>
        </w:numPr>
        <w:spacing w:line="360" w:lineRule="auto"/>
        <w:jc w:val="both"/>
      </w:pPr>
      <w:r>
        <w:t xml:space="preserve">Artefactos vacíos o con esquema incompatible detectados en la auditoría de</w:t>
      </w:r>
      <w:r>
        <w:t xml:space="preserve"> </w:t>
      </w:r>
      <w:r>
        <w:t xml:space="preserve">integridad (puerta 3 del protocolo FOM-7).</w:t>
      </w:r>
    </w:p>
    <w:p>
      <w:pPr>
        <w:pStyle w:val="Compact"/>
        <w:numPr>
          <w:ilvl w:val="0"/>
          <w:numId w:val="1003"/>
        </w:numPr>
        <w:spacing w:line="360" w:lineRule="auto"/>
        <w:jc w:val="both"/>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spacing w:line="360" w:lineRule="auto"/>
        <w:jc w:val="both"/>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spacing w:line="360" w:lineRule="auto"/>
        <w:jc w:val="both"/>
      </w:pPr>
      <w:r>
        <w:t xml:space="preserve">Variables, dimensiones y métricas</w:t>
      </w:r>
    </w:p>
    <w:p>
      <w:pPr>
        <w:pStyle w:val="FirstParagraph"/>
        <w:spacing w:line="360" w:lineRule="auto"/>
        <w:jc w:val="both"/>
      </w:pPr>
      <w:r>
        <w:t xml:space="preserve">Las</w:t>
      </w:r>
      <w:r>
        <w:t xml:space="preserve"> </w:t>
      </w:r>
      <w:r>
        <w:rPr>
          <w:b/>
          <w:bCs/>
        </w:rPr>
        <w:t xml:space="preserve">variables independientes</w:t>
      </w:r>
      <w:r>
        <w:t xml:space="preserve"> </w:t>
      </w:r>
      <w:r>
        <w:t xml:space="preserve">del diseño son: familia de modelo (</w:t>
      </w:r>
      <ns1:oMath>
        <ns1:r>
          <ns1:t>g</ns1:t>
        </ns1:r>
      </ns1:oMath>
      <w:r>
        <w:t xml:space="preserve">), método</w:t>
      </w:r>
      <w:r>
        <w:t xml:space="preserve"> </w:t>
      </w:r>
      <w:r>
        <w:t xml:space="preserve">XAI (</w:t>
      </w:r>
      <ns1:oMath>
        <ns1:r>
          <ns1:t>k</ns1:t>
        </ns1:r>
      </ns1:oMath>
      <w:r>
        <w:t xml:space="preserve">), semilla de aleatoriedad (</w:t>
      </w:r>
      <ns1:oMath>
        <ns1:r>
          <ns1:t>s</ns1:t>
        </ns1:r>
      </ns1:oMath>
      <w:r>
        <w:t xml:space="preserve">) y tamaño de muestra por estrato (</w:t>
      </w:r>
      <ns1:oMath>
        <ns1:r>
          <ns1:t>n</ns1:t>
        </ns1:r>
      </ns1: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spacing w:line="360" w:lineRule="auto"/>
        <w:jc w:val="both"/>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spacing w:line="360" w:lineRule="auto"/>
        <w:jc w:val="both"/>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spacing w:line="360" w:lineRule="auto"/>
        <w:jc w:val="both"/>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spacing w:line="360" w:lineRule="auto"/>
        <w:jc w:val="both"/>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spacing w:line="360" w:lineRule="auto"/>
        <w:jc w:val="both"/>
      </w:pPr>
      <w:r>
        <w:rPr>
          <w:b/>
          <w:bCs/>
        </w:rPr>
        <w:t xml:space="preserve">Coste computacional</w:t>
      </w:r>
      <w:r>
        <w:t xml:space="preserve">: tiempo de ejecución en milisegundos por instancia</w:t>
      </w:r>
      <w:r>
        <w:t xml:space="preserve"> </w:t>
      </w:r>
      <w:r>
        <w:t xml:space="preserve">(dirección: menor es mejor).</w:t>
      </w:r>
    </w:p>
    <w:p>
      <w:pPr>
        <w:pStyle w:val="FirstParagraph"/>
        <w:spacing w:line="360" w:lineRule="auto"/>
        <w:jc w:val="both"/>
      </w:pPr>
      <w:r>
        <w:t xml:space="preserve">La unidad de análisis inferencial es la ejecución agregada a nivel de bloque</w:t>
      </w:r>
      <w:r>
        <w:t xml:space="preserve"> </w:t>
      </w:r>
      <ns1:oMath>
        <ns1:r>
          <ns1:rPr>
            <ns1:sty ns1:val="p"/>
          </ns1:rPr>
          <ns1:t>(</ns1:t>
        </ns1:r>
        <ns1:r>
          <ns1:t>g</ns1:t>
        </ns1:r>
        <ns1:r>
          <ns1:rPr>
            <ns1:sty ns1:val="p"/>
          </ns1:rPr>
          <ns1:t>,</ns1:t>
        </ns1:r>
        <ns1:r>
          <ns1:t>n</ns1:t>
        </ns1:r>
        <ns1:r>
          <ns1:rPr>
            <ns1:sty ns1:val="p"/>
          </ns1:rPr>
          <ns1:t>)</ns1:t>
        </ns1:r>
      </ns1:oMath>
      <w:r>
        <w:t xml:space="preserve">, evitando la pseudorreplicación a nivel de instancia.</w:t>
      </w:r>
    </w:p>
    <w:p>
      <w:pPr>
        <w:pStyle w:val="Textoindependiente"/>
        <w:spacing w:line="360" w:lineRule="auto"/>
        <w:jc w:val="both"/>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spacing w:line="360" w:lineRule="auto"/>
        <w:jc w:val="both"/>
      </w:pPr>
      <w:r>
        <w:t xml:space="preserve">Estrategia procedimental</w:t>
      </w:r>
    </w:p>
    <w:p>
      <w:pPr>
        <w:pStyle w:val="FirstParagraph"/>
        <w:spacing w:line="360" w:lineRule="auto"/>
        <w:jc w:val="bot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spacing w:line="360" w:lineRule="auto"/>
        <w:jc w:val="both"/>
      </w:pPr>
      <w:r>
        <w:t xml:space="preserve">Las siete puertas secuenciales son:</w:t>
      </w:r>
    </w:p>
    <w:p>
      <w:pPr>
        <w:pStyle w:val="Compact"/>
        <w:numPr>
          <w:ilvl w:val="0"/>
          <w:numId w:val="1005"/>
        </w:numPr>
        <w:spacing w:line="360" w:lineRule="auto"/>
        <w:jc w:val="both"/>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spacing w:line="360" w:lineRule="auto"/>
        <w:jc w:val="both"/>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spacing w:line="360" w:lineRule="auto"/>
        <w:jc w:val="both"/>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spacing w:line="360" w:lineRule="auto"/>
        <w:jc w:val="both"/>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spacing w:line="360" w:lineRule="auto"/>
        <w:jc w:val="both"/>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spacing w:line="360" w:lineRule="auto"/>
        <w:jc w:val="both"/>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spacing w:line="360" w:lineRule="auto"/>
        <w:jc w:val="both"/>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spacing w:line="360" w:lineRule="auto"/>
        <w:jc w:val="both"/>
      </w:pPr>
      <w:r>
        <w:t xml:space="preserve">Este capítulo ha establecido el problema doctoral, la pregunta de investigación,</w:t>
      </w:r>
      <w:r>
        <w:t xml:space="preserve"> </w:t>
      </w:r>
      <w:r>
        <w:t xml:space="preserve">los objetivos, las hipótesis y el diseño general que articula los tres estudios.</w:t>
      </w:r>
      <w:r>
        <w:t xml:space="preserve"> </w:t>
      </w:r>
      <w:r>
        <w:t xml:space="preserve">La consecuencia metodológica es que la tesis no puede limitarse a comparar</w:t>
      </w:r>
      <w:r>
        <w:t xml:space="preserve"> </w:t>
      </w:r>
      <w:r>
        <w:t xml:space="preserve">promedios de métodos XAI: debe justificar qué constructos se miden, bajo qué</w:t>
      </w:r>
      <w:r>
        <w:t xml:space="preserve"> </w:t>
      </w:r>
      <w:r>
        <w:t xml:space="preserve">condiciones y con qué alcance inferencial. El siguiente capítulo desarrolla ese</w:t>
      </w:r>
      <w:r>
        <w:t xml:space="preserve"> </w:t>
      </w:r>
      <w:r>
        <w:t xml:space="preserve">marco conceptual y convierte la necesidad empírica identificada aquí en una</w:t>
      </w:r>
      <w:r>
        <w:t xml:space="preserve"> </w:t>
      </w:r>
      <w:r>
        <w:t xml:space="preserve">brecha teórica que justifica FOM-7.</w:t>
      </w:r>
    </w:p>
    <w:p>
      <w:pPr>
        <w:pStyle w:val="Textoindependiente"/>
        <w:spacing w:line="360" w:lineRule="auto"/>
        <w:jc w:val="bot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9" w:name="X5df853d312351836bad75f10c25fdcfe7ebc358"/>
    <w:p>
      <w:pPr>
        <w:pStyle w:val="Ttulo1"/>
        <w:spacing w:line="360" w:lineRule="auto"/>
        <w:jc w:val="both"/>
      </w:pPr>
      <w:r>
        <w:t xml:space="preserve">Marco teórico específico / fundamentos conceptuales</w:t>
      </w:r>
    </w:p>
    <w:bookmarkStart w:id="44" w:name="propósito-del-capítulo"/>
    <w:p>
      <w:pPr>
        <w:pStyle w:val="Ttulo2"/>
        <w:spacing w:line="360" w:lineRule="auto"/>
        <w:jc w:val="both"/>
      </w:pPr>
      <w:r>
        <w:t xml:space="preserve">Propósito del capítulo</w:t>
      </w:r>
    </w:p>
    <w:p>
      <w:pPr>
        <w:pStyle w:val="FirstParagraph"/>
        <w:spacing w:line="360" w:lineRule="auto"/>
        <w:jc w:val="both"/>
      </w:pPr>
      <w:r>
        <w:t xml:space="preserve">Este capítulo establece el marco conceptual específico que sostiene la</w:t>
      </w:r>
      <w:r>
        <w:t xml:space="preserve"> </w:t>
      </w:r>
      <w:r>
        <w:t xml:space="preserve">propuesta FOM-7. Su función no es solamente definir la Inteligencia Artificial</w:t>
      </w:r>
      <w:r>
        <w:t xml:space="preserve"> </w:t>
      </w:r>
      <w:r>
        <w:t xml:space="preserve">Explicable (XAI), sino mostrar por qué la evaluación de explicaciones requiere</w:t>
      </w:r>
      <w:r>
        <w:t xml:space="preserve"> </w:t>
      </w:r>
      <w:r>
        <w:t xml:space="preserve">un protocolo operativo que conecte diseño experimental, calificación de</w:t>
      </w:r>
      <w:r>
        <w:t xml:space="preserve"> </w:t>
      </w:r>
      <w:r>
        <w:t xml:space="preserve">artefactos, selección de métricas, admisibilidad estadística, reproducibilidad y</w:t>
      </w:r>
      <w:r>
        <w:t xml:space="preserve"> </w:t>
      </w:r>
      <w:r>
        <w:t xml:space="preserve">trazabilidad de afirmaciones. La tesis parte de una observación central: la</w:t>
      </w:r>
      <w:r>
        <w:t xml:space="preserve"> </w:t>
      </w:r>
      <w:r>
        <w:t xml:space="preserve">literatura dispone de métodos de explicación maduros y de toolkits de</w:t>
      </w:r>
      <w:r>
        <w:t xml:space="preserve"> </w:t>
      </w:r>
      <w:r>
        <w:t xml:space="preserve">evaluación cada vez más sofisticados, pero aún persiste una brecha entre la</w:t>
      </w:r>
      <w:r>
        <w:t xml:space="preserve"> </w:t>
      </w:r>
      <w:r>
        <w:t xml:space="preserve">existencia de métricas y la construcción de evidencia doctoralmente defendible.</w:t>
      </w:r>
    </w:p>
    <w:p>
      <w:pPr>
        <w:pStyle w:val="Textoindependiente"/>
        <w:spacing w:line="360" w:lineRule="auto"/>
        <w:jc w:val="both"/>
      </w:pPr>
      <w:r>
        <w:t xml:space="preserve">En este sentido, el capítulo organiza la revisión en siete ejes. Primero,</w:t>
      </w:r>
      <w:r>
        <w:t xml:space="preserve"> </w:t>
      </w:r>
      <w:r>
        <w:t xml:space="preserve">reconstruye el desarrollo histórico desde modelos transparentes hacia</w:t>
      </w:r>
      <w:r>
        <w:t xml:space="preserve"> </w:t>
      </w:r>
      <w:r>
        <w:t xml:space="preserve">explicaciones post-hoc y enfoques human-centered. Segundo, fija distinciones</w:t>
      </w:r>
      <w:r>
        <w:t xml:space="preserve"> </w:t>
      </w:r>
      <w:r>
        <w:t xml:space="preserve">conceptuales indispensables para evitar sobreinterpretaciones. Tercero, examina</w:t>
      </w:r>
      <w:r>
        <w:t xml:space="preserve"> </w:t>
      </w:r>
      <w:r>
        <w:t xml:space="preserve">los cuatro métodos evaluados en esta tesis: LIME, SHAP, Anchors y DiCE. Cuarto,</w:t>
      </w:r>
      <w:r>
        <w:t xml:space="preserve"> </w:t>
      </w:r>
      <w:r>
        <w:t xml:space="preserve">analiza marcos de evaluación como Quantus, OpenXAI y la taxonomía de</w:t>
      </w:r>
      <w:r>
        <w:t xml:space="preserve"> </w:t>
      </w:r>
      <w:r>
        <w:t xml:space="preserve">evaluación propuesta por</w:t>
      </w:r>
      <w:r>
        <w:t xml:space="preserve"> </w:t>
      </w:r>
      <w:r>
        <w:t xml:space="preserve">Doshi-Velez (2017)</w:t>
      </w:r>
      <w:r>
        <w:t xml:space="preserve">. Quinto, sintetiza familias de</w:t>
      </w:r>
      <w:r>
        <w:t xml:space="preserve"> </w:t>
      </w:r>
      <w:r>
        <w:t xml:space="preserve">métricas y brechas de constructo. Sexto, vincula reproducibilidad y trazabilidad</w:t>
      </w:r>
      <w:r>
        <w:t xml:space="preserve"> </w:t>
      </w:r>
      <w:r>
        <w:t xml:space="preserve">con benchmarking XAI. Finalmente, formula la brecha crítica que justifica</w:t>
      </w:r>
      <w:r>
        <w:t xml:space="preserve"> </w:t>
      </w:r>
      <w:r>
        <w:t xml:space="preserve">FOM-7.</w:t>
      </w:r>
    </w:p>
    <w:bookmarkEnd w:id="44"/>
    <w:bookmarkStart w:id="45" w:name="Xe6760546a452d6306b93a783545f3c51ee07c22"/>
    <w:p>
      <w:pPr>
        <w:pStyle w:val="Ttulo2"/>
        <w:spacing w:line="360" w:lineRule="auto"/>
        <w:jc w:val="both"/>
      </w:pPr>
      <w:r>
        <w:t xml:space="preserve">Desarrollo histórico de la interpretabilidad y la XAI</w:t>
      </w:r>
    </w:p>
    <w:p>
      <w:pPr>
        <w:pStyle w:val="FirstParagraph"/>
        <w:spacing w:line="360" w:lineRule="auto"/>
        <w:jc w:val="both"/>
      </w:pPr>
      <w:r>
        <w:t xml:space="preserve">La interpretabilidad en aprendizaje automático no surge como una preocupación</w:t>
      </w:r>
      <w:r>
        <w:t xml:space="preserve"> </w:t>
      </w:r>
      <w:r>
        <w:t xml:space="preserve">posterior a los modelos modernos, sino como una condición histórica de muchos</w:t>
      </w:r>
      <w:r>
        <w:t xml:space="preserve"> </w:t>
      </w:r>
      <w:r>
        <w:t xml:space="preserve">modelos estadísticos y simbólicos. La regresión lineal, los árboles de decisión</w:t>
      </w:r>
      <w:r>
        <w:t xml:space="preserve"> </w:t>
      </w:r>
      <w:r>
        <w:t xml:space="preserve">pequeños, los sistemas basados en reglas y algunos modelos aditivos permiten</w:t>
      </w:r>
      <w:r>
        <w:t xml:space="preserve"> </w:t>
      </w:r>
      <w:r>
        <w:t xml:space="preserve">inspeccionar directamente los parámetros, reglas o relaciones que conducen a una</w:t>
      </w:r>
      <w:r>
        <w:t xml:space="preserve"> </w:t>
      </w:r>
      <w:r>
        <w:t xml:space="preserve">predicción. En estos casos, la transparencia forma parte de la arquitectura del</w:t>
      </w:r>
      <w:r>
        <w:t xml:space="preserve"> </w:t>
      </w:r>
      <w:r>
        <w:t xml:space="preserve">modelo: el analista puede seguir el mecanismo inferencial sin construir un</w:t>
      </w:r>
      <w:r>
        <w:t xml:space="preserve"> </w:t>
      </w:r>
      <w:r>
        <w:t xml:space="preserve">artefacto explicativo externo. Esta tradición se asocia con modelos</w:t>
      </w:r>
      <w:r>
        <w:t xml:space="preserve"> </w:t>
      </w:r>
      <w:r>
        <w:t xml:space="preserve">intrínsecamente interpretables</w:t>
      </w:r>
      <w:r>
        <w:t xml:space="preserve"> </w:t>
      </w:r>
      <w:r>
        <w:t xml:space="preserve">(Lipton 2018; Arrieta 2019a)</w:t>
      </w:r>
      <w:r>
        <w:t xml:space="preserve">.</w:t>
      </w:r>
    </w:p>
    <w:p>
      <w:pPr>
        <w:pStyle w:val="Textoindependiente"/>
        <w:spacing w:line="360" w:lineRule="auto"/>
        <w:jc w:val="both"/>
      </w:pPr>
      <w:r>
        <w:t xml:space="preserve">El punto doctoralmente relevante es que la interpretabilidad inicial estaba</w:t>
      </w:r>
      <w:r>
        <w:t xml:space="preserve"> </w:t>
      </w:r>
      <w:r>
        <w:t xml:space="preserve">ligada a una relación directa entre representación, inferencia y comunicación.</w:t>
      </w:r>
      <w:r>
        <w:t xml:space="preserve"> </w:t>
      </w:r>
      <w:r>
        <w:t xml:space="preserve">Cuando un modelo lineal asigna coeficientes a variables observables, la</w:t>
      </w:r>
      <w:r>
        <w:t xml:space="preserve"> </w:t>
      </w:r>
      <w:r>
        <w:t xml:space="preserve">explicación puede apoyarse en el mismo lenguaje que el modelo utiliza para</w:t>
      </w:r>
      <w:r>
        <w:t xml:space="preserve"> </w:t>
      </w:r>
      <w:r>
        <w:t xml:space="preserve">predecir. Cuando un árbol de decisión pequeño separa casos mediante reglas, el</w:t>
      </w:r>
      <w:r>
        <w:t xml:space="preserve"> </w:t>
      </w:r>
      <w:r>
        <w:t xml:space="preserve">camino desde la raíz hasta una hoja puede funcionar como una narración de la</w:t>
      </w:r>
      <w:r>
        <w:t xml:space="preserve"> </w:t>
      </w:r>
      <w:r>
        <w:t xml:space="preserve">decisión. Esta cercanía entre mecanismo y explicación reduce la necesidad de un</w:t>
      </w:r>
      <w:r>
        <w:t xml:space="preserve"> </w:t>
      </w:r>
      <w:r>
        <w:t xml:space="preserve">segundo artefacto interpretativo. Sin embargo, también limita la clase de</w:t>
      </w:r>
      <w:r>
        <w:t xml:space="preserve"> </w:t>
      </w:r>
      <w:r>
        <w:t xml:space="preserve">patrones que el modelo puede capturar. La historia de la XAI se entiende mejor</w:t>
      </w:r>
      <w:r>
        <w:t xml:space="preserve"> </w:t>
      </w:r>
      <w:r>
        <w:t xml:space="preserve">como una tensión continua entre expresividad predictiva, transparencia</w:t>
      </w:r>
      <w:r>
        <w:t xml:space="preserve"> </w:t>
      </w:r>
      <w:r>
        <w:t xml:space="preserve">estructural y utilidad humana</w:t>
      </w:r>
      <w:r>
        <w:t xml:space="preserve"> </w:t>
      </w:r>
      <w:r>
        <w:t xml:space="preserve">(Arrieta 2019a; Lipton 2018)</w:t>
      </w:r>
      <w:r>
        <w:t xml:space="preserve">.</w:t>
      </w:r>
    </w:p>
    <w:p>
      <w:pPr>
        <w:pStyle w:val="Textoindependiente"/>
        <w:spacing w:line="360" w:lineRule="auto"/>
        <w:jc w:val="both"/>
      </w:pPr>
      <w:r>
        <w:t xml:space="preserve">El desplazamiento hacia modelos de mayor capacidad predictiva modificó este</w:t>
      </w:r>
      <w:r>
        <w:t xml:space="preserve"> </w:t>
      </w:r>
      <w:r>
        <w:t xml:space="preserve">equilibrio. Los ensambles, los métodos kernel, las redes neuronales profundas y</w:t>
      </w:r>
      <w:r>
        <w:t xml:space="preserve"> </w:t>
      </w:r>
      <w:r>
        <w:t xml:space="preserve">otros modelos de alta dimensionalidad aumentaron la precisión en tareas</w:t>
      </w:r>
      <w:r>
        <w:t xml:space="preserve"> </w:t>
      </w:r>
      <w:r>
        <w:t xml:space="preserve">complejas, pero hicieron menos accesible la lógica interna de decisión. La</w:t>
      </w:r>
      <w:r>
        <w:t xml:space="preserve"> </w:t>
      </w:r>
      <w:r>
        <w:t xml:space="preserve">opacidad no implica necesariamente ausencia de estructura; implica que la</w:t>
      </w:r>
      <w:r>
        <w:t xml:space="preserve"> </w:t>
      </w:r>
      <w:r>
        <w:t xml:space="preserve">estructura aprendida no se presenta en una forma cognitivamente manejable para</w:t>
      </w:r>
      <w:r>
        <w:t xml:space="preserve"> </w:t>
      </w:r>
      <w:r>
        <w:t xml:space="preserve">un humano. Esta tensión entre rendimiento y comprensibilidad aparece de forma</w:t>
      </w:r>
      <w:r>
        <w:t xml:space="preserve"> </w:t>
      </w:r>
      <w:r>
        <w:t xml:space="preserve">recurrente en revisiones de XAI e interpretabilidad</w:t>
      </w:r>
      <w:r>
        <w:t xml:space="preserve"> </w:t>
      </w:r>
      <w:r>
        <w:t xml:space="preserve">(Arrieta 2019a; Linardatos 2020; Canha et al. 2025)</w:t>
      </w:r>
      <w:r>
        <w:t xml:space="preserve">.</w:t>
      </w:r>
    </w:p>
    <w:p>
      <w:pPr>
        <w:pStyle w:val="Textoindependiente"/>
        <w:spacing w:line="360" w:lineRule="auto"/>
        <w:jc w:val="both"/>
      </w:pPr>
      <w:r>
        <w:t xml:space="preserve">Este desplazamiento no debe interpretarse como una oposición simple entre</w:t>
      </w:r>
      <w:r>
        <w:t xml:space="preserve"> </w:t>
      </w:r>
      <w:r>
        <w:t xml:space="preserve">modelos</w:t>
      </w:r>
      <w:r>
        <w:t xml:space="preserve"> </w:t>
      </w:r>
      <w:r>
        <w:t xml:space="preserve">“buenos pero opacos”</w:t>
      </w:r>
      <w:r>
        <w:t xml:space="preserve"> </w:t>
      </w:r>
      <w:r>
        <w:t xml:space="preserve">y modelos</w:t>
      </w:r>
      <w:r>
        <w:t xml:space="preserve"> </w:t>
      </w:r>
      <w:r>
        <w:t xml:space="preserve">“malos pero transparentes”</w:t>
      </w:r>
      <w:r>
        <w:t xml:space="preserve">. La literatura</w:t>
      </w:r>
      <w:r>
        <w:t xml:space="preserve"> </w:t>
      </w:r>
      <w:r>
        <w:t xml:space="preserve">crítica ha mostrado que la interpretabilidad es una noción plural: puede</w:t>
      </w:r>
      <w:r>
        <w:t xml:space="preserve"> </w:t>
      </w:r>
      <w:r>
        <w:t xml:space="preserve">referirse a simulabilidad, descomponibilidad, transparencia algorítmica,</w:t>
      </w:r>
      <w:r>
        <w:t xml:space="preserve"> </w:t>
      </w:r>
      <w:r>
        <w:t xml:space="preserve">explicaciones locales, explicaciones globales, visualizaciones, reglas,</w:t>
      </w:r>
      <w:r>
        <w:t xml:space="preserve"> </w:t>
      </w:r>
      <w:r>
        <w:t xml:space="preserve">atribuciones o ejemplos contrafactuales</w:t>
      </w:r>
      <w:r>
        <w:t xml:space="preserve"> </w:t>
      </w:r>
      <w:r>
        <w:t xml:space="preserve">(Lipton 2018; Arrieta 2019a)</w:t>
      </w:r>
      <w:r>
        <w:t xml:space="preserve">. Por tanto,</w:t>
      </w:r>
      <w:r>
        <w:t xml:space="preserve"> </w:t>
      </w:r>
      <w:r>
        <w:t xml:space="preserve">un modelo no es interpretable o no interpretable en abstracto; lo es respecto a</w:t>
      </w:r>
      <w:r>
        <w:t xml:space="preserve"> </w:t>
      </w:r>
      <w:r>
        <w:t xml:space="preserve">un destinatario, una tarea, una escala de análisis y un criterio de éxito. Esta</w:t>
      </w:r>
      <w:r>
        <w:t xml:space="preserve"> </w:t>
      </w:r>
      <w:r>
        <w:t xml:space="preserve">observación será importante para FOM-7, porque impide convertir la evaluación</w:t>
      </w:r>
      <w:r>
        <w:t xml:space="preserve"> </w:t>
      </w:r>
      <w:r>
        <w:t xml:space="preserve">XAI en una competencia única donde todos los métodos se ordenan bajo una misma</w:t>
      </w:r>
      <w:r>
        <w:t xml:space="preserve"> </w:t>
      </w:r>
      <w:r>
        <w:t xml:space="preserve">noción de calidad.</w:t>
      </w:r>
    </w:p>
    <w:p>
      <w:pPr>
        <w:pStyle w:val="Textoindependiente"/>
        <w:spacing w:line="360" w:lineRule="auto"/>
        <w:jc w:val="both"/>
      </w:pPr>
      <w:r>
        <w:t xml:space="preserve">La expansión de modelos de caja negra también modificó la forma en que se</w:t>
      </w:r>
      <w:r>
        <w:t xml:space="preserve"> </w:t>
      </w:r>
      <w:r>
        <w:t xml:space="preserve">construyen responsabilidades epistémicas. En un modelo transparente, el analista</w:t>
      </w:r>
      <w:r>
        <w:t xml:space="preserve"> </w:t>
      </w:r>
      <w:r>
        <w:t xml:space="preserve">puede examinar directamente parte del mecanismo. En un modelo de caja negra, la</w:t>
      </w:r>
      <w:r>
        <w:t xml:space="preserve"> </w:t>
      </w:r>
      <w:r>
        <w:t xml:space="preserve">explicación se vuelve mediada: depende de consultas, perturbaciones, gradientes,</w:t>
      </w:r>
      <w:r>
        <w:t xml:space="preserve"> </w:t>
      </w:r>
      <w:r>
        <w:t xml:space="preserve">aproximaciones locales, reglas inducidas o contrafactuales generados. Esa</w:t>
      </w:r>
      <w:r>
        <w:t xml:space="preserve"> </w:t>
      </w:r>
      <w:r>
        <w:t xml:space="preserve">mediación introduce una pregunta adicional: no basta con saber si el predictor</w:t>
      </w:r>
      <w:r>
        <w:t xml:space="preserve"> </w:t>
      </w:r>
      <w:r>
        <w:t xml:space="preserve">funciona; debe evaluarse si el artefacto que lo explica es confiable bajo las</w:t>
      </w:r>
      <w:r>
        <w:t xml:space="preserve"> </w:t>
      </w:r>
      <w:r>
        <w:t xml:space="preserve">condiciones en que se usa. La XAI moderna nace, en buena medida, de esta</w:t>
      </w:r>
      <w:r>
        <w:t xml:space="preserve"> </w:t>
      </w:r>
      <w:r>
        <w:t xml:space="preserve">separación entre modelo predictivo y artefacto explicativo</w:t>
      </w:r>
      <w:r>
        <w:t xml:space="preserve"> </w:t>
      </w:r>
      <w:r>
        <w:t xml:space="preserve">(Linardatos 2020; Doshi-Velez 2017)</w:t>
      </w:r>
      <w:r>
        <w:t xml:space="preserve">.</w:t>
      </w:r>
    </w:p>
    <w:p>
      <w:pPr>
        <w:pStyle w:val="Textoindependiente"/>
        <w:spacing w:line="360" w:lineRule="auto"/>
        <w:jc w:val="both"/>
      </w:pPr>
      <w:r>
        <w:t xml:space="preserve">La respuesta metodológica dominante ha sido el desarrollo de explicaciones</w:t>
      </w:r>
      <w:r>
        <w:t xml:space="preserve"> </w:t>
      </w:r>
      <w:r>
        <w:t xml:space="preserve">post-hoc. En vez de exigir que el modelo predictivo sea transparente, se</w:t>
      </w:r>
      <w:r>
        <w:t xml:space="preserve"> </w:t>
      </w:r>
      <w:r>
        <w:t xml:space="preserve">construye un segundo artefacto que describe aspectos de su comportamiento. LIME</w:t>
      </w:r>
      <w:r>
        <w:t xml:space="preserve"> </w:t>
      </w:r>
      <w:r>
        <w:t xml:space="preserve">aproxima localmente la frontera de decisión mediante modelos sustitutos</w:t>
      </w:r>
      <w:r>
        <w:t xml:space="preserve"> </w:t>
      </w:r>
      <w:r>
        <w:t xml:space="preserve">simples</w:t>
      </w:r>
      <w:r>
        <w:t xml:space="preserve"> </w:t>
      </w:r>
      <w:r>
        <w:t xml:space="preserve">(Ribeiro 2016)</w:t>
      </w:r>
      <w:r>
        <w:t xml:space="preserve">. SHAP interpreta predicciones mediante atribuciones</w:t>
      </w:r>
      <w:r>
        <w:t xml:space="preserve"> </w:t>
      </w:r>
      <w:r>
        <w:t xml:space="preserve">aditivas inspiradas en el valor de Shapley</w:t>
      </w:r>
      <w:r>
        <w:t xml:space="preserve"> </w:t>
      </w:r>
      <w:r>
        <w:t xml:space="preserve">(Lundberg 2017)</w:t>
      </w:r>
      <w:r>
        <w:t xml:space="preserve">. Anchors produce</w:t>
      </w:r>
      <w:r>
        <w:t xml:space="preserve"> </w:t>
      </w:r>
      <w:r>
        <w:t xml:space="preserve">reglas de alta precisión que buscan condiciones suficientes para una predicción</w:t>
      </w:r>
      <w:r>
        <w:t xml:space="preserve"> </w:t>
      </w:r>
      <w:r>
        <w:t xml:space="preserve">local</w:t>
      </w:r>
      <w:r>
        <w:t xml:space="preserve"> </w:t>
      </w:r>
      <w:r>
        <w:t xml:space="preserve">(Ribeiro 2018)</w:t>
      </w:r>
      <w:r>
        <w:t xml:space="preserve">. DiCE desplaza el foco hacia explicaciones</w:t>
      </w:r>
      <w:r>
        <w:t xml:space="preserve"> </w:t>
      </w:r>
      <w:r>
        <w:t xml:space="preserve">contrafactuales: cambios alternativos que permitirían obtener una decisión</w:t>
      </w:r>
      <w:r>
        <w:t xml:space="preserve"> </w:t>
      </w:r>
      <w:r>
        <w:t xml:space="preserve">diferente</w:t>
      </w:r>
      <w:r>
        <w:t xml:space="preserve"> </w:t>
      </w:r>
      <w:r>
        <w:t xml:space="preserve">(Mothilal 2020)</w:t>
      </w:r>
      <w:r>
        <w:t xml:space="preserve">. Estos métodos no explican el modelo en el mismo</w:t>
      </w:r>
      <w:r>
        <w:t xml:space="preserve"> </w:t>
      </w:r>
      <w:r>
        <w:t xml:space="preserve">sentido; producen objetos explicativos distintos, con supuestos y criterios de</w:t>
      </w:r>
      <w:r>
        <w:t xml:space="preserve"> </w:t>
      </w:r>
      <w:r>
        <w:t xml:space="preserve">evaluación diferentes.</w:t>
      </w:r>
    </w:p>
    <w:p>
      <w:pPr>
        <w:pStyle w:val="Textoindependiente"/>
        <w:spacing w:line="360" w:lineRule="auto"/>
        <w:jc w:val="both"/>
      </w:pPr>
      <w:r>
        <w:t xml:space="preserve">La categoría post-hoc, sin embargo, cubre familias heterogéneas. Las</w:t>
      </w:r>
      <w:r>
        <w:t xml:space="preserve"> </w:t>
      </w:r>
      <w:r>
        <w:t xml:space="preserve">atribuciones asignan importancia a características; las reglas buscan</w:t>
      </w:r>
      <w:r>
        <w:t xml:space="preserve"> </w:t>
      </w:r>
      <w:r>
        <w:t xml:space="preserve">condiciones suficientes o patrones comprensibles; los sustitutos locales</w:t>
      </w:r>
      <w:r>
        <w:t xml:space="preserve"> </w:t>
      </w:r>
      <w:r>
        <w:t xml:space="preserve">aproximan el comportamiento del modelo en un vecindario; los contrafactuales</w:t>
      </w:r>
      <w:r>
        <w:t xml:space="preserve"> </w:t>
      </w:r>
      <w:r>
        <w:t xml:space="preserve">describen alternativas que cambiarían una decisión; las visualizaciones</w:t>
      </w:r>
      <w:r>
        <w:t xml:space="preserve"> </w:t>
      </w:r>
      <w:r>
        <w:t xml:space="preserve">representan patrones agregados o activaciones. Esta pluralidad es una fortaleza</w:t>
      </w:r>
      <w:r>
        <w:t xml:space="preserve"> </w:t>
      </w:r>
      <w:r>
        <w:t xml:space="preserve">del campo, porque permite adaptar la explicación a objetivos distintos. Pero</w:t>
      </w:r>
      <w:r>
        <w:t xml:space="preserve"> </w:t>
      </w:r>
      <w:r>
        <w:t xml:space="preserve">también es una fuente de dificultad evaluativa: una métrica apropiada para</w:t>
      </w:r>
      <w:r>
        <w:t xml:space="preserve"> </w:t>
      </w:r>
      <w:r>
        <w:t xml:space="preserve">atribuciones no necesariamente evalúa bien reglas, y una métrica orientada a</w:t>
      </w:r>
      <w:r>
        <w:t xml:space="preserve"> </w:t>
      </w:r>
      <w:r>
        <w:t xml:space="preserve">validez contrafactual no necesariamente mide fidelidad local de un sustituto</w:t>
      </w:r>
      <w:r>
        <w:t xml:space="preserve"> </w:t>
      </w:r>
      <w:r>
        <w:t xml:space="preserve">(Arrieta 2019a; Hedström et al. 2023)</w:t>
      </w:r>
      <w:r>
        <w:t xml:space="preserve">.</w:t>
      </w:r>
    </w:p>
    <w:p>
      <w:pPr>
        <w:pStyle w:val="Textoindependiente"/>
        <w:spacing w:line="360" w:lineRule="auto"/>
        <w:jc w:val="both"/>
      </w:pPr>
      <w:r>
        <w:t xml:space="preserve">La literatura también distingue métodos agnósticos y específicos del modelo</w:t>
      </w:r>
      <w:r>
        <w:t xml:space="preserve"> </w:t>
      </w:r>
      <w:r>
        <w:t xml:space="preserve">(Arrieta 2019a; Linardatos 2020)</w:t>
      </w:r>
      <w:r>
        <w:t xml:space="preserve">. Los métodos agnósticos tratan al predictor</w:t>
      </w:r>
      <w:r>
        <w:t xml:space="preserve"> </w:t>
      </w:r>
      <w:r>
        <w:t xml:space="preserve">como una caja negra y solo requieren consultar entradas y salidas. Esta</w:t>
      </w:r>
      <w:r>
        <w:t xml:space="preserve"> </w:t>
      </w:r>
      <w:r>
        <w:t xml:space="preserve">propiedad permite aplicar un mismo explicador a diversos clasificadores, pero</w:t>
      </w:r>
      <w:r>
        <w:t xml:space="preserve"> </w:t>
      </w:r>
      <w:r>
        <w:t xml:space="preserve">introduce riesgos: el explicador puede capturar regularidades de las consultas</w:t>
      </w:r>
      <w:r>
        <w:t xml:space="preserve"> </w:t>
      </w:r>
      <w:r>
        <w:t xml:space="preserve">realizadas, no necesariamente el mecanismo interno del modelo. Los métodos</w:t>
      </w:r>
      <w:r>
        <w:t xml:space="preserve"> </w:t>
      </w:r>
      <w:r>
        <w:t xml:space="preserve">específicos aprovechan propiedades internas de familias concretas de modelos,</w:t>
      </w:r>
      <w:r>
        <w:t xml:space="preserve"> </w:t>
      </w:r>
      <w:r>
        <w:t xml:space="preserve">por ejemplo estructuras de árboles o gradientes en redes neuronales. La tensión</w:t>
      </w:r>
      <w:r>
        <w:t xml:space="preserve"> </w:t>
      </w:r>
      <w:r>
        <w:t xml:space="preserve">entre generalidad y fidelidad es una de las razones por las que la evaluación</w:t>
      </w:r>
      <w:r>
        <w:t xml:space="preserve"> </w:t>
      </w:r>
      <w:r>
        <w:t xml:space="preserve">XAI no puede reducirse a una sola métrica</w:t>
      </w:r>
      <w:r>
        <w:t xml:space="preserve"> </w:t>
      </w:r>
      <w:r>
        <w:t xml:space="preserve">(Doshi-Velez 2017; Hedström et al. 2023)</w:t>
      </w:r>
      <w:r>
        <w:t xml:space="preserve">.</w:t>
      </w:r>
    </w:p>
    <w:p>
      <w:pPr>
        <w:pStyle w:val="Textoindependiente"/>
        <w:spacing w:line="360" w:lineRule="auto"/>
        <w:jc w:val="both"/>
      </w:pPr>
      <w:r>
        <w:t xml:space="preserve">Esta distinción histórica es especialmente importante para la tesis porque los</w:t>
      </w:r>
      <w:r>
        <w:t xml:space="preserve"> </w:t>
      </w:r>
      <w:r>
        <w:t xml:space="preserve">métodos agnósticos suelen ganar en portabilidad experimental. Un mismo pipeline</w:t>
      </w:r>
      <w:r>
        <w:t xml:space="preserve"> </w:t>
      </w:r>
      <w:r>
        <w:t xml:space="preserve">puede aplicarse a clasificadores distintos, lo que facilita el benchmarking.</w:t>
      </w:r>
      <w:r>
        <w:t xml:space="preserve"> </w:t>
      </w:r>
      <w:r>
        <w:t xml:space="preserve">Pero esa portabilidad no elimina la necesidad de controles: si el explicador</w:t>
      </w:r>
      <w:r>
        <w:t xml:space="preserve"> </w:t>
      </w:r>
      <w:r>
        <w:t xml:space="preserve">solo observa entradas y salidas, su conocimiento del modelo es indirecto y</w:t>
      </w:r>
      <w:r>
        <w:t xml:space="preserve"> </w:t>
      </w:r>
      <w:r>
        <w:t xml:space="preserve">dependiente de la muestra consultada. En cambio, los métodos específicos pueden</w:t>
      </w:r>
      <w:r>
        <w:t xml:space="preserve"> </w:t>
      </w:r>
      <w:r>
        <w:t xml:space="preserve">explotar información interna para mejorar eficiencia o precisión, aunque pagan</w:t>
      </w:r>
      <w:r>
        <w:t xml:space="preserve"> </w:t>
      </w:r>
      <w:r>
        <w:t xml:space="preserve">el precio de una menor generalidad. FOM-7 debe mantener visible esta relación:</w:t>
      </w:r>
      <w:r>
        <w:t xml:space="preserve"> </w:t>
      </w:r>
      <w:r>
        <w:t xml:space="preserve">no comparar solamente valores métricos, sino interpretar esos valores según el</w:t>
      </w:r>
      <w:r>
        <w:t xml:space="preserve"> </w:t>
      </w:r>
      <w:r>
        <w:t xml:space="preserve">tipo de acceso que cada explicador tiene al modelo</w:t>
      </w:r>
      <w:r>
        <w:t xml:space="preserve"> </w:t>
      </w:r>
      <w:r>
        <w:t xml:space="preserve">(Arrieta 2019a; Linardatos 2020)</w:t>
      </w:r>
      <w:r>
        <w:t xml:space="preserve">.</w:t>
      </w:r>
    </w:p>
    <w:p>
      <w:pPr>
        <w:pStyle w:val="Textoindependiente"/>
        <w:spacing w:line="360" w:lineRule="auto"/>
        <w:jc w:val="both"/>
      </w:pPr>
      <w:r>
        <w:t xml:space="preserve">Otra distinción histórica relevante es la diferencia entre explicaciones</w:t>
      </w:r>
      <w:r>
        <w:t xml:space="preserve"> </w:t>
      </w:r>
      <w:r>
        <w:t xml:space="preserve">locales y globales</w:t>
      </w:r>
      <w:r>
        <w:t xml:space="preserve"> </w:t>
      </w:r>
      <w:r>
        <w:t xml:space="preserve">(Arrieta 2019a; Linardatos 2020)</w:t>
      </w:r>
      <w:r>
        <w:t xml:space="preserve">. Una explicación local</w:t>
      </w:r>
      <w:r>
        <w:t xml:space="preserve"> </w:t>
      </w:r>
      <w:r>
        <w:t xml:space="preserve">describe el comportamiento del modelo alrededor de una instancia o decisión</w:t>
      </w:r>
      <w:r>
        <w:t xml:space="preserve"> </w:t>
      </w:r>
      <w:r>
        <w:t xml:space="preserve">particular. Una explicación global intenta describir patrones generales del</w:t>
      </w:r>
      <w:r>
        <w:t xml:space="preserve"> </w:t>
      </w:r>
      <w:r>
        <w:t xml:space="preserve">modelo en el dominio completo o en regiones amplias del espacio de entrada.</w:t>
      </w:r>
      <w:r>
        <w:t xml:space="preserve"> </w:t>
      </w:r>
      <w:r>
        <w:t xml:space="preserve">LIME, SHAP y Anchors suelen emplearse en configuraciones locales, aunque pueden</w:t>
      </w:r>
      <w:r>
        <w:t xml:space="preserve"> </w:t>
      </w:r>
      <w:r>
        <w:t xml:space="preserve">agregarse para obtener resúmenes globales</w:t>
      </w:r>
      <w:r>
        <w:t xml:space="preserve"> </w:t>
      </w:r>
      <w:r>
        <w:t xml:space="preserve">(Ribeiro 2016, 2018; Lundberg 2017)</w:t>
      </w:r>
      <w:r>
        <w:t xml:space="preserve">. Esta agregación, sin embargo, no elimina el problema conceptual:</w:t>
      </w:r>
      <w:r>
        <w:t xml:space="preserve"> </w:t>
      </w:r>
      <w:r>
        <w:t xml:space="preserve">una colección de explicaciones locales no equivale automáticamente a una teoría</w:t>
      </w:r>
      <w:r>
        <w:t xml:space="preserve"> </w:t>
      </w:r>
      <w:r>
        <w:t xml:space="preserve">global del modelo.</w:t>
      </w:r>
    </w:p>
    <w:p>
      <w:pPr>
        <w:pStyle w:val="Textoindependiente"/>
        <w:spacing w:line="360" w:lineRule="auto"/>
        <w:jc w:val="both"/>
      </w:pPr>
      <w:r>
        <w:t xml:space="preserve">El nivel local resulta atractivo porque muchas decisiones de alto impacto se</w:t>
      </w:r>
      <w:r>
        <w:t xml:space="preserve"> </w:t>
      </w:r>
      <w:r>
        <w:t xml:space="preserve">formulan caso por caso: por qué se rechazó una solicitud, por qué una instancia</w:t>
      </w:r>
      <w:r>
        <w:t xml:space="preserve"> </w:t>
      </w:r>
      <w:r>
        <w:t xml:space="preserve">fue clasificada como riesgosa, por qué un modelo asignó una etiqueta. Sin</w:t>
      </w:r>
      <w:r>
        <w:t xml:space="preserve"> </w:t>
      </w:r>
      <w:r>
        <w:t xml:space="preserve">embargo, una explicación local tiene un alcance limitado por definición. Puede</w:t>
      </w:r>
      <w:r>
        <w:t xml:space="preserve"> </w:t>
      </w:r>
      <w:r>
        <w:t xml:space="preserve">ser válida alrededor de una instancia y no describir otras regiones del espacio</w:t>
      </w:r>
      <w:r>
        <w:t xml:space="preserve"> </w:t>
      </w:r>
      <w:r>
        <w:t xml:space="preserve">de datos. La explicación global, por su parte, promete una visión más amplia,</w:t>
      </w:r>
      <w:r>
        <w:t xml:space="preserve"> </w:t>
      </w:r>
      <w:r>
        <w:t xml:space="preserve">pero puede ocultar heterogeneidad local o subgrupos con comportamientos</w:t>
      </w:r>
      <w:r>
        <w:t xml:space="preserve"> </w:t>
      </w:r>
      <w:r>
        <w:t xml:space="preserve">distintos. Este problema conecta directamente con la trazabilidad de claims: una</w:t>
      </w:r>
      <w:r>
        <w:t xml:space="preserve"> </w:t>
      </w:r>
      <w:r>
        <w:t xml:space="preserve">afirmación local no debe presentarse como global, y una tendencia global no debe</w:t>
      </w:r>
      <w:r>
        <w:t xml:space="preserve"> </w:t>
      </w:r>
      <w:r>
        <w:t xml:space="preserve">usarse para justificar decisiones individuales sin evidencia adicional</w:t>
      </w:r>
      <w:r>
        <w:t xml:space="preserve"> </w:t>
      </w:r>
      <w:r>
        <w:t xml:space="preserve">(Doshi-Velez 2017; Hedström et al. 2023)</w:t>
      </w:r>
      <w:r>
        <w:t xml:space="preserve">.</w:t>
      </w:r>
    </w:p>
    <w:p>
      <w:pPr>
        <w:pStyle w:val="Textoindependiente"/>
        <w:spacing w:line="360" w:lineRule="auto"/>
        <w:jc w:val="both"/>
      </w:pPr>
      <w:r>
        <w:t xml:space="preserve">Finalmente, el campo ha incorporado una orientación human-centered. La pregunta</w:t>
      </w:r>
      <w:r>
        <w:t xml:space="preserve"> </w:t>
      </w:r>
      <w:r>
        <w:t xml:space="preserve">ya no es solo si una explicación se parece al comportamiento del modelo, sino si</w:t>
      </w:r>
      <w:r>
        <w:t xml:space="preserve"> </w:t>
      </w:r>
      <w:r>
        <w:t xml:space="preserve">apoya una tarea humana concreta sin inducir confianza injustificada. Esta</w:t>
      </w:r>
      <w:r>
        <w:t xml:space="preserve"> </w:t>
      </w:r>
      <w:r>
        <w:t xml:space="preserve">perspectiva enfatiza destinatarios, contexto de uso, carga cognitiva,</w:t>
      </w:r>
      <w:r>
        <w:t xml:space="preserve"> </w:t>
      </w:r>
      <w:r>
        <w:t xml:space="preserve">calibración de confianza y utilidad para la toma de decisiones</w:t>
      </w:r>
      <w:r>
        <w:t xml:space="preserve"> </w:t>
      </w:r>
      <w:r>
        <w:t xml:space="preserve">(Hoffman et al. 2023; Mohseni et al. 2021)</w:t>
      </w:r>
      <w:r>
        <w:t xml:space="preserve">. Para esta tesis, esta evolución histórica es clave: FOM-7 no se</w:t>
      </w:r>
      <w:r>
        <w:t xml:space="preserve"> </w:t>
      </w:r>
      <w:r>
        <w:t xml:space="preserve">justifica por la ausencia de explicaciones, sino por la necesidad de evaluar</w:t>
      </w:r>
      <w:r>
        <w:t xml:space="preserve"> </w:t>
      </w:r>
      <w:r>
        <w:t xml:space="preserve">explicaciones como artefactos técnicos, estadísticos y comunicables.</w:t>
      </w:r>
    </w:p>
    <w:p>
      <w:pPr>
        <w:pStyle w:val="Textoindependiente"/>
        <w:spacing w:line="360" w:lineRule="auto"/>
        <w:jc w:val="both"/>
      </w:pPr>
      <w:r>
        <w:t xml:space="preserve">La orientación human-centered introduce una corrección necesaria al entusiasmo</w:t>
      </w:r>
      <w:r>
        <w:t xml:space="preserve"> </w:t>
      </w:r>
      <w:r>
        <w:t xml:space="preserve">puramente algorítmico. Una explicación no circula en el vacío: aparece en una</w:t>
      </w:r>
      <w:r>
        <w:t xml:space="preserve"> </w:t>
      </w:r>
      <w:r>
        <w:t xml:space="preserve">interfaz, ante un usuario con objetivos concretos, bajo restricciones de tiempo,</w:t>
      </w:r>
      <w:r>
        <w:t xml:space="preserve"> </w:t>
      </w:r>
      <w:r>
        <w:t xml:space="preserve">con ciertos conocimientos previos y con riesgos de confianza excesiva o</w:t>
      </w:r>
      <w:r>
        <w:t xml:space="preserve"> </w:t>
      </w:r>
      <w:r>
        <w:t xml:space="preserve">desconfianza injustificada.</w:t>
      </w:r>
      <w:r>
        <w:t xml:space="preserve"> </w:t>
      </w:r>
      <w:r>
        <w:t xml:space="preserve">Mohseni et al. (2021)</w:t>
      </w:r>
      <w:r>
        <w:t xml:space="preserve"> </w:t>
      </w:r>
      <w:r>
        <w:t xml:space="preserve">proponen pensar el diseño y la</w:t>
      </w:r>
      <w:r>
        <w:t xml:space="preserve"> </w:t>
      </w:r>
      <w:r>
        <w:t xml:space="preserve">evaluación de XAI como una relación entre objetivos, grupos de usuarios y</w:t>
      </w:r>
      <w:r>
        <w:t xml:space="preserve"> </w:t>
      </w:r>
      <w:r>
        <w:t xml:space="preserve">métodos de evaluación.</w:t>
      </w:r>
      <w:r>
        <w:t xml:space="preserve"> </w:t>
      </w:r>
      <w:r>
        <w:t xml:space="preserve">Hoffman et al. (2023)</w:t>
      </w:r>
      <w:r>
        <w:t xml:space="preserve">, desde una perspectiva psicológica,</w:t>
      </w:r>
      <w:r>
        <w:t xml:space="preserve"> </w:t>
      </w:r>
      <w:r>
        <w:t xml:space="preserve">insisten en que el valor de una explicación depende de cómo apoya comprensión,</w:t>
      </w:r>
      <w:r>
        <w:t xml:space="preserve"> </w:t>
      </w:r>
      <w:r>
        <w:t xml:space="preserve">calibración y acción. Esto no convierte a la presente tesis en un estudio de</w:t>
      </w:r>
      <w:r>
        <w:t xml:space="preserve"> </w:t>
      </w:r>
      <w:r>
        <w:t xml:space="preserve">usuarios, pero sí obliga a delimitar el tipo de evidencia producida: FOM-7</w:t>
      </w:r>
      <w:r>
        <w:t xml:space="preserve"> </w:t>
      </w:r>
      <w:r>
        <w:t xml:space="preserve">evalúa propiedades técnicas y reproducibles de explicaciones post-hoc, y deja</w:t>
      </w:r>
      <w:r>
        <w:t xml:space="preserve"> </w:t>
      </w:r>
      <w:r>
        <w:t xml:space="preserve">claros los límites de inferir utilidad humana directa a partir de métricas</w:t>
      </w:r>
      <w:r>
        <w:t xml:space="preserve"> </w:t>
      </w:r>
      <w:r>
        <w:t xml:space="preserve">computacionales.</w:t>
      </w:r>
    </w:p>
    <w:p>
      <w:pPr>
        <w:pStyle w:val="Textoindependiente"/>
        <w:spacing w:line="360" w:lineRule="auto"/>
        <w:jc w:val="both"/>
      </w:pPr>
      <w:r>
        <w:t xml:space="preserve">Así, el desarrollo histórico de la XAI puede leerse como una serie de</w:t>
      </w:r>
      <w:r>
        <w:t xml:space="preserve"> </w:t>
      </w:r>
      <w:r>
        <w:t xml:space="preserve">desplazamientos: de transparencia intrínseca a explicación post-hoc; de modelos</w:t>
      </w:r>
      <w:r>
        <w:t xml:space="preserve"> </w:t>
      </w:r>
      <w:r>
        <w:t xml:space="preserve">simples a modelos de alta capacidad; de descripciones globales a explicaciones</w:t>
      </w:r>
      <w:r>
        <w:t xml:space="preserve"> </w:t>
      </w:r>
      <w:r>
        <w:t xml:space="preserve">locales; de evaluaciones cualitativas a toolkits métricos; y de una mirada</w:t>
      </w:r>
      <w:r>
        <w:t xml:space="preserve"> </w:t>
      </w:r>
      <w:r>
        <w:t xml:space="preserve">centrada en el algoritmo a una mirada que incluye usuarios, contexto y</w:t>
      </w:r>
      <w:r>
        <w:t xml:space="preserve"> </w:t>
      </w:r>
      <w:r>
        <w:t xml:space="preserve">responsabilidad. La contribución de FOM-7 se ubica después de esos</w:t>
      </w:r>
      <w:r>
        <w:t xml:space="preserve"> </w:t>
      </w:r>
      <w:r>
        <w:t xml:space="preserve">desplazamientos. No regresa nostálgicamente a modelos simples ni promete una</w:t>
      </w:r>
      <w:r>
        <w:t xml:space="preserve"> </w:t>
      </w:r>
      <w:r>
        <w:t xml:space="preserve">explicación universal. Propone gobernar la evaluación de explicaciones en un</w:t>
      </w:r>
      <w:r>
        <w:t xml:space="preserve"> </w:t>
      </w:r>
      <w:r>
        <w:t xml:space="preserve">escenario donde los objetos explicativos son plurales, los criterios son</w:t>
      </w:r>
      <w:r>
        <w:t xml:space="preserve"> </w:t>
      </w:r>
      <w:r>
        <w:t xml:space="preserve">multidimensionales y las conclusiones deben ser rastreables</w:t>
      </w:r>
      <w:r>
        <w:t xml:space="preserve"> </w:t>
      </w:r>
      <w:r>
        <w:t xml:space="preserve">(Doshi-Velez 2017; Hedström et al. 2023; Nauta et al. 2023)</w:t>
      </w:r>
      <w:r>
        <w:t xml:space="preserve">.</w:t>
      </w:r>
    </w:p>
    <w:bookmarkEnd w:id="45"/>
    <w:bookmarkStart w:id="46" w:name="distinciones-conceptuales-fundamentales"/>
    <w:p>
      <w:pPr>
        <w:pStyle w:val="Ttulo2"/>
        <w:spacing w:line="360" w:lineRule="auto"/>
        <w:jc w:val="both"/>
      </w:pPr>
      <w:r>
        <w:t xml:space="preserve">Distinciones conceptuales fundamentales</w:t>
      </w:r>
    </w:p>
    <w:p>
      <w:pPr>
        <w:pStyle w:val="FirstParagraph"/>
        <w:spacing w:line="360" w:lineRule="auto"/>
        <w:jc w:val="both"/>
      </w:pPr>
      <w:r>
        <w:t xml:space="preserve">La literatura XAI utiliza con frecuencia términos cercanos como</w:t>
      </w:r>
      <w:r>
        <w:t xml:space="preserve"> </w:t>
      </w:r>
      <w:r>
        <w:t xml:space="preserve">interpretabilidad, explicabilidad, transparencia, fidelidad, plausibilidad,</w:t>
      </w:r>
      <w:r>
        <w:t xml:space="preserve"> </w:t>
      </w:r>
      <w:r>
        <w:t xml:space="preserve">robustez y utilidad. Sin una delimitación conceptual, estos términos pueden</w:t>
      </w:r>
      <w:r>
        <w:t xml:space="preserve"> </w:t>
      </w:r>
      <w:r>
        <w:t xml:space="preserve">producir inferencias demasiado amplias. Un resultado alto en una métrica de</w:t>
      </w:r>
      <w:r>
        <w:t xml:space="preserve"> </w:t>
      </w:r>
      <w:r>
        <w:t xml:space="preserve">estabilidad, por ejemplo, no prueba que una explicación sea causalmente correcta</w:t>
      </w:r>
      <w:r>
        <w:t xml:space="preserve"> </w:t>
      </w:r>
      <w:r>
        <w:t xml:space="preserve">ni que sea útil para un usuario experto. Por ello, la tesis adopta distinciones</w:t>
      </w:r>
      <w:r>
        <w:t xml:space="preserve"> </w:t>
      </w:r>
      <w:r>
        <w:t xml:space="preserve">operativas que protegen la validez de las afirmaciones</w:t>
      </w:r>
      <w:r>
        <w:t xml:space="preserve"> </w:t>
      </w:r>
      <w:r>
        <w:t xml:space="preserve">(Lipton 2018; Doshi-Velez 2017; Nauta et al. 2023)</w:t>
      </w:r>
      <w:r>
        <w:t xml:space="preserve">.</w:t>
      </w:r>
    </w:p>
    <w:p>
      <w:pPr>
        <w:pStyle w:val="Textoindependiente"/>
        <w:spacing w:line="360" w:lineRule="auto"/>
        <w:jc w:val="both"/>
      </w:pPr>
      <w:r>
        <w:t xml:space="preserve">Estas distinciones cumplen una función metodológica, no solamente terminológica.</w:t>
      </w:r>
      <w:r>
        <w:t xml:space="preserve"> </w:t>
      </w:r>
      <w:r>
        <w:t xml:space="preserve">En una tesis doctoral, los conceptos deben controlar el alcance de las</w:t>
      </w:r>
      <w:r>
        <w:t xml:space="preserve"> </w:t>
      </w:r>
      <w:r>
        <w:t xml:space="preserve">conclusiones. Si se afirma que un explicador es</w:t>
      </w:r>
      <w:r>
        <w:t xml:space="preserve"> </w:t>
      </w:r>
      <w:r>
        <w:t xml:space="preserve">“mejor”</w:t>
      </w:r>
      <w:r>
        <w:t xml:space="preserve">, debe indicarse mejor</w:t>
      </w:r>
      <w:r>
        <w:t xml:space="preserve"> </w:t>
      </w:r>
      <w:r>
        <w:t xml:space="preserve">respecto a qué propiedad: fidelidad, estabilidad, robustez, complejidad, coste,</w:t>
      </w:r>
      <w:r>
        <w:t xml:space="preserve"> </w:t>
      </w:r>
      <w:r>
        <w:t xml:space="preserve">accionabilidad o utilidad para un usuario. Si se afirma que una explicación es</w:t>
      </w:r>
      <w:r>
        <w:t xml:space="preserve"> </w:t>
      </w:r>
      <w:r>
        <w:t xml:space="preserve">“correcta”</w:t>
      </w:r>
      <w:r>
        <w:t xml:space="preserve">, debe aclararse si la corrección se refiere al comportamiento</w:t>
      </w:r>
      <w:r>
        <w:t xml:space="preserve"> </w:t>
      </w:r>
      <w:r>
        <w:t xml:space="preserve">observable del modelo, a una estructura causal del dominio, a la aceptabilidad</w:t>
      </w:r>
      <w:r>
        <w:t xml:space="preserve"> </w:t>
      </w:r>
      <w:r>
        <w:t xml:space="preserve">humana de la narrativa o a la consistencia con una métrica. El valor de estas</w:t>
      </w:r>
      <w:r>
        <w:t xml:space="preserve"> </w:t>
      </w:r>
      <w:r>
        <w:t xml:space="preserve">distinciones es evitar que un resultado empírico local se transforme en una</w:t>
      </w:r>
      <w:r>
        <w:t xml:space="preserve"> </w:t>
      </w:r>
      <w:r>
        <w:t xml:space="preserve">afirmación teórica excesiva</w:t>
      </w:r>
      <w:r>
        <w:t xml:space="preserve"> </w:t>
      </w:r>
      <w:r>
        <w:t xml:space="preserve">(Doshi-Velez 2017; Lipton 2018)</w:t>
      </w:r>
      <w:r>
        <w:t xml:space="preserve">.</w:t>
      </w:r>
    </w:p>
    <w:p>
      <w:pPr>
        <w:pStyle w:val="Textoindependiente"/>
        <w:spacing w:line="360" w:lineRule="auto"/>
        <w:jc w:val="both"/>
      </w:pPr>
      <w:r>
        <w:t xml:space="preserve">La primera distinción separa interpretabilidad y explicabilidad. La</w:t>
      </w:r>
      <w:r>
        <w:t xml:space="preserve"> </w:t>
      </w:r>
      <w:r>
        <w:t xml:space="preserve">interpretabilidad se asocia con la posibilidad de comprender la estructura o</w:t>
      </w:r>
      <w:r>
        <w:t xml:space="preserve"> </w:t>
      </w:r>
      <w:r>
        <w:t xml:space="preserve">mecánica de un modelo. En modelos transparentes, esta comprensión puede</w:t>
      </w:r>
      <w:r>
        <w:t xml:space="preserve"> </w:t>
      </w:r>
      <w:r>
        <w:t xml:space="preserve">derivarse directamente del objeto predictivo. La explicabilidad, en cambio,</w:t>
      </w:r>
      <w:r>
        <w:t xml:space="preserve"> </w:t>
      </w:r>
      <w:r>
        <w:t xml:space="preserve">puede entenderse como la producción de razones, artefactos o representaciones</w:t>
      </w:r>
      <w:r>
        <w:t xml:space="preserve"> </w:t>
      </w:r>
      <w:r>
        <w:t xml:space="preserve">que hacen comprensible una predicción para un destinatario.</w:t>
      </w:r>
      <w:r>
        <w:t xml:space="preserve"> </w:t>
      </w:r>
      <w:r>
        <w:t xml:space="preserve">Linardatos (2020)</w:t>
      </w:r>
      <w:r>
        <w:t xml:space="preserve"> </w:t>
      </w:r>
      <w:r>
        <w:t xml:space="preserve">presentan esta diferencia como parte del vocabulario central de los métodos de</w:t>
      </w:r>
      <w:r>
        <w:t xml:space="preserve"> </w:t>
      </w:r>
      <w:r>
        <w:t xml:space="preserve">interpretabilidad en aprendizaje automático. Para esta tesis, la distinción</w:t>
      </w:r>
      <w:r>
        <w:t xml:space="preserve"> </w:t>
      </w:r>
      <w:r>
        <w:t xml:space="preserve">permite evaluar explicadores post-hoc sin tratarlos como si fueran equivalentes</w:t>
      </w:r>
      <w:r>
        <w:t xml:space="preserve"> </w:t>
      </w:r>
      <w:r>
        <w:t xml:space="preserve">a modelos transparentes.</w:t>
      </w:r>
    </w:p>
    <w:p>
      <w:pPr>
        <w:pStyle w:val="Textoindependiente"/>
        <w:spacing w:line="360" w:lineRule="auto"/>
        <w:jc w:val="both"/>
      </w:pPr>
      <w:r>
        <w:t xml:space="preserve">La interpretabilidad puede entenderse como una propiedad relacional: algo es</w:t>
      </w:r>
      <w:r>
        <w:t xml:space="preserve"> </w:t>
      </w:r>
      <w:r>
        <w:t xml:space="preserve">interpretable para alguien, con cierto conocimiento, respecto a una tarea y en</w:t>
      </w:r>
      <w:r>
        <w:t xml:space="preserve"> </w:t>
      </w:r>
      <w:r>
        <w:t xml:space="preserve">un nivel determinado de detalle. Esta lectura coincide con advertencias críticas</w:t>
      </w:r>
      <w:r>
        <w:t xml:space="preserve"> </w:t>
      </w:r>
      <w:r>
        <w:t xml:space="preserve">de la literatura: el término</w:t>
      </w:r>
      <w:r>
        <w:t xml:space="preserve"> </w:t>
      </w:r>
      <w:r>
        <w:t xml:space="preserve">“interpretable”</w:t>
      </w:r>
      <w:r>
        <w:t xml:space="preserve"> </w:t>
      </w:r>
      <w:r>
        <w:t xml:space="preserve">puede volverse ambiguo si no se</w:t>
      </w:r>
      <w:r>
        <w:t xml:space="preserve"> </w:t>
      </w:r>
      <w:r>
        <w:t xml:space="preserve">explicita qué aspecto del sistema se vuelve comprensible</w:t>
      </w:r>
      <w:r>
        <w:t xml:space="preserve"> </w:t>
      </w:r>
      <w:r>
        <w:t xml:space="preserve">(Lipton 2018)</w:t>
      </w:r>
      <w:r>
        <w:t xml:space="preserve">. La</w:t>
      </w:r>
      <w:r>
        <w:t xml:space="preserve"> </w:t>
      </w:r>
      <w:r>
        <w:t xml:space="preserve">explicabilidad, en cambio, suele remitir al proceso de producir una explicación</w:t>
      </w:r>
      <w:r>
        <w:t xml:space="preserve"> </w:t>
      </w:r>
      <w:r>
        <w:t xml:space="preserve">utilizable. Esta tesis adopta una posición operacional: evalúa artefactos</w:t>
      </w:r>
      <w:r>
        <w:t xml:space="preserve"> </w:t>
      </w:r>
      <w:r>
        <w:t xml:space="preserve">explicativos generados por métodos concretos, no la interpretabilidad total del</w:t>
      </w:r>
      <w:r>
        <w:t xml:space="preserve"> </w:t>
      </w:r>
      <w:r>
        <w:t xml:space="preserve">sistema sociotécnico. Esa delimitación es deliberada y evita prometer más de lo</w:t>
      </w:r>
      <w:r>
        <w:t xml:space="preserve"> </w:t>
      </w:r>
      <w:r>
        <w:t xml:space="preserve">que el experimento puede sostener.</w:t>
      </w:r>
    </w:p>
    <w:p>
      <w:pPr>
        <w:pStyle w:val="Textoindependiente"/>
        <w:spacing w:line="360" w:lineRule="auto"/>
        <w:jc w:val="both"/>
      </w:pPr>
      <w:r>
        <w:t xml:space="preserve">La segunda distinción separa transparencia y explicación. Un modelo transparente</w:t>
      </w:r>
      <w:r>
        <w:t xml:space="preserve"> </w:t>
      </w:r>
      <w:r>
        <w:t xml:space="preserve">expone su lógica interna de forma relativamente directa; una explicación puede</w:t>
      </w:r>
      <w:r>
        <w:t xml:space="preserve"> </w:t>
      </w:r>
      <w:r>
        <w:t xml:space="preserve">ser una aproximación, simplificación, regla local, atribución o contrafactual</w:t>
      </w:r>
      <w:r>
        <w:t xml:space="preserve"> </w:t>
      </w:r>
      <w:r>
        <w:t xml:space="preserve">generado después de entrenar el modelo. La transparencia pertenece al modelo; la</w:t>
      </w:r>
      <w:r>
        <w:t xml:space="preserve"> </w:t>
      </w:r>
      <w:r>
        <w:t xml:space="preserve">explicación pertenece al ecosistema de interpretación. Esta diferencia es</w:t>
      </w:r>
      <w:r>
        <w:t xml:space="preserve"> </w:t>
      </w:r>
      <w:r>
        <w:t xml:space="preserve">importante porque una explicación puede ser comprensible y aun así no reflejar</w:t>
      </w:r>
      <w:r>
        <w:t xml:space="preserve"> </w:t>
      </w:r>
      <w:r>
        <w:t xml:space="preserve">con precisión el mecanismo decisional</w:t>
      </w:r>
      <w:r>
        <w:t xml:space="preserve"> </w:t>
      </w:r>
      <w:r>
        <w:t xml:space="preserve">(Arrieta 2019a; Linardatos 2020)</w:t>
      </w:r>
      <w:r>
        <w:t xml:space="preserve">.</w:t>
      </w:r>
    </w:p>
    <w:p>
      <w:pPr>
        <w:pStyle w:val="Textoindependiente"/>
        <w:spacing w:line="360" w:lineRule="auto"/>
        <w:jc w:val="both"/>
      </w:pPr>
      <w:r>
        <w:t xml:space="preserve">La transparencia tampoco es un valor absoluto. Un modelo puede ser transparente</w:t>
      </w:r>
      <w:r>
        <w:t xml:space="preserve"> </w:t>
      </w:r>
      <w:r>
        <w:t xml:space="preserve">en su forma matemática y aun así difícil de comprender si contiene miles de</w:t>
      </w:r>
      <w:r>
        <w:t xml:space="preserve"> </w:t>
      </w:r>
      <w:r>
        <w:t xml:space="preserve">variables, interacciones o reglas. De forma inversa, una explicación post-hoc</w:t>
      </w:r>
      <w:r>
        <w:t xml:space="preserve"> </w:t>
      </w:r>
      <w:r>
        <w:t xml:space="preserve">puede ser muy legible y, sin embargo, alejarse del mecanismo real. La</w:t>
      </w:r>
      <w:r>
        <w:t xml:space="preserve"> </w:t>
      </w:r>
      <w:r>
        <w:t xml:space="preserve">transparencia se refiere a la accesibilidad del objeto predictivo; la</w:t>
      </w:r>
      <w:r>
        <w:t xml:space="preserve"> </w:t>
      </w:r>
      <w:r>
        <w:t xml:space="preserve">explicación se refiere al artefacto construido para hacerlo inteligible. Esta</w:t>
      </w:r>
      <w:r>
        <w:t xml:space="preserve"> </w:t>
      </w:r>
      <w:r>
        <w:t xml:space="preserve">diferencia tiene consecuencias para el benchmarking: no se debe evaluar una</w:t>
      </w:r>
      <w:r>
        <w:t xml:space="preserve"> </w:t>
      </w:r>
      <w:r>
        <w:t xml:space="preserve">explicación post-hoc como si ofreciera acceso directo al interior del modelo,</w:t>
      </w:r>
      <w:r>
        <w:t xml:space="preserve"> </w:t>
      </w:r>
      <w:r>
        <w:t xml:space="preserve">sino como una representación cuya fidelidad y estabilidad deben probarse bajo</w:t>
      </w:r>
      <w:r>
        <w:t xml:space="preserve"> </w:t>
      </w:r>
      <w:r>
        <w:t xml:space="preserve">condiciones específicas</w:t>
      </w:r>
      <w:r>
        <w:t xml:space="preserve"> </w:t>
      </w:r>
      <w:r>
        <w:t xml:space="preserve">(Arrieta 2019a; Linardatos 2020)</w:t>
      </w:r>
      <w:r>
        <w:t xml:space="preserve">.</w:t>
      </w:r>
    </w:p>
    <w:p>
      <w:pPr>
        <w:pStyle w:val="Textoindependiente"/>
        <w:spacing w:line="360" w:lineRule="auto"/>
        <w:jc w:val="both"/>
      </w:pPr>
      <w:r>
        <w:t xml:space="preserve">La tercera distinción separa fidelidad y faithfulness. En esta tesis,</w:t>
      </w:r>
      <w:r>
        <w:t xml:space="preserve"> </w:t>
      </w:r>
      <w:r>
        <w:t xml:space="preserve">fidelidad se refiere al grado en que el artefacto explicativo reproduce o</w:t>
      </w:r>
      <w:r>
        <w:t xml:space="preserve"> </w:t>
      </w:r>
      <w:r>
        <w:t xml:space="preserve">aproxima el comportamiento observable del modelo bajo condiciones definidas. La</w:t>
      </w:r>
      <w:r>
        <w:t xml:space="preserve"> </w:t>
      </w:r>
      <w:r>
        <w:t xml:space="preserve">faithfulness, o fehaciencia, apunta a una exigencia más fuerte: que la</w:t>
      </w:r>
      <w:r>
        <w:t xml:space="preserve"> </w:t>
      </w:r>
      <w:r>
        <w:t xml:space="preserve">explicación represente aspectos relevantes del verdadero proceso decisional. Una</w:t>
      </w:r>
      <w:r>
        <w:t xml:space="preserve"> </w:t>
      </w:r>
      <w:r>
        <w:t xml:space="preserve">explicación puede tener alta fidelidad local en un vecindario muestreado y aún</w:t>
      </w:r>
      <w:r>
        <w:t xml:space="preserve"> </w:t>
      </w:r>
      <w:r>
        <w:t xml:space="preserve">así no capturar la lógica que el modelo utiliza en regiones no observadas o ante</w:t>
      </w:r>
      <w:r>
        <w:t xml:space="preserve"> </w:t>
      </w:r>
      <w:r>
        <w:t xml:space="preserve">perturbaciones fuera de distribución</w:t>
      </w:r>
      <w:r>
        <w:t xml:space="preserve"> </w:t>
      </w:r>
      <w:r>
        <w:t xml:space="preserve">(Zheng et al. 2025)</w:t>
      </w:r>
      <w:r>
        <w:t xml:space="preserve">.</w:t>
      </w:r>
    </w:p>
    <w:p>
      <w:pPr>
        <w:pStyle w:val="Textoindependiente"/>
        <w:spacing w:line="360" w:lineRule="auto"/>
        <w:jc w:val="both"/>
      </w:pPr>
      <w:r>
        <w:t xml:space="preserve">La diferencia es sutil pero central. La fidelidad puede evaluarse mediante</w:t>
      </w:r>
      <w:r>
        <w:t xml:space="preserve"> </w:t>
      </w:r>
      <w:r>
        <w:t xml:space="preserve">comparaciones observables: si el sustituto predice de forma similar al modelo de</w:t>
      </w:r>
      <w:r>
        <w:t xml:space="preserve"> </w:t>
      </w:r>
      <w:r>
        <w:t xml:space="preserve">caja negra en las instancias evaluadas, se obtiene evidencia de acuerdo local o</w:t>
      </w:r>
      <w:r>
        <w:t xml:space="preserve"> </w:t>
      </w:r>
      <w:r>
        <w:t xml:space="preserve">global. La faithfulness exige una correspondencia más profunda entre la</w:t>
      </w:r>
      <w:r>
        <w:t xml:space="preserve"> </w:t>
      </w:r>
      <w:r>
        <w:t xml:space="preserve">explicación y los factores que realmente gobiernan la decisión. En modelos</w:t>
      </w:r>
      <w:r>
        <w:t xml:space="preserve"> </w:t>
      </w:r>
      <w:r>
        <w:t xml:space="preserve">complejos, esta correspondencia suele ser difícil de demostrar de forma directa.</w:t>
      </w:r>
      <w:r>
        <w:t xml:space="preserve"> </w:t>
      </w:r>
      <w:r>
        <w:t xml:space="preserve">Por ello, FOM-7 trata la fidelidad como un constructo medible y la faithfulness</w:t>
      </w:r>
      <w:r>
        <w:t xml:space="preserve"> </w:t>
      </w:r>
      <w:r>
        <w:t xml:space="preserve">como una aspiración interpretativa que requiere cautela. El protocolo no debe</w:t>
      </w:r>
      <w:r>
        <w:t xml:space="preserve"> </w:t>
      </w:r>
      <w:r>
        <w:t xml:space="preserve">convertir una métrica de acuerdo en una afirmación fuerte sobre verdad causal.</w:t>
      </w:r>
    </w:p>
    <w:p>
      <w:pPr>
        <w:pStyle w:val="Textoindependiente"/>
        <w:spacing w:line="360" w:lineRule="auto"/>
        <w:jc w:val="both"/>
      </w:pPr>
      <w:r>
        <w:t xml:space="preserve">La cuarta distinción separa plausibilidad y corrección. Una explicación</w:t>
      </w:r>
      <w:r>
        <w:t xml:space="preserve"> </w:t>
      </w:r>
      <w:r>
        <w:t xml:space="preserve">plausible coincide con expectativas humanas, conocimiento de dominio o patrones</w:t>
      </w:r>
      <w:r>
        <w:t xml:space="preserve"> </w:t>
      </w:r>
      <w:r>
        <w:t xml:space="preserve">narrativamente convincentes. Pero la plausibilidad no garantiza corrección. Esta</w:t>
      </w:r>
      <w:r>
        <w:t xml:space="preserve"> </w:t>
      </w:r>
      <w:r>
        <w:t xml:space="preserve">distinción es especialmente delicada en XAI porque explicaciones persuasivas</w:t>
      </w:r>
      <w:r>
        <w:t xml:space="preserve"> </w:t>
      </w:r>
      <w:r>
        <w:t xml:space="preserve">pueden aumentar confianza aún cuando no sean técnicamente adecuadas. La</w:t>
      </w:r>
      <w:r>
        <w:t xml:space="preserve"> </w:t>
      </w:r>
      <w:r>
        <w:t xml:space="preserve">literatura crítica sobre interpretabilidad advierte que el campo debe evitar</w:t>
      </w:r>
      <w:r>
        <w:t xml:space="preserve"> </w:t>
      </w:r>
      <w:r>
        <w:t xml:space="preserve">confundir comprensibilidad con verdad del mecanismo</w:t>
      </w:r>
      <w:r>
        <w:t xml:space="preserve"> </w:t>
      </w:r>
      <w:r>
        <w:t xml:space="preserve">(Lipton 2018; Hoffman et al. 2023)</w:t>
      </w:r>
      <w:r>
        <w:t xml:space="preserve">.</w:t>
      </w:r>
    </w:p>
    <w:p>
      <w:pPr>
        <w:pStyle w:val="Textoindependiente"/>
        <w:spacing w:line="360" w:lineRule="auto"/>
        <w:jc w:val="both"/>
      </w:pPr>
      <w:r>
        <w:t xml:space="preserve">Esta distinción protege especialmente contra explicaciones persuasivas. En</w:t>
      </w:r>
      <w:r>
        <w:t xml:space="preserve"> </w:t>
      </w:r>
      <w:r>
        <w:t xml:space="preserve">entornos de decisión, una explicación que</w:t>
      </w:r>
      <w:r>
        <w:t xml:space="preserve"> </w:t>
      </w:r>
      <w:r>
        <w:t xml:space="preserve">“suena razonable”</w:t>
      </w:r>
      <w:r>
        <w:t xml:space="preserve"> </w:t>
      </w:r>
      <w:r>
        <w:t xml:space="preserve">puede aumentar la</w:t>
      </w:r>
      <w:r>
        <w:t xml:space="preserve"> </w:t>
      </w:r>
      <w:r>
        <w:t xml:space="preserve">confianza del usuario, incluso si el modelo usó patrones espurios o si el</w:t>
      </w:r>
      <w:r>
        <w:t xml:space="preserve"> </w:t>
      </w:r>
      <w:r>
        <w:t xml:space="preserve">explicador produjo una aproximación inestable. La plausibilidad pertenece al</w:t>
      </w:r>
      <w:r>
        <w:t xml:space="preserve"> </w:t>
      </w:r>
      <w:r>
        <w:t xml:space="preserve">encuentro entre explicación y expectativas humanas; la corrección pertenece a la</w:t>
      </w:r>
      <w:r>
        <w:t xml:space="preserve"> </w:t>
      </w:r>
      <w:r>
        <w:t xml:space="preserve">relación entre explicación, modelo y dominio. Ambas propiedades pueden coincidir,</w:t>
      </w:r>
      <w:r>
        <w:t xml:space="preserve"> </w:t>
      </w:r>
      <w:r>
        <w:t xml:space="preserve">pero no deben fusionarse. En la práctica, esta tesis puede medir propiedades</w:t>
      </w:r>
      <w:r>
        <w:t xml:space="preserve"> </w:t>
      </w:r>
      <w:r>
        <w:t xml:space="preserve">computacionales y discutir plausibilidad semántica con cautela, pero no puede</w:t>
      </w:r>
      <w:r>
        <w:t xml:space="preserve"> </w:t>
      </w:r>
      <w:r>
        <w:t xml:space="preserve">afirmar corrección humana o causal sin evidencia específica de ese tipo</w:t>
      </w:r>
      <w:r>
        <w:t xml:space="preserve"> </w:t>
      </w:r>
      <w:r>
        <w:t xml:space="preserve">(Mohseni et al. 2021; Hoffman et al. 2023)</w:t>
      </w:r>
      <w:r>
        <w:t xml:space="preserve">.</w:t>
      </w:r>
    </w:p>
    <w:p>
      <w:pPr>
        <w:pStyle w:val="Textoindependiente"/>
        <w:spacing w:line="360" w:lineRule="auto"/>
        <w:jc w:val="both"/>
      </w:pPr>
      <w:r>
        <w:t xml:space="preserve">La quinta distinción separa robustez y estabilidad. La estabilidad evalúa si</w:t>
      </w:r>
      <w:r>
        <w:t xml:space="preserve"> </w:t>
      </w:r>
      <w:r>
        <w:t xml:space="preserve">pequeños cambios en la entrada, que no modifican la predicción, producen</w:t>
      </w:r>
      <w:r>
        <w:t xml:space="preserve"> </w:t>
      </w:r>
      <w:r>
        <w:t xml:space="preserve">explicaciones similares. La robustez evalúa la resistencia del explicador ante</w:t>
      </w:r>
      <w:r>
        <w:t xml:space="preserve"> </w:t>
      </w:r>
      <w:r>
        <w:t xml:space="preserve">cambios más agresivos, distribuciones atípicas, ataques o condiciones de</w:t>
      </w:r>
      <w:r>
        <w:t xml:space="preserve"> </w:t>
      </w:r>
      <w:r>
        <w:t xml:space="preserve">despliegue no ideales. Esta tesis usa ambas nociones como constructos</w:t>
      </w:r>
      <w:r>
        <w:t xml:space="preserve"> </w:t>
      </w:r>
      <w:r>
        <w:t xml:space="preserve">relacionados pero no intercambiables. Una explicación puede ser estable ante</w:t>
      </w:r>
      <w:r>
        <w:t xml:space="preserve"> </w:t>
      </w:r>
      <w:r>
        <w:t xml:space="preserve">ruido leve y frágil ante casos fuera de distribución</w:t>
      </w:r>
      <w:r>
        <w:t xml:space="preserve"> </w:t>
      </w:r>
      <w:r>
        <w:t xml:space="preserve">(Zheng et al. 2025; Burger et al. 2023)</w:t>
      </w:r>
      <w:r>
        <w:t xml:space="preserve">.</w:t>
      </w:r>
    </w:p>
    <w:p>
      <w:pPr>
        <w:pStyle w:val="Textoindependiente"/>
        <w:spacing w:line="360" w:lineRule="auto"/>
        <w:jc w:val="both"/>
      </w:pPr>
      <w:r>
        <w:t xml:space="preserve">La estabilidad es especialmente importante para comparaciones locales. Si dos</w:t>
      </w:r>
      <w:r>
        <w:t xml:space="preserve"> </w:t>
      </w:r>
      <w:r>
        <w:t xml:space="preserve">instancias casi idénticas reciben explicaciones radicalmente distintas, el</w:t>
      </w:r>
      <w:r>
        <w:t xml:space="preserve"> </w:t>
      </w:r>
      <w:r>
        <w:t xml:space="preserve">explicador puede fallar como instrumento de análisis, aunque el modelo predictivo</w:t>
      </w:r>
      <w:r>
        <w:t xml:space="preserve"> </w:t>
      </w:r>
      <w:r>
        <w:t xml:space="preserve">sea estable. La robustez amplía el foco hacia condiciones más exigentes: cambios</w:t>
      </w:r>
      <w:r>
        <w:t xml:space="preserve"> </w:t>
      </w:r>
      <w:r>
        <w:t xml:space="preserve">de distribución, perturbaciones adversarias, datos atípicos o supuestos</w:t>
      </w:r>
      <w:r>
        <w:t xml:space="preserve"> </w:t>
      </w:r>
      <w:r>
        <w:t xml:space="preserve">violados. La evaluación XAI necesita ambas dimensiones porque responden a</w:t>
      </w:r>
      <w:r>
        <w:t xml:space="preserve"> </w:t>
      </w:r>
      <w:r>
        <w:t xml:space="preserve">preguntas distintas. La estabilidad pregunta por consistencia en proximidad; la</w:t>
      </w:r>
      <w:r>
        <w:t xml:space="preserve"> </w:t>
      </w:r>
      <w:r>
        <w:t xml:space="preserve">robustez pregunta por resistencia ante condiciones que ponen a prueba el método.</w:t>
      </w:r>
      <w:r>
        <w:t xml:space="preserve"> </w:t>
      </w:r>
      <w:r>
        <w:t xml:space="preserve">FOM-7 debe reportar estas dimensiones como parte de un perfil, no como sinonimos</w:t>
      </w:r>
      <w:r>
        <w:t xml:space="preserve"> </w:t>
      </w:r>
      <w:r>
        <w:t xml:space="preserve">(Hedström et al. 2023; Zheng et al. 2025)</w:t>
      </w:r>
      <w:r>
        <w:t xml:space="preserve">.</w:t>
      </w:r>
    </w:p>
    <w:p>
      <w:pPr>
        <w:pStyle w:val="Textoindependiente"/>
        <w:spacing w:line="360" w:lineRule="auto"/>
        <w:jc w:val="both"/>
      </w:pPr>
      <w:r>
        <w:t xml:space="preserve">La sexta distinción separa utilidad de la explicación y verdad de la</w:t>
      </w:r>
      <w:r>
        <w:t xml:space="preserve"> </w:t>
      </w:r>
      <w:r>
        <w:t xml:space="preserve">explicación. Una explicación puede ser útil para depurar, comunicar o seleccionar</w:t>
      </w:r>
      <w:r>
        <w:t xml:space="preserve"> </w:t>
      </w:r>
      <w:r>
        <w:t xml:space="preserve">instancias sin demostrar que captura causalmente el funcionamiento del modelo.</w:t>
      </w:r>
      <w:r>
        <w:t xml:space="preserve"> </w:t>
      </w:r>
      <w:r>
        <w:t xml:space="preserve">De forma inversa, una explicación técnicamente rigurosa puede no ser útil para</w:t>
      </w:r>
      <w:r>
        <w:t xml:space="preserve"> </w:t>
      </w:r>
      <w:r>
        <w:t xml:space="preserve">un usuario no experto si excede su contexto cognitivo. Esta separación permite</w:t>
      </w:r>
      <w:r>
        <w:t xml:space="preserve"> </w:t>
      </w:r>
      <w:r>
        <w:t xml:space="preserve">ubicar las métricas de FOM-7: no pretenden agotar la verdad semántica de una</w:t>
      </w:r>
      <w:r>
        <w:t xml:space="preserve"> </w:t>
      </w:r>
      <w:r>
        <w:t xml:space="preserve">explicación, sino establecer evidencia operacional sobre propiedades medibles y</w:t>
      </w:r>
      <w:r>
        <w:t xml:space="preserve"> </w:t>
      </w:r>
      <w:r>
        <w:t xml:space="preserve">trazables.</w:t>
      </w:r>
    </w:p>
    <w:p>
      <w:pPr>
        <w:pStyle w:val="Textoindependiente"/>
        <w:spacing w:line="360" w:lineRule="auto"/>
        <w:jc w:val="both"/>
      </w:pPr>
      <w:r>
        <w:t xml:space="preserve">La utilidad depende del uso. Un científico de datos puede necesitar una</w:t>
      </w:r>
      <w:r>
        <w:t xml:space="preserve"> </w:t>
      </w:r>
      <w:r>
        <w:t xml:space="preserve">explicación para depurar variables, un experto de dominio para contrastar una</w:t>
      </w:r>
      <w:r>
        <w:t xml:space="preserve"> </w:t>
      </w:r>
      <w:r>
        <w:t xml:space="preserve">hipótesis, un regulador para auditar una decisión y un usuario final para</w:t>
      </w:r>
      <w:r>
        <w:t xml:space="preserve"> </w:t>
      </w:r>
      <w:r>
        <w:t xml:space="preserve">comprender opciones. La misma explicación puede ser adecuada para un grupo y</w:t>
      </w:r>
      <w:r>
        <w:t xml:space="preserve"> </w:t>
      </w:r>
      <w:r>
        <w:t xml:space="preserve">deficiente para otro. Esta es una de las razones por las que la literatura</w:t>
      </w:r>
      <w:r>
        <w:t xml:space="preserve"> </w:t>
      </w:r>
      <w:r>
        <w:t xml:space="preserve">human-centered insiste en conectar objetivos, usuarios y métodos de evaluación</w:t>
      </w:r>
      <w:r>
        <w:t xml:space="preserve"> </w:t>
      </w:r>
      <w:r>
        <w:t xml:space="preserve">(Mohseni et al. 2021; Hoffman et al. 2023)</w:t>
      </w:r>
      <w:r>
        <w:t xml:space="preserve">. En esta tesis, la utilidad se interpreta de forma</w:t>
      </w:r>
      <w:r>
        <w:t xml:space="preserve"> </w:t>
      </w:r>
      <w:r>
        <w:t xml:space="preserve">limitada: una explicación es útil para el protocolo si permite construir</w:t>
      </w:r>
      <w:r>
        <w:t xml:space="preserve"> </w:t>
      </w:r>
      <w:r>
        <w:t xml:space="preserve">evidencia comparativa, reproducible y trazable sobre métodos post-hoc. Otras</w:t>
      </w:r>
      <w:r>
        <w:t xml:space="preserve"> </w:t>
      </w:r>
      <w:r>
        <w:t xml:space="preserve">formas de utilidad, como satisfacción de usuario o mejora de decisiones humanas,</w:t>
      </w:r>
      <w:r>
        <w:t xml:space="preserve"> </w:t>
      </w:r>
      <w:r>
        <w:t xml:space="preserve">quedan fuera del alcance empírico principal.</w:t>
      </w:r>
    </w:p>
    <w:p>
      <w:pPr>
        <w:pStyle w:val="Textoindependiente"/>
        <w:spacing w:line="360" w:lineRule="auto"/>
        <w:jc w:val="both"/>
      </w:pPr>
      <w:r>
        <w:t xml:space="preserve">En conjunto, estas distinciones convierten el marco teórico en una defensa de</w:t>
      </w:r>
      <w:r>
        <w:t xml:space="preserve"> </w:t>
      </w:r>
      <w:r>
        <w:t xml:space="preserve">la prudencia inferencial. La tesis no busca demostrar que un explicador es</w:t>
      </w:r>
      <w:r>
        <w:t xml:space="preserve"> </w:t>
      </w:r>
      <w:r>
        <w:t xml:space="preserve">universalmente superior, ni que una métrica representa la verdad completa de una</w:t>
      </w:r>
      <w:r>
        <w:t xml:space="preserve"> </w:t>
      </w:r>
      <w:r>
        <w:t xml:space="preserve">explicación. Busca producir afirmaciones condicionadas: bajo este diseño, con</w:t>
      </w:r>
      <w:r>
        <w:t xml:space="preserve"> </w:t>
      </w:r>
      <w:r>
        <w:t xml:space="preserve">estos artefactos, estas métricas y estos criterios estadísticos, se observan</w:t>
      </w:r>
      <w:r>
        <w:t xml:space="preserve"> </w:t>
      </w:r>
      <w:r>
        <w:t xml:space="preserve">determinadas propiedades comparativas. Esta forma de razonamiento es menos</w:t>
      </w:r>
      <w:r>
        <w:t xml:space="preserve"> </w:t>
      </w:r>
      <w:r>
        <w:t xml:space="preserve">espectacular que un ranking absoluto, pero es mucho más defendible al nivel de</w:t>
      </w:r>
      <w:r>
        <w:t xml:space="preserve"> </w:t>
      </w:r>
      <w:r>
        <w:t xml:space="preserve">un doctorado. Precisamente por eso la arquitectura FOM-7 exige trazabilidad de</w:t>
      </w:r>
      <w:r>
        <w:t xml:space="preserve"> </w:t>
      </w:r>
      <w:r>
        <w:t xml:space="preserve">claims: cada conclusión debe indicar qué constructo evalúa, qué evidencia la</w:t>
      </w:r>
      <w:r>
        <w:t xml:space="preserve"> </w:t>
      </w:r>
      <w:r>
        <w:t xml:space="preserve">sostiene y qué límites conserva.</w:t>
      </w:r>
    </w:p>
    <w:bookmarkEnd w:id="46"/>
    <w:bookmarkStart w:id="51" w:name="Xa854bcdfe02171eee67e88340a3233edf48569f"/>
    <w:p>
      <w:pPr>
        <w:pStyle w:val="Ttulo2"/>
        <w:spacing w:line="360" w:lineRule="auto"/>
        <w:jc w:val="both"/>
      </w:pPr>
      <w:r>
        <w:t xml:space="preserve">Métodos de explicación evaluados en esta tesis</w:t>
      </w:r>
    </w:p>
    <w:bookmarkStart w:id="47" w:name="Xbbcfa782e2d35f160f8750f56befcd9ee8cf14e"/>
    <w:p>
      <w:pPr>
        <w:pStyle w:val="Ttulo3"/>
        <w:spacing w:line="360" w:lineRule="auto"/>
        <w:jc w:val="both"/>
      </w:pPr>
      <w:r>
        <w:t xml:space="preserve">LIME: sustitutos locales, muestreo e inestabilidad</w:t>
      </w:r>
    </w:p>
    <w:p>
      <w:pPr>
        <w:pStyle w:val="FirstParagraph"/>
        <w:spacing w:line="360" w:lineRule="auto"/>
        <w:jc w:val="both"/>
      </w:pPr>
      <w:r>
        <w:t xml:space="preserve">LIME propone explicar predicciones individuales aproximando localmente el modelo</w:t>
      </w:r>
      <w:r>
        <w:t xml:space="preserve"> </w:t>
      </w:r>
      <w:r>
        <w:t xml:space="preserve">de caja negra con un modelo interpretable, usualmente lineal</w:t>
      </w:r>
      <w:r>
        <w:t xml:space="preserve"> </w:t>
      </w:r>
      <w:r>
        <w:t xml:space="preserve">(Ribeiro 2016)</w:t>
      </w:r>
      <w:r>
        <w:t xml:space="preserve">. Su</w:t>
      </w:r>
      <w:r>
        <w:t xml:space="preserve"> </w:t>
      </w:r>
      <w:r>
        <w:t xml:space="preserve">intuición es poderosa: aunque el modelo global sea complejo, una región cercana</w:t>
      </w:r>
      <w:r>
        <w:t xml:space="preserve"> </w:t>
      </w:r>
      <w:r>
        <w:t xml:space="preserve">a una instancia puede ser aproximada por una frontera más simple. Para construir</w:t>
      </w:r>
      <w:r>
        <w:t xml:space="preserve"> </w:t>
      </w:r>
      <w:r>
        <w:t xml:space="preserve">esta aproximación, el método genera perturbaciones alrededor de la instancia,</w:t>
      </w:r>
      <w:r>
        <w:t xml:space="preserve"> </w:t>
      </w:r>
      <w:r>
        <w:t xml:space="preserve">consulta el modelo original y ajusta un sustituto ponderado por proximidad. La</w:t>
      </w:r>
      <w:r>
        <w:t xml:space="preserve"> </w:t>
      </w:r>
      <w:r>
        <w:t xml:space="preserve">explicación resultante identifica características con mayor influencia local.</w:t>
      </w:r>
    </w:p>
    <w:p>
      <w:pPr>
        <w:pStyle w:val="Textoindependiente"/>
        <w:spacing w:line="360" w:lineRule="auto"/>
        <w:jc w:val="both"/>
      </w:pPr>
      <w:r>
        <w:t xml:space="preserve">Esta lógica convierte a LIME en un método flexible y agnóstico. Puede aplicarse</w:t>
      </w:r>
      <w:r>
        <w:t xml:space="preserve"> </w:t>
      </w:r>
      <w:r>
        <w:t xml:space="preserve">a clasificadores diversos y produce salidas comprensibles para usuarios</w:t>
      </w:r>
      <w:r>
        <w:t xml:space="preserve"> </w:t>
      </w:r>
      <w:r>
        <w:t xml:space="preserve">técnicos. Sin embargo, su fuerza también es una fuente de riesgo. La explicación</w:t>
      </w:r>
      <w:r>
        <w:t xml:space="preserve"> </w:t>
      </w:r>
      <w:r>
        <w:t xml:space="preserve">depende del esquema de muestreo, de la definición de vecindario, del kernel de</w:t>
      </w:r>
      <w:r>
        <w:t xml:space="preserve"> </w:t>
      </w:r>
      <w:r>
        <w:t xml:space="preserve">proximidad, del número de perturbaciones y del modelo interpretable elegido. Si</w:t>
      </w:r>
      <w:r>
        <w:t xml:space="preserve"> </w:t>
      </w:r>
      <w:r>
        <w:t xml:space="preserve">estos elementos cambian, la explicación puede variar de forma sustancial. Por</w:t>
      </w:r>
      <w:r>
        <w:t xml:space="preserve"> </w:t>
      </w:r>
      <w:r>
        <w:t xml:space="preserve">ello, la estabilidad de LIME debe evaluarse explicitamente, no asumirse como una</w:t>
      </w:r>
      <w:r>
        <w:t xml:space="preserve"> </w:t>
      </w:r>
      <w:r>
        <w:t xml:space="preserve">propiedad garantizada</w:t>
      </w:r>
      <w:r>
        <w:t xml:space="preserve"> </w:t>
      </w:r>
      <w:r>
        <w:t xml:space="preserve">(Burger et al. 2023)</w:t>
      </w:r>
      <w:r>
        <w:t xml:space="preserve">.</w:t>
      </w:r>
    </w:p>
    <w:p>
      <w:pPr>
        <w:pStyle w:val="Textoindependiente"/>
        <w:spacing w:line="360" w:lineRule="auto"/>
        <w:jc w:val="both"/>
      </w:pPr>
      <w:r>
        <w:t xml:space="preserve">En el marco de esta tesis, LIME representa la familia de explicaciones por</w:t>
      </w:r>
      <w:r>
        <w:t xml:space="preserve"> </w:t>
      </w:r>
      <w:r>
        <w:t xml:space="preserve">sustitución local. Su evaluación debe considerar fidelidad local, estabilidad,</w:t>
      </w:r>
      <w:r>
        <w:t xml:space="preserve"> </w:t>
      </w:r>
      <w:r>
        <w:t xml:space="preserve">coste computacional y sensibilidad al muestreo. No es suficiente afirmar que una</w:t>
      </w:r>
      <w:r>
        <w:t xml:space="preserve"> </w:t>
      </w:r>
      <w:r>
        <w:t xml:space="preserve">explicación LIME es interpretable porque sea lineal; debe demostrarse que el</w:t>
      </w:r>
      <w:r>
        <w:t xml:space="preserve"> </w:t>
      </w:r>
      <w:r>
        <w:t xml:space="preserve">sustituto es una aproximación adecuada bajo condiciones experimentales</w:t>
      </w:r>
      <w:r>
        <w:t xml:space="preserve"> </w:t>
      </w:r>
      <w:r>
        <w:t xml:space="preserve">controladas</w:t>
      </w:r>
      <w:r>
        <w:t xml:space="preserve"> </w:t>
      </w:r>
      <w:r>
        <w:t xml:space="preserve">(Ribeiro 2016; Guidotti et al. 2018)</w:t>
      </w:r>
      <w:r>
        <w:t xml:space="preserve">.</w:t>
      </w:r>
    </w:p>
    <w:p>
      <w:pPr>
        <w:pStyle w:val="Textoindependiente"/>
        <w:spacing w:line="360" w:lineRule="auto"/>
        <w:jc w:val="both"/>
      </w:pPr>
      <w:r>
        <w:t xml:space="preserve">La literatura posterior ha mostrado que esta exigencia no es secundaria. LIME</w:t>
      </w:r>
      <w:r>
        <w:t xml:space="preserve"> </w:t>
      </w:r>
      <w:r>
        <w:t xml:space="preserve">puede ser una herramienta poderosa para comunicar patrones locales, pero su</w:t>
      </w:r>
      <w:r>
        <w:t xml:space="preserve"> </w:t>
      </w:r>
      <w:r>
        <w:t xml:space="preserve">salida no es independiente del proceso que genera el vecindario artificial. En</w:t>
      </w:r>
      <w:r>
        <w:t xml:space="preserve"> </w:t>
      </w:r>
      <w:r>
        <w:t xml:space="preserve">términos de evaluación, esto significa que el experimento no solo compara</w:t>
      </w:r>
      <w:r>
        <w:t xml:space="preserve"> </w:t>
      </w:r>
      <w:r>
        <w:t xml:space="preserve">“LIME”</w:t>
      </w:r>
      <w:r>
        <w:t xml:space="preserve"> </w:t>
      </w:r>
      <w:r>
        <w:t xml:space="preserve">como etiqueta, sino una configuración concreta de LIME: estrategia de</w:t>
      </w:r>
      <w:r>
        <w:t xml:space="preserve"> </w:t>
      </w:r>
      <w:r>
        <w:t xml:space="preserve">perturbación, kernel, número de muestras, selección de variables y modelo</w:t>
      </w:r>
      <w:r>
        <w:t xml:space="preserve"> </w:t>
      </w:r>
      <w:r>
        <w:t xml:space="preserve">sustituto. Si esos elementos no se congelan y documentan, la explicación deja de</w:t>
      </w:r>
      <w:r>
        <w:t xml:space="preserve"> </w:t>
      </w:r>
      <w:r>
        <w:t xml:space="preserve">ser un artefacto reproducible y se convierte en una realizacion contingente del</w:t>
      </w:r>
      <w:r>
        <w:t xml:space="preserve"> </w:t>
      </w:r>
      <w:r>
        <w:t xml:space="preserve">pipeline. Este punto conecta con la crítica más amplia a las explicaciones</w:t>
      </w:r>
      <w:r>
        <w:t xml:space="preserve"> </w:t>
      </w:r>
      <w:r>
        <w:t xml:space="preserve">post-hoc: su aparente simplicidad puede ocultar supuestos fuertes sobre la</w:t>
      </w:r>
      <w:r>
        <w:t xml:space="preserve"> </w:t>
      </w:r>
      <w:r>
        <w:t xml:space="preserve">región local que se está aproximando</w:t>
      </w:r>
      <w:r>
        <w:t xml:space="preserve"> </w:t>
      </w:r>
      <w:r>
        <w:t xml:space="preserve">(Guidotti et al. 2018; Carvalho et al. 2019)</w:t>
      </w:r>
      <w:r>
        <w:t xml:space="preserve">.</w:t>
      </w:r>
    </w:p>
    <w:p>
      <w:pPr>
        <w:pStyle w:val="Textoindependiente"/>
        <w:spacing w:line="360" w:lineRule="auto"/>
        <w:jc w:val="both"/>
      </w:pPr>
      <w:r>
        <w:t xml:space="preserve">Además, la estabilidad de LIME no debe confundirse con su plausibilidad visual.</w:t>
      </w:r>
      <w:r>
        <w:t xml:space="preserve"> </w:t>
      </w:r>
      <w:r>
        <w:t xml:space="preserve">Una explicación puede seleccionar variables intuitivas y aun así variar ante</w:t>
      </w:r>
      <w:r>
        <w:t xml:space="preserve"> </w:t>
      </w:r>
      <w:r>
        <w:t xml:space="preserve">perturbaciones pequeñas, cambios de semilla o modificaciones en la muestra de</w:t>
      </w:r>
      <w:r>
        <w:t xml:space="preserve"> </w:t>
      </w:r>
      <w:r>
        <w:t xml:space="preserve">consulta. Estudios sobre confiabilidad de LIME y ataques a explicadores</w:t>
      </w:r>
      <w:r>
        <w:t xml:space="preserve"> </w:t>
      </w:r>
      <w:r>
        <w:t xml:space="preserve">post-hoc muestran que la frágilidad puede tener consecuencias epistémicas</w:t>
      </w:r>
      <w:r>
        <w:t xml:space="preserve"> </w:t>
      </w:r>
      <w:r>
        <w:t xml:space="preserve">importantes: el usuario puede recibir una narrativa convincente sin saber que</w:t>
      </w:r>
      <w:r>
        <w:t xml:space="preserve"> </w:t>
      </w:r>
      <w:r>
        <w:t xml:space="preserve">otra ejecución razonable produciría una narrativa distinta</w:t>
      </w:r>
      <w:r>
        <w:t xml:space="preserve"> </w:t>
      </w:r>
      <w:r>
        <w:t xml:space="preserve">(Burger et al. 2023; Slack et al. 2020)</w:t>
      </w:r>
      <w:r>
        <w:t xml:space="preserve">. Por ello, FOM-7 debe tratar LIME como un caso ejemplar de método</w:t>
      </w:r>
      <w:r>
        <w:t xml:space="preserve"> </w:t>
      </w:r>
      <w:r>
        <w:t xml:space="preserve">agnóstico con alta utilidad comunicativa, pero que requiere controles de</w:t>
      </w:r>
      <w:r>
        <w:t xml:space="preserve"> </w:t>
      </w:r>
      <w:r>
        <w:t xml:space="preserve">estabilidad, trazabilidad de parámetros y delimitación estricta del alcance</w:t>
      </w:r>
      <w:r>
        <w:t xml:space="preserve"> </w:t>
      </w:r>
      <w:r>
        <w:t xml:space="preserve">local.</w:t>
      </w:r>
    </w:p>
    <w:bookmarkEnd w:id="47"/>
    <w:bookmarkStart w:id="48" w:name="X187de0a2f0f332efaa60a19888eaffd7cc2e7b5"/>
    <w:p>
      <w:pPr>
        <w:pStyle w:val="Ttulo3"/>
        <w:spacing w:line="360" w:lineRule="auto"/>
        <w:jc w:val="both"/>
      </w:pPr>
      <w:r>
        <w:t xml:space="preserve">SHAP: valores de Shapley y atribución aditiva</w:t>
      </w:r>
    </w:p>
    <w:p>
      <w:pPr>
        <w:pStyle w:val="FirstParagraph"/>
        <w:spacing w:line="360" w:lineRule="auto"/>
        <w:jc w:val="both"/>
      </w:pPr>
      <w:r>
        <w:t xml:space="preserve">SHAP conecta métodos de atribución de características con fundamentos de teoría</w:t>
      </w:r>
      <w:r>
        <w:t xml:space="preserve"> </w:t>
      </w:r>
      <w:r>
        <w:t xml:space="preserve">de juegos, especialmente el valor de Shapley</w:t>
      </w:r>
      <w:r>
        <w:t xml:space="preserve"> </w:t>
      </w:r>
      <w:r>
        <w:t xml:space="preserve">(Lundberg 2017)</w:t>
      </w:r>
      <w:r>
        <w:t xml:space="preserve">. La predicción se</w:t>
      </w:r>
      <w:r>
        <w:t xml:space="preserve"> </w:t>
      </w:r>
      <w:r>
        <w:t xml:space="preserve">expresa como una suma de contribuciones atribuibles a cada característica, bajo</w:t>
      </w:r>
      <w:r>
        <w:t xml:space="preserve"> </w:t>
      </w:r>
      <w:r>
        <w:t xml:space="preserve">un conjunto de propiedades deseables para explicaciones aditivas. Esta base</w:t>
      </w:r>
      <w:r>
        <w:t xml:space="preserve"> </w:t>
      </w:r>
      <w:r>
        <w:t xml:space="preserve">formal ha convertido a SHAP en uno de los enfoques más influyentes para</w:t>
      </w:r>
      <w:r>
        <w:t xml:space="preserve"> </w:t>
      </w:r>
      <w:r>
        <w:t xml:space="preserve">interpretar modelos complejos.</w:t>
      </w:r>
    </w:p>
    <w:p>
      <w:pPr>
        <w:pStyle w:val="Textoindependiente"/>
        <w:spacing w:line="360" w:lineRule="auto"/>
        <w:jc w:val="both"/>
      </w:pPr>
      <w:r>
        <w:t xml:space="preserve">La fortaleza de SHAP está en su marco unificado: diferentes aproximaciones</w:t>
      </w:r>
      <w:r>
        <w:t xml:space="preserve"> </w:t>
      </w:r>
      <w:r>
        <w:t xml:space="preserve">pueden entenderse como miembros de una familia de modelos explicativos</w:t>
      </w:r>
      <w:r>
        <w:t xml:space="preserve"> </w:t>
      </w:r>
      <w:r>
        <w:t xml:space="preserve">aditivos. TreeSHAP aprovecha la estructura de modelos basados en árboles para</w:t>
      </w:r>
      <w:r>
        <w:t xml:space="preserve"> </w:t>
      </w:r>
      <w:r>
        <w:t xml:space="preserve">calcular atribuciones de forma más eficiente. KernelSHAP, en cambio, opera de</w:t>
      </w:r>
      <w:r>
        <w:t xml:space="preserve"> </w:t>
      </w:r>
      <w:r>
        <w:t xml:space="preserve">manera más general pero puede requerir numerosas evaluaciones del modelo,</w:t>
      </w:r>
      <w:r>
        <w:t xml:space="preserve"> </w:t>
      </w:r>
      <w:r>
        <w:t xml:space="preserve">generando costes computacionales elevados. Esta diferencia ilustra una tensión</w:t>
      </w:r>
      <w:r>
        <w:t xml:space="preserve"> </w:t>
      </w:r>
      <w:r>
        <w:t xml:space="preserve">recurrente: mayor generalidad suele implicar mayor coste o dependencia de</w:t>
      </w:r>
      <w:r>
        <w:t xml:space="preserve"> </w:t>
      </w:r>
      <w:r>
        <w:t xml:space="preserve">aproximaciones.</w:t>
      </w:r>
    </w:p>
    <w:p>
      <w:pPr>
        <w:pStyle w:val="Textoindependiente"/>
        <w:spacing w:line="360" w:lineRule="auto"/>
        <w:jc w:val="both"/>
      </w:pPr>
      <w:r>
        <w:t xml:space="preserve">SHAP también exige decisiones metodológicas que afectan la interpretación: el</w:t>
      </w:r>
      <w:r>
        <w:t xml:space="preserve"> </w:t>
      </w:r>
      <w:r>
        <w:t xml:space="preserve">conjunto de referencia, el tratamiento de dependencias entre características y</w:t>
      </w:r>
      <w:r>
        <w:t xml:space="preserve"> </w:t>
      </w:r>
      <w:r>
        <w:t xml:space="preserve">la forma de estimar contribuciones marginales. Por ello, la tesis no interpreta</w:t>
      </w:r>
      <w:r>
        <w:t xml:space="preserve"> </w:t>
      </w:r>
      <w:r>
        <w:t xml:space="preserve">valores SHAP como verdades causales automaticas. Los trata como atribuciones</w:t>
      </w:r>
      <w:r>
        <w:t xml:space="preserve"> </w:t>
      </w:r>
      <w:r>
        <w:t xml:space="preserve">operacionales cuya calidad debe contrastarse mediante métricas de fidelidad,</w:t>
      </w:r>
      <w:r>
        <w:t xml:space="preserve"> </w:t>
      </w:r>
      <w:r>
        <w:t xml:space="preserve">estabilidad, complejidad y coste.</w:t>
      </w:r>
    </w:p>
    <w:p>
      <w:pPr>
        <w:pStyle w:val="Textoindependiente"/>
        <w:spacing w:line="360" w:lineRule="auto"/>
        <w:jc w:val="both"/>
      </w:pPr>
      <w:r>
        <w:t xml:space="preserve">El carácter formal de SHAP puede inducir una lectura excesivamente fuerte si no</w:t>
      </w:r>
      <w:r>
        <w:t xml:space="preserve"> </w:t>
      </w:r>
      <w:r>
        <w:t xml:space="preserve">se separa fundamento matemático de uso empírico. El valor de Shapley aporta una</w:t>
      </w:r>
      <w:r>
        <w:t xml:space="preserve"> </w:t>
      </w:r>
      <w:r>
        <w:t xml:space="preserve">justificación axiomática para repartir una contribución entre jugadores o</w:t>
      </w:r>
      <w:r>
        <w:t xml:space="preserve"> </w:t>
      </w:r>
      <w:r>
        <w:t xml:space="preserve">características, pero la aplicación a modelos predictivos requiere definir una</w:t>
      </w:r>
      <w:r>
        <w:t xml:space="preserve"> </w:t>
      </w:r>
      <w:r>
        <w:t xml:space="preserve">distribución de referencia y una forma de simular presencia o ausencia de</w:t>
      </w:r>
      <w:r>
        <w:t xml:space="preserve"> </w:t>
      </w:r>
      <w:r>
        <w:t xml:space="preserve">características. En datos reales, especialmente cuando existen dependencias</w:t>
      </w:r>
      <w:r>
        <w:t xml:space="preserve"> </w:t>
      </w:r>
      <w:r>
        <w:t xml:space="preserve">entre variables, estas decisiones afectan el significado de la atribución. Por</w:t>
      </w:r>
      <w:r>
        <w:t xml:space="preserve"> </w:t>
      </w:r>
      <w:r>
        <w:t xml:space="preserve">eso, una tabla de valores SHAP no debe presentarse como una descomposición</w:t>
      </w:r>
      <w:r>
        <w:t xml:space="preserve"> </w:t>
      </w:r>
      <w:r>
        <w:t xml:space="preserve">causal directa de la predicción; debe presentarse como una atribución bajo</w:t>
      </w:r>
      <w:r>
        <w:t xml:space="preserve"> </w:t>
      </w:r>
      <w:r>
        <w:t xml:space="preserve">supuestos operacionales específicos</w:t>
      </w:r>
      <w:r>
        <w:t xml:space="preserve"> </w:t>
      </w:r>
      <w:r>
        <w:t xml:space="preserve">(Lundberg 2017; Carvalho et al. 2019)</w:t>
      </w:r>
      <w:r>
        <w:t xml:space="preserve">.</w:t>
      </w:r>
    </w:p>
    <w:p>
      <w:pPr>
        <w:pStyle w:val="Textoindependiente"/>
        <w:spacing w:line="360" w:lineRule="auto"/>
        <w:jc w:val="both"/>
      </w:pPr>
      <w:r>
        <w:t xml:space="preserve">La diferencia entre KernelSHAP y TreeSHAP también es relevante para el diseño</w:t>
      </w:r>
      <w:r>
        <w:t xml:space="preserve"> </w:t>
      </w:r>
      <w:r>
        <w:t xml:space="preserve">experimental. KernelSHAP conserva una orientación agnóstica, pero puede exigir</w:t>
      </w:r>
      <w:r>
        <w:t xml:space="preserve"> </w:t>
      </w:r>
      <w:r>
        <w:t xml:space="preserve">un número elevado de consultas al modelo. TreeSHAP aprovecha la estructura de</w:t>
      </w:r>
      <w:r>
        <w:t xml:space="preserve"> </w:t>
      </w:r>
      <w:r>
        <w:t xml:space="preserve">árboles para reducir coste y mejorar factibilidad en familias concretas de</w:t>
      </w:r>
      <w:r>
        <w:t xml:space="preserve"> </w:t>
      </w:r>
      <w:r>
        <w:t xml:space="preserve">modelos. Esta diferencia muestra que</w:t>
      </w:r>
      <w:r>
        <w:t xml:space="preserve"> </w:t>
      </w:r>
      <w:r>
        <w:t xml:space="preserve">“usar SHAP”</w:t>
      </w:r>
      <w:r>
        <w:t xml:space="preserve"> </w:t>
      </w:r>
      <w:r>
        <w:t xml:space="preserve">no describe por sí mismo una</w:t>
      </w:r>
      <w:r>
        <w:t xml:space="preserve"> </w:t>
      </w:r>
      <w:r>
        <w:t xml:space="preserve">condición experimental suficiente. Se debe específicar variante, modelo base,</w:t>
      </w:r>
      <w:r>
        <w:t xml:space="preserve"> </w:t>
      </w:r>
      <w:r>
        <w:t xml:space="preserve">conjunto de referencia, estrategia de aproximación y coste de cómputo. La</w:t>
      </w:r>
      <w:r>
        <w:t xml:space="preserve"> </w:t>
      </w:r>
      <w:r>
        <w:t xml:space="preserve">literatura teórica sobre la tractabilidad de SHAP refuerza esta precaución:</w:t>
      </w:r>
      <w:r>
        <w:t xml:space="preserve"> </w:t>
      </w:r>
      <w:r>
        <w:t xml:space="preserve">calcular explicaciones exactas puede ser difícil o inviable en clases amplias de</w:t>
      </w:r>
      <w:r>
        <w:t xml:space="preserve"> </w:t>
      </w:r>
      <w:r>
        <w:t xml:space="preserve">modelos, por lo que la evaluación debe registrar cuando se trabaja con</w:t>
      </w:r>
      <w:r>
        <w:t xml:space="preserve"> </w:t>
      </w:r>
      <w:r>
        <w:t xml:space="preserve">aproximaciones y qué compromisos introducen</w:t>
      </w:r>
      <w:r>
        <w:t xml:space="preserve"> </w:t>
      </w:r>
      <w:r>
        <w:t xml:space="preserve">(Van den Broeck et al. 2022)</w:t>
      </w:r>
      <w:r>
        <w:t xml:space="preserve">.</w:t>
      </w:r>
    </w:p>
    <w:p>
      <w:pPr>
        <w:pStyle w:val="Textoindependiente"/>
        <w:spacing w:line="360" w:lineRule="auto"/>
        <w:jc w:val="both"/>
      </w:pPr>
      <w:r>
        <w:t xml:space="preserve">SHAP ocupa asi una posición doble en la tesis. Por un lado, es un referente</w:t>
      </w:r>
      <w:r>
        <w:t xml:space="preserve"> </w:t>
      </w:r>
      <w:r>
        <w:t xml:space="preserve">indispensable por su formalizacion de la atribución aditiva y su adopcion en</w:t>
      </w:r>
      <w:r>
        <w:t xml:space="preserve"> </w:t>
      </w:r>
      <w:r>
        <w:t xml:space="preserve">investigación aplicada. Por otro lado, es un ejemplo de que una base formal no</w:t>
      </w:r>
      <w:r>
        <w:t xml:space="preserve"> </w:t>
      </w:r>
      <w:r>
        <w:t xml:space="preserve">elimina la necesidad de gobernanza experimental. FOM-7 debe evitar comparar SHAP</w:t>
      </w:r>
      <w:r>
        <w:t xml:space="preserve"> </w:t>
      </w:r>
      <w:r>
        <w:t xml:space="preserve">con LIME o Anchors como si todos produjeran explicaciones del mismo tipo. En</w:t>
      </w:r>
      <w:r>
        <w:t xml:space="preserve"> </w:t>
      </w:r>
      <w:r>
        <w:t xml:space="preserve">SHAP, el objeto central es una asignación de contribuciones; en LIME, una</w:t>
      </w:r>
      <w:r>
        <w:t xml:space="preserve"> </w:t>
      </w:r>
      <w:r>
        <w:t xml:space="preserve">aproximación local; en Anchors, una regla; en DiCE, una alternativa</w:t>
      </w:r>
      <w:r>
        <w:t xml:space="preserve"> </w:t>
      </w:r>
      <w:r>
        <w:t xml:space="preserve">contrafactual. Esta heterogeneidad exige métricas diferenciadas y afirmaciones</w:t>
      </w:r>
      <w:r>
        <w:t xml:space="preserve"> </w:t>
      </w:r>
      <w:r>
        <w:t xml:space="preserve">cuidadosamente acotadas</w:t>
      </w:r>
      <w:r>
        <w:t xml:space="preserve"> </w:t>
      </w:r>
      <w:r>
        <w:t xml:space="preserve">(Guidotti et al. 2018; Nauta et al. 2023)</w:t>
      </w:r>
      <w:r>
        <w:t xml:space="preserve">.</w:t>
      </w:r>
    </w:p>
    <w:bookmarkEnd w:id="48"/>
    <w:bookmarkStart w:id="49" w:name="X029215b3a63b0848a75a7aa70454b1144c0f31f"/>
    <w:p>
      <w:pPr>
        <w:pStyle w:val="Ttulo3"/>
        <w:spacing w:line="360" w:lineRule="auto"/>
        <w:jc w:val="both"/>
      </w:pPr>
      <w:r>
        <w:t xml:space="preserve">Anchors: reglas de alta precisión y límites de cobertura</w:t>
      </w:r>
    </w:p>
    <w:p>
      <w:pPr>
        <w:pStyle w:val="FirstParagraph"/>
        <w:spacing w:line="360" w:lineRule="auto"/>
        <w:jc w:val="both"/>
      </w:pPr>
      <w:r>
        <w:t xml:space="preserve">Anchors propone explicaciones en forma de reglas locales de alta precisión</w:t>
      </w:r>
      <w:r>
        <w:t xml:space="preserve"> </w:t>
      </w:r>
      <w:r>
        <w:t xml:space="preserve">(Ribeiro 2018)</w:t>
      </w:r>
      <w:r>
        <w:t xml:space="preserve">. En vez de asignar pesos a características, busca condiciones</w:t>
      </w:r>
      <w:r>
        <w:t xml:space="preserve"> </w:t>
      </w:r>
      <w:r>
        <w:t xml:space="preserve">que, cuando se cumplen, hacen que el modelo mantenga una predicción con alta</w:t>
      </w:r>
      <w:r>
        <w:t xml:space="preserve"> </w:t>
      </w:r>
      <w:r>
        <w:t xml:space="preserve">probabilidad. La promesa de Anchors es comunicativa: una regla del tipo</w:t>
      </w:r>
      <w:r>
        <w:t xml:space="preserve"> </w:t>
      </w:r>
      <w:r>
        <w:t xml:space="preserve">“si se</w:t>
      </w:r>
      <w:r>
        <w:t xml:space="preserve"> </w:t>
      </w:r>
      <w:r>
        <w:t xml:space="preserve">cumplen estas condiciones, la predicción se mantiene”</w:t>
      </w:r>
      <w:r>
        <w:t xml:space="preserve"> </w:t>
      </w:r>
      <w:r>
        <w:t xml:space="preserve">puede ser más accionable</w:t>
      </w:r>
      <w:r>
        <w:t xml:space="preserve"> </w:t>
      </w:r>
      <w:r>
        <w:t xml:space="preserve">que una lista de pesos.</w:t>
      </w:r>
    </w:p>
    <w:p>
      <w:pPr>
        <w:pStyle w:val="Textoindependiente"/>
        <w:spacing w:line="360" w:lineRule="auto"/>
        <w:jc w:val="both"/>
      </w:pPr>
      <w:r>
        <w:t xml:space="preserve">La precisión de una regla, sin embargo, debe interpretarse junto con su</w:t>
      </w:r>
      <w:r>
        <w:t xml:space="preserve"> </w:t>
      </w:r>
      <w:r>
        <w:t xml:space="preserve">cobertura. Una regla extremadamente específica puede alcanzar alta precisión</w:t>
      </w:r>
      <w:r>
        <w:t xml:space="preserve"> </w:t>
      </w:r>
      <w:r>
        <w:t xml:space="preserve">porque aplica a muy pocos casos. Una regla más general puede cubrir una región</w:t>
      </w:r>
      <w:r>
        <w:t xml:space="preserve"> </w:t>
      </w:r>
      <w:r>
        <w:t xml:space="preserve">amplia, pero perder precisión. Esta tensión convierte a Anchors en un caso</w:t>
      </w:r>
      <w:r>
        <w:t xml:space="preserve"> </w:t>
      </w:r>
      <w:r>
        <w:t xml:space="preserve">fundamental para la evaluación multinivel: una métrica aislada puede favorecer</w:t>
      </w:r>
      <w:r>
        <w:t xml:space="preserve"> </w:t>
      </w:r>
      <w:r>
        <w:t xml:space="preserve">reglas aparentemente excelentes que no son útiles fuera de un subconjunto</w:t>
      </w:r>
      <w:r>
        <w:t xml:space="preserve"> </w:t>
      </w:r>
      <w:r>
        <w:t xml:space="preserve">limitado.</w:t>
      </w:r>
    </w:p>
    <w:p>
      <w:pPr>
        <w:pStyle w:val="Textoindependiente"/>
        <w:spacing w:line="360" w:lineRule="auto"/>
        <w:jc w:val="both"/>
      </w:pPr>
      <w:r>
        <w:t xml:space="preserve">Para FOM-7, Anchors representa explicaciones basadas en condiciones suficientes</w:t>
      </w:r>
      <w:r>
        <w:t xml:space="preserve"> </w:t>
      </w:r>
      <w:r>
        <w:t xml:space="preserve">aproximadas. Su evaluación debe separar precisión local, cobertura,</w:t>
      </w:r>
      <w:r>
        <w:t xml:space="preserve"> </w:t>
      </w:r>
      <w:r>
        <w:t xml:space="preserve">complejidad de regla y reproducibilidad. Esta separación evita comparar Anchors</w:t>
      </w:r>
      <w:r>
        <w:t xml:space="preserve"> </w:t>
      </w:r>
      <w:r>
        <w:t xml:space="preserve">con LIME o SHAP como si todos produjeran el mismo tipo de evidencia.</w:t>
      </w:r>
    </w:p>
    <w:p>
      <w:pPr>
        <w:pStyle w:val="Textoindependiente"/>
        <w:spacing w:line="360" w:lineRule="auto"/>
        <w:jc w:val="both"/>
      </w:pPr>
      <w:r>
        <w:t xml:space="preserve">La contribución conceptual de Anchors es introducir una forma de explicación que</w:t>
      </w:r>
      <w:r>
        <w:t xml:space="preserve"> </w:t>
      </w:r>
      <w:r>
        <w:t xml:space="preserve">se aproxima al razonamiento por condiciones: una predicción se mantiene cuando</w:t>
      </w:r>
      <w:r>
        <w:t xml:space="preserve"> </w:t>
      </w:r>
      <w:r>
        <w:t xml:space="preserve">ciertas premisas se conservan. Esta estructura puede ser más legible que una</w:t>
      </w:r>
      <w:r>
        <w:t xml:space="preserve"> </w:t>
      </w:r>
      <w:r>
        <w:t xml:space="preserve">lista de pesos, especialmente cuando la explicación se comunica a personas que</w:t>
      </w:r>
      <w:r>
        <w:t xml:space="preserve"> </w:t>
      </w:r>
      <w:r>
        <w:t xml:space="preserve">razonan mediante reglas o excepciones. Sin embargo, la legibilidad no resuelve</w:t>
      </w:r>
      <w:r>
        <w:t xml:space="preserve"> </w:t>
      </w:r>
      <w:r>
        <w:t xml:space="preserve">el problema de validez. Una regla de alta precisión puede estar anclada en una</w:t>
      </w:r>
      <w:r>
        <w:t xml:space="preserve"> </w:t>
      </w:r>
      <w:r>
        <w:t xml:space="preserve">región pequena del espacio de datos; una regla de mayor cobertura puede perder</w:t>
      </w:r>
      <w:r>
        <w:t xml:space="preserve"> </w:t>
      </w:r>
      <w:r>
        <w:t xml:space="preserve">garantias locales. Por tanto, precisión y cobertura deben reportarse juntas, y</w:t>
      </w:r>
      <w:r>
        <w:t xml:space="preserve"> </w:t>
      </w:r>
      <w:r>
        <w:t xml:space="preserve">ninguna debe convertirse por sí sola en sinonimo de calidad explicativa</w:t>
      </w:r>
      <w:r>
        <w:t xml:space="preserve"> </w:t>
      </w:r>
      <w:r>
        <w:t xml:space="preserve">(Ribeiro 2018; Guidotti et al. 2018)</w:t>
      </w:r>
      <w:r>
        <w:t xml:space="preserve">.</w:t>
      </w:r>
    </w:p>
    <w:p>
      <w:pPr>
        <w:pStyle w:val="Textoindependiente"/>
        <w:spacing w:line="360" w:lineRule="auto"/>
        <w:jc w:val="both"/>
      </w:pPr>
      <w:r>
        <w:t xml:space="preserve">Anchors también muestra por qué la evaluación debe atender al formato de salida.</w:t>
      </w:r>
      <w:r>
        <w:t xml:space="preserve"> </w:t>
      </w:r>
      <w:r>
        <w:t xml:space="preserve">Una regla tiene cardinalidad, condiciones, umbrales y cobertura; una atribución</w:t>
      </w:r>
      <w:r>
        <w:t xml:space="preserve"> </w:t>
      </w:r>
      <w:r>
        <w:t xml:space="preserve">tiene pesos; un contrafactual tiene distancia, factibilidad y validez. Si el</w:t>
      </w:r>
      <w:r>
        <w:t xml:space="preserve"> </w:t>
      </w:r>
      <w:r>
        <w:t xml:space="preserve">benchmark traduce todos esos objetos a una sola escala, corre el riesgo de</w:t>
      </w:r>
      <w:r>
        <w:t xml:space="preserve"> </w:t>
      </w:r>
      <w:r>
        <w:t xml:space="preserve">medir más la conveniencia de la métrica que la calidad del método. Para FOM-7,</w:t>
      </w:r>
      <w:r>
        <w:t xml:space="preserve"> </w:t>
      </w:r>
      <w:r>
        <w:t xml:space="preserve">Anchors cumple entonces una función teórica: obliga a reconocer que las métricas</w:t>
      </w:r>
      <w:r>
        <w:t xml:space="preserve"> </w:t>
      </w:r>
      <w:r>
        <w:t xml:space="preserve">deben estar alineadas con el tipo de explicación. La tesis no debe preguntar</w:t>
      </w:r>
      <w:r>
        <w:t xml:space="preserve"> </w:t>
      </w:r>
      <w:r>
        <w:t xml:space="preserve">solo</w:t>
      </w:r>
      <w:r>
        <w:t xml:space="preserve"> </w:t>
      </w:r>
      <w:r>
        <w:t xml:space="preserve">“qué método gana”</w:t>
      </w:r>
      <w:r>
        <w:t xml:space="preserve">, sino</w:t>
      </w:r>
      <w:r>
        <w:t xml:space="preserve"> </w:t>
      </w:r>
      <w:r>
        <w:t xml:space="preserve">“qué propiedad de qué objeto explicativo se está</w:t>
      </w:r>
      <w:r>
        <w:t xml:space="preserve"> </w:t>
      </w:r>
      <w:r>
        <w:t xml:space="preserve">evaluando bajo qué condiciones”</w:t>
      </w:r>
      <w:r>
        <w:t xml:space="preserve"> </w:t>
      </w:r>
      <w:r>
        <w:t xml:space="preserve">(Carvalho et al. 2019; Nauta et al. 2023)</w:t>
      </w:r>
      <w:r>
        <w:t xml:space="preserve">.</w:t>
      </w:r>
    </w:p>
    <w:bookmarkEnd w:id="49"/>
    <w:bookmarkStart w:id="50" w:name="Xd196f32f12fd1cc1850af93995e5a1615dfcb83"/>
    <w:p>
      <w:pPr>
        <w:pStyle w:val="Ttulo3"/>
        <w:spacing w:line="360" w:lineRule="auto"/>
        <w:jc w:val="both"/>
      </w:pPr>
      <w:r>
        <w:t xml:space="preserve">DiCE: contrafactuales, accionabilidad y validez</w:t>
      </w:r>
    </w:p>
    <w:p>
      <w:pPr>
        <w:pStyle w:val="FirstParagraph"/>
        <w:spacing w:line="360" w:lineRule="auto"/>
        <w:jc w:val="both"/>
      </w:pPr>
      <w:r>
        <w:t xml:space="preserve">DiCE introduce explicaciones contrafactuales diversas, orientadas a mostrar</w:t>
      </w:r>
      <w:r>
        <w:t xml:space="preserve"> </w:t>
      </w:r>
      <w:r>
        <w:t xml:space="preserve">cambios plausibles que podrían alterar la decisión de un modelo</w:t>
      </w:r>
      <w:r>
        <w:t xml:space="preserve"> </w:t>
      </w:r>
      <w:r>
        <w:t xml:space="preserve">(Mothilal 2020)</w:t>
      </w:r>
      <w:r>
        <w:t xml:space="preserve">.</w:t>
      </w:r>
      <w:r>
        <w:t xml:space="preserve"> </w:t>
      </w:r>
      <w:r>
        <w:t xml:space="preserve">Su pregunta no es</w:t>
      </w:r>
      <w:r>
        <w:t xml:space="preserve"> </w:t>
      </w:r>
      <w:r>
        <w:t xml:space="preserve">“qué características contribuyeron más a esta predicción”</w:t>
      </w:r>
      <w:r>
        <w:t xml:space="preserve">,</w:t>
      </w:r>
      <w:r>
        <w:t xml:space="preserve"> </w:t>
      </w:r>
      <w:r>
        <w:t xml:space="preserve">sino</w:t>
      </w:r>
      <w:r>
        <w:t xml:space="preserve"> </w:t>
      </w:r>
      <w:r>
        <w:t xml:space="preserve">“qué tendría que cambiar para obtener otro resultado”</w:t>
      </w:r>
      <w:r>
        <w:t xml:space="preserve">. Esta diferencia</w:t>
      </w:r>
      <w:r>
        <w:t xml:space="preserve"> </w:t>
      </w:r>
      <w:r>
        <w:t xml:space="preserve">ubica a DiCE en una familia explicativa distinta, especialmente relevante para</w:t>
      </w:r>
      <w:r>
        <w:t xml:space="preserve"> </w:t>
      </w:r>
      <w:r>
        <w:t xml:space="preserve">escenarios donde el usuario necesita comprender alternativas de acción.</w:t>
      </w:r>
    </w:p>
    <w:p>
      <w:pPr>
        <w:pStyle w:val="Textoindependiente"/>
        <w:spacing w:line="360" w:lineRule="auto"/>
        <w:jc w:val="both"/>
      </w:pPr>
      <w:r>
        <w:t xml:space="preserve">La evaluación de contrafactuales exige criterios adicionales. Un contrafactual</w:t>
      </w:r>
      <w:r>
        <w:t xml:space="preserve"> </w:t>
      </w:r>
      <w:r>
        <w:t xml:space="preserve">debe ser válido respecto al modelo, cercano a la instancia original, diverso</w:t>
      </w:r>
      <w:r>
        <w:t xml:space="preserve"> </w:t>
      </w:r>
      <w:r>
        <w:t xml:space="preserve">respecto a otras alternativas y, en muchos dominios, accionable. La</w:t>
      </w:r>
      <w:r>
        <w:t xml:space="preserve"> </w:t>
      </w:r>
      <w:r>
        <w:t xml:space="preserve">accionabilidad impone restricciones semánticas: no todas las características</w:t>
      </w:r>
      <w:r>
        <w:t xml:space="preserve"> </w:t>
      </w:r>
      <w:r>
        <w:t xml:space="preserve">pueden modificarse, y no todos los cambios matemáticamente cercanos son</w:t>
      </w:r>
      <w:r>
        <w:t xml:space="preserve"> </w:t>
      </w:r>
      <w:r>
        <w:t xml:space="preserve">realistas. Por ello, una métrica de fidelidad tradicional puede ser insuficiente</w:t>
      </w:r>
      <w:r>
        <w:t xml:space="preserve"> </w:t>
      </w:r>
      <w:r>
        <w:t xml:space="preserve">para evaluar DiCE si no se acompaña de criterios de plausibilidad,</w:t>
      </w:r>
      <w:r>
        <w:t xml:space="preserve"> </w:t>
      </w:r>
      <w:r>
        <w:t xml:space="preserve">factibilidad y coherencia con el dominio</w:t>
      </w:r>
      <w:r>
        <w:t xml:space="preserve"> </w:t>
      </w:r>
      <w:r>
        <w:t xml:space="preserve">(Mothilal 2020; Karimi et al. 2022)</w:t>
      </w:r>
      <w:r>
        <w:t xml:space="preserve">.</w:t>
      </w:r>
    </w:p>
    <w:p>
      <w:pPr>
        <w:pStyle w:val="Textoindependiente"/>
        <w:spacing w:line="360" w:lineRule="auto"/>
        <w:jc w:val="both"/>
      </w:pPr>
      <w:r>
        <w:t xml:space="preserve">En esta tesis, DiCE permite mostrar que FOM-7 no debe forzar una métrica única</w:t>
      </w:r>
      <w:r>
        <w:t xml:space="preserve"> </w:t>
      </w:r>
      <w:r>
        <w:t xml:space="preserve">sobre objetos explicativos heterogéneos. Las explicaciones contrafactuales</w:t>
      </w:r>
      <w:r>
        <w:t xml:space="preserve"> </w:t>
      </w:r>
      <w:r>
        <w:t xml:space="preserve">requieren una lectura propia dentro del protocolo, especialmente cuando se</w:t>
      </w:r>
      <w:r>
        <w:t xml:space="preserve"> </w:t>
      </w:r>
      <w:r>
        <w:t xml:space="preserve">discuten utilidad, sensibilidad y trazabilidad de afirmaciones.</w:t>
      </w:r>
    </w:p>
    <w:p>
      <w:pPr>
        <w:pStyle w:val="Textoindependiente"/>
        <w:spacing w:line="360" w:lineRule="auto"/>
        <w:jc w:val="both"/>
      </w:pPr>
      <w:r>
        <w:t xml:space="preserve">La familia contrafactual amplía la XAI hacia preguntas de recourse y acción.</w:t>
      </w:r>
      <w:r>
        <w:t xml:space="preserve"> </w:t>
      </w:r>
      <w:r>
        <w:t xml:space="preserve">Mientras LIME o SHAP suelen describir por qué una decisión fue tomada en</w:t>
      </w:r>
      <w:r>
        <w:t xml:space="preserve"> </w:t>
      </w:r>
      <w:r>
        <w:t xml:space="preserve">términos de contribuciones o aproximaciones, el contrafactual pregunta que</w:t>
      </w:r>
      <w:r>
        <w:t xml:space="preserve"> </w:t>
      </w:r>
      <w:r>
        <w:t xml:space="preserve">alternativas podrían cambiar el resultado. Esta orientación es atractiva en</w:t>
      </w:r>
      <w:r>
        <w:t xml:space="preserve"> </w:t>
      </w:r>
      <w:r>
        <w:t xml:space="preserve">dominios de decisión porque conecta explicación con posibilidad de intervencion.</w:t>
      </w:r>
      <w:r>
        <w:t xml:space="preserve"> </w:t>
      </w:r>
      <w:r>
        <w:t xml:space="preserve">Sin embargo, también introduce exigencias más fuertes: los cambios sugeridos</w:t>
      </w:r>
      <w:r>
        <w:t xml:space="preserve"> </w:t>
      </w:r>
      <w:r>
        <w:t xml:space="preserve">deben ser posibles, coherentes con restricciones del dominio y no meramente</w:t>
      </w:r>
      <w:r>
        <w:t xml:space="preserve"> </w:t>
      </w:r>
      <w:r>
        <w:t xml:space="preserve">artefactos matemáticos cercanos en el espacio de variables. La literatura sobre</w:t>
      </w:r>
      <w:r>
        <w:t xml:space="preserve"> </w:t>
      </w:r>
      <w:r>
        <w:t xml:space="preserve">recourse enfatiza precisamente que una recomendación consecuencial debe evaluar</w:t>
      </w:r>
      <w:r>
        <w:t xml:space="preserve"> </w:t>
      </w:r>
      <w:r>
        <w:t xml:space="preserve">factibilidad, accionabilidad y consecuencias, no solo inversión de etiqueta</w:t>
      </w:r>
      <w:r>
        <w:t xml:space="preserve"> </w:t>
      </w:r>
      <w:r>
        <w:t xml:space="preserve">(Karimi et al. 2022)</w:t>
      </w:r>
      <w:r>
        <w:t xml:space="preserve">.</w:t>
      </w:r>
    </w:p>
    <w:p>
      <w:pPr>
        <w:pStyle w:val="Textoindependiente"/>
        <w:spacing w:line="360" w:lineRule="auto"/>
        <w:jc w:val="both"/>
      </w:pPr>
      <w:r>
        <w:t xml:space="preserve">DiCE aporta diversidad de alternativas contrafactuales, pero diversidad no</w:t>
      </w:r>
      <w:r>
        <w:t xml:space="preserve"> </w:t>
      </w:r>
      <w:r>
        <w:t xml:space="preserve">equivale automáticamente a accionabilidad. Un conjunto de contrafactuales puede</w:t>
      </w:r>
      <w:r>
        <w:t xml:space="preserve"> </w:t>
      </w:r>
      <w:r>
        <w:t xml:space="preserve">ser diverso en distancia matemática y aun así incluir cambios imposibles para</w:t>
      </w:r>
      <w:r>
        <w:t xml:space="preserve"> </w:t>
      </w:r>
      <w:r>
        <w:t xml:space="preserve">una persona o incoherentes con relaciones del dominio. FACE aborda esta</w:t>
      </w:r>
      <w:r>
        <w:t xml:space="preserve"> </w:t>
      </w:r>
      <w:r>
        <w:t xml:space="preserve">preocupación al enfatizar contrafactuales factibles y accionables en regiones</w:t>
      </w:r>
      <w:r>
        <w:t xml:space="preserve"> </w:t>
      </w:r>
      <w:r>
        <w:t xml:space="preserve">conectadas por datos observados</w:t>
      </w:r>
      <w:r>
        <w:t xml:space="preserve"> </w:t>
      </w:r>
      <w:r>
        <w:t xml:space="preserve">(Poyiadzi et al. 2020)</w:t>
      </w:r>
      <w:r>
        <w:t xml:space="preserve">. A la vez, las críticas sobre</w:t>
      </w:r>
      <w:r>
        <w:t xml:space="preserve"> </w:t>
      </w:r>
      <w:r>
        <w:t xml:space="preserve">contrafactuales post-hoc advierten que una explicación puede ser injustificada</w:t>
      </w:r>
      <w:r>
        <w:t xml:space="preserve"> </w:t>
      </w:r>
      <w:r>
        <w:t xml:space="preserve">si se apoya en regiones poco plausibles o si no respeta la estructura local del</w:t>
      </w:r>
      <w:r>
        <w:t xml:space="preserve"> </w:t>
      </w:r>
      <w:r>
        <w:t xml:space="preserve">problema</w:t>
      </w:r>
      <w:r>
        <w:t xml:space="preserve"> </w:t>
      </w:r>
      <w:r>
        <w:t xml:space="preserve">(Laugel et al. 2019)</w:t>
      </w:r>
      <w:r>
        <w:t xml:space="preserve">. Para FOM-7, esta tensión exige que DiCE sea evaluado</w:t>
      </w:r>
      <w:r>
        <w:t xml:space="preserve"> </w:t>
      </w:r>
      <w:r>
        <w:t xml:space="preserve">con criterios propios: validez de cambio de salida, proximidad, diversidad,</w:t>
      </w:r>
      <w:r>
        <w:t xml:space="preserve"> </w:t>
      </w:r>
      <w:r>
        <w:t xml:space="preserve">factibilidad, accionabilidad y límites de inferencia.</w:t>
      </w:r>
    </w:p>
    <w:p>
      <w:pPr>
        <w:pStyle w:val="Textoindependiente"/>
        <w:spacing w:line="360" w:lineRule="auto"/>
        <w:jc w:val="both"/>
      </w:pPr>
      <w:r>
        <w:t xml:space="preserve">El papel de los contrafactuales en la tesis no es demostrar que el usuario</w:t>
      </w:r>
      <w:r>
        <w:t xml:space="preserve"> </w:t>
      </w:r>
      <w:r>
        <w:t xml:space="preserve">puede ejecutar realmente la acción sugerida en cualquier dominio. El alcance es</w:t>
      </w:r>
      <w:r>
        <w:t xml:space="preserve"> </w:t>
      </w:r>
      <w:r>
        <w:t xml:space="preserve">más prudente: examinar si el método produce artefactos que cumplen criterios</w:t>
      </w:r>
      <w:r>
        <w:t xml:space="preserve"> </w:t>
      </w:r>
      <w:r>
        <w:t xml:space="preserve">operacionales definidos y si esos criterios son trazables. Esta distinción es</w:t>
      </w:r>
      <w:r>
        <w:t xml:space="preserve"> </w:t>
      </w:r>
      <w:r>
        <w:t xml:space="preserve">importante porque la accionabilidad plena suele requerir conocimiento causal,</w:t>
      </w:r>
      <w:r>
        <w:t xml:space="preserve"> </w:t>
      </w:r>
      <w:r>
        <w:t xml:space="preserve">normativo y contextual que excede un benchmark puramente computacional. FOM-7</w:t>
      </w:r>
      <w:r>
        <w:t xml:space="preserve"> </w:t>
      </w:r>
      <w:r>
        <w:t xml:space="preserve">puede registrar la distancia entre validez para el modelo y accionabilidad para</w:t>
      </w:r>
      <w:r>
        <w:t xml:space="preserve"> </w:t>
      </w:r>
      <w:r>
        <w:t xml:space="preserve">la persona, y esa distancia es justamente una de las brechas que una revisión</w:t>
      </w:r>
      <w:r>
        <w:t xml:space="preserve"> </w:t>
      </w:r>
      <w:r>
        <w:t xml:space="preserve">doctoral debe hacer visible</w:t>
      </w:r>
      <w:r>
        <w:t xml:space="preserve"> </w:t>
      </w:r>
      <w:r>
        <w:t xml:space="preserve">(Langer et al. 2021; Karimi et al. 2022)</w:t>
      </w:r>
      <w:r>
        <w:t xml:space="preserve">.</w:t>
      </w:r>
    </w:p>
    <w:bookmarkEnd w:id="50"/>
    <w:bookmarkEnd w:id="51"/>
    <w:bookmarkStart w:id="55" w:name="marcos-y-protocolos-de-evaluación-xai"/>
    <w:p>
      <w:pPr>
        <w:pStyle w:val="Ttulo2"/>
        <w:spacing w:line="360" w:lineRule="auto"/>
        <w:jc w:val="both"/>
      </w:pPr>
      <w:r>
        <w:t xml:space="preserve">Marcos y protocolos de evaluación XAI</w:t>
      </w:r>
    </w:p>
    <w:p>
      <w:pPr>
        <w:pStyle w:val="FirstParagraph"/>
        <w:spacing w:line="360" w:lineRule="auto"/>
        <w:jc w:val="both"/>
      </w:pPr>
      <w:r>
        <w:t xml:space="preserve">La evaluación de interpretabilidad requiere distinguir niveles de evidencia.</w:t>
      </w:r>
      <w:r>
        <w:t xml:space="preserve"> </w:t>
      </w:r>
      <w:r>
        <w:t xml:space="preserve">Doshi-Velez (2017)</w:t>
      </w:r>
      <w:r>
        <w:t xml:space="preserve"> </w:t>
      </w:r>
      <w:r>
        <w:t xml:space="preserve">proponen una taxonomía influyente: evaluación</w:t>
      </w:r>
      <w:r>
        <w:t xml:space="preserve"> </w:t>
      </w:r>
      <w:r>
        <w:t xml:space="preserve">application-grounded, human-grounded y functionally-grounded. La primera evalúa</w:t>
      </w:r>
      <w:r>
        <w:t xml:space="preserve"> </w:t>
      </w:r>
      <w:r>
        <w:t xml:space="preserve">explicaciones en tareas reales con usuarios y dominios específicos. La segunda</w:t>
      </w:r>
      <w:r>
        <w:t xml:space="preserve"> </w:t>
      </w:r>
      <w:r>
        <w:t xml:space="preserve">usa tareas simplificadas con humanos para estudiar propiedades generales de la</w:t>
      </w:r>
      <w:r>
        <w:t xml:space="preserve"> </w:t>
      </w:r>
      <w:r>
        <w:t xml:space="preserve">explicación. La tercera reemplaza la evaluación humana por proxies formales o</w:t>
      </w:r>
      <w:r>
        <w:t xml:space="preserve"> </w:t>
      </w:r>
      <w:r>
        <w:t xml:space="preserve">computacionales cuando existe una razón teórica para hacerlo. Esta distinción</w:t>
      </w:r>
      <w:r>
        <w:t xml:space="preserve"> </w:t>
      </w:r>
      <w:r>
        <w:t xml:space="preserve">es esencial para FOM-7, porque la presente tesis se ubica principalmente en una</w:t>
      </w:r>
      <w:r>
        <w:t xml:space="preserve"> </w:t>
      </w:r>
      <w:r>
        <w:t xml:space="preserve">evaluación functionally-grounded con aspiraciones de trazabilidad hacia</w:t>
      </w:r>
      <w:r>
        <w:t xml:space="preserve"> </w:t>
      </w:r>
      <w:r>
        <w:t xml:space="preserve">afirmaciones técnicas.</w:t>
      </w:r>
    </w:p>
    <w:p>
      <w:pPr>
        <w:pStyle w:val="Textoindependiente"/>
        <w:spacing w:line="360" w:lineRule="auto"/>
        <w:jc w:val="both"/>
      </w:pPr>
      <w:r>
        <w:t xml:space="preserve">La distinción entre estos niveles evita una confusión frecuente: evaluar una</w:t>
      </w:r>
      <w:r>
        <w:t xml:space="preserve"> </w:t>
      </w:r>
      <w:r>
        <w:t xml:space="preserve">explicación con una métrica computacional no equivale a demostrar que mejora la</w:t>
      </w:r>
      <w:r>
        <w:t xml:space="preserve"> </w:t>
      </w:r>
      <w:r>
        <w:t xml:space="preserve">decisión humana. Los estudios human-grounded muestran que la relación entre</w:t>
      </w:r>
      <w:r>
        <w:t xml:space="preserve"> </w:t>
      </w:r>
      <w:r>
        <w:t xml:space="preserve">formato explicativo y comportamiento del usuario es empírica, no deducible solo</w:t>
      </w:r>
      <w:r>
        <w:t xml:space="preserve"> </w:t>
      </w:r>
      <w:r>
        <w:t xml:space="preserve">de la elegancia del método. Por ejemplo, evaluar si ciertas explicaciones ayudan</w:t>
      </w:r>
      <w:r>
        <w:t xml:space="preserve"> </w:t>
      </w:r>
      <w:r>
        <w:t xml:space="preserve">a usuarios a predecir el comportamiento del modelo pertenece a una pregunta</w:t>
      </w:r>
      <w:r>
        <w:t xml:space="preserve"> </w:t>
      </w:r>
      <w:r>
        <w:t xml:space="preserve">distinta de medir fidelidad o estabilidad en un benchmark</w:t>
      </w:r>
      <w:r>
        <w:t xml:space="preserve"> </w:t>
      </w:r>
      <w:r>
        <w:t xml:space="preserve">(Hase and Bansal 2020)</w:t>
      </w:r>
      <w:r>
        <w:t xml:space="preserve">. Del</w:t>
      </w:r>
      <w:r>
        <w:t xml:space="preserve"> </w:t>
      </w:r>
      <w:r>
        <w:t xml:space="preserve">mismo modo, los estudios con científicos de datos muestran que las herramientas</w:t>
      </w:r>
      <w:r>
        <w:t xml:space="preserve"> </w:t>
      </w:r>
      <w:r>
        <w:t xml:space="preserve">de interpretabilidad se insertan en practicas de depuración, validación y</w:t>
      </w:r>
      <w:r>
        <w:t xml:space="preserve"> </w:t>
      </w:r>
      <w:r>
        <w:t xml:space="preserve">comunicación que no se reducen a una puntuación única</w:t>
      </w:r>
      <w:r>
        <w:t xml:space="preserve"> </w:t>
      </w:r>
      <w:r>
        <w:t xml:space="preserve">(Kaur et al. 2020)</w:t>
      </w:r>
      <w:r>
        <w:t xml:space="preserve">. Por ello,</w:t>
      </w:r>
      <w:r>
        <w:t xml:space="preserve"> </w:t>
      </w:r>
      <w:r>
        <w:t xml:space="preserve">FOM-7 debe afirmar con precisión que produce evidencia functionally-grounded y</w:t>
      </w:r>
      <w:r>
        <w:t xml:space="preserve"> </w:t>
      </w:r>
      <w:r>
        <w:t xml:space="preserve">no evidencia application-grounded.</w:t>
      </w:r>
    </w:p>
    <w:p>
      <w:pPr>
        <w:pStyle w:val="Textoindependiente"/>
        <w:spacing w:line="360" w:lineRule="auto"/>
        <w:jc w:val="both"/>
      </w:pPr>
      <w:r>
        <w:t xml:space="preserve">Quantus responde a la necesidad de evaluar explicaciones mediante un toolkit</w:t>
      </w:r>
      <w:r>
        <w:t xml:space="preserve"> </w:t>
      </w:r>
      <w:r>
        <w:t xml:space="preserve">que agrupa métricas y facilita comparaciones sistemáticas</w:t>
      </w:r>
      <w:r>
        <w:t xml:space="preserve"> </w:t>
      </w:r>
      <w:r>
        <w:t xml:space="preserve">(Hedström et al. 2023)</w:t>
      </w:r>
      <w:r>
        <w:t xml:space="preserve">.</w:t>
      </w:r>
      <w:r>
        <w:t xml:space="preserve"> </w:t>
      </w:r>
      <w:r>
        <w:t xml:space="preserve">Su contribución es importante porque reduce friccion tecnica, ordena familias de</w:t>
      </w:r>
      <w:r>
        <w:t xml:space="preserve"> </w:t>
      </w:r>
      <w:r>
        <w:t xml:space="preserve">métricas y promueve evaluaciones más reproducibles. No obstante, un toolkit no</w:t>
      </w:r>
      <w:r>
        <w:t xml:space="preserve"> </w:t>
      </w:r>
      <w:r>
        <w:t xml:space="preserve">resuelve por sí solo el problema de gobernanza del protocolo. Antes de ejecutar</w:t>
      </w:r>
      <w:r>
        <w:t xml:space="preserve"> </w:t>
      </w:r>
      <w:r>
        <w:t xml:space="preserve">métricas deben definirse artefactos, condiciones experimentales, filtros de</w:t>
      </w:r>
      <w:r>
        <w:t xml:space="preserve"> </w:t>
      </w:r>
      <w:r>
        <w:t xml:space="preserve">admisibilidad, estructura de reporte y reglas para convertir resultados en</w:t>
      </w:r>
      <w:r>
        <w:t xml:space="preserve"> </w:t>
      </w:r>
      <w:r>
        <w:t xml:space="preserve">afirmaciones defendibles.</w:t>
      </w:r>
    </w:p>
    <w:p>
      <w:pPr>
        <w:pStyle w:val="Textoindependiente"/>
        <w:spacing w:line="360" w:lineRule="auto"/>
        <w:jc w:val="both"/>
      </w:pPr>
      <w:r>
        <w:t xml:space="preserve">OpenXAI avanza en una direccion complementaria al proponer una plataforma de</w:t>
      </w:r>
      <w:r>
        <w:t xml:space="preserve"> </w:t>
      </w:r>
      <w:r>
        <w:t xml:space="preserve">evaluación transparente para explicaciones post-hoc</w:t>
      </w:r>
      <w:r>
        <w:t xml:space="preserve"> </w:t>
      </w:r>
      <w:r>
        <w:t xml:space="preserve">(Agarwal et al. 2022)</w:t>
      </w:r>
      <w:r>
        <w:t xml:space="preserve">. Su aporte</w:t>
      </w:r>
      <w:r>
        <w:t xml:space="preserve"> </w:t>
      </w:r>
      <w:r>
        <w:t xml:space="preserve">esta en hacer comparables métodos y condiciones de benchmarking. Para esta</w:t>
      </w:r>
      <w:r>
        <w:t xml:space="preserve"> </w:t>
      </w:r>
      <w:r>
        <w:t xml:space="preserve">tesis, OpenXAI funciona como referente directo: confirma que el problema de</w:t>
      </w:r>
      <w:r>
        <w:t xml:space="preserve"> </w:t>
      </w:r>
      <w:r>
        <w:t xml:space="preserve">estandarización es reconocido por la comunidad, pero también permite delimitar</w:t>
      </w:r>
      <w:r>
        <w:t xml:space="preserve"> </w:t>
      </w:r>
      <w:r>
        <w:t xml:space="preserve">la contribución de FOM-7. FOM-7 no pretende reemplazar estos marcos; busca</w:t>
      </w:r>
      <w:r>
        <w:t xml:space="preserve"> </w:t>
      </w:r>
      <w:r>
        <w:t xml:space="preserve">operacionalizar el camino desde el diseño experimental hasta la trazabilidad de</w:t>
      </w:r>
      <w:r>
        <w:t xml:space="preserve"> </w:t>
      </w:r>
      <w:r>
        <w:t xml:space="preserve">conclusiones en el contexto empírico de la tesis.</w:t>
      </w:r>
    </w:p>
    <w:p>
      <w:pPr>
        <w:pStyle w:val="Textoindependiente"/>
        <w:spacing w:line="360" w:lineRule="auto"/>
        <w:jc w:val="both"/>
      </w:pPr>
      <w:r>
        <w:t xml:space="preserve">La revisión sistemática de evaluación XAI refuerza este posiciónamiento.</w:t>
      </w:r>
      <w:r>
        <w:t xml:space="preserve"> </w:t>
      </w:r>
      <w:r>
        <w:t xml:space="preserve">Nauta et al. (2023)</w:t>
      </w:r>
      <w:r>
        <w:t xml:space="preserve"> </w:t>
      </w:r>
      <w:r>
        <w:t xml:space="preserve">describen un desplazamiento necesario desde evidencia anecdótica</w:t>
      </w:r>
      <w:r>
        <w:t xml:space="preserve"> </w:t>
      </w:r>
      <w:r>
        <w:t xml:space="preserve">hacia métodos cuantitativos de evaluación, pero ese desplazamiento no resuelve</w:t>
      </w:r>
      <w:r>
        <w:t xml:space="preserve"> </w:t>
      </w:r>
      <w:r>
        <w:t xml:space="preserve">por sí solo la relación entre métrica, constructo y claim. La evaluación puede</w:t>
      </w:r>
      <w:r>
        <w:t xml:space="preserve"> </w:t>
      </w:r>
      <w:r>
        <w:t xml:space="preserve">ser cuantitativa y aun así estar mal alineada si la métrica mide una propiedad</w:t>
      </w:r>
      <w:r>
        <w:t xml:space="preserve"> </w:t>
      </w:r>
      <w:r>
        <w:t xml:space="preserve">distinta a la afirmación. Los sanity checks para métricas de saliencia apuntan a</w:t>
      </w:r>
      <w:r>
        <w:t xml:space="preserve"> </w:t>
      </w:r>
      <w:r>
        <w:t xml:space="preserve">un problema similar: no basta con evaluar explicaciones; también deben</w:t>
      </w:r>
      <w:r>
        <w:t xml:space="preserve"> </w:t>
      </w:r>
      <w:r>
        <w:t xml:space="preserve">examinarse las métricas usadas para evaluarlas</w:t>
      </w:r>
      <w:r>
        <w:t xml:space="preserve"> </w:t>
      </w:r>
      <w:r>
        <w:t xml:space="preserve">(Tomsett et al. 2020)</w:t>
      </w:r>
      <w:r>
        <w:t xml:space="preserve">. Esta idea es</w:t>
      </w:r>
      <w:r>
        <w:t xml:space="preserve"> </w:t>
      </w:r>
      <w:r>
        <w:t xml:space="preserve">central para FOM-7, porque la tesis no puede tratar las métricas como</w:t>
      </w:r>
      <w:r>
        <w:t xml:space="preserve"> </w:t>
      </w:r>
      <w:r>
        <w:t xml:space="preserve">instrumentos neutrales. Debe documentar qué mide cada métrica, bajo qué</w:t>
      </w:r>
      <w:r>
        <w:t xml:space="preserve"> </w:t>
      </w:r>
      <w:r>
        <w:t xml:space="preserve">supuestos, y qué afirmaciones permite sostener.</w:t>
      </w:r>
    </w:p>
    <w:p>
      <w:pPr>
        <w:pStyle w:val="Textoindependiente"/>
        <w:spacing w:line="360" w:lineRule="auto"/>
        <w:jc w:val="both"/>
      </w:pPr>
      <w:r>
        <w:t xml:space="preserve">Los marcos existentes ofrecen piezas importantes del problema. Quantus facilita</w:t>
      </w:r>
      <w:r>
        <w:t xml:space="preserve"> </w:t>
      </w:r>
      <w:r>
        <w:t xml:space="preserve">la implementación sistemática de métricas; OpenXAI promueve comparabilidad y</w:t>
      </w:r>
      <w:r>
        <w:t xml:space="preserve"> </w:t>
      </w:r>
      <w:r>
        <w:t xml:space="preserve">transparencia de benchmark; las taxonomías de evaluación distinguen niveles de</w:t>
      </w:r>
      <w:r>
        <w:t xml:space="preserve"> </w:t>
      </w:r>
      <w:r>
        <w:t xml:space="preserve">evidencia; los estudios human-centered muestran que la utilidad depende de</w:t>
      </w:r>
      <w:r>
        <w:t xml:space="preserve"> </w:t>
      </w:r>
      <w:r>
        <w:t xml:space="preserve">usuarios y tareas</w:t>
      </w:r>
      <w:r>
        <w:t xml:space="preserve"> </w:t>
      </w:r>
      <w:r>
        <w:t xml:space="preserve">(Doshi-Velez 2017; Hedström et al. 2023; Agarwal et al. 2022; Rong et al. 2024)</w:t>
      </w:r>
      <w:r>
        <w:t xml:space="preserve">. FOM-7 se ubica entre estas piezas como una capa de integración</w:t>
      </w:r>
      <w:r>
        <w:t xml:space="preserve"> </w:t>
      </w:r>
      <w:r>
        <w:t xml:space="preserve">operativa. Su pregunta no es solamente</w:t>
      </w:r>
      <w:r>
        <w:t xml:space="preserve"> </w:t>
      </w:r>
      <w:r>
        <w:t xml:space="preserve">“qué métrica ejecutar”</w:t>
      </w:r>
      <w:r>
        <w:t xml:space="preserve">, sino cómo</w:t>
      </w:r>
      <w:r>
        <w:t xml:space="preserve"> </w:t>
      </w:r>
      <w:r>
        <w:t xml:space="preserve">asegurar que cada resultado métricamente calculado pueda transformarse en una</w:t>
      </w:r>
      <w:r>
        <w:t xml:space="preserve"> </w:t>
      </w:r>
      <w:r>
        <w:t xml:space="preserve">afirmación doctoralmente admisible, con artefactos calificados y límites de</w:t>
      </w:r>
      <w:r>
        <w:t xml:space="preserve"> </w:t>
      </w:r>
      <w:r>
        <w:t xml:space="preserve">alcance explícitos.</w:t>
      </w:r>
    </w:p>
    <w:p>
      <w:pPr>
        <w:pStyle w:val="Textoindependiente"/>
        <w:spacing w:line="360" w:lineRule="auto"/>
        <w:jc w:val="both"/>
      </w:pPr>
      <w:r>
        <w:t xml:space="preserve">La Tabla</w:t>
      </w:r>
      <w:r>
        <w:t xml:space="preserve"> </w:t>
      </w:r>
      <w:hyperlink w:anchor="tbl-framework-comparison">
        <w:r>
          <w:rPr>
            <w:rStyle w:val="Hipervnculo"/>
          </w:rPr>
          <w:t xml:space="preserve">Table 3.1</w:t>
        </w:r>
      </w:hyperlink>
      <w:r>
        <w:t xml:space="preserve"> </w:t>
      </w:r>
      <w:r>
        <w:t xml:space="preserve">compara los marcos de evaluación más</w:t>
      </w:r>
      <w:r>
        <w:t xml:space="preserve"> </w:t>
      </w:r>
      <w:r>
        <w:t xml:space="preserve">relevantes para la tesis según cuatro dimensiones: la cobertura de métricas</w:t>
      </w:r>
      <w:r>
        <w:t xml:space="preserve"> </w:t>
      </w:r>
      <w:r>
        <w:t xml:space="preserve">ofrecida, el soporte a la reproducibilidad experimental, la presencia de un</w:t>
      </w:r>
      <w:r>
        <w:t xml:space="preserve"> </w:t>
      </w:r>
      <w:r>
        <w:t xml:space="preserve">protocolo de gobernanza secuencial y el tipo de evaluación predominante.</w:t>
      </w:r>
    </w:p>
    <w:tbl>
      <w:tblPr>
        <w:tblStyle w:val="Table"/>
        <w:tblW w:type="pct" w:w="5000"/>
        <w:tblLayout w:type="fixed"/>
        <w:tblLook w:firstRow="0" w:lastRow="0" w:firstColumn="0" w:lastColumn="0" w:noHBand="0" w:noVBand="0" w:val="0000"/>
      </w:tblPr>
      <w:tblGrid>
        <w:gridCol w:w="7920"/>
      </w:tblGrid>
      <w:tr>
        <w:tc>
          <w:tcPr/>
          <w:bookmarkStart w:id="52" w:name="tbl-framework-comparison"/>
          <w:p>
            <w:pPr>
              <w:jc w:val="both"/>
              <w:spacing w:line="360" w:lineRule="auto"/>
            </w:pPr>
            <w:pPr>
              <w:jc w:val="left"/>
              <w:spacing w:before="200"/>
              <w:pStyle w:val="ImageCaption"/>
            </w:pPr>
            <w:r>
              <w:t xml:space="preserve">Table 3.1: Comparación de marcos de evaluación XAI según cobertura, reproducibilidad, gobernanza y tipo de evaluación.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Marco / protocolo</w:t>
                  </w:r>
                </w:p>
              </w:tc>
              <w:tc>
                <w:tcPr/>
                <w:p>
                  <w:pPr>
                    <w:pStyle w:val="Compact"/>
                    <w:jc w:val="both"/>
                    <w:jc w:val="center"/>
                    <w:spacing w:line="360" w:lineRule="auto"/>
                  </w:pPr>
                  <w:r>
                    <w:t xml:space="preserve">Cobertura de métricas</w:t>
                  </w:r>
                </w:p>
              </w:tc>
              <w:tc>
                <w:tcPr/>
                <w:p>
                  <w:pPr>
                    <w:pStyle w:val="Compact"/>
                    <w:jc w:val="both"/>
                    <w:jc w:val="center"/>
                    <w:spacing w:line="360" w:lineRule="auto"/>
                  </w:pPr>
                  <w:r>
                    <w:t xml:space="preserve">Soporte a reproducibilidad</w:t>
                  </w:r>
                </w:p>
              </w:tc>
              <w:tc>
                <w:tcPr/>
                <w:p>
                  <w:pPr>
                    <w:pStyle w:val="Compact"/>
                    <w:jc w:val="both"/>
                    <w:jc w:val="center"/>
                    <w:spacing w:line="360" w:lineRule="auto"/>
                  </w:pPr>
                  <w:r>
                    <w:t xml:space="preserve">Protocolo de gobernanza</w:t>
                  </w:r>
                </w:p>
              </w:tc>
              <w:tc>
                <w:tcPr/>
                <w:p>
                  <w:pPr>
                    <w:pStyle w:val="Compact"/>
                    <w:jc w:val="both"/>
                    <w:jc w:val="center"/>
                    <w:spacing w:line="360" w:lineRule="auto"/>
                  </w:pPr>
                  <w:r>
                    <w:t xml:space="preserve">Tipo de evaluación predominante</w:t>
                  </w:r>
                </w:p>
              </w:tc>
            </w:tr>
            <w:tr>
              <w:tc>
                <w:tcPr/>
                <w:p>
                  <w:pPr>
                    <w:pStyle w:val="Compact"/>
                    <w:jc w:val="both"/>
                    <w:jc w:val="center"/>
                    <w:spacing w:line="360" w:lineRule="auto"/>
                  </w:pPr>
                  <w:r>
                    <w:rPr>
                      <w:b/>
                      <w:bCs/>
                    </w:rPr>
                    <w:t xml:space="preserve">Quantus</w:t>
                  </w:r>
                  <w:r>
                    <w:t xml:space="preserve"> </w:t>
                  </w:r>
                  <w:r>
                    <w:t xml:space="preserve">(Hedström et al. 2023)</w:t>
                  </w:r>
                </w:p>
              </w:tc>
              <w:tc>
                <w:tcPr/>
                <w:p>
                  <w:pPr>
                    <w:pStyle w:val="Compact"/>
                    <w:jc w:val="both"/>
                    <w:jc w:val="center"/>
                    <w:spacing w:line="360" w:lineRule="auto"/>
                  </w:pPr>
                  <w:r>
                    <w:t xml:space="preserve">Alta: 20+ métricas implementadas (fidelidad, robustez, complejidad, localidad, aleatoriedad)</w:t>
                  </w:r>
                </w:p>
              </w:tc>
              <w:tc>
                <w:tcPr/>
                <w:p>
                  <w:pPr>
                    <w:pStyle w:val="Compact"/>
                    <w:jc w:val="both"/>
                    <w:jc w:val="center"/>
                    <w:spacing w:line="360" w:lineRule="auto"/>
                  </w:pPr>
                  <w:r>
                    <w:t xml:space="preserve">Moderado: versiones fijadas, pero sin protocolo de calificación de artefactos</w:t>
                  </w:r>
                </w:p>
              </w:tc>
              <w:tc>
                <w:tcPr/>
                <w:p>
                  <w:pPr>
                    <w:pStyle w:val="Compact"/>
                    <w:jc w:val="both"/>
                    <w:jc w:val="center"/>
                    <w:spacing w:line="360" w:lineRule="auto"/>
                  </w:pPr>
                  <w:r>
                    <w:t xml:space="preserve">Ninguno: uso ad-hoc por el investigador</w:t>
                  </w:r>
                </w:p>
              </w:tc>
              <w:tc>
                <w:tcPr/>
                <w:p>
                  <w:pPr>
                    <w:pStyle w:val="Compact"/>
                    <w:jc w:val="both"/>
                    <w:jc w:val="center"/>
                    <w:spacing w:line="360" w:lineRule="auto"/>
                  </w:pPr>
                  <w:r>
                    <w:t xml:space="preserve">Functionally-grounded; sin capa inferencial integrada</w:t>
                  </w:r>
                </w:p>
              </w:tc>
            </w:tr>
            <w:tr>
              <w:tc>
                <w:tcPr/>
                <w:p>
                  <w:pPr>
                    <w:pStyle w:val="Compact"/>
                    <w:jc w:val="both"/>
                    <w:jc w:val="center"/>
                    <w:spacing w:line="360" w:lineRule="auto"/>
                  </w:pPr>
                  <w:r>
                    <w:rPr>
                      <w:b/>
                      <w:bCs/>
                    </w:rPr>
                    <w:t xml:space="preserve">OpenXAI</w:t>
                  </w:r>
                  <w:r>
                    <w:t xml:space="preserve"> </w:t>
                  </w:r>
                  <w:r>
                    <w:t xml:space="preserve">(Agarwal et al. 2022)</w:t>
                  </w:r>
                </w:p>
              </w:tc>
              <w:tc>
                <w:tcPr/>
                <w:p>
                  <w:pPr>
                    <w:pStyle w:val="Compact"/>
                    <w:jc w:val="both"/>
                    <w:jc w:val="center"/>
                    <w:spacing w:line="360" w:lineRule="auto"/>
                  </w:pPr>
                  <w:r>
                    <w:t xml:space="preserve">Alta: cubre fidelidad, estabilidad, fairness; incluye ground-truth sintético</w:t>
                  </w:r>
                </w:p>
              </w:tc>
              <w:tc>
                <w:tcPr/>
                <w:p>
                  <w:pPr>
                    <w:pStyle w:val="Compact"/>
                    <w:jc w:val="both"/>
                    <w:jc w:val="center"/>
                    <w:spacing w:line="360" w:lineRule="auto"/>
                  </w:pPr>
                  <w:r>
                    <w:t xml:space="preserve">Moderado: plataforma y conjuntos estandarizados; sin control de semillas declarativo</w:t>
                  </w:r>
                </w:p>
              </w:tc>
              <w:tc>
                <w:tcPr/>
                <w:p>
                  <w:pPr>
                    <w:pStyle w:val="Compact"/>
                    <w:jc w:val="both"/>
                    <w:jc w:val="center"/>
                    <w:spacing w:line="360" w:lineRule="auto"/>
                  </w:pPr>
                  <w:r>
                    <w:t xml:space="preserve">Ninguno: comparabilidad por convención, no por protocolo</w:t>
                  </w:r>
                </w:p>
              </w:tc>
              <w:tc>
                <w:tcPr/>
                <w:p>
                  <w:pPr>
                    <w:pStyle w:val="Compact"/>
                    <w:jc w:val="both"/>
                    <w:jc w:val="center"/>
                    <w:spacing w:line="360" w:lineRule="auto"/>
                  </w:pPr>
                  <w:r>
                    <w:t xml:space="preserve">Functionally-grounded + comparación con ground-truth</w:t>
                  </w:r>
                </w:p>
              </w:tc>
            </w:tr>
            <w:tr>
              <w:tc>
                <w:tcPr/>
                <w:p>
                  <w:pPr>
                    <w:pStyle w:val="Compact"/>
                    <w:jc w:val="both"/>
                    <w:jc w:val="center"/>
                    <w:spacing w:line="360" w:lineRule="auto"/>
                  </w:pPr>
                  <w:r>
                    <w:rPr>
                      <w:b/>
                      <w:bCs/>
                    </w:rPr>
                    <w:t xml:space="preserve">Encuesta Nauta et al.</w:t>
                  </w:r>
                  <w:r>
                    <w:t xml:space="preserve"> </w:t>
                  </w:r>
                  <w:r>
                    <w:t xml:space="preserve">(Nauta et al. 2023)</w:t>
                  </w:r>
                </w:p>
              </w:tc>
              <w:tc>
                <w:tcPr/>
                <w:p>
                  <w:pPr>
                    <w:pStyle w:val="Compact"/>
                    <w:jc w:val="both"/>
                    <w:jc w:val="center"/>
                    <w:spacing w:line="360" w:lineRule="auto"/>
                  </w:pPr>
                  <w:r>
                    <w:t xml:space="preserve">Muy alta: revisión de 30 propiedades de evaluación; incluye nivel de usuario y tarea</w:t>
                  </w:r>
                </w:p>
              </w:tc>
              <w:tc>
                <w:tcPr/>
                <w:p>
                  <w:pPr>
                    <w:pStyle w:val="Compact"/>
                    <w:jc w:val="both"/>
                    <w:jc w:val="center"/>
                    <w:spacing w:line="360" w:lineRule="auto"/>
                  </w:pPr>
                  <w:r>
                    <w:t xml:space="preserve">Bajo: documento de revisión, sin implementación de pipeline</w:t>
                  </w:r>
                </w:p>
              </w:tc>
              <w:tc>
                <w:tcPr/>
                <w:p>
                  <w:pPr>
                    <w:pStyle w:val="Compact"/>
                    <w:jc w:val="both"/>
                    <w:jc w:val="center"/>
                    <w:spacing w:line="360" w:lineRule="auto"/>
                  </w:pPr>
                  <w:r>
                    <w:t xml:space="preserve">Ninguno: marco conceptual, no operativo</w:t>
                  </w:r>
                </w:p>
              </w:tc>
              <w:tc>
                <w:tcPr/>
                <w:p>
                  <w:pPr>
                    <w:pStyle w:val="Compact"/>
                    <w:jc w:val="both"/>
                    <w:jc w:val="center"/>
                    <w:spacing w:line="360" w:lineRule="auto"/>
                  </w:pPr>
                  <w:r>
                    <w:t xml:space="preserve">Múltiple: application, human y functionally-grounded</w:t>
                  </w:r>
                </w:p>
              </w:tc>
            </w:tr>
            <w:tr>
              <w:tc>
                <w:tcPr/>
                <w:p>
                  <w:pPr>
                    <w:pStyle w:val="Compact"/>
                    <w:jc w:val="both"/>
                    <w:jc w:val="center"/>
                    <w:spacing w:line="360" w:lineRule="auto"/>
                  </w:pPr>
                  <w:r>
                    <w:rPr>
                      <w:b/>
                      <w:bCs/>
                    </w:rPr>
                    <w:t xml:space="preserve">CARLA</w:t>
                  </w:r>
                  <w:r>
                    <w:t xml:space="preserve"> </w:t>
                  </w:r>
                  <w:r>
                    <w:t xml:space="preserve">(Pawlicki et al. 2024)</w:t>
                  </w:r>
                </w:p>
              </w:tc>
              <w:tc>
                <w:tcPr/>
                <w:p>
                  <w:pPr>
                    <w:pStyle w:val="Compact"/>
                    <w:jc w:val="both"/>
                    <w:jc w:val="center"/>
                    <w:spacing w:line="360" w:lineRule="auto"/>
                  </w:pPr>
                  <w:r>
                    <w:t xml:space="preserve">Moderada: orientada a contrafactuales y recourse; cubre validez, proximidad, diversidad</w:t>
                  </w:r>
                </w:p>
              </w:tc>
              <w:tc>
                <w:tcPr/>
                <w:p>
                  <w:pPr>
                    <w:pStyle w:val="Compact"/>
                    <w:jc w:val="both"/>
                    <w:jc w:val="center"/>
                    <w:spacing w:line="360" w:lineRule="auto"/>
                  </w:pPr>
                  <w:r>
                    <w:t xml:space="preserve">Moderado: librería de benchmarking, configuraciones documentadas</w:t>
                  </w:r>
                </w:p>
              </w:tc>
              <w:tc>
                <w:tcPr/>
                <w:p>
                  <w:pPr>
                    <w:pStyle w:val="Compact"/>
                    <w:jc w:val="both"/>
                    <w:jc w:val="center"/>
                    <w:spacing w:line="360" w:lineRule="auto"/>
                  </w:pPr>
                  <w:r>
                    <w:t xml:space="preserve">Ninguno: librería sin protocolo de admisibilidad</w:t>
                  </w:r>
                </w:p>
              </w:tc>
              <w:tc>
                <w:tcPr/>
                <w:p>
                  <w:pPr>
                    <w:pStyle w:val="Compact"/>
                    <w:jc w:val="both"/>
                    <w:jc w:val="center"/>
                    <w:spacing w:line="360" w:lineRule="auto"/>
                  </w:pPr>
                  <w:r>
                    <w:t xml:space="preserve">Functionally-grounded + counterfactual-specific</w:t>
                  </w:r>
                </w:p>
              </w:tc>
            </w:tr>
            <w:tr>
              <w:tc>
                <w:tcPr/>
                <w:p>
                  <w:pPr>
                    <w:pStyle w:val="Compact"/>
                    <w:jc w:val="both"/>
                    <w:jc w:val="center"/>
                    <w:spacing w:line="360" w:lineRule="auto"/>
                  </w:pPr>
                  <w:r>
                    <w:rPr>
                      <w:b/>
                      <w:bCs/>
                    </w:rPr>
                    <w:t xml:space="preserve">FOM-7</w:t>
                  </w:r>
                  <w:r>
                    <w:t xml:space="preserve"> </w:t>
                  </w:r>
                  <w:r>
                    <w:t xml:space="preserve">(esta tesis)</w:t>
                  </w:r>
                </w:p>
              </w:tc>
              <w:tc>
                <w:tcPr/>
                <w:p>
                  <w:pPr>
                    <w:pStyle w:val="Compact"/>
                    <w:jc w:val="both"/>
                    <w:jc w:val="center"/>
                    <w:spacing w:line="360" w:lineRule="auto"/>
                  </w:pPr>
                  <w:r>
                    <w:t xml:space="preserve">Moderada: cinco métricas primarias operacionalizadas; extensible por diseño</w:t>
                  </w:r>
                </w:p>
              </w:tc>
              <w:tc>
                <w:tcPr/>
                <w:p>
                  <w:pPr>
                    <w:pStyle w:val="Compact"/>
                    <w:jc w:val="both"/>
                    <w:jc w:val="center"/>
                    <w:spacing w:line="360" w:lineRule="auto"/>
                  </w:pPr>
                  <w:r>
                    <w:t xml:space="preserve">Alto: manifiestos YAML, semillas declarativas, artefactos calificados, DOI Zenodo</w:t>
                  </w:r>
                </w:p>
              </w:tc>
              <w:tc>
                <w:tcPr/>
                <w:p>
                  <w:pPr>
                    <w:pStyle w:val="Compact"/>
                    <w:jc w:val="both"/>
                    <w:jc w:val="center"/>
                    <w:spacing w:line="360" w:lineRule="auto"/>
                  </w:pPr>
                  <w:r>
                    <w:t xml:space="preserve">Sí: siete puertas secuenciales con criterios de admisibilidad y falla explícitos</w:t>
                  </w:r>
                </w:p>
              </w:tc>
              <w:tc>
                <w:tcPr/>
                <w:p>
                  <w:pPr>
                    <w:pStyle w:val="Compact"/>
                    <w:jc w:val="both"/>
                    <w:jc w:val="center"/>
                    <w:spacing w:line="360" w:lineRule="auto"/>
                  </w:pPr>
                  <w:r>
                    <w:t xml:space="preserve">Functionally-grounded con admisibilidad estadística integrada</w:t>
                  </w:r>
                </w:p>
              </w:tc>
            </w:tr>
          </w:tbl>
          <w:bookmarkEnd w:id="52"/>
          <w:p>
            <w:pPr>
              <w:spacing w:line="360" w:lineRule="auto"/>
              <w:jc w:val="both"/>
            </w:pPr>
          </w:p>
        </w:tc>
      </w:tr>
    </w:tbl>
    <w:p>
      <w:pPr>
        <w:pStyle w:val="Textoindependiente"/>
        <w:spacing w:line="360" w:lineRule="auto"/>
        <w:jc w:val="both"/>
      </w:pPr>
      <w:r>
        <w:t xml:space="preserve">Esta comparación muestra que los marcos existentes cubren bien la dimensión de</w:t>
      </w:r>
      <w:r>
        <w:t xml:space="preserve"> </w:t>
      </w:r>
      <w:r>
        <w:t xml:space="preserve">cobertura de métricas (Quantus, OpenXAI) o la dimensión conceptual (Nauta et</w:t>
      </w:r>
      <w:r>
        <w:t xml:space="preserve"> </w:t>
      </w:r>
      <w:r>
        <w:t xml:space="preserve">al.), pero ninguno integra un protocolo de gobernanza secuencial que garantice</w:t>
      </w:r>
      <w:r>
        <w:t xml:space="preserve"> </w:t>
      </w:r>
      <w:r>
        <w:t xml:space="preserve">que cada paso del ciclo de evidencia —desde la congelación del diseño hasta la</w:t>
      </w:r>
      <w:r>
        <w:t xml:space="preserve"> </w:t>
      </w:r>
      <w:r>
        <w:t xml:space="preserve">trazabilidad de afirmaciones— esté regulado por criterios de admisibilidad</w:t>
      </w:r>
      <w:r>
        <w:t xml:space="preserve"> </w:t>
      </w:r>
      <w:r>
        <w:t xml:space="preserve">explícitos. Esa integración es precisamente la contribución diferenciadora de</w:t>
      </w:r>
      <w:r>
        <w:t xml:space="preserve"> </w:t>
      </w:r>
      <w:r>
        <w:t xml:space="preserve">FOM-7 respecto a los marcos enumerados.</w:t>
      </w:r>
    </w:p>
    <w:p>
      <w:pPr>
        <w:pStyle w:val="Textoindependiente"/>
        <w:spacing w:line="360" w:lineRule="auto"/>
        <w:jc w:val="both"/>
      </w:pPr>
      <w:r>
        <w:t xml:space="preserve">En dominios de alta responsabilidad, como salud, esta distinción se vuelve aún</w:t>
      </w:r>
      <w:r>
        <w:t xml:space="preserve"> </w:t>
      </w:r>
      <w:r>
        <w:t xml:space="preserve">más visible: las revisiones de XAI médico muestran que la explicabilidad debe</w:t>
      </w:r>
      <w:r>
        <w:t xml:space="preserve"> </w:t>
      </w:r>
      <w:r>
        <w:t xml:space="preserve">relacionarse con confianza, validación, responsabilidad y restricciones del</w:t>
      </w:r>
      <w:r>
        <w:t xml:space="preserve"> </w:t>
      </w:r>
      <w:r>
        <w:t xml:space="preserve">contexto de uso, no solo con la disponibilidad de una visualización o una lista</w:t>
      </w:r>
      <w:r>
        <w:t xml:space="preserve"> </w:t>
      </w:r>
      <w:r>
        <w:t xml:space="preserve">de importancias</w:t>
      </w:r>
      <w:r>
        <w:t xml:space="preserve"> </w:t>
      </w:r>
      <w:r>
        <w:t xml:space="preserve">(Tjoa and Guan 2021)</w:t>
      </w:r>
      <w:r>
        <w:t xml:space="preserve">. Aunque esta tesis no se limita al dominio médico,</w:t>
      </w:r>
      <w:r>
        <w:t xml:space="preserve"> </w:t>
      </w:r>
      <w:r>
        <w:t xml:space="preserve">ese tipo de literatura refuerza la necesidad de separar utilidad contextual,</w:t>
      </w:r>
      <w:r>
        <w:t xml:space="preserve"> </w:t>
      </w:r>
      <w:r>
        <w:t xml:space="preserve">evidencia computacional y admisibilidad de claims.</w:t>
      </w:r>
    </w:p>
    <w:p>
      <w:pPr>
        <w:pStyle w:val="Textoindependiente"/>
        <w:spacing w:line="360" w:lineRule="auto"/>
        <w:jc w:val="both"/>
      </w:pPr>
      <w:r>
        <w:t xml:space="preserve">La literatura reciente sobre métricas XAI insiste en que la evaluación</w:t>
      </w:r>
      <w:r>
        <w:t xml:space="preserve"> </w:t>
      </w:r>
      <w:r>
        <w:t xml:space="preserve">unidimensional es insuficiente</w:t>
      </w:r>
      <w:r>
        <w:t xml:space="preserve"> </w:t>
      </w:r>
      <w:r>
        <w:t xml:space="preserve">(Abdul Kadir et al. 2023; Pawlicki et al. 2024)</w:t>
      </w:r>
      <w:r>
        <w:t xml:space="preserve">. Fidelidad,</w:t>
      </w:r>
      <w:r>
        <w:t xml:space="preserve"> </w:t>
      </w:r>
      <w:r>
        <w:t xml:space="preserve">estabilidad, robustez, complejidad, coste y utilidad capturan constructos</w:t>
      </w:r>
      <w:r>
        <w:t xml:space="preserve"> </w:t>
      </w:r>
      <w:r>
        <w:t xml:space="preserve">diferentes. Un método puede ser rápido y estable, pero poco fiel; otro puede ser</w:t>
      </w:r>
      <w:r>
        <w:t xml:space="preserve"> </w:t>
      </w:r>
      <w:r>
        <w:t xml:space="preserve">fiel y costoso; otro puede ser comprensible pero frágil ante perturbaciones. La</w:t>
      </w:r>
      <w:r>
        <w:t xml:space="preserve"> </w:t>
      </w:r>
      <w:r>
        <w:t xml:space="preserve">consecuencia metodológica es clara: la tesis debe reportar perfiles de</w:t>
      </w:r>
      <w:r>
        <w:t xml:space="preserve"> </w:t>
      </w:r>
      <w:r>
        <w:t xml:space="preserve">desempeño, no rankings absolutos simplificados.</w:t>
      </w:r>
    </w:p>
    <w:p>
      <w:pPr>
        <w:pStyle w:val="Textoindependiente"/>
        <w:spacing w:line="360" w:lineRule="auto"/>
        <w:jc w:val="both"/>
      </w:pPr>
      <w:r>
        <w:t xml:space="preserve">La perspectiva human-centered refuerza la misma conclusión desde otro ángulo.</w:t>
      </w:r>
      <w:r>
        <w:t xml:space="preserve"> </w:t>
      </w:r>
      <w:r>
        <w:t xml:space="preserve">No hay una explicación universalmente adecuada para todos los usuarios, tareas y</w:t>
      </w:r>
      <w:r>
        <w:t xml:space="preserve"> </w:t>
      </w:r>
      <w:r>
        <w:t xml:space="preserve">contextos. Las revisiones y estudios de usuarios muestran que la explicación</w:t>
      </w:r>
      <w:r>
        <w:t xml:space="preserve"> </w:t>
      </w:r>
      <w:r>
        <w:t xml:space="preserve">puede servir para depurar modelos, justificar decisiones, calibrar confianza,</w:t>
      </w:r>
      <w:r>
        <w:t xml:space="preserve"> </w:t>
      </w:r>
      <w:r>
        <w:t xml:space="preserve">enseñar comportamiento del sistema, identificar errores o apoyar acción</w:t>
      </w:r>
      <w:r>
        <w:t xml:space="preserve"> </w:t>
      </w:r>
      <w:r>
        <w:t xml:space="preserve">(Miller 2019; Abdul et al. 2018; Langer et al. 2021; Sokol and Flach 2020; Rong et al. 2024)</w:t>
      </w:r>
      <w:r>
        <w:t xml:space="preserve">. Cada finalidad</w:t>
      </w:r>
      <w:r>
        <w:t xml:space="preserve"> </w:t>
      </w:r>
      <w:r>
        <w:t xml:space="preserve">demanda criterios distintos. Por ello, FOM-7 no debe usar la palabra</w:t>
      </w:r>
      <w:r>
        <w:t xml:space="preserve"> </w:t>
      </w:r>
      <w:r>
        <w:t xml:space="preserve">“mejor”</w:t>
      </w:r>
      <w:r>
        <w:t xml:space="preserve"> </w:t>
      </w:r>
      <w:r>
        <w:t xml:space="preserve">sin</w:t>
      </w:r>
      <w:r>
        <w:t xml:space="preserve"> </w:t>
      </w:r>
      <w:r>
        <w:t xml:space="preserve">calificador. Debe hablar de mejor fidelidad local, mayor estabilidad bajo una</w:t>
      </w:r>
      <w:r>
        <w:t xml:space="preserve"> </w:t>
      </w:r>
      <w:r>
        <w:t xml:space="preserve">perturbación definida, menor coste computacional, mayor cobertura de regla o</w:t>
      </w:r>
      <w:r>
        <w:t xml:space="preserve"> </w:t>
      </w:r>
      <w:r>
        <w:t xml:space="preserve">mayor satisfacción de un criterio contrafactual. Esta disciplina semántica es</w:t>
      </w:r>
      <w:r>
        <w:t xml:space="preserve"> </w:t>
      </w:r>
      <w:r>
        <w:t xml:space="preserve">parte del aporte teórico del protocolo.</w:t>
      </w:r>
    </w:p>
    <w:bookmarkStart w:id="53" w:name="X900f39c64f84f209bdf33df61ada6c5cfa8ef2d"/>
    <w:p>
      <w:pPr>
        <w:pStyle w:val="Ttulo3"/>
        <w:spacing w:line="360" w:lineRule="auto"/>
        <w:jc w:val="both"/>
      </w:pPr>
      <w:r>
        <w:t xml:space="preserve">Evaluación human-centered: usuarios, tareas y calidad explicativa</w:t>
      </w:r>
    </w:p>
    <w:p>
      <w:pPr>
        <w:pStyle w:val="FirstParagraph"/>
        <w:spacing w:line="360" w:lineRule="auto"/>
        <w:jc w:val="both"/>
      </w:pPr>
      <w:r>
        <w:t xml:space="preserve">La evaluación human-centered constituye una rama de la XAI que parte de una</w:t>
      </w:r>
      <w:r>
        <w:t xml:space="preserve"> </w:t>
      </w:r>
      <w:r>
        <w:t xml:space="preserve">premisa metodológica distinta: la calidad de una explicación no puede medirse</w:t>
      </w:r>
      <w:r>
        <w:t xml:space="preserve"> </w:t>
      </w:r>
      <w:r>
        <w:t xml:space="preserve">solo con proxies computacionales, sino que depende de su efecto sobre el</w:t>
      </w:r>
      <w:r>
        <w:t xml:space="preserve"> </w:t>
      </w:r>
      <w:r>
        <w:t xml:space="preserve">entendimiento, la confianza, la calibración y la acción de personas concretas</w:t>
      </w:r>
      <w:r>
        <w:t xml:space="preserve"> </w:t>
      </w:r>
      <w:r>
        <w:t xml:space="preserve">(Doshi-Velez 2017; Miller 2019)</w:t>
      </w:r>
      <w:r>
        <w:t xml:space="preserve">. Esta perspectiva no invalida la evaluación</w:t>
      </w:r>
      <w:r>
        <w:t xml:space="preserve"> </w:t>
      </w:r>
      <w:r>
        <w:t xml:space="preserve">functionally-grounded, sino que la complementa al señalar que las métricas</w:t>
      </w:r>
      <w:r>
        <w:t xml:space="preserve"> </w:t>
      </w:r>
      <w:r>
        <w:t xml:space="preserve">automáticas responden a preguntas distintas a las que responden los usuarios.</w:t>
      </w:r>
    </w:p>
    <w:p>
      <w:pPr>
        <w:pStyle w:val="Textoindependiente"/>
        <w:spacing w:line="360" w:lineRule="auto"/>
        <w:jc w:val="both"/>
      </w:pPr>
      <w:r>
        <w:t xml:space="preserve">Miller (2019)</w:t>
      </w:r>
      <w:r>
        <w:t xml:space="preserve"> </w:t>
      </w:r>
      <w:r>
        <w:t xml:space="preserve">revisa la literatura sobre explicación en ciencias cognitivas y</w:t>
      </w:r>
      <w:r>
        <w:t xml:space="preserve"> </w:t>
      </w:r>
      <w:r>
        <w:t xml:space="preserve">sociales e identifica un conjunto de propiedades empíricamente validadas sobre</w:t>
      </w:r>
      <w:r>
        <w:t xml:space="preserve"> </w:t>
      </w:r>
      <w:r>
        <w:t xml:space="preserve">qué hace útil una explicación para los humanos. Las explicaciones son</w:t>
      </w:r>
      <w:r>
        <w:t xml:space="preserve"> </w:t>
      </w:r>
      <w:r>
        <w:t xml:space="preserve">contrastivas (respondemos a</w:t>
      </w:r>
      <w:r>
        <w:t xml:space="preserve"> </w:t>
      </w:r>
      <w:r>
        <w:t xml:space="preserve">“¿por qué P y no Q?”</w:t>
      </w:r>
      <w:r>
        <w:t xml:space="preserve"> </w:t>
      </w:r>
      <w:r>
        <w:t xml:space="preserve">mejor que a</w:t>
      </w:r>
      <w:r>
        <w:t xml:space="preserve"> </w:t>
      </w:r>
      <w:r>
        <w:t xml:space="preserve">“¿por qué P?”</w:t>
      </w:r>
      <w:r>
        <w:t xml:space="preserve">),</w:t>
      </w:r>
      <w:r>
        <w:t xml:space="preserve"> </w:t>
      </w:r>
      <w:r>
        <w:t xml:space="preserve">selectivas (preferimos explicaciones que citan pocas causas), sociales (el valor</w:t>
      </w:r>
      <w:r>
        <w:t xml:space="preserve"> </w:t>
      </w:r>
      <w:r>
        <w:t xml:space="preserve">de una explicación depende del destinatario y del diálogo) y dependientes del</w:t>
      </w:r>
      <w:r>
        <w:t xml:space="preserve"> </w:t>
      </w:r>
      <w:r>
        <w:t xml:space="preserve">contexto de uso. Estas propiedades no están capturadas por métricas como fidelidad</w:t>
      </w:r>
      <w:r>
        <w:t xml:space="preserve"> </w:t>
      </w:r>
      <w:r>
        <w:t xml:space="preserve">o estabilidad, que son agnósticas al destinatario. La consecuencia metodológica</w:t>
      </w:r>
      <w:r>
        <w:t xml:space="preserve"> </w:t>
      </w:r>
      <w:r>
        <w:t xml:space="preserve">es clara: una tesis que produce evidencia functionally-grounded debe reconocer</w:t>
      </w:r>
      <w:r>
        <w:t xml:space="preserve"> </w:t>
      </w:r>
      <w:r>
        <w:t xml:space="preserve">explícitamente que no puede derivar inferencias sobre comprensión humana o</w:t>
      </w:r>
      <w:r>
        <w:t xml:space="preserve"> </w:t>
      </w:r>
      <w:r>
        <w:t xml:space="preserve">utilidad en tarea.</w:t>
      </w:r>
    </w:p>
    <w:p>
      <w:pPr>
        <w:pStyle w:val="Textoindependiente"/>
        <w:spacing w:line="360" w:lineRule="auto"/>
        <w:jc w:val="both"/>
      </w:pPr>
      <w:r>
        <w:t xml:space="preserve">El problema de calibración de confianza ha recibido atención creciente</w:t>
      </w:r>
      <w:r>
        <w:t xml:space="preserve"> </w:t>
      </w:r>
      <w:r>
        <w:t xml:space="preserve">(Hoffman et al. 2023; Kaur et al. 2020)</w:t>
      </w:r>
      <w:r>
        <w:t xml:space="preserve">. Estudios con científicos de datos muestran que las</w:t>
      </w:r>
      <w:r>
        <w:t xml:space="preserve"> </w:t>
      </w:r>
      <w:r>
        <w:t xml:space="preserve">herramientas de XAI pueden inducir exceso de confianza: los usuarios tienden a</w:t>
      </w:r>
      <w:r>
        <w:t xml:space="preserve"> </w:t>
      </w:r>
      <w:r>
        <w:t xml:space="preserve">aceptar explicaciones visualmente atractivas sin verificar su validez técnica</w:t>
      </w:r>
      <w:r>
        <w:t xml:space="preserve"> </w:t>
      </w:r>
      <w:r>
        <w:t xml:space="preserve">(Kaur et al. 2020)</w:t>
      </w:r>
      <w:r>
        <w:t xml:space="preserve">. Este fenómeno es especialmente problemático en explicaciones LIME,</w:t>
      </w:r>
      <w:r>
        <w:t xml:space="preserve"> </w:t>
      </w:r>
      <w:r>
        <w:t xml:space="preserve">donde el sustituto local puede parecer coherente —una lista de importancias</w:t>
      </w:r>
      <w:r>
        <w:t xml:space="preserve"> </w:t>
      </w:r>
      <w:r>
        <w:t xml:space="preserve">lineales— aunque sea inestable o de baja fidelidad. La literatura de evaluación</w:t>
      </w:r>
      <w:r>
        <w:t xml:space="preserve"> </w:t>
      </w:r>
      <w:r>
        <w:t xml:space="preserve">human-centered sugiere que medir confianza calibrada (si la confianza del usuario</w:t>
      </w:r>
      <w:r>
        <w:t xml:space="preserve"> </w:t>
      </w:r>
      <w:r>
        <w:t xml:space="preserve">en el modelo aumenta cuando la explicación es fiable y disminuye cuando no lo</w:t>
      </w:r>
      <w:r>
        <w:t xml:space="preserve"> </w:t>
      </w:r>
      <w:r>
        <w:t xml:space="preserve">es) es un criterio de calidad distinto e irreductible a los criterios</w:t>
      </w:r>
      <w:r>
        <w:t xml:space="preserve"> </w:t>
      </w:r>
      <w:r>
        <w:t xml:space="preserve">computacionales</w:t>
      </w:r>
      <w:r>
        <w:t xml:space="preserve"> </w:t>
      </w:r>
      <w:r>
        <w:t xml:space="preserve">(Hoffman et al. 2023)</w:t>
      </w:r>
      <w:r>
        <w:t xml:space="preserve">.</w:t>
      </w:r>
    </w:p>
    <w:p>
      <w:pPr>
        <w:pStyle w:val="Textoindependiente"/>
        <w:spacing w:line="360" w:lineRule="auto"/>
        <w:jc w:val="both"/>
      </w:pPr>
      <w:r>
        <w:t xml:space="preserve">Hase and Bansal (2020)</w:t>
      </w:r>
      <w:r>
        <w:t xml:space="preserve"> </w:t>
      </w:r>
      <w:r>
        <w:t xml:space="preserve">evalúan directamente la relación entre explicaciones y comprensión del</w:t>
      </w:r>
      <w:r>
        <w:t xml:space="preserve"> </w:t>
      </w:r>
      <w:r>
        <w:t xml:space="preserve">modelo por parte de usuarios. Sus experimentos muestran que explicaciones con</w:t>
      </w:r>
      <w:r>
        <w:t xml:space="preserve"> </w:t>
      </w:r>
      <w:r>
        <w:t xml:space="preserve">mayor fidelidad no siempre producen mejor comprensión: los usuarios pueden</w:t>
      </w:r>
      <w:r>
        <w:t xml:space="preserve"> </w:t>
      </w:r>
      <w:r>
        <w:t xml:space="preserve">modelar mejor el comportamiento del clasificador con explicaciones simples y</w:t>
      </w:r>
      <w:r>
        <w:t xml:space="preserve"> </w:t>
      </w:r>
      <w:r>
        <w:t xml:space="preserve">ligeramente imprecisas que con atribuciones técnicamente más exactas pero</w:t>
      </w:r>
      <w:r>
        <w:t xml:space="preserve"> </w:t>
      </w:r>
      <w:r>
        <w:t xml:space="preserve">cognitivamente costosas. Esta disociación —fidelidad técnica y comprensión</w:t>
      </w:r>
      <w:r>
        <w:t xml:space="preserve"> </w:t>
      </w:r>
      <w:r>
        <w:t xml:space="preserve">humana no alineadas— es una de las razones por las que la taxonomía de este</w:t>
      </w:r>
      <w:r>
        <w:t xml:space="preserve"> </w:t>
      </w:r>
      <w:r>
        <w:t xml:space="preserve">trabajo distingue el eje de contexto de tarea y señala que el contexto de</w:t>
      </w:r>
      <w:r>
        <w:t xml:space="preserve"> </w:t>
      </w:r>
      <w:r>
        <w:t xml:space="preserve">“soporte a usuario final”</w:t>
      </w:r>
      <w:r>
        <w:t xml:space="preserve"> </w:t>
      </w:r>
      <w:r>
        <w:t xml:space="preserve">requiere criterios propios.</w:t>
      </w:r>
    </w:p>
    <w:p>
      <w:pPr>
        <w:pStyle w:val="Textoindependiente"/>
        <w:spacing w:line="360" w:lineRule="auto"/>
        <w:jc w:val="both"/>
      </w:pPr>
      <w:r>
        <w:t xml:space="preserve">Bhattacharya and Verbert (2024)</w:t>
      </w:r>
      <w:r>
        <w:t xml:space="preserve"> </w:t>
      </w:r>
      <w:r>
        <w:t xml:space="preserve">y</w:t>
      </w:r>
      <w:r>
        <w:t xml:space="preserve"> </w:t>
      </w:r>
      <w:r>
        <w:t xml:space="preserve">Rong et al. (2024)</w:t>
      </w:r>
      <w:r>
        <w:t xml:space="preserve"> </w:t>
      </w:r>
      <w:r>
        <w:t xml:space="preserve">contribuyen revisiones sistemáticas de la</w:t>
      </w:r>
      <w:r>
        <w:t xml:space="preserve"> </w:t>
      </w:r>
      <w:r>
        <w:t xml:space="preserve">literatura sobre XAI human-centered que convergen en recomendar el uso de</w:t>
      </w:r>
      <w:r>
        <w:t xml:space="preserve"> </w:t>
      </w:r>
      <w:r>
        <w:t xml:space="preserve">escalas normalizadas para medir comprehensibilidad entre sistemas, la separación</w:t>
      </w:r>
      <w:r>
        <w:t xml:space="preserve"> </w:t>
      </w:r>
      <w:r>
        <w:t xml:space="preserve">entre satisfacción de usuario y utilidad en tarea, y la necesidad de reportar</w:t>
      </w:r>
      <w:r>
        <w:t xml:space="preserve"> </w:t>
      </w:r>
      <w:r>
        <w:t xml:space="preserve">características del usuario (experto, no experto, dominio) como covariables de</w:t>
      </w:r>
      <w:r>
        <w:t xml:space="preserve"> </w:t>
      </w:r>
      <w:r>
        <w:t xml:space="preserve">los estudios. Estos estudios refuerzan la pertinencia de que la presente tesis</w:t>
      </w:r>
      <w:r>
        <w:t xml:space="preserve"> </w:t>
      </w:r>
      <w:r>
        <w:t xml:space="preserve">declare explícitamente sus límites: FOM-7 opera en el dominio de la evaluación</w:t>
      </w:r>
      <w:r>
        <w:t xml:space="preserve"> </w:t>
      </w:r>
      <w:r>
        <w:t xml:space="preserve">functionally-grounded y cualquier extensión a evaluación human-centered</w:t>
      </w:r>
      <w:r>
        <w:t xml:space="preserve"> </w:t>
      </w:r>
      <w:r>
        <w:t xml:space="preserve">requeriría un protocolo propio con participantes, tareas, escalas y análisis de</w:t>
      </w:r>
      <w:r>
        <w:t xml:space="preserve"> </w:t>
      </w:r>
      <w:r>
        <w:t xml:space="preserve">fiabilidad interrater.</w:t>
      </w:r>
    </w:p>
    <w:p>
      <w:pPr>
        <w:pStyle w:val="Textoindependiente"/>
        <w:spacing w:line="360" w:lineRule="auto"/>
        <w:jc w:val="both"/>
      </w:pPr>
      <w:r>
        <w:t xml:space="preserve">La ausencia de evaluación human-centered no es una omisión inadvertida de esta</w:t>
      </w:r>
      <w:r>
        <w:t xml:space="preserve"> </w:t>
      </w:r>
      <w:r>
        <w:t xml:space="preserve">tesis; es una delimitación metodológica explícita y defendible. La taxonomía del</w:t>
      </w:r>
      <w:r>
        <w:t xml:space="preserve"> </w:t>
      </w:r>
      <w:r>
        <w:t xml:space="preserve">Capítulo 5 localiza con precisión qué cuadrantes del espacio de evaluación XAI</w:t>
      </w:r>
      <w:r>
        <w:t xml:space="preserve"> </w:t>
      </w:r>
      <w:r>
        <w:t xml:space="preserve">cubre el benchmark y cuáles no, lo que convierte la limitación en información</w:t>
      </w:r>
      <w:r>
        <w:t xml:space="preserve"> </w:t>
      </w:r>
      <w:r>
        <w:t xml:space="preserve">científica estructurada y evita sobreinterpretar los resultados empíricos.</w:t>
      </w:r>
    </w:p>
    <w:bookmarkEnd w:id="53"/>
    <w:bookmarkStart w:id="54" w:name="Xcb28a5da8e0ee4c37a7111d109b1f7262846e3e"/>
    <w:p>
      <w:pPr>
        <w:pStyle w:val="Ttulo3"/>
        <w:spacing w:line="360" w:lineRule="auto"/>
        <w:jc w:val="both"/>
      </w:pPr>
      <w:r>
        <w:t xml:space="preserve">Reproducibilidad en XAI: crisis, causas y respuestas</w:t>
      </w:r>
    </w:p>
    <w:p>
      <w:pPr>
        <w:pStyle w:val="FirstParagraph"/>
        <w:spacing w:line="360" w:lineRule="auto"/>
        <w:jc w:val="both"/>
      </w:pPr>
      <w:r>
        <w:t xml:space="preserve">La reproducibilidad es una condición de validez científica, no un detalle</w:t>
      </w:r>
      <w:r>
        <w:t xml:space="preserve"> </w:t>
      </w:r>
      <w:r>
        <w:t xml:space="preserve">técnico. En aprendizaje automático, la crisis de reproducibilidad ha sido</w:t>
      </w:r>
      <w:r>
        <w:t xml:space="preserve"> </w:t>
      </w:r>
      <w:r>
        <w:t xml:space="preserve">documentada tanto en investigación fundamental</w:t>
      </w:r>
      <w:r>
        <w:t xml:space="preserve"> </w:t>
      </w:r>
      <w:r>
        <w:t xml:space="preserve">(Hutson 2018)</w:t>
      </w:r>
      <w:r>
        <w:t xml:space="preserve"> </w:t>
      </w:r>
      <w:r>
        <w:t xml:space="preserve">como en evaluación</w:t>
      </w:r>
      <w:r>
        <w:t xml:space="preserve"> </w:t>
      </w:r>
      <w:r>
        <w:t xml:space="preserve">XAI</w:t>
      </w:r>
      <w:r>
        <w:t xml:space="preserve"> </w:t>
      </w:r>
      <w:r>
        <w:t xml:space="preserve">(Pawlicki et al. 2024; Canha et al. 2025)</w:t>
      </w:r>
      <w:r>
        <w:t xml:space="preserve">. En el contexto de XAI, la reproducibilidad</w:t>
      </w:r>
      <w:r>
        <w:t xml:space="preserve"> </w:t>
      </w:r>
      <w:r>
        <w:t xml:space="preserve">tiene una dimensión adicional: no solo deben reproducirse las predicciones del</w:t>
      </w:r>
      <w:r>
        <w:t xml:space="preserve"> </w:t>
      </w:r>
      <w:r>
        <w:t xml:space="preserve">modelo, sino también los artefactos explicativos, las métricas calculadas sobre</w:t>
      </w:r>
      <w:r>
        <w:t xml:space="preserve"> </w:t>
      </w:r>
      <w:r>
        <w:t xml:space="preserve">ellos y las conclusiones inferenciales derivadas. Esta cadena de reproducibilidad</w:t>
      </w:r>
      <w:r>
        <w:t xml:space="preserve"> </w:t>
      </w:r>
      <w:r>
        <w:t xml:space="preserve">es más frágil que la del modelo base porque introduce más puntos de variación:</w:t>
      </w:r>
      <w:r>
        <w:t xml:space="preserve"> </w:t>
      </w:r>
      <w:r>
        <w:t xml:space="preserve">semillas del explicador, estrategias de muestreo, conjuntos de referencia,</w:t>
      </w:r>
      <w:r>
        <w:t xml:space="preserve"> </w:t>
      </w:r>
      <w:r>
        <w:t xml:space="preserve">umbrales de reglas, y parámetros de métricas.</w:t>
      </w:r>
    </w:p>
    <w:p>
      <w:pPr>
        <w:pStyle w:val="Textoindependiente"/>
        <w:spacing w:line="360" w:lineRule="auto"/>
        <w:jc w:val="both"/>
      </w:pPr>
      <w:r>
        <w:t xml:space="preserve">La literatura identifica al menos cinco fuentes de irreproducibilidad específicas</w:t>
      </w:r>
      <w:r>
        <w:t xml:space="preserve"> </w:t>
      </w:r>
      <w:r>
        <w:t xml:space="preserve">de los benchmarks XAI. Primera, la</w:t>
      </w:r>
      <w:r>
        <w:t xml:space="preserve"> </w:t>
      </w:r>
      <w:r>
        <w:rPr>
          <w:b/>
          <w:bCs/>
        </w:rPr>
        <w:t xml:space="preserve">sensibilidad a hiperparámetros no declarados</w:t>
      </w:r>
      <w:r>
        <w:t xml:space="preserve">:</w:t>
      </w:r>
      <w:r>
        <w:t xml:space="preserve"> </w:t>
      </w:r>
      <w:r>
        <w:t xml:space="preserve">LIME sin declarar</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w:t>
      </w:r>
      <w:r>
        <w:t xml:space="preserve"> </w:t>
      </w:r>
      <w:r>
        <w:rPr>
          <w:rStyle w:val="VerbatimChar"/>
        </w:rPr>
        <w:t xml:space="preserve">discretize_continuous</w:t>
      </w:r>
      <w:r>
        <w:t xml:space="preserve"> </w:t>
      </w:r>
      <w:r>
        <w:t xml:space="preserve">puede</w:t>
      </w:r>
      <w:r>
        <w:t xml:space="preserve"> </w:t>
      </w:r>
      <w:r>
        <w:t xml:space="preserve">producir explicaciones sustancialmente distintas entre estudios que usan</w:t>
      </w:r>
      <w:r>
        <w:t xml:space="preserve"> </w:t>
      </w:r>
      <w:r>
        <w:t xml:space="preserve">“LIME”</w:t>
      </w:r>
      <w:r>
        <w:t xml:space="preserve"> </w:t>
      </w:r>
      <w:r>
        <w:t xml:space="preserve">como etiqueta sin especificar configuración</w:t>
      </w:r>
      <w:r>
        <w:t xml:space="preserve"> </w:t>
      </w:r>
      <w:r>
        <w:t xml:space="preserve">(Burger et al. 2023; Slack et al. 2020)</w:t>
      </w:r>
      <w:r>
        <w:t xml:space="preserve">. Segunda,</w:t>
      </w:r>
      <w:r>
        <w:t xml:space="preserve"> </w:t>
      </w:r>
      <w:r>
        <w:t xml:space="preserve">la</w:t>
      </w:r>
      <w:r>
        <w:t xml:space="preserve"> </w:t>
      </w:r>
      <w:r>
        <w:rPr>
          <w:b/>
          <w:bCs/>
        </w:rPr>
        <w:t xml:space="preserve">dependencia de semillas aleatorias</w:t>
      </w:r>
      <w:r>
        <w:t xml:space="preserve">: los explicadores estocásticos como</w:t>
      </w:r>
      <w:r>
        <w:t xml:space="preserve"> </w:t>
      </w:r>
      <w:r>
        <w:t xml:space="preserve">LIME y DiCE producen resultados distintos con semillas distintas, lo que requiere</w:t>
      </w:r>
      <w:r>
        <w:t xml:space="preserve"> </w:t>
      </w:r>
      <w:r>
        <w:t xml:space="preserve">múltiples réplicas y análisis de varianza por semilla para distinguir señal de</w:t>
      </w:r>
      <w:r>
        <w:t xml:space="preserve"> </w:t>
      </w:r>
      <w:r>
        <w:t xml:space="preserve">ruido</w:t>
      </w:r>
      <w:r>
        <w:t xml:space="preserve"> </w:t>
      </w:r>
      <w:r>
        <w:t xml:space="preserve">(Canha et al. 2025)</w:t>
      </w:r>
      <w:r>
        <w:t xml:space="preserve">. Tercera, la</w:t>
      </w:r>
      <w:r>
        <w:t xml:space="preserve"> </w:t>
      </w:r>
      <w:r>
        <w:rPr>
          <w:b/>
          <w:bCs/>
        </w:rPr>
        <w:t xml:space="preserve">mezcla de cohortes de evidencia</w:t>
      </w:r>
      <w:r>
        <w:t xml:space="preserve">: estudios</w:t>
      </w:r>
      <w:r>
        <w:t xml:space="preserve"> </w:t>
      </w:r>
      <w:r>
        <w:t xml:space="preserve">que usan los mismos artefactos para calibración y para inferencia confirmativa</w:t>
      </w:r>
      <w:r>
        <w:t xml:space="preserve"> </w:t>
      </w:r>
      <w:r>
        <w:t xml:space="preserve">pueden reportar efectos estadísticos inflados, no por fraude sino por falta de</w:t>
      </w:r>
      <w:r>
        <w:t xml:space="preserve"> </w:t>
      </w:r>
      <w:r>
        <w:t xml:space="preserve">una arquitectura que separe las dos funciones</w:t>
      </w:r>
      <w:r>
        <w:t xml:space="preserve"> </w:t>
      </w:r>
      <w:r>
        <w:t xml:space="preserve">(Hedström et al. 2023)</w:t>
      </w:r>
      <w:r>
        <w:t xml:space="preserve">. Cuarta, la</w:t>
      </w:r>
      <w:r>
        <w:t xml:space="preserve"> </w:t>
      </w:r>
      <w:r>
        <w:rPr>
          <w:b/>
          <w:bCs/>
        </w:rPr>
        <w:t xml:space="preserve">ausencia de criterios de calificación de artefactos</w:t>
      </w:r>
      <w:r>
        <w:t xml:space="preserve">: un artefacto vacío,</w:t>
      </w:r>
      <w:r>
        <w:t xml:space="preserve"> </w:t>
      </w:r>
      <w:r>
        <w:t xml:space="preserve">malformado o de convergencia fallida que no se detecta en la etapa de auditoría</w:t>
      </w:r>
      <w:r>
        <w:t xml:space="preserve"> </w:t>
      </w:r>
      <w:r>
        <w:t xml:space="preserve">contamina las tablas métricas con valores espurios</w:t>
      </w:r>
      <w:r>
        <w:t xml:space="preserve"> </w:t>
      </w:r>
      <w:r>
        <w:t xml:space="preserve">(Pawlicki et al. 2024)</w:t>
      </w:r>
      <w:r>
        <w:t xml:space="preserve">. Quinta, la</w:t>
      </w:r>
      <w:r>
        <w:t xml:space="preserve"> </w:t>
      </w:r>
      <w:r>
        <w:rPr>
          <w:b/>
          <w:bCs/>
        </w:rPr>
        <w:t xml:space="preserve">dependencia del entorno computacional</w:t>
      </w:r>
      <w:r>
        <w:t xml:space="preserve">: versiones de librerías, hardware</w:t>
      </w:r>
      <w:r>
        <w:t xml:space="preserve"> </w:t>
      </w:r>
      <w:r>
        <w:t xml:space="preserve">disponible y órdenes de ejecución pueden afectar el timing y, en algunos casos,</w:t>
      </w:r>
      <w:r>
        <w:t xml:space="preserve"> </w:t>
      </w:r>
      <w:r>
        <w:t xml:space="preserve">los valores de métricas.</w:t>
      </w:r>
    </w:p>
    <w:p>
      <w:pPr>
        <w:pStyle w:val="Textoindependiente"/>
        <w:spacing w:line="360" w:lineRule="auto"/>
        <w:jc w:val="both"/>
      </w:pPr>
      <w:r>
        <w:t xml:space="preserve">Canha et al.</w:t>
      </w:r>
      <w:r>
        <w:t xml:space="preserve"> </w:t>
      </w:r>
      <w:r>
        <w:t xml:space="preserve">(2025)</w:t>
      </w:r>
      <w:r>
        <w:t xml:space="preserve"> </w:t>
      </w:r>
      <w:r>
        <w:t xml:space="preserve">proponen un conjunto de principios de reproducibilidad</w:t>
      </w:r>
      <w:r>
        <w:t xml:space="preserve"> </w:t>
      </w:r>
      <w:r>
        <w:t xml:space="preserve">para XAI que incluye declaración de semillas, versionado de dependencias,</w:t>
      </w:r>
      <w:r>
        <w:t xml:space="preserve"> </w:t>
      </w:r>
      <w:r>
        <w:t xml:space="preserve">separación entre datos de entrenamiento y de evaluación, y publicación de</w:t>
      </w:r>
      <w:r>
        <w:t xml:space="preserve"> </w:t>
      </w:r>
      <w:r>
        <w:t xml:space="preserve">artefactos en repositorios con DOI. FOM-7 operacionaliza estos principios en</w:t>
      </w:r>
      <w:r>
        <w:t xml:space="preserve"> </w:t>
      </w:r>
      <w:r>
        <w:t xml:space="preserve">siete puertas: la puerta 1 (congelación del protocolo) previene modificaciones</w:t>
      </w:r>
      <w:r>
        <w:t xml:space="preserve"> </w:t>
      </w:r>
      <w:r>
        <w:t xml:space="preserve">post-hoc; la puerta 2 (ejecución con semillas declarativas) previene</w:t>
      </w:r>
      <w:r>
        <w:t xml:space="preserve"> </w:t>
      </w:r>
      <w:r>
        <w:t xml:space="preserve">sensibilidad no documentada; la puerta 3 (auditoría de integridad) previene</w:t>
      </w:r>
      <w:r>
        <w:t xml:space="preserve"> </w:t>
      </w:r>
      <w:r>
        <w:t xml:space="preserve">contaminación por artefactos malformados; y la puerta 6 (perfilado de</w:t>
      </w:r>
      <w:r>
        <w:t xml:space="preserve"> </w:t>
      </w:r>
      <w:r>
        <w:t xml:space="preserve">reproducibilidad) cuantifica la varianza residual de semilla. Estas puertas no</w:t>
      </w:r>
      <w:r>
        <w:t xml:space="preserve"> </w:t>
      </w:r>
      <w:r>
        <w:t xml:space="preserve">eliminan todas las fuentes de variación, pero las documentan y controlan dentro</w:t>
      </w:r>
      <w:r>
        <w:t xml:space="preserve"> </w:t>
      </w:r>
      <w:r>
        <w:t xml:space="preserve">del alcance del diseño experimental.</w:t>
      </w:r>
    </w:p>
    <w:p>
      <w:pPr>
        <w:pStyle w:val="Textoindependiente"/>
        <w:spacing w:line="360" w:lineRule="auto"/>
        <w:jc w:val="both"/>
      </w:pPr>
      <w:r>
        <w:t xml:space="preserve">La importancia de la reproducibilidad se amplifica en el contexto regulatorio.</w:t>
      </w:r>
      <w:r>
        <w:t xml:space="preserve"> </w:t>
      </w:r>
      <w:r>
        <w:t xml:space="preserve">El EU AI Act exige que los sistemas de IA de alto riesgo sean auditables, lo que</w:t>
      </w:r>
      <w:r>
        <w:t xml:space="preserve"> </w:t>
      </w:r>
      <w:r>
        <w:t xml:space="preserve">implica que las explicaciones usadas en decisiones consecuentes deben poder</w:t>
      </w:r>
      <w:r>
        <w:t xml:space="preserve"> </w:t>
      </w:r>
      <w:r>
        <w:t xml:space="preserve">regenerarse con los mismos parámetros y producir el mismo resultado. Un método</w:t>
      </w:r>
      <w:r>
        <w:t xml:space="preserve"> </w:t>
      </w:r>
      <w:r>
        <w:t xml:space="preserve">de explicación con alta variabilidad de semilla no puede satisfacer este</w:t>
      </w:r>
      <w:r>
        <w:t xml:space="preserve"> </w:t>
      </w:r>
      <w:r>
        <w:t xml:space="preserve">requisito de auditabilidad, independientemente de su fidelidad media. El</w:t>
      </w:r>
      <w:r>
        <w:t xml:space="preserve"> </w:t>
      </w:r>
      <w:r>
        <w:t xml:space="preserve">protocolo FOM-7, al incorporar reproducibilidad como criterio explícito de</w:t>
      </w:r>
      <w:r>
        <w:t xml:space="preserve"> </w:t>
      </w:r>
      <w:r>
        <w:t xml:space="preserve">admisibilidad (proposición P1), conecta la dimensión técnica del benchmark con</w:t>
      </w:r>
      <w:r>
        <w:t xml:space="preserve"> </w:t>
      </w:r>
      <w:r>
        <w:t xml:space="preserve">este requisito normativo emergente.</w:t>
      </w:r>
    </w:p>
    <w:bookmarkEnd w:id="54"/>
    <w:bookmarkEnd w:id="55"/>
    <w:bookmarkStart w:id="56" w:name="X1ac049df9037bab7d9ddedb9eb6dfc246d0f001"/>
    <w:p>
      <w:pPr>
        <w:pStyle w:val="Ttulo2"/>
        <w:spacing w:line="360" w:lineRule="auto"/>
        <w:jc w:val="both"/>
      </w:pPr>
      <w:r>
        <w:t xml:space="preserve">Taxonomias de métricas y brechas de constructo</w:t>
      </w:r>
    </w:p>
    <w:p>
      <w:pPr>
        <w:pStyle w:val="FirstParagraph"/>
        <w:spacing w:line="360" w:lineRule="auto"/>
        <w:jc w:val="both"/>
      </w:pPr>
      <w:r>
        <w:t xml:space="preserve">La fidelidad mide hasta qué punto una explicación aproxima el comportamiento</w:t>
      </w:r>
      <w:r>
        <w:t xml:space="preserve"> </w:t>
      </w:r>
      <w:r>
        <w:t xml:space="preserve">observable del modelo. En métodos de sustitución local, puede operacionalizarse</w:t>
      </w:r>
      <w:r>
        <w:t xml:space="preserve"> </w:t>
      </w:r>
      <w:r>
        <w:t xml:space="preserve">como acuerdo entre el modelo de caja negra y el sustituto en un vecindario</w:t>
      </w:r>
      <w:r>
        <w:t xml:space="preserve"> </w:t>
      </w:r>
      <w:r>
        <w:t xml:space="preserve">definido. Sin embargo, la fidelidad depende de cómo se construye ese</w:t>
      </w:r>
      <w:r>
        <w:t xml:space="preserve"> </w:t>
      </w:r>
      <w:r>
        <w:t xml:space="preserve">vecindario, de qué instancias se consultan y de qué diferencia se considera</w:t>
      </w:r>
      <w:r>
        <w:t xml:space="preserve"> </w:t>
      </w:r>
      <w:r>
        <w:t xml:space="preserve">relevante. Por ello, FOM-7 trata la fidelidad como un resultado condicionado por</w:t>
      </w:r>
      <w:r>
        <w:t xml:space="preserve"> </w:t>
      </w:r>
      <w:r>
        <w:t xml:space="preserve">decisiones experimentales, no como propiedad absoluta del método.</w:t>
      </w:r>
    </w:p>
    <w:p>
      <w:pPr>
        <w:pStyle w:val="Textoindependiente"/>
        <w:spacing w:line="360" w:lineRule="auto"/>
        <w:jc w:val="both"/>
      </w:pPr>
      <w:r>
        <w:t xml:space="preserve">La fidelidad debe leerse como una relación entre tres elementos: el modelo que</w:t>
      </w:r>
      <w:r>
        <w:t xml:space="preserve"> </w:t>
      </w:r>
      <w:r>
        <w:t xml:space="preserve">se explica, el artefacto explicativo y el dominio de comparación. En LIME, por</w:t>
      </w:r>
      <w:r>
        <w:t xml:space="preserve"> </w:t>
      </w:r>
      <w:r>
        <w:t xml:space="preserve">ejemplo, la fidelidad remite al acuerdo entre el modelo de caja negra y el</w:t>
      </w:r>
      <w:r>
        <w:t xml:space="preserve"> </w:t>
      </w:r>
      <w:r>
        <w:t xml:space="preserve">sustituto local en un vecindario definido. En SHAP, la pregunta se desplaza</w:t>
      </w:r>
      <w:r>
        <w:t xml:space="preserve"> </w:t>
      </w:r>
      <w:r>
        <w:t xml:space="preserve">hacia la coherencia de una atribución aditiva bajo supuestos de referencia. En</w:t>
      </w:r>
      <w:r>
        <w:t xml:space="preserve"> </w:t>
      </w:r>
      <w:r>
        <w:t xml:space="preserve">Anchors, la fidelidad no aparece como peso continuo sino como precisión de una</w:t>
      </w:r>
      <w:r>
        <w:t xml:space="preserve"> </w:t>
      </w:r>
      <w:r>
        <w:t xml:space="preserve">regla bajo condiciones de cobertura. En DiCE, la validez de un contrafactual</w:t>
      </w:r>
      <w:r>
        <w:t xml:space="preserve"> </w:t>
      </w:r>
      <w:r>
        <w:t xml:space="preserve">depende de si el cambio propuesto modifica efectivamente la salida del modelo.</w:t>
      </w:r>
      <w:r>
        <w:t xml:space="preserve"> </w:t>
      </w:r>
      <w:r>
        <w:t xml:space="preserve">Estos ejemplos muestran que la fidelidad no es una propiedad homogénea entre</w:t>
      </w:r>
      <w:r>
        <w:t xml:space="preserve"> </w:t>
      </w:r>
      <w:r>
        <w:t xml:space="preserve">familias explicativas; debe operacionalizarse según el objeto que cada método</w:t>
      </w:r>
      <w:r>
        <w:t xml:space="preserve"> </w:t>
      </w:r>
      <w:r>
        <w:t xml:space="preserve">produce</w:t>
      </w:r>
      <w:r>
        <w:t xml:space="preserve"> </w:t>
      </w:r>
      <w:r>
        <w:t xml:space="preserve">(Guidotti et al. 2018; Carvalho et al. 2019; Nauta et al. 2023)</w:t>
      </w:r>
      <w:r>
        <w:t xml:space="preserve">.</w:t>
      </w:r>
    </w:p>
    <w:p>
      <w:pPr>
        <w:pStyle w:val="Textoindependiente"/>
        <w:spacing w:line="360" w:lineRule="auto"/>
        <w:jc w:val="both"/>
      </w:pPr>
      <w:r>
        <w:t xml:space="preserve">La estabilidad evalúa la consistencia de explicaciones ante variaciones</w:t>
      </w:r>
      <w:r>
        <w:t xml:space="preserve"> </w:t>
      </w:r>
      <w:r>
        <w:t xml:space="preserve">pequeñas. Esta propiedad es central porque un usuario puede perder confianza si</w:t>
      </w:r>
      <w:r>
        <w:t xml:space="preserve"> </w:t>
      </w:r>
      <w:r>
        <w:t xml:space="preserve">instancias casi idénticas reciben explicaciones incompatibles. Sin embargo, una</w:t>
      </w:r>
      <w:r>
        <w:t xml:space="preserve"> </w:t>
      </w:r>
      <w:r>
        <w:t xml:space="preserve">explicación estable no es necesariamente correcta; puede repetir de forma</w:t>
      </w:r>
      <w:r>
        <w:t xml:space="preserve"> </w:t>
      </w:r>
      <w:r>
        <w:t xml:space="preserve">consistente una aproximación pobre. La estabilidad debe leerse junto con</w:t>
      </w:r>
      <w:r>
        <w:t xml:space="preserve"> </w:t>
      </w:r>
      <w:r>
        <w:t xml:space="preserve">fidelidad, robustez y alcance del experimento.</w:t>
      </w:r>
    </w:p>
    <w:p>
      <w:pPr>
        <w:pStyle w:val="Textoindependiente"/>
        <w:spacing w:line="360" w:lineRule="auto"/>
        <w:jc w:val="both"/>
      </w:pPr>
      <w:r>
        <w:t xml:space="preserve">En FOM-7, la estabilidad funciona como un control de sensibilidad. Su pregunta</w:t>
      </w:r>
      <w:r>
        <w:t xml:space="preserve"> </w:t>
      </w:r>
      <w:r>
        <w:t xml:space="preserve">no es si la explicación es verdadera, sino si el explicador responde de forma</w:t>
      </w:r>
      <w:r>
        <w:t xml:space="preserve"> </w:t>
      </w:r>
      <w:r>
        <w:t xml:space="preserve">coherente ante variaciones que no deberían alterar sustancialmente la</w:t>
      </w:r>
      <w:r>
        <w:t xml:space="preserve"> </w:t>
      </w:r>
      <w:r>
        <w:t xml:space="preserve">interpretación. Esta distinción es relevante porque algunos explicadores</w:t>
      </w:r>
      <w:r>
        <w:t xml:space="preserve"> </w:t>
      </w:r>
      <w:r>
        <w:t xml:space="preserve">post-hoc pueden variar por razones técnicas ajenas al fenómeno que se desea</w:t>
      </w:r>
      <w:r>
        <w:t xml:space="preserve"> </w:t>
      </w:r>
      <w:r>
        <w:t xml:space="preserve">explicar, como el muestreo, la selección de características o la aleatoriedad</w:t>
      </w:r>
      <w:r>
        <w:t xml:space="preserve"> </w:t>
      </w:r>
      <w:r>
        <w:t xml:space="preserve">del procedimiento</w:t>
      </w:r>
      <w:r>
        <w:t xml:space="preserve"> </w:t>
      </w:r>
      <w:r>
        <w:t xml:space="preserve">(Burger et al. 2023; Slack et al. 2020)</w:t>
      </w:r>
      <w:r>
        <w:t xml:space="preserve">. Por ello, reportar estabilidad</w:t>
      </w:r>
      <w:r>
        <w:t xml:space="preserve"> </w:t>
      </w:r>
      <w:r>
        <w:t xml:space="preserve">ayuda a distinguir entre una diferencia significativa del modelo y una</w:t>
      </w:r>
      <w:r>
        <w:t xml:space="preserve"> </w:t>
      </w:r>
      <w:r>
        <w:t xml:space="preserve">diferencia inducida por el explicador.</w:t>
      </w:r>
    </w:p>
    <w:p>
      <w:pPr>
        <w:pStyle w:val="Textoindependiente"/>
        <w:spacing w:line="360" w:lineRule="auto"/>
        <w:jc w:val="both"/>
      </w:pPr>
      <w:r>
        <w:t xml:space="preserve">La robustez amplía el análisis hacia perturbaciones mayores, ataques o</w:t>
      </w:r>
      <w:r>
        <w:t xml:space="preserve"> </w:t>
      </w:r>
      <w:r>
        <w:t xml:space="preserve">condiciones fuera de distribución. En evaluación XAI, esto es especialmente</w:t>
      </w:r>
      <w:r>
        <w:t xml:space="preserve"> </w:t>
      </w:r>
      <w:r>
        <w:t xml:space="preserve">problemático porque muchas métricas operan alterando entradas. Si las entradas</w:t>
      </w:r>
      <w:r>
        <w:t xml:space="preserve"> </w:t>
      </w:r>
      <w:r>
        <w:t xml:space="preserve">alteradas dejan de representar casos plausibles del dominio, la métrica puede</w:t>
      </w:r>
      <w:r>
        <w:t xml:space="preserve"> </w:t>
      </w:r>
      <w:r>
        <w:t xml:space="preserve">estar evaluando un comportamiento artificial del modelo. Esta advertencia</w:t>
      </w:r>
      <w:r>
        <w:t xml:space="preserve"> </w:t>
      </w:r>
      <w:r>
        <w:t xml:space="preserve">respalda la necesidad de documentar generadores de perturbaciones, dominios de</w:t>
      </w:r>
      <w:r>
        <w:t xml:space="preserve"> </w:t>
      </w:r>
      <w:r>
        <w:t xml:space="preserve">validez y criterios de admisibilidad</w:t>
      </w:r>
      <w:r>
        <w:t xml:space="preserve"> </w:t>
      </w:r>
      <w:r>
        <w:t xml:space="preserve">(Zheng et al. 2025)</w:t>
      </w:r>
      <w:r>
        <w:t xml:space="preserve">.</w:t>
      </w:r>
    </w:p>
    <w:p>
      <w:pPr>
        <w:pStyle w:val="Textoindependiente"/>
        <w:spacing w:line="360" w:lineRule="auto"/>
        <w:jc w:val="both"/>
      </w:pPr>
      <w:r>
        <w:t xml:space="preserve">La complejidad o sparsity evalúa el tamaño cognitivo del artefacto explicativo.</w:t>
      </w:r>
      <w:r>
        <w:t xml:space="preserve"> </w:t>
      </w:r>
      <w:r>
        <w:t xml:space="preserve">Explicaciones más breves pueden ser más comprensibles, pero la parquedad no</w:t>
      </w:r>
      <w:r>
        <w:t xml:space="preserve"> </w:t>
      </w:r>
      <w:r>
        <w:t xml:space="preserve">garantiza calidad. Una explicación demasiado simple puede omitir factores</w:t>
      </w:r>
      <w:r>
        <w:t xml:space="preserve"> </w:t>
      </w:r>
      <w:r>
        <w:t xml:space="preserve">necesarios; una demasiado extensa puede ser técnicamente rica pero inútil para</w:t>
      </w:r>
      <w:r>
        <w:t xml:space="preserve"> </w:t>
      </w:r>
      <w:r>
        <w:t xml:space="preserve">un usuario. FOM-7 usa complejidad como una dimensión de perfil, no como criterio</w:t>
      </w:r>
      <w:r>
        <w:t xml:space="preserve"> </w:t>
      </w:r>
      <w:r>
        <w:t xml:space="preserve">supremo</w:t>
      </w:r>
      <w:r>
        <w:t xml:space="preserve"> </w:t>
      </w:r>
      <w:r>
        <w:t xml:space="preserve">(Nauta et al. 2023)</w:t>
      </w:r>
      <w:r>
        <w:t xml:space="preserve">.</w:t>
      </w:r>
    </w:p>
    <w:p>
      <w:pPr>
        <w:pStyle w:val="Textoindependiente"/>
        <w:spacing w:line="360" w:lineRule="auto"/>
        <w:jc w:val="both"/>
      </w:pPr>
      <w:r>
        <w:t xml:space="preserve">El coste computacional incorpora una dimensión práctica. Explicaciones que</w:t>
      </w:r>
      <w:r>
        <w:t xml:space="preserve"> </w:t>
      </w:r>
      <w:r>
        <w:t xml:space="preserve">requieren miles de consultas al modelo pueden ser aceptables en investigación</w:t>
      </w:r>
      <w:r>
        <w:t xml:space="preserve"> </w:t>
      </w:r>
      <w:r>
        <w:t xml:space="preserve">offline, pero inadecuadas para sistemas interactivos o despliegues con</w:t>
      </w:r>
      <w:r>
        <w:t xml:space="preserve"> </w:t>
      </w:r>
      <w:r>
        <w:t xml:space="preserve">restricciones de latencia. La comparación entre KernelSHAP y aproximaciones más</w:t>
      </w:r>
      <w:r>
        <w:t xml:space="preserve"> </w:t>
      </w:r>
      <w:r>
        <w:t xml:space="preserve">rápidas muestra que la evaluación debe incluir compromisos de factibilidad</w:t>
      </w:r>
      <w:r>
        <w:t xml:space="preserve"> </w:t>
      </w:r>
      <w:r>
        <w:t xml:space="preserve">(Lundberg 2017; Van den Broeck et al. 2022)</w:t>
      </w:r>
      <w:r>
        <w:t xml:space="preserve">.</w:t>
      </w:r>
    </w:p>
    <w:p>
      <w:pPr>
        <w:pStyle w:val="Textoindependiente"/>
        <w:spacing w:line="360" w:lineRule="auto"/>
        <w:jc w:val="both"/>
      </w:pPr>
      <w:r>
        <w:t xml:space="preserve">El coste no es solamente una medida de eficiencia; también condiciona que</w:t>
      </w:r>
      <w:r>
        <w:t xml:space="preserve"> </w:t>
      </w:r>
      <w:r>
        <w:t xml:space="preserve">preguntas pueden contestarse dentro de un benchmark. Un método costoso puede</w:t>
      </w:r>
      <w:r>
        <w:t xml:space="preserve"> </w:t>
      </w:r>
      <w:r>
        <w:t xml:space="preserve">limitar el número de instancias evaluadas, reducir la cantidad de semillas,</w:t>
      </w:r>
      <w:r>
        <w:t xml:space="preserve"> </w:t>
      </w:r>
      <w:r>
        <w:t xml:space="preserve">impedir análisis de sensibilidad o forzar aproximaciones. La literatura sobre</w:t>
      </w:r>
      <w:r>
        <w:t xml:space="preserve"> </w:t>
      </w:r>
      <w:r>
        <w:t xml:space="preserve">tractabilidad de SHAP ilustra que la complejidad computacional no es un detalle</w:t>
      </w:r>
      <w:r>
        <w:t xml:space="preserve"> </w:t>
      </w:r>
      <w:r>
        <w:t xml:space="preserve">de implementación, sino una propiedad que afecta la admisibilidad experimental</w:t>
      </w:r>
      <w:r>
        <w:t xml:space="preserve"> </w:t>
      </w:r>
      <w:r>
        <w:t xml:space="preserve">(Van den Broeck et al. 2022)</w:t>
      </w:r>
      <w:r>
        <w:t xml:space="preserve">. FOM-7 incorpora el coste para evitar que la comparación</w:t>
      </w:r>
      <w:r>
        <w:t xml:space="preserve"> </w:t>
      </w:r>
      <w:r>
        <w:t xml:space="preserve">privilegie explicaciones teóricamente atractivas pero impracticables bajo</w:t>
      </w:r>
      <w:r>
        <w:t xml:space="preserve"> </w:t>
      </w:r>
      <w:r>
        <w:t xml:space="preserve">restricciones reales.</w:t>
      </w:r>
    </w:p>
    <w:p>
      <w:pPr>
        <w:pStyle w:val="Textoindependiente"/>
        <w:spacing w:line="360" w:lineRule="auto"/>
        <w:jc w:val="both"/>
      </w:pPr>
      <w:r>
        <w:t xml:space="preserve">La utilidad y la plausibilidad introducen una capa distinta. Una explicación</w:t>
      </w:r>
      <w:r>
        <w:t xml:space="preserve"> </w:t>
      </w:r>
      <w:r>
        <w:t xml:space="preserve">puede ser útil para un científico de datos que busca depurar un pipeline, para</w:t>
      </w:r>
      <w:r>
        <w:t xml:space="preserve"> </w:t>
      </w:r>
      <w:r>
        <w:t xml:space="preserve">un experto de dominio que evalúa coherencia sustantiva o para un usuario que</w:t>
      </w:r>
      <w:r>
        <w:t xml:space="preserve"> </w:t>
      </w:r>
      <w:r>
        <w:t xml:space="preserve">necesita entender una decisión. Sin embargo, esos usos no se derivan</w:t>
      </w:r>
      <w:r>
        <w:t xml:space="preserve"> </w:t>
      </w:r>
      <w:r>
        <w:t xml:space="preserve">automáticamente de las métricas computacionales. Los estudios human-centered</w:t>
      </w:r>
      <w:r>
        <w:t xml:space="preserve"> </w:t>
      </w:r>
      <w:r>
        <w:t xml:space="preserve">muestran que la utilidad depende de usuario, tarea, interfaz y contexto</w:t>
      </w:r>
      <w:r>
        <w:t xml:space="preserve"> </w:t>
      </w:r>
      <w:r>
        <w:t xml:space="preserve">(Miller 2019; Kaur et al. 2020; Hase and Bansal 2020; Rong et al. 2024)</w:t>
      </w:r>
      <w:r>
        <w:t xml:space="preserve">. Por ello, FOM-7 debe mantener</w:t>
      </w:r>
      <w:r>
        <w:t xml:space="preserve"> </w:t>
      </w:r>
      <w:r>
        <w:t xml:space="preserve">separada la utilidad inferida por proxy de la utilidad demostrada en una tarea</w:t>
      </w:r>
      <w:r>
        <w:t xml:space="preserve"> </w:t>
      </w:r>
      <w:r>
        <w:t xml:space="preserve">humana.</w:t>
      </w:r>
    </w:p>
    <w:p>
      <w:pPr>
        <w:pStyle w:val="Textoindependiente"/>
        <w:spacing w:line="360" w:lineRule="auto"/>
        <w:jc w:val="both"/>
      </w:pPr>
      <w:r>
        <w:t xml:space="preserve">La brecha de constructo aparece cuando una métrica mide una propiedad cercana</w:t>
      </w:r>
      <w:r>
        <w:t xml:space="preserve"> </w:t>
      </w:r>
      <w:r>
        <w:t xml:space="preserve">pero no idéntica a la afirmación que se desea hacer. Por ejemplo, una métrica de</w:t>
      </w:r>
      <w:r>
        <w:t xml:space="preserve"> </w:t>
      </w:r>
      <w:r>
        <w:t xml:space="preserve">fidelidad local no autoriza automáticamente afirmar utilidad humana; una métrica</w:t>
      </w:r>
      <w:r>
        <w:t xml:space="preserve"> </w:t>
      </w:r>
      <w:r>
        <w:t xml:space="preserve">de estabilidad no prueba causalidad; una regla Anchor precisa no garantiza</w:t>
      </w:r>
      <w:r>
        <w:t xml:space="preserve"> </w:t>
      </w:r>
      <w:r>
        <w:t xml:space="preserve">cobertura amplia; un contrafactual válido para el modelo no siempre es</w:t>
      </w:r>
      <w:r>
        <w:t xml:space="preserve"> </w:t>
      </w:r>
      <w:r>
        <w:t xml:space="preserve">accionable para la persona. Esta brecha es uno de los fundamentos conceptuales</w:t>
      </w:r>
      <w:r>
        <w:t xml:space="preserve"> </w:t>
      </w:r>
      <w:r>
        <w:t xml:space="preserve">de FOM-7.</w:t>
      </w:r>
    </w:p>
    <w:p>
      <w:pPr>
        <w:pStyle w:val="Textoindependiente"/>
        <w:spacing w:line="360" w:lineRule="auto"/>
        <w:jc w:val="both"/>
      </w:pPr>
      <w:r>
        <w:t xml:space="preserve">El problema se agrava cuando la métrica produce una cifra fácil de comparar. La</w:t>
      </w:r>
      <w:r>
        <w:t xml:space="preserve"> </w:t>
      </w:r>
      <w:r>
        <w:t xml:space="preserve">forma tabular puede sugerir una objetividad mayor que la realmente disponible.</w:t>
      </w:r>
      <w:r>
        <w:t xml:space="preserve"> </w:t>
      </w:r>
      <w:r>
        <w:t xml:space="preserve">Una diferencia numérica entre dos explicadores solo es significativa si la</w:t>
      </w:r>
      <w:r>
        <w:t xml:space="preserve"> </w:t>
      </w:r>
      <w:r>
        <w:t xml:space="preserve">métrica es válida para el constructo, si la variabilidad fue estimada, si el</w:t>
      </w:r>
      <w:r>
        <w:t xml:space="preserve"> </w:t>
      </w:r>
      <w:r>
        <w:t xml:space="preserve">procedimiento es reproducible y si la afirmación resultante respeta el alcance</w:t>
      </w:r>
      <w:r>
        <w:t xml:space="preserve"> </w:t>
      </w:r>
      <w:r>
        <w:t xml:space="preserve">del experimento. Las revisiones de métodos y métricas insisten en la necesidad</w:t>
      </w:r>
      <w:r>
        <w:t xml:space="preserve"> </w:t>
      </w:r>
      <w:r>
        <w:t xml:space="preserve">de interpretar la evaluación XAI como un conjunto de dimensiones relacionadas,</w:t>
      </w:r>
      <w:r>
        <w:t xml:space="preserve"> </w:t>
      </w:r>
      <w:r>
        <w:t xml:space="preserve">no como un único eje de optimización</w:t>
      </w:r>
      <w:r>
        <w:t xml:space="preserve"> </w:t>
      </w:r>
      <w:r>
        <w:t xml:space="preserve">(Carvalho et al. 2019; Nauta et al. 2023)</w:t>
      </w:r>
      <w:r>
        <w:t xml:space="preserve">. FOM-7 adopta</w:t>
      </w:r>
      <w:r>
        <w:t xml:space="preserve"> </w:t>
      </w:r>
      <w:r>
        <w:t xml:space="preserve">esta lectura y la convierte en una regla de reporte: cada resultado debe</w:t>
      </w:r>
      <w:r>
        <w:t xml:space="preserve"> </w:t>
      </w:r>
      <w:r>
        <w:t xml:space="preserve">mantener unido método, métrica, constructo, condición experimental y claim.</w:t>
      </w:r>
    </w:p>
    <w:p>
      <w:pPr>
        <w:pStyle w:val="Textoindependiente"/>
        <w:spacing w:line="360" w:lineRule="auto"/>
        <w:jc w:val="both"/>
      </w:pPr>
      <w:r>
        <w:t xml:space="preserve">La siguiente matriz resume esta alineación entre métodos, objetos explicativos y</w:t>
      </w:r>
      <w:r>
        <w:t xml:space="preserve"> </w:t>
      </w:r>
      <w:r>
        <w:t xml:space="preserve">constructos de evaluación. Su función no es sustituir el análisis empírico, sino</w:t>
      </w:r>
      <w:r>
        <w:t xml:space="preserve"> </w:t>
      </w:r>
      <w:r>
        <w:t xml:space="preserve">hacer explícita la razón por la cual FOM-7 evalúa perfiles y no rankings</w:t>
      </w:r>
      <w:r>
        <w:t xml:space="preserve"> </w:t>
      </w:r>
      <w:r>
        <w:t xml:space="preserve">absolutos.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360" w:lineRule="auto"/>
              <w:jc w:val="both"/>
            </w:pPr>
            <w:r>
              <w:t xml:space="preserve">Método</w:t>
            </w:r>
          </w:p>
        </w:tc>
        <w:tc>
          <w:tcPr/>
          <w:p>
            <w:pPr>
              <w:pStyle w:val="Compact"/>
              <w:spacing w:line="360" w:lineRule="auto"/>
              <w:jc w:val="both"/>
            </w:pPr>
            <w:r>
              <w:t xml:space="preserve">Objeto explicativo principal</w:t>
            </w:r>
          </w:p>
        </w:tc>
        <w:tc>
          <w:tcPr/>
          <w:p>
            <w:pPr>
              <w:pStyle w:val="Compact"/>
              <w:spacing w:line="360" w:lineRule="auto"/>
              <w:jc w:val="both"/>
            </w:pPr>
            <w:r>
              <w:t xml:space="preserve">Constructos naturalmente alineados</w:t>
            </w:r>
          </w:p>
        </w:tc>
        <w:tc>
          <w:tcPr/>
          <w:p>
            <w:pPr>
              <w:pStyle w:val="Compact"/>
              <w:spacing w:line="360" w:lineRule="auto"/>
              <w:jc w:val="both"/>
            </w:pPr>
            <w:r>
              <w:t xml:space="preserve">Riesgos de evaluación</w:t>
            </w:r>
          </w:p>
        </w:tc>
        <w:tc>
          <w:tcPr/>
          <w:p>
            <w:pPr>
              <w:pStyle w:val="Compact"/>
              <w:spacing w:line="360" w:lineRule="auto"/>
              <w:jc w:val="both"/>
            </w:pPr>
            <w:r>
              <w:t xml:space="preserve">Lectura dentro de FOM-7</w:t>
            </w:r>
          </w:p>
        </w:tc>
      </w:tr>
      <w:tr>
        <w:tc>
          <w:tcPr/>
          <w:p>
            <w:pPr>
              <w:pStyle w:val="Compact"/>
              <w:spacing w:line="360" w:lineRule="auto"/>
              <w:jc w:val="both"/>
            </w:pPr>
            <w:r>
              <w:t xml:space="preserve">LIME</w:t>
            </w:r>
          </w:p>
        </w:tc>
        <w:tc>
          <w:tcPr/>
          <w:p>
            <w:pPr>
              <w:pStyle w:val="Compact"/>
              <w:spacing w:line="360" w:lineRule="auto"/>
              <w:jc w:val="both"/>
            </w:pPr>
            <w:r>
              <w:t xml:space="preserve">Sustituto local interpretable</w:t>
            </w:r>
          </w:p>
        </w:tc>
        <w:tc>
          <w:tcPr/>
          <w:p>
            <w:pPr>
              <w:pStyle w:val="Compact"/>
              <w:spacing w:line="360" w:lineRule="auto"/>
              <w:jc w:val="both"/>
            </w:pPr>
            <w:r>
              <w:t xml:space="preserve">Fidelidad local, estabilidad, complejidad, coste</w:t>
            </w:r>
          </w:p>
        </w:tc>
        <w:tc>
          <w:tcPr/>
          <w:p>
            <w:pPr>
              <w:pStyle w:val="Compact"/>
              <w:spacing w:line="360" w:lineRule="auto"/>
              <w:jc w:val="both"/>
            </w:pPr>
            <w:r>
              <w:t xml:space="preserve">Sensibilidad al muestreo, vecindarios artificiales, manipulabilidad post-hoc</w:t>
            </w:r>
          </w:p>
        </w:tc>
        <w:tc>
          <w:tcPr/>
          <w:p>
            <w:pPr>
              <w:pStyle w:val="Compact"/>
              <w:spacing w:line="360" w:lineRule="auto"/>
              <w:jc w:val="both"/>
            </w:pPr>
            <w:r>
              <w:t xml:space="preserve">Válido como aproximación local condicionada por parámetros documentados</w:t>
            </w:r>
          </w:p>
        </w:tc>
      </w:tr>
      <w:tr>
        <w:tc>
          <w:tcPr/>
          <w:p>
            <w:pPr>
              <w:pStyle w:val="Compact"/>
              <w:spacing w:line="360" w:lineRule="auto"/>
              <w:jc w:val="both"/>
            </w:pPr>
            <w:r>
              <w:t xml:space="preserve">SHAP</w:t>
            </w:r>
          </w:p>
        </w:tc>
        <w:tc>
          <w:tcPr/>
          <w:p>
            <w:pPr>
              <w:pStyle w:val="Compact"/>
              <w:spacing w:line="360" w:lineRule="auto"/>
              <w:jc w:val="both"/>
            </w:pPr>
            <w:r>
              <w:t xml:space="preserve">Atribución aditiva de características</w:t>
            </w:r>
          </w:p>
        </w:tc>
        <w:tc>
          <w:tcPr/>
          <w:p>
            <w:pPr>
              <w:pStyle w:val="Compact"/>
              <w:spacing w:line="360" w:lineRule="auto"/>
              <w:jc w:val="both"/>
            </w:pPr>
            <w:r>
              <w:t xml:space="preserve">Consistencia atributiva, coste, estabilidad, sensibilidad al conjunto de referencia</w:t>
            </w:r>
          </w:p>
        </w:tc>
        <w:tc>
          <w:tcPr/>
          <w:p>
            <w:pPr>
              <w:pStyle w:val="Compact"/>
              <w:spacing w:line="360" w:lineRule="auto"/>
              <w:jc w:val="both"/>
            </w:pPr>
            <w:r>
              <w:t xml:space="preserve">Coste elevado, supuestos sobre ausencia/presencia de variables, lectura causal indebida</w:t>
            </w:r>
          </w:p>
        </w:tc>
        <w:tc>
          <w:tcPr/>
          <w:p>
            <w:pPr>
              <w:pStyle w:val="Compact"/>
              <w:spacing w:line="360" w:lineRule="auto"/>
              <w:jc w:val="both"/>
            </w:pPr>
            <w:r>
              <w:t xml:space="preserve">Válido como perfil de atribución bajo variante y referencia especificadas</w:t>
            </w:r>
          </w:p>
        </w:tc>
      </w:tr>
      <w:tr>
        <w:tc>
          <w:tcPr/>
          <w:p>
            <w:pPr>
              <w:pStyle w:val="Compact"/>
              <w:spacing w:line="360" w:lineRule="auto"/>
              <w:jc w:val="both"/>
            </w:pPr>
            <w:r>
              <w:t xml:space="preserve">Anchors</w:t>
            </w:r>
          </w:p>
        </w:tc>
        <w:tc>
          <w:tcPr/>
          <w:p>
            <w:pPr>
              <w:pStyle w:val="Compact"/>
              <w:spacing w:line="360" w:lineRule="auto"/>
              <w:jc w:val="both"/>
            </w:pPr>
            <w:r>
              <w:t xml:space="preserve">Regla local de alta precisión</w:t>
            </w:r>
          </w:p>
        </w:tc>
        <w:tc>
          <w:tcPr/>
          <w:p>
            <w:pPr>
              <w:pStyle w:val="Compact"/>
              <w:spacing w:line="360" w:lineRule="auto"/>
              <w:jc w:val="both"/>
            </w:pPr>
            <w:r>
              <w:t xml:space="preserve">Precisión, cobertura, complejidad de regla, reproducibilidad</w:t>
            </w:r>
          </w:p>
        </w:tc>
        <w:tc>
          <w:tcPr/>
          <w:p>
            <w:pPr>
              <w:pStyle w:val="Compact"/>
              <w:spacing w:line="360" w:lineRule="auto"/>
              <w:jc w:val="both"/>
            </w:pPr>
            <w:r>
              <w:t xml:space="preserve">Reglas demasiado estrechas, cobertura limitada, comparación difícil con atribuciones</w:t>
            </w:r>
          </w:p>
        </w:tc>
        <w:tc>
          <w:tcPr/>
          <w:p>
            <w:pPr>
              <w:pStyle w:val="Compact"/>
              <w:spacing w:line="360" w:lineRule="auto"/>
              <w:jc w:val="both"/>
            </w:pPr>
            <w:r>
              <w:t xml:space="preserve">Válido como evidencia condicional cuando precisión y cobertura se reportan juntas</w:t>
            </w:r>
          </w:p>
        </w:tc>
      </w:tr>
      <w:tr>
        <w:tc>
          <w:tcPr/>
          <w:p>
            <w:pPr>
              <w:pStyle w:val="Compact"/>
              <w:spacing w:line="360" w:lineRule="auto"/>
              <w:jc w:val="both"/>
            </w:pPr>
            <w:r>
              <w:t xml:space="preserve">DiCE</w:t>
            </w:r>
          </w:p>
        </w:tc>
        <w:tc>
          <w:tcPr/>
          <w:p>
            <w:pPr>
              <w:pStyle w:val="Compact"/>
              <w:spacing w:line="360" w:lineRule="auto"/>
              <w:jc w:val="both"/>
            </w:pPr>
            <w:r>
              <w:t xml:space="preserve">Conjunto de contrafactuales diversos</w:t>
            </w:r>
          </w:p>
        </w:tc>
        <w:tc>
          <w:tcPr/>
          <w:p>
            <w:pPr>
              <w:pStyle w:val="Compact"/>
              <w:spacing w:line="360" w:lineRule="auto"/>
              <w:jc w:val="both"/>
            </w:pPr>
            <w:r>
              <w:t xml:space="preserve">Validez, proximidad, diversidad, factibilidad, accionabilidad</w:t>
            </w:r>
          </w:p>
        </w:tc>
        <w:tc>
          <w:tcPr/>
          <w:p>
            <w:pPr>
              <w:pStyle w:val="Compact"/>
              <w:spacing w:line="360" w:lineRule="auto"/>
              <w:jc w:val="both"/>
            </w:pPr>
            <w:r>
              <w:t xml:space="preserve">Cambios imposibles, recourse no garantizado, confundir cambio de etiqueta con acción real</w:t>
            </w:r>
          </w:p>
        </w:tc>
        <w:tc>
          <w:tcPr/>
          <w:p>
            <w:pPr>
              <w:pStyle w:val="Compact"/>
              <w:spacing w:line="360" w:lineRule="auto"/>
              <w:jc w:val="both"/>
            </w:pPr>
            <w:r>
              <w:t xml:space="preserve">Válido como evidencia contrafactual bajo restricciones de factibilidad explicitadas</w:t>
            </w:r>
          </w:p>
        </w:tc>
      </w:tr>
    </w:tbl>
    <w:p>
      <w:pPr>
        <w:pStyle w:val="Textoindependiente"/>
        <w:spacing w:line="360" w:lineRule="auto"/>
        <w:jc w:val="both"/>
      </w:pPr>
      <w:r>
        <w:t xml:space="preserve">La matriz también muestra que la comparación entre métodos es necesariamente</w:t>
      </w:r>
      <w:r>
        <w:t xml:space="preserve"> </w:t>
      </w:r>
      <w:r>
        <w:t xml:space="preserve">asimétrica. LIME y SHAP pueden compararse parcialmente en términos de</w:t>
      </w:r>
      <w:r>
        <w:t xml:space="preserve"> </w:t>
      </w:r>
      <w:r>
        <w:t xml:space="preserve">atribución o fidelidad local, pero Anchors introduce cobertura de regla y DiCE</w:t>
      </w:r>
      <w:r>
        <w:t xml:space="preserve"> </w:t>
      </w:r>
      <w:r>
        <w:t xml:space="preserve">introduce accionabilidad contrafactual. Si el protocolo fuerza una escala única,</w:t>
      </w:r>
      <w:r>
        <w:t xml:space="preserve"> </w:t>
      </w:r>
      <w:r>
        <w:t xml:space="preserve">puede castigar a un método por no producir el tipo de artefacto que la métrica</w:t>
      </w:r>
      <w:r>
        <w:t xml:space="preserve"> </w:t>
      </w:r>
      <w:r>
        <w:t xml:space="preserve">espera. FOM-7 evita ese error al requerir que cada conclusión especifique el</w:t>
      </w:r>
      <w:r>
        <w:t xml:space="preserve"> </w:t>
      </w:r>
      <w:r>
        <w:t xml:space="preserve">constructo evaluado y el tipo de objeto explicativo al que se aplica</w:t>
      </w:r>
      <w:r>
        <w:t xml:space="preserve"> </w:t>
      </w:r>
      <w:r>
        <w:t xml:space="preserve">(Mothilal 2020; Ribeiro 2018; Lundberg 2017; Karimi et al. 2022)</w:t>
      </w:r>
      <w:r>
        <w:t xml:space="preserve">.</w:t>
      </w:r>
    </w:p>
    <w:bookmarkEnd w:id="56"/>
    <w:bookmarkStart w:id="57" w:name="X56f8700cbeeed185eff27b2505360753d99a361"/>
    <w:p>
      <w:pPr>
        <w:pStyle w:val="Ttulo2"/>
        <w:spacing w:line="360" w:lineRule="auto"/>
        <w:jc w:val="both"/>
      </w:pPr>
      <w:r>
        <w:t xml:space="preserve">Reproducibilidad y trazabilidad en benchmarking XAI</w:t>
      </w:r>
    </w:p>
    <w:p>
      <w:pPr>
        <w:pStyle w:val="FirstParagraph"/>
        <w:spacing w:line="360" w:lineRule="auto"/>
        <w:jc w:val="both"/>
      </w:pPr>
      <w:r>
        <w:t xml:space="preserve">La reproducibilidad en XAI no se limita a publicar código. Un benchmark de</w:t>
      </w:r>
      <w:r>
        <w:t xml:space="preserve"> </w:t>
      </w:r>
      <w:r>
        <w:t xml:space="preserve">explicaciones depende de versiones de datos, modelos, semillas, hiperparámetros,</w:t>
      </w:r>
      <w:r>
        <w:t xml:space="preserve"> </w:t>
      </w:r>
      <w:r>
        <w:t xml:space="preserve">métodos de perturbación, parámetros de explicadores, definiciones de métricas y</w:t>
      </w:r>
      <w:r>
        <w:t xml:space="preserve"> </w:t>
      </w:r>
      <w:r>
        <w:t xml:space="preserve">reglas de agregación. Si estos elementos no se registran, dos estudios pueden</w:t>
      </w:r>
      <w:r>
        <w:t xml:space="preserve"> </w:t>
      </w:r>
      <w:r>
        <w:t xml:space="preserve">usar el mismo nombre de método y producir evidencia no comparable. La</w:t>
      </w:r>
      <w:r>
        <w:t xml:space="preserve"> </w:t>
      </w:r>
      <w:r>
        <w:t xml:space="preserve">reproducibilidad requiere entonces una descripción del pipeline completo</w:t>
      </w:r>
      <w:r>
        <w:t xml:space="preserve"> </w:t>
      </w:r>
      <w:r>
        <w:t xml:space="preserve">(Hedström et al. 2023; Nauta et al. 2023)</w:t>
      </w:r>
      <w:r>
        <w:t xml:space="preserve">.</w:t>
      </w:r>
    </w:p>
    <w:p>
      <w:pPr>
        <w:pStyle w:val="Textoindependiente"/>
        <w:spacing w:line="360" w:lineRule="auto"/>
        <w:jc w:val="both"/>
      </w:pPr>
      <w:r>
        <w:t xml:space="preserve">La literatura de evaluación XAI muestra que esta exigencia es particularmente</w:t>
      </w:r>
      <w:r>
        <w:t xml:space="preserve"> </w:t>
      </w:r>
      <w:r>
        <w:t xml:space="preserve">delicada porque las explicaciones suelen depender de decisiones que parecen</w:t>
      </w:r>
      <w:r>
        <w:t xml:space="preserve"> </w:t>
      </w:r>
      <w:r>
        <w:t xml:space="preserve">menores: una semilla, un conjunto de referencia, una forma de imputar ausencia</w:t>
      </w:r>
      <w:r>
        <w:t xml:space="preserve"> </w:t>
      </w:r>
      <w:r>
        <w:t xml:space="preserve">de variables, un umbral de regla o un generador de perturbaciones. Cuando esas</w:t>
      </w:r>
      <w:r>
        <w:t xml:space="preserve"> </w:t>
      </w:r>
      <w:r>
        <w:t xml:space="preserve">decisiones no se documentan, el resultado puede parecer una propiedad estable</w:t>
      </w:r>
      <w:r>
        <w:t xml:space="preserve"> </w:t>
      </w:r>
      <w:r>
        <w:t xml:space="preserve">del método aunque en realidad sea una propiedad de una configuración concreta.</w:t>
      </w:r>
      <w:r>
        <w:t xml:space="preserve"> </w:t>
      </w:r>
      <w:r>
        <w:t xml:space="preserve">Por eso, el paso desde evaluación anecdótica hacia evaluación cuantitativa debe</w:t>
      </w:r>
      <w:r>
        <w:t xml:space="preserve"> </w:t>
      </w:r>
      <w:r>
        <w:t xml:space="preserve">acompañarse de una disciplina de trazabilidad: no basta con que una métrica</w:t>
      </w:r>
      <w:r>
        <w:t xml:space="preserve"> </w:t>
      </w:r>
      <w:r>
        <w:t xml:space="preserve">exista, debe poder reconstruirse como parte de un experimento completo</w:t>
      </w:r>
      <w:r>
        <w:t xml:space="preserve"> </w:t>
      </w:r>
      <w:r>
        <w:t xml:space="preserve">(Nauta et al. 2023; Hedström et al. 2023)</w:t>
      </w:r>
      <w:r>
        <w:t xml:space="preserve">.</w:t>
      </w:r>
    </w:p>
    <w:p>
      <w:pPr>
        <w:pStyle w:val="Textoindependiente"/>
        <w:spacing w:line="360" w:lineRule="auto"/>
        <w:jc w:val="both"/>
      </w:pPr>
      <w:r>
        <w:t xml:space="preserve">FOM-7 incorpora esta preocupación mediante una secuencia de control: congelar el</w:t>
      </w:r>
      <w:r>
        <w:t xml:space="preserve"> </w:t>
      </w:r>
      <w:r>
        <w:t xml:space="preserve">diseño experimental, calificar artefactos, ejecutar métricas armonizadas,</w:t>
      </w:r>
      <w:r>
        <w:t xml:space="preserve"> </w:t>
      </w:r>
      <w:r>
        <w:t xml:space="preserve">aplicar criterios estadísticos, perfilar reproducibilidad y mapear afirmaciones</w:t>
      </w:r>
      <w:r>
        <w:t xml:space="preserve"> </w:t>
      </w:r>
      <w:r>
        <w:t xml:space="preserve">a evidencia. Esta secuencia evita que los resultados se presenten como</w:t>
      </w:r>
      <w:r>
        <w:t xml:space="preserve"> </w:t>
      </w:r>
      <w:r>
        <w:t xml:space="preserve">conclusiones generales sin indicar las condiciones que los sostienen.</w:t>
      </w:r>
    </w:p>
    <w:p>
      <w:pPr>
        <w:pStyle w:val="Textoindependiente"/>
        <w:spacing w:line="360" w:lineRule="auto"/>
        <w:jc w:val="both"/>
      </w:pPr>
      <w:r>
        <w:t xml:space="preserve">Esta secuencia también protege contra un problema frecuente en revisiones</w:t>
      </w:r>
      <w:r>
        <w:t xml:space="preserve"> </w:t>
      </w:r>
      <w:r>
        <w:t xml:space="preserve">comparativas: la conversión de resultados de herramienta en conclusiones de</w:t>
      </w:r>
      <w:r>
        <w:t xml:space="preserve"> </w:t>
      </w:r>
      <w:r>
        <w:t xml:space="preserve">teoría. Un toolkit puede calcular métricas correctamente y, aun así, el estudio</w:t>
      </w:r>
      <w:r>
        <w:t xml:space="preserve"> </w:t>
      </w:r>
      <w:r>
        <w:t xml:space="preserve">puede sobreinterpretar el resultado si no distingue entre constructo medido,</w:t>
      </w:r>
      <w:r>
        <w:t xml:space="preserve"> </w:t>
      </w:r>
      <w:r>
        <w:t xml:space="preserve">objeto explicativo y alcance del dataset. Los sanity checks de métricas y las</w:t>
      </w:r>
      <w:r>
        <w:t xml:space="preserve"> </w:t>
      </w:r>
      <w:r>
        <w:t xml:space="preserve">críticas a explicaciones post-hoc muestran que tanto los explicadores como los</w:t>
      </w:r>
      <w:r>
        <w:t xml:space="preserve"> </w:t>
      </w:r>
      <w:r>
        <w:t xml:space="preserve">instrumentos de evaluación pueden fallar de maneras no obvias</w:t>
      </w:r>
      <w:r>
        <w:t xml:space="preserve"> </w:t>
      </w:r>
      <w:r>
        <w:t xml:space="preserve">(Tomsett et al. 2020; Slack et al. 2020; Laugel et al. 2019)</w:t>
      </w:r>
      <w:r>
        <w:t xml:space="preserve">. FOM-7 responde a esta vulnerabilidad haciendo que la</w:t>
      </w:r>
      <w:r>
        <w:t xml:space="preserve"> </w:t>
      </w:r>
      <w:r>
        <w:t xml:space="preserve">calificación del artefacto y la admisibilidad del claim sean pasos explícitos,</w:t>
      </w:r>
      <w:r>
        <w:t xml:space="preserve"> </w:t>
      </w:r>
      <w:r>
        <w:t xml:space="preserve">no inferencias dejadas al lector.</w:t>
      </w:r>
    </w:p>
    <w:p>
      <w:pPr>
        <w:pStyle w:val="Textoindependiente"/>
        <w:spacing w:line="360" w:lineRule="auto"/>
        <w:jc w:val="both"/>
      </w:pPr>
      <w:r>
        <w:t xml:space="preserve">La trazabilidad de afirmaciones es especialmente relevante para una tesis</w:t>
      </w:r>
      <w:r>
        <w:t xml:space="preserve"> </w:t>
      </w:r>
      <w:r>
        <w:t xml:space="preserve">doctoral. Cada afirmación fuerte debe poder regresar a una tabla, figura,</w:t>
      </w:r>
      <w:r>
        <w:t xml:space="preserve"> </w:t>
      </w:r>
      <w:r>
        <w:t xml:space="preserve">métrica, prueba estadística o decisión metodológica. Si se afirma que un método</w:t>
      </w:r>
      <w:r>
        <w:t xml:space="preserve"> </w:t>
      </w:r>
      <w:r>
        <w:t xml:space="preserve">es más estable, debe quedar claro en qué dataset, modelo, configuración,</w:t>
      </w:r>
      <w:r>
        <w:t xml:space="preserve"> </w:t>
      </w:r>
      <w:r>
        <w:t xml:space="preserve">vecindario, semilla y métrica se observó esa estabilidad. Si se afirma que un</w:t>
      </w:r>
      <w:r>
        <w:t xml:space="preserve"> </w:t>
      </w:r>
      <w:r>
        <w:t xml:space="preserve">método es preferible, debe específicarse preferible respecto a qué criterio y</w:t>
      </w:r>
      <w:r>
        <w:t xml:space="preserve"> </w:t>
      </w:r>
      <w:r>
        <w:t xml:space="preserve">bajo qué restricciones.</w:t>
      </w:r>
    </w:p>
    <w:p>
      <w:pPr>
        <w:pStyle w:val="Textoindependiente"/>
        <w:spacing w:line="360" w:lineRule="auto"/>
        <w:jc w:val="both"/>
      </w:pPr>
      <w:r>
        <w:t xml:space="preserve">Esta disciplina también protege contra sobreclaiming. FOM-7 no convierte la</w:t>
      </w:r>
      <w:r>
        <w:t xml:space="preserve"> </w:t>
      </w:r>
      <w:r>
        <w:t xml:space="preserve">evaluación functionally-grounded en evidencia application-grounded. Tampoco</w:t>
      </w:r>
      <w:r>
        <w:t xml:space="preserve"> </w:t>
      </w:r>
      <w:r>
        <w:t xml:space="preserve">pretende resolver todos los problemas human-centered de la XAI. Su contribución</w:t>
      </w:r>
      <w:r>
        <w:t xml:space="preserve"> </w:t>
      </w:r>
      <w:r>
        <w:t xml:space="preserve">es más precisa: construir un protocolo operacional para producir evidencia</w:t>
      </w:r>
      <w:r>
        <w:t xml:space="preserve"> </w:t>
      </w:r>
      <w:r>
        <w:t xml:space="preserve">multinivel, reproducible y trazable en un benchmark de explicaciones post-hoc.</w:t>
      </w:r>
    </w:p>
    <w:p>
      <w:pPr>
        <w:pStyle w:val="Textoindependiente"/>
        <w:spacing w:line="360" w:lineRule="auto"/>
        <w:jc w:val="both"/>
      </w:pPr>
      <w:r>
        <w:t xml:space="preserve">La consecuencia práctica es que cada tabla de resultados debe leerse como una</w:t>
      </w:r>
      <w:r>
        <w:t xml:space="preserve"> </w:t>
      </w:r>
      <w:r>
        <w:t xml:space="preserve">tabla de evidencia condicionada. Un valor de fidelidad pertenece a una</w:t>
      </w:r>
      <w:r>
        <w:t xml:space="preserve"> </w:t>
      </w:r>
      <w:r>
        <w:t xml:space="preserve">combinación de modelo, dataset, explicador, perturbación y criterio de</w:t>
      </w:r>
      <w:r>
        <w:t xml:space="preserve"> </w:t>
      </w:r>
      <w:r>
        <w:t xml:space="preserve">agregación. Un valor de estabilidad pertenece a una definición de vecindario y</w:t>
      </w:r>
      <w:r>
        <w:t xml:space="preserve"> </w:t>
      </w:r>
      <w:r>
        <w:t xml:space="preserve">a una clase de variación. Una medición de coste pertenece a una configuración de</w:t>
      </w:r>
      <w:r>
        <w:t xml:space="preserve"> </w:t>
      </w:r>
      <w:r>
        <w:t xml:space="preserve">hardware, implementación y parámetros. Sin esta información, la comparación</w:t>
      </w:r>
      <w:r>
        <w:t xml:space="preserve"> </w:t>
      </w:r>
      <w:r>
        <w:t xml:space="preserve">puede ser útil como orientación preliminar, pero débil como evidencia doctoral.</w:t>
      </w:r>
      <w:r>
        <w:t xml:space="preserve"> </w:t>
      </w:r>
      <w:r>
        <w:t xml:space="preserve">Con esta información, en cambio, la tesis puede formular conclusiones</w:t>
      </w:r>
      <w:r>
        <w:t xml:space="preserve"> </w:t>
      </w:r>
      <w:r>
        <w:t xml:space="preserve">delimitadas y auditables: no</w:t>
      </w:r>
      <w:r>
        <w:t xml:space="preserve"> </w:t>
      </w:r>
      <w:r>
        <w:t xml:space="preserve">“este explicador es mejor”</w:t>
      </w:r>
      <w:r>
        <w:t xml:space="preserve">, sino</w:t>
      </w:r>
      <w:r>
        <w:t xml:space="preserve"> </w:t>
      </w:r>
      <w:r>
        <w:t xml:space="preserve">“este explicador</w:t>
      </w:r>
      <w:r>
        <w:t xml:space="preserve"> </w:t>
      </w:r>
      <w:r>
        <w:t xml:space="preserve">exhibe mayor estabilidad bajo estas condiciones y con este criterio de</w:t>
      </w:r>
      <w:r>
        <w:t xml:space="preserve"> </w:t>
      </w:r>
      <w:r>
        <w:t xml:space="preserve">medición”</w:t>
      </w:r>
      <w:r>
        <w:t xml:space="preserve">. Ese cambio de lenguaje es una parte sustantiva de la contribución</w:t>
      </w:r>
      <w:r>
        <w:t xml:space="preserve"> </w:t>
      </w:r>
      <w:r>
        <w:t xml:space="preserve">metodológica.</w:t>
      </w:r>
    </w:p>
    <w:bookmarkEnd w:id="57"/>
    <w:bookmarkStart w:id="58" w:name="síntesis-crítica-justificación-de-fom-7"/>
    <w:p>
      <w:pPr>
        <w:pStyle w:val="Ttulo2"/>
        <w:spacing w:line="360" w:lineRule="auto"/>
        <w:jc w:val="both"/>
      </w:pPr>
      <w:r>
        <w:t xml:space="preserve">Síntesis crítica: justificación de FOM-7</w:t>
      </w:r>
    </w:p>
    <w:p>
      <w:pPr>
        <w:pStyle w:val="FirstParagraph"/>
        <w:spacing w:line="360" w:lineRule="auto"/>
        <w:jc w:val="both"/>
      </w:pPr>
      <w:r>
        <w:t xml:space="preserve">La revisión permite formular la brecha central de la tesis. La literatura ofrece</w:t>
      </w:r>
      <w:r>
        <w:t xml:space="preserve"> </w:t>
      </w:r>
      <w:r>
        <w:t xml:space="preserve">métodos de explicación influyentes, como LIME, SHAP, Anchors y DiCE. También</w:t>
      </w:r>
      <w:r>
        <w:t xml:space="preserve"> </w:t>
      </w:r>
      <w:r>
        <w:t xml:space="preserve">ofrece marcos de evaluación y toolkits, como Quantus y OpenXAI. Además,</w:t>
      </w:r>
      <w:r>
        <w:t xml:space="preserve"> </w:t>
      </w:r>
      <w:r>
        <w:t xml:space="preserve">dispone de taxonomías conceptuales que distinguen tipos de evaluación,</w:t>
      </w:r>
      <w:r>
        <w:t xml:space="preserve"> </w:t>
      </w:r>
      <w:r>
        <w:t xml:space="preserve">constructos métricos y niveles de participación humana. El problema, por tanto,</w:t>
      </w:r>
      <w:r>
        <w:t xml:space="preserve"> </w:t>
      </w:r>
      <w:r>
        <w:t xml:space="preserve">no es la ausencia total de recursos teóricos o técnicos.</w:t>
      </w:r>
    </w:p>
    <w:p>
      <w:pPr>
        <w:pStyle w:val="Textoindependiente"/>
        <w:spacing w:line="360" w:lineRule="auto"/>
        <w:jc w:val="both"/>
      </w:pPr>
      <w:r>
        <w:t xml:space="preserve">La brecha reside en la integración operacional. En la práctica, evaluar XAI para</w:t>
      </w:r>
      <w:r>
        <w:t xml:space="preserve"> </w:t>
      </w:r>
      <w:r>
        <w:t xml:space="preserve">fines comparativos exige responder preguntas encadenadas: qué artefactos son</w:t>
      </w:r>
      <w:r>
        <w:t xml:space="preserve"> </w:t>
      </w:r>
      <w:r>
        <w:t xml:space="preserve">admisibles, qué métodos se comparan, bajo qué datasets y modelos, con qué</w:t>
      </w:r>
      <w:r>
        <w:t xml:space="preserve"> </w:t>
      </w:r>
      <w:r>
        <w:t xml:space="preserve">parámetros, mediante qué métricas, con qué controles estadísticos, bajo qué</w:t>
      </w:r>
      <w:r>
        <w:t xml:space="preserve"> </w:t>
      </w:r>
      <w:r>
        <w:t xml:space="preserve">criterios de reproducibilidad y con qué límites de interpretación. Cuando estas</w:t>
      </w:r>
      <w:r>
        <w:t xml:space="preserve"> </w:t>
      </w:r>
      <w:r>
        <w:t xml:space="preserve">decisiones no se integran en un protocolo, la evaluación puede producir tablas</w:t>
      </w:r>
      <w:r>
        <w:t xml:space="preserve"> </w:t>
      </w:r>
      <w:r>
        <w:t xml:space="preserve">aparentemente rigurosas pero débiles como evidencia científica.</w:t>
      </w:r>
    </w:p>
    <w:p>
      <w:pPr>
        <w:pStyle w:val="Textoindependiente"/>
        <w:spacing w:line="360" w:lineRule="auto"/>
        <w:jc w:val="both"/>
      </w:pPr>
      <w:r>
        <w:t xml:space="preserve">Esta brecha no debe formularse como una descalificación de los marcos</w:t>
      </w:r>
      <w:r>
        <w:t xml:space="preserve"> </w:t>
      </w:r>
      <w:r>
        <w:t xml:space="preserve">existentes. Quantus, OpenXAI y las revisiones sistemáticas recientes representan</w:t>
      </w:r>
      <w:r>
        <w:t xml:space="preserve"> </w:t>
      </w:r>
      <w:r>
        <w:t xml:space="preserve">avances reales hacia la estandarización, la comparabilidad y la cuantificación</w:t>
      </w:r>
      <w:r>
        <w:t xml:space="preserve"> </w:t>
      </w:r>
      <w:r>
        <w:t xml:space="preserve">de explicaciones</w:t>
      </w:r>
      <w:r>
        <w:t xml:space="preserve"> </w:t>
      </w:r>
      <w:r>
        <w:t xml:space="preserve">(Hedström et al. 2023; Agarwal et al. 2022; Nauta et al. 2023)</w:t>
      </w:r>
      <w:r>
        <w:t xml:space="preserve">. La tesis no afirma</w:t>
      </w:r>
      <w:r>
        <w:t xml:space="preserve"> </w:t>
      </w:r>
      <w:r>
        <w:t xml:space="preserve">que esos recursos sean insuficientes en términos absolutos, sino que no agotan</w:t>
      </w:r>
      <w:r>
        <w:t xml:space="preserve"> </w:t>
      </w:r>
      <w:r>
        <w:t xml:space="preserve">la necesidad de un protocolo situado que gobierne el ciclo completo de evidencia</w:t>
      </w:r>
      <w:r>
        <w:t xml:space="preserve"> </w:t>
      </w:r>
      <w:r>
        <w:t xml:space="preserve">en este estudio. La diferencia es sutil pero decisiva: un toolkit puede ofrecer</w:t>
      </w:r>
      <w:r>
        <w:t xml:space="preserve"> </w:t>
      </w:r>
      <w:r>
        <w:t xml:space="preserve">métricas; un protocolo doctoral debe decir cuándo esas métricas son admisibles,</w:t>
      </w:r>
      <w:r>
        <w:t xml:space="preserve"> </w:t>
      </w:r>
      <w:r>
        <w:t xml:space="preserve">cómo se documentan, cómo se comparan, qué inferencias permiten y qué límites</w:t>
      </w:r>
      <w:r>
        <w:t xml:space="preserve"> </w:t>
      </w:r>
      <w:r>
        <w:t xml:space="preserve">conservan.</w:t>
      </w:r>
    </w:p>
    <w:p>
      <w:pPr>
        <w:pStyle w:val="Textoindependiente"/>
        <w:spacing w:line="360" w:lineRule="auto"/>
        <w:jc w:val="both"/>
      </w:pPr>
      <w:r>
        <w:t xml:space="preserve">La revisión también muestra que las familias de explicación no comparten una</w:t>
      </w:r>
      <w:r>
        <w:t xml:space="preserve"> </w:t>
      </w:r>
      <w:r>
        <w:t xml:space="preserve">ontología única. LIME produce sustitutos locales; SHAP produce atribuciones;</w:t>
      </w:r>
      <w:r>
        <w:t xml:space="preserve"> </w:t>
      </w:r>
      <w:r>
        <w:t xml:space="preserve">Anchors produce reglas; DiCE produce contrafactuales. Esta diversidad implica</w:t>
      </w:r>
      <w:r>
        <w:t xml:space="preserve"> </w:t>
      </w:r>
      <w:r>
        <w:t xml:space="preserve">que el protocolo no puede asumir una equivalencia natural entre salidas</w:t>
      </w:r>
      <w:r>
        <w:t xml:space="preserve"> </w:t>
      </w:r>
      <w:r>
        <w:t xml:space="preserve">explicativas. La comparación debe ser multinivel porque cada método se relaciona</w:t>
      </w:r>
      <w:r>
        <w:t xml:space="preserve"> </w:t>
      </w:r>
      <w:r>
        <w:t xml:space="preserve">de manera distinta con fidelidad, estabilidad, coste, cobertura, accionabilidad</w:t>
      </w:r>
      <w:r>
        <w:t xml:space="preserve"> </w:t>
      </w:r>
      <w:r>
        <w:t xml:space="preserve">y utilidad. La matriz anterior formaliza esta asimetría y convierte una</w:t>
      </w:r>
      <w:r>
        <w:t xml:space="preserve"> </w:t>
      </w:r>
      <w:r>
        <w:t xml:space="preserve">observación teórica en una regla metodológica: ninguna conclusión comparativa</w:t>
      </w:r>
      <w:r>
        <w:t xml:space="preserve"> </w:t>
      </w:r>
      <w:r>
        <w:t xml:space="preserve">puede separarse del tipo de objeto explicativo que la sostiene.</w:t>
      </w:r>
    </w:p>
    <w:p>
      <w:pPr>
        <w:pStyle w:val="Textoindependiente"/>
        <w:spacing w:line="360" w:lineRule="auto"/>
        <w:jc w:val="both"/>
      </w:pPr>
      <w:r>
        <w:t xml:space="preserve">El tercer elemento de la brecha es la admisibilidad estadística. Una diferencia</w:t>
      </w:r>
      <w:r>
        <w:t xml:space="preserve"> </w:t>
      </w:r>
      <w:r>
        <w:t xml:space="preserve">observada entre métodos no basta para sostener una afirmación doctoral si no se</w:t>
      </w:r>
      <w:r>
        <w:t xml:space="preserve"> </w:t>
      </w:r>
      <w:r>
        <w:t xml:space="preserve">acompaña de controles sobre variabilidad, repetición, comparabilidad y alcance.</w:t>
      </w:r>
      <w:r>
        <w:t xml:space="preserve"> </w:t>
      </w:r>
      <w:r>
        <w:t xml:space="preserve">La literatura de benchmarking XAI ha avanzado al ofrecer métricas y esquemas de</w:t>
      </w:r>
      <w:r>
        <w:t xml:space="preserve"> </w:t>
      </w:r>
      <w:r>
        <w:t xml:space="preserve">evaluación, pero el paso desde resultado numérico hasta claim requiere una capa</w:t>
      </w:r>
      <w:r>
        <w:t xml:space="preserve"> </w:t>
      </w:r>
      <w:r>
        <w:t xml:space="preserve">de decisión metodológica. FOM-7 ubica esa capa dentro del protocolo: antes de</w:t>
      </w:r>
      <w:r>
        <w:t xml:space="preserve"> </w:t>
      </w:r>
      <w:r>
        <w:t xml:space="preserve">declarar superioridad, preferencia o robustez, el estudio debe establecer si el</w:t>
      </w:r>
      <w:r>
        <w:t xml:space="preserve"> </w:t>
      </w:r>
      <w:r>
        <w:t xml:space="preserve">resultado es estable, si la prueba estadística es apropiada, si los artefactos</w:t>
      </w:r>
      <w:r>
        <w:t xml:space="preserve"> </w:t>
      </w:r>
      <w:r>
        <w:t xml:space="preserve">son comparables y si la conclusión respeta el constructo evaluado.</w:t>
      </w:r>
    </w:p>
    <w:p>
      <w:pPr>
        <w:pStyle w:val="Textoindependiente"/>
        <w:spacing w:line="360" w:lineRule="auto"/>
        <w:jc w:val="both"/>
      </w:pPr>
      <w:r>
        <w:t xml:space="preserve">El cuarto elemento es la trazabilidad. En una tesis doctoral, la credibilidad no</w:t>
      </w:r>
      <w:r>
        <w:t xml:space="preserve"> </w:t>
      </w:r>
      <w:r>
        <w:t xml:space="preserve">depende solo de tener resultados, sino de que el lector pueda seguir el camino</w:t>
      </w:r>
      <w:r>
        <w:t xml:space="preserve"> </w:t>
      </w:r>
      <w:r>
        <w:t xml:space="preserve">desde una afirmación hasta sus condiciones de producción. Esta trazabilidad</w:t>
      </w:r>
      <w:r>
        <w:t xml:space="preserve"> </w:t>
      </w:r>
      <w:r>
        <w:t xml:space="preserve">incluye referencias bibliográficas, definiciones conceptuales, decisiones de</w:t>
      </w:r>
      <w:r>
        <w:t xml:space="preserve"> </w:t>
      </w:r>
      <w:r>
        <w:t xml:space="preserve">diseño, configuraciones experimentales, métricas, pruebas estadísticas y</w:t>
      </w:r>
      <w:r>
        <w:t xml:space="preserve"> </w:t>
      </w:r>
      <w:r>
        <w:t xml:space="preserve">limitaciones. FOM-7 convierte esta exigencia en arquitectura: cada claim debe</w:t>
      </w:r>
      <w:r>
        <w:t xml:space="preserve"> </w:t>
      </w:r>
      <w:r>
        <w:t xml:space="preserve">vincularse con evidencia identificable y cada evidencia debe declarar su alcance</w:t>
      </w:r>
      <w:r>
        <w:t xml:space="preserve"> </w:t>
      </w:r>
      <w:r>
        <w:t xml:space="preserve">interpretativo. Así, el protocolo evita que la literatura revise conceptos por</w:t>
      </w:r>
      <w:r>
        <w:t xml:space="preserve"> </w:t>
      </w:r>
      <w:r>
        <w:t xml:space="preserve">un lado y los experimentos reporten cifras por otro, sin un puente claro entre</w:t>
      </w:r>
      <w:r>
        <w:t xml:space="preserve"> </w:t>
      </w:r>
      <w:r>
        <w:t xml:space="preserve">ambos.</w:t>
      </w:r>
    </w:p>
    <w:p>
      <w:pPr>
        <w:pStyle w:val="Textoindependiente"/>
        <w:spacing w:line="360" w:lineRule="auto"/>
        <w:jc w:val="both"/>
      </w:pPr>
      <w:r>
        <w:t xml:space="preserve">FOM-7 se justifica como respuesta a esa brecha. Su aporte no es proponer una</w:t>
      </w:r>
      <w:r>
        <w:t xml:space="preserve"> </w:t>
      </w:r>
      <w:r>
        <w:t xml:space="preserve">métrica aislada ni afirmar que un método de explicación domina universalmente a</w:t>
      </w:r>
      <w:r>
        <w:t xml:space="preserve"> </w:t>
      </w:r>
      <w:r>
        <w:t xml:space="preserve">los demás. Su aporte es estructurar un proceso de evaluación multinivel que</w:t>
      </w:r>
      <w:r>
        <w:t xml:space="preserve"> </w:t>
      </w:r>
      <w:r>
        <w:t xml:space="preserve">conecta diseño experimental, calificación de artefactos, medición,</w:t>
      </w:r>
      <w:r>
        <w:t xml:space="preserve"> </w:t>
      </w:r>
      <w:r>
        <w:t xml:space="preserve">admisibilidad estadística, reproducibilidad y trazabilidad de claims. Esta</w:t>
      </w:r>
      <w:r>
        <w:t xml:space="preserve"> </w:t>
      </w:r>
      <w:r>
        <w:t xml:space="preserve">conexión permite que las conclusiones de la tesis sean evaluables, replicables y</w:t>
      </w:r>
      <w:r>
        <w:t xml:space="preserve"> </w:t>
      </w:r>
      <w:r>
        <w:t xml:space="preserve">delimitadas.</w:t>
      </w:r>
    </w:p>
    <w:p>
      <w:pPr>
        <w:pStyle w:val="Textoindependiente"/>
        <w:spacing w:line="360" w:lineRule="auto"/>
        <w:jc w:val="both"/>
      </w:pPr>
      <w:r>
        <w:t xml:space="preserve">En consecuencia, FOM-7 puede describirse como una contribución de gobernanza</w:t>
      </w:r>
      <w:r>
        <w:t xml:space="preserve"> </w:t>
      </w:r>
      <w:r>
        <w:t xml:space="preserve">metodológica para evaluación XAI. No compite con LIME, SHAP, Anchors o DiCE,</w:t>
      </w:r>
      <w:r>
        <w:t xml:space="preserve"> </w:t>
      </w:r>
      <w:r>
        <w:t xml:space="preserve">porque no es un explicador. No compite con Quantus u OpenXAI como librería de</w:t>
      </w:r>
      <w:r>
        <w:t xml:space="preserve"> </w:t>
      </w:r>
      <w:r>
        <w:t xml:space="preserve">métricas, porque su foco no es ampliar el catálogo de implementaciones. Su</w:t>
      </w:r>
      <w:r>
        <w:t xml:space="preserve"> </w:t>
      </w:r>
      <w:r>
        <w:t xml:space="preserve">espacio propio está en coordinar los pasos que permiten convertir explicaciones</w:t>
      </w:r>
      <w:r>
        <w:t xml:space="preserve"> </w:t>
      </w:r>
      <w:r>
        <w:t xml:space="preserve">y métricas en evidencia científica: selección de artefactos, congelamiento de</w:t>
      </w:r>
      <w:r>
        <w:t xml:space="preserve"> </w:t>
      </w:r>
      <w:r>
        <w:t xml:space="preserve">condiciones, ejecución comparable, análisis estadístico, perfil reproducible y</w:t>
      </w:r>
      <w:r>
        <w:t xml:space="preserve"> </w:t>
      </w:r>
      <w:r>
        <w:t xml:space="preserve">claim trazable. Esta posición hace que la contribución sea defendible sin</w:t>
      </w:r>
      <w:r>
        <w:t xml:space="preserve"> </w:t>
      </w:r>
      <w:r>
        <w:t xml:space="preserve">sobreclaiming.</w:t>
      </w:r>
    </w:p>
    <w:p>
      <w:pPr>
        <w:pStyle w:val="Textoindependiente"/>
        <w:spacing w:line="360" w:lineRule="auto"/>
        <w:jc w:val="both"/>
      </w:pPr>
      <w:r>
        <w:t xml:space="preserve">El capítulo también delimita lo que FOM-7 no demuestra. No demuestra utilidad</w:t>
      </w:r>
      <w:r>
        <w:t xml:space="preserve"> </w:t>
      </w:r>
      <w:r>
        <w:t xml:space="preserve">humana directa, porque esa afirmación requeriría estudios human-grounded o</w:t>
      </w:r>
      <w:r>
        <w:t xml:space="preserve"> </w:t>
      </w:r>
      <w:r>
        <w:t xml:space="preserve">application-grounded específicos</w:t>
      </w:r>
      <w:r>
        <w:t xml:space="preserve"> </w:t>
      </w:r>
      <w:r>
        <w:t xml:space="preserve">(Doshi-Velez 2017; Hase and Bansal 2020; Rong et al. 2024)</w:t>
      </w:r>
      <w:r>
        <w:t xml:space="preserve">. No</w:t>
      </w:r>
      <w:r>
        <w:t xml:space="preserve"> </w:t>
      </w:r>
      <w:r>
        <w:t xml:space="preserve">demuestra verdad causal de las explicaciones, porque las métricas</w:t>
      </w:r>
      <w:r>
        <w:t xml:space="preserve"> </w:t>
      </w:r>
      <w:r>
        <w:t xml:space="preserve">functionally-grounded operan sobre proxies definidos. No demuestra superioridad</w:t>
      </w:r>
      <w:r>
        <w:t xml:space="preserve"> </w:t>
      </w:r>
      <w:r>
        <w:t xml:space="preserve">universal de un método, porque los métodos producen objetos heterogéneos y</w:t>
      </w:r>
      <w:r>
        <w:t xml:space="preserve"> </w:t>
      </w:r>
      <w:r>
        <w:t xml:space="preserve">responden a constructos distintos. Estas limitaciones no debilitan la tesis; al</w:t>
      </w:r>
      <w:r>
        <w:t xml:space="preserve"> </w:t>
      </w:r>
      <w:r>
        <w:t xml:space="preserve">contrario, fortalecen su precisión. Un protocolo doctoral robusto no elimina los</w:t>
      </w:r>
      <w:r>
        <w:t xml:space="preserve"> </w:t>
      </w:r>
      <w:r>
        <w:t xml:space="preserve">límites, los vuelve visibles y auditables.</w:t>
      </w:r>
    </w:p>
    <w:p>
      <w:pPr>
        <w:pStyle w:val="Textoindependiente"/>
        <w:spacing w:line="360" w:lineRule="auto"/>
        <w:jc w:val="both"/>
      </w:pPr>
      <w:r>
        <w:t xml:space="preserve">Desde esta perspectiva, el capítulo 2 cumple una función argumentativa:</w:t>
      </w:r>
      <w:r>
        <w:t xml:space="preserve"> </w:t>
      </w:r>
      <w:r>
        <w:t xml:space="preserve">demuestra que la XAI ha madurado como campo de métodos, que la evaluación ha</w:t>
      </w:r>
      <w:r>
        <w:t xml:space="preserve"> </w:t>
      </w:r>
      <w:r>
        <w:t xml:space="preserve">avanzado mediante taxonomías y toolkits, y que aún falta una capa operacional</w:t>
      </w:r>
      <w:r>
        <w:t xml:space="preserve"> </w:t>
      </w:r>
      <w:r>
        <w:t xml:space="preserve">que gobierne el paso desde resultados métricos hacia afirmaciones científicas.</w:t>
      </w:r>
      <w:r>
        <w:t xml:space="preserve"> </w:t>
      </w:r>
      <w:r>
        <w:t xml:space="preserve">Esa capa es el espacio de contribución de FOM-7 y el puente conceptual hacia el</w:t>
      </w:r>
      <w:r>
        <w:t xml:space="preserve"> </w:t>
      </w:r>
      <w:r>
        <w:t xml:space="preserve">diseño experimental desarrollado en el capítulo siguiente.</w:t>
      </w:r>
    </w:p>
    <w:p>
      <w:pPr>
        <w:pStyle w:val="Textoindependiente"/>
        <w:spacing w:line="360" w:lineRule="auto"/>
        <w:jc w:val="both"/>
      </w:pPr>
      <w:r>
        <w:t xml:space="preserve">Este capítulo ha establecido el fundamento conceptual que sostiene la propuesta</w:t>
      </w:r>
      <w:r>
        <w:t xml:space="preserve"> </w:t>
      </w:r>
      <w:r>
        <w:t xml:space="preserve">FOM-7. La revisión muestra que la literatura dispone de explicadores maduros,</w:t>
      </w:r>
      <w:r>
        <w:t xml:space="preserve"> </w:t>
      </w:r>
      <w:r>
        <w:t xml:space="preserve">toolkits de evaluación funcionales y taxonomías conceptuales que distinguen</w:t>
      </w:r>
      <w:r>
        <w:t xml:space="preserve"> </w:t>
      </w:r>
      <w:r>
        <w:t xml:space="preserve">niveles de evidencia —pero ningún protocolo operativo que gobierne el ciclo</w:t>
      </w:r>
      <w:r>
        <w:t xml:space="preserve"> </w:t>
      </w:r>
      <w:r>
        <w:t xml:space="preserve">completo desde el diseño experimental hasta la trazabilidad de afirmaciones. Las</w:t>
      </w:r>
      <w:r>
        <w:t xml:space="preserve"> </w:t>
      </w:r>
      <w:r>
        <w:t xml:space="preserve">dos subsecciones finales —evaluación human-centered y reproducibilidad en XAI—</w:t>
      </w:r>
      <w:r>
        <w:t xml:space="preserve"> </w:t>
      </w:r>
      <w:r>
        <w:t xml:space="preserve">sitúan esa brecha en su contexto más amplio: la reproducibilidad es un requisito</w:t>
      </w:r>
      <w:r>
        <w:t xml:space="preserve"> </w:t>
      </w:r>
      <w:r>
        <w:t xml:space="preserve">de validez científica y un requisito normativo emergente; la evaluación centrada</w:t>
      </w:r>
      <w:r>
        <w:t xml:space="preserve"> </w:t>
      </w:r>
      <w:r>
        <w:t xml:space="preserve">en el usuario es una dimensión de calidad que el benchmark puede delimitar, pero</w:t>
      </w:r>
      <w:r>
        <w:t xml:space="preserve"> </w:t>
      </w:r>
      <w:r>
        <w:t xml:space="preserve">no sustituir. La consecuencia operativa de esta revisión es que el Capítulo 3</w:t>
      </w:r>
      <w:r>
        <w:t xml:space="preserve"> </w:t>
      </w:r>
      <w:r>
        <w:t xml:space="preserve">no puede limitarse a describir qué métricas se calculan: debe especificar bajo</w:t>
      </w:r>
      <w:r>
        <w:t xml:space="preserve"> </w:t>
      </w:r>
      <w:r>
        <w:t xml:space="preserve">qué condiciones experimentales son admisibles, qué artefactos las sostienen y</w:t>
      </w:r>
      <w:r>
        <w:t xml:space="preserve"> </w:t>
      </w:r>
      <w:r>
        <w:t xml:space="preserve">qué inferencias permiten. Esa especificación es el diseño de FOM-7.</w:t>
      </w:r>
    </w:p>
    <w:bookmarkEnd w:id="58"/>
    <w:bookmarkEnd w:id="59"/>
    <w:bookmarkStart w:id="102" w:name="marco-empírico-y-diseño-experimental"/>
    <w:p>
      <w:pPr>
        <w:pStyle w:val="Ttulo1"/>
        <w:spacing w:line="360" w:lineRule="auto"/>
        <w:jc w:val="both"/>
      </w:pPr>
      <w:r>
        <w:t xml:space="preserve">Marco empírico y diseño experimental</w:t>
      </w:r>
    </w:p>
    <w:p>
      <w:pPr>
        <w:pStyle w:val="FirstParagraph"/>
        <w:spacing w:line="360" w:lineRule="auto"/>
        <w:jc w:val="both"/>
      </w:pPr>
      <w:r>
        <w:t xml:space="preserve">Este capítulo describe el diseño empírico de los dos estudios que conforman el</w:t>
      </w:r>
      <w:r>
        <w:t xml:space="preserve"> </w:t>
      </w:r>
      <w:r>
        <w:t xml:space="preserve">núcleo cuantitativo de la tesis: el benchmark multinivel de métodos agnósticos</w:t>
      </w:r>
      <w:r>
        <w:t xml:space="preserve"> </w:t>
      </w:r>
      <w:r>
        <w:t xml:space="preserve">(Estudio A, Paper A) y la comparación pareada enfocada entre LIME y SHAP</w:t>
      </w:r>
      <w:r>
        <w:t xml:space="preserve"> </w:t>
      </w:r>
      <w:r>
        <w:t xml:space="preserve">(Estudio B, Paper B). Ambos estudios comparten el mismo pipeline experimental,</w:t>
      </w:r>
      <w:r>
        <w:t xml:space="preserve"> </w:t>
      </w:r>
      <w:r>
        <w:t xml:space="preserve">el mismo conjunto de datos y los mismos artefactos de modelo, y se distinguen</w:t>
      </w:r>
      <w:r>
        <w:t xml:space="preserve"> </w:t>
      </w:r>
      <w:r>
        <w:t xml:space="preserve">por el alcance del análisis inferencial: Estudio A evalúa los cuatro métodos</w:t>
      </w:r>
      <w:r>
        <w:t xml:space="preserve"> </w:t>
      </w:r>
      <w:r>
        <w:t xml:space="preserve">sobre el diseño factorial completo; Estudio B restringe la inferencia</w:t>
      </w:r>
      <w:r>
        <w:t xml:space="preserve"> </w:t>
      </w:r>
      <w:r>
        <w:t xml:space="preserve">confirmativa al subconjunto pareado LIME-SHAP. El capítulo se organiza en ocho</w:t>
      </w:r>
      <w:r>
        <w:t xml:space="preserve"> </w:t>
      </w:r>
      <w:r>
        <w:t xml:space="preserve">secciones: las dos fases experimentales (EXP1 y EXP2), el conjunto de datos y</w:t>
      </w:r>
      <w:r>
        <w:t xml:space="preserve"> </w:t>
      </w:r>
      <w:r>
        <w:t xml:space="preserve">el protocolo de preprocesamiento, el diseño factorial, las configuraciones de</w:t>
      </w:r>
      <w:r>
        <w:t xml:space="preserve"> </w:t>
      </w:r>
      <w:r>
        <w:t xml:space="preserve">los explicadores, la operacionalización de las métricas, el protocolo FOM-7,</w:t>
      </w:r>
      <w:r>
        <w:t xml:space="preserve"> </w:t>
      </w:r>
      <w:r>
        <w:t xml:space="preserve">el análisis de cobertura de artefactos, y el plan de inferencia estadística.</w:t>
      </w:r>
      <w:r>
        <w:t xml:space="preserve"> </w:t>
      </w:r>
      <w:r>
        <w:t xml:space="preserve">Las amenazas a la validez y el inventario de recursos de reproducibilidad</w:t>
      </w:r>
      <w:r>
        <w:t xml:space="preserve"> </w:t>
      </w:r>
      <w:r>
        <w:t xml:space="preserve">figuran en el Apéndice A.</w:t>
      </w:r>
    </w:p>
    <w:p>
      <w:pPr>
        <w:pStyle w:val="Textoindependiente"/>
        <w:spacing w:line="360" w:lineRule="auto"/>
        <w:jc w:val="both"/>
      </w:pPr>
      <w:r>
        <w:t xml:space="preserve">El diseño traduce los constructos definidos en el Capítulo 2 a decisiones</w:t>
      </w:r>
      <w:r>
        <w:t xml:space="preserve"> </w:t>
      </w:r>
      <w:r>
        <w:t xml:space="preserve">operativas: fidelidad, estabilidad, robustez, complejidad, coste computacional,</w:t>
      </w:r>
      <w:r>
        <w:t xml:space="preserve"> </w:t>
      </w:r>
      <w:r>
        <w:t xml:space="preserve">calificación de artefactos, admisibilidad estadística y trazabilidad de claims.</w:t>
      </w:r>
      <w:r>
        <w:t xml:space="preserve"> </w:t>
      </w:r>
      <w:r>
        <w:t xml:space="preserve">Esta traducción es deliberadamente functionally-grounded: las métricas producen</w:t>
      </w:r>
      <w:r>
        <w:t xml:space="preserve"> </w:t>
      </w:r>
      <w:r>
        <w:t xml:space="preserve">evidencia computacional reproducible, no evidencia directa de utilidad humana ni</w:t>
      </w:r>
      <w:r>
        <w:t xml:space="preserve"> </w:t>
      </w:r>
      <w:r>
        <w:t xml:space="preserve">de verdad causal de las explicaciones</w:t>
      </w:r>
      <w:r>
        <w:t xml:space="preserve"> </w:t>
      </w:r>
      <w:r>
        <w:t xml:space="preserve">(Doshi-Velez 2017; Hedström et al. 2023; Nauta et al. 2023)</w:t>
      </w:r>
      <w:r>
        <w:t xml:space="preserve">.</w:t>
      </w:r>
    </w:p>
    <w:bookmarkStart w:id="63" w:name="fases-experimentales-exp1-y-exp2"/>
    <w:p>
      <w:pPr>
        <w:pStyle w:val="Ttulo2"/>
        <w:spacing w:line="360" w:lineRule="auto"/>
        <w:jc w:val="both"/>
      </w:pPr>
      <w:r>
        <w:t xml:space="preserve">Fases experimentales: EXP1 y EXP2</w:t>
      </w:r>
    </w:p>
    <w:p>
      <w:pPr>
        <w:pStyle w:val="FirstParagraph"/>
        <w:spacing w:line="360" w:lineRule="auto"/>
        <w:jc w:val="bot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61" w:name="X32cac70d6076bcfbcdceb21da7e13d3984b2a1d"/>
    <w:p>
      <w:pPr>
        <w:pStyle w:val="Ttulo3"/>
        <w:spacing w:line="360" w:lineRule="auto"/>
        <w:jc w:val="both"/>
      </w:pPr>
      <w:r>
        <w:t xml:space="preserve">Fase de calibración y reproducibilidad (EXP1)</w:t>
      </w:r>
    </w:p>
    <w:p>
      <w:pPr>
        <w:pStyle w:val="FirstParagraph"/>
        <w:spacing w:line="360" w:lineRule="auto"/>
        <w:jc w:val="bot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spacing w:line="360" w:lineRule="auto"/>
        <w:jc w:val="both"/>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spacing w:line="360" w:lineRule="auto"/>
        <w:jc w:val="both"/>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60" w:name="tbl-model-performance"/>
          <w:p>
            <w:pPr>
              <w:jc w:val="both"/>
              <w:spacing w:line="360" w:lineRule="auto"/>
            </w:pPr>
            <w:pPr>
              <w:jc w:val="left"/>
              <w:spacing w:before="200"/>
              <w:pStyle w:val="ImageCaption"/>
            </w:pPr>
            <w:r>
              <w:t xml:space="preserve">Table 4.1: Rendimiento predictivo de los modelos en el conjunto de prueba (</w:t>
            </w:r>
            <ns1:oMath>
              <ns1:r>
                <ns1:t>n</ns1:t>
              </ns1:r>
              <ns1:r>
                <ns1:rPr>
                  <ns1:sty ns1:val="p"/>
                </ns1:rPr>
                <ns1:t>=</ns1:t>
              </ns1:r>
              <ns1:r>
                <ns1:t>9</ns1:t>
              </ns1:r>
              <ns1:r>
                <ns1:rPr>
                  <ns1:sty ns1:val="p"/>
                </ns1:rPr>
                <ns1:t>,</ns1:t>
              </ns1:r>
              <ns1:r>
                <ns1:t>758</ns1:t>
              </ns1:r>
            </ns1: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Exactitud</w:t>
                  </w:r>
                </w:p>
              </w:tc>
              <w:tc>
                <w:tcPr/>
                <w:p>
                  <w:pPr>
                    <w:pStyle w:val="Compact"/>
                    <w:jc w:val="both"/>
                    <w:jc w:val="center"/>
                    <w:spacing w:line="360" w:lineRule="auto"/>
                  </w:pPr>
                  <w:r>
                    <w:t xml:space="preserve">Precisión</w:t>
                  </w:r>
                </w:p>
              </w:tc>
              <w:tc>
                <w:tcPr/>
                <w:p>
                  <w:pPr>
                    <w:pStyle w:val="Compact"/>
                    <w:jc w:val="both"/>
                    <w:jc w:val="center"/>
                    <w:spacing w:line="360" w:lineRule="auto"/>
                  </w:pPr>
                  <w:r>
                    <w:t xml:space="preserve">Recall</w:t>
                  </w:r>
                </w:p>
              </w:tc>
              <w:tc>
                <w:tcPr/>
                <w:p>
                  <w:pPr>
                    <w:pStyle w:val="Compact"/>
                    <w:jc w:val="both"/>
                    <w:jc w:val="center"/>
                    <w:spacing w:line="360" w:lineRule="auto"/>
                  </w:pPr>
                  <w:r>
                    <w:t xml:space="preserve">F1</w:t>
                  </w:r>
                </w:p>
              </w:tc>
              <w:tc>
                <w:tcPr/>
                <w:p>
                  <w:pPr>
                    <w:pStyle w:val="Compact"/>
                    <w:jc w:val="both"/>
                    <w:jc w:val="center"/>
                    <w:spacing w:line="360" w:lineRule="auto"/>
                  </w:pPr>
                  <w:r>
                    <w:t xml:space="preserve">AUC-ROC</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0.842</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0.844</w:t>
                  </w:r>
                </w:p>
              </w:tc>
              <w:tc>
                <w:tcPr/>
                <w:p>
                  <w:pPr>
                    <w:pStyle w:val="Compact"/>
                    <w:jc w:val="both"/>
                    <w:jc w:val="center"/>
                    <w:spacing w:line="360" w:lineRule="auto"/>
                  </w:pPr>
                  <w:r>
                    <w:t xml:space="preserve">0.903</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0.854</w:t>
                  </w:r>
                </w:p>
              </w:tc>
              <w:tc>
                <w:tcPr/>
                <w:p>
                  <w:pPr>
                    <w:pStyle w:val="Compact"/>
                    <w:jc w:val="both"/>
                    <w:jc w:val="center"/>
                    <w:spacing w:line="360" w:lineRule="auto"/>
                  </w:pPr>
                  <w:r>
                    <w:t xml:space="preserve">0.851</w:t>
                  </w:r>
                </w:p>
              </w:tc>
              <w:tc>
                <w:tcPr/>
                <w:p>
                  <w:pPr>
                    <w:pStyle w:val="Compact"/>
                    <w:jc w:val="both"/>
                    <w:jc w:val="center"/>
                    <w:spacing w:line="360" w:lineRule="auto"/>
                  </w:pPr>
                  <w:r>
                    <w:t xml:space="preserve">0.902</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0.870</w:t>
                  </w:r>
                </w:p>
              </w:tc>
              <w:tc>
                <w:tcPr/>
                <w:p>
                  <w:pPr>
                    <w:pStyle w:val="Compact"/>
                    <w:jc w:val="both"/>
                    <w:jc w:val="center"/>
                    <w:spacing w:line="360" w:lineRule="auto"/>
                  </w:pPr>
                  <w:r>
                    <w:rPr>
                      <w:b/>
                      <w:bCs/>
                    </w:rPr>
                    <w:t xml:space="preserve">0.865</w:t>
                  </w:r>
                </w:p>
              </w:tc>
              <w:tc>
                <w:tcPr/>
                <w:p>
                  <w:pPr>
                    <w:pStyle w:val="Compact"/>
                    <w:jc w:val="both"/>
                    <w:jc w:val="center"/>
                    <w:spacing w:line="360" w:lineRule="auto"/>
                  </w:pPr>
                  <w:r>
                    <w:rPr>
                      <w:b/>
                      <w:bCs/>
                    </w:rPr>
                    <w:t xml:space="preserve">0.926</w:t>
                  </w:r>
                </w:p>
              </w:tc>
            </w:tr>
            <w:tr>
              <w:tc>
                <w:tcPr/>
                <w:p>
                  <w:pPr>
                    <w:pStyle w:val="Compact"/>
                    <w:jc w:val="both"/>
                    <w:jc w:val="center"/>
                    <w:spacing w:line="360" w:lineRule="auto"/>
                  </w:pPr>
                  <w:r>
                    <w:t xml:space="preserve">Máquina de vectores soporte (</w:t>
                  </w:r>
                  <w:r>
                    <w:rPr>
                      <w:rStyle w:val="VerbatimChar"/>
                    </w:rPr>
                    <w:t xml:space="preserve">svm</w:t>
                  </w:r>
                  <w:r>
                    <w:t xml:space="preserve">)</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0.856</w:t>
                  </w:r>
                </w:p>
              </w:tc>
              <w:tc>
                <w:tcPr/>
                <w:p>
                  <w:pPr>
                    <w:pStyle w:val="Compact"/>
                    <w:jc w:val="both"/>
                    <w:jc w:val="center"/>
                    <w:spacing w:line="360" w:lineRule="auto"/>
                  </w:pPr>
                  <w:r>
                    <w:t xml:space="preserve">0.849</w:t>
                  </w:r>
                </w:p>
              </w:tc>
              <w:tc>
                <w:tcPr/>
                <w:p>
                  <w:pPr>
                    <w:pStyle w:val="Compact"/>
                    <w:jc w:val="both"/>
                    <w:jc w:val="center"/>
                    <w:spacing w:line="360" w:lineRule="auto"/>
                  </w:pPr>
                  <w:r>
                    <w:t xml:space="preserve">0.898</w:t>
                  </w:r>
                </w:p>
              </w:tc>
            </w:tr>
            <w:tr>
              <w:tc>
                <w:tcPr/>
                <w:p>
                  <w:pPr>
                    <w:pStyle w:val="Compact"/>
                    <w:jc w:val="both"/>
                    <w:jc w:val="center"/>
                    <w:spacing w:line="360" w:lineRule="auto"/>
                  </w:pPr>
                  <w:r>
                    <w:t xml:space="preserve">Perceptrón multicapa (</w:t>
                  </w:r>
                  <w:r>
                    <w:rPr>
                      <w:rStyle w:val="VerbatimChar"/>
                    </w:rPr>
                    <w:t xml:space="preserve">mlp</w:t>
                  </w:r>
                  <w:r>
                    <w:t xml:space="preserve">)</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0.833</w:t>
                  </w:r>
                </w:p>
              </w:tc>
              <w:tc>
                <w:tcPr/>
                <w:p>
                  <w:pPr>
                    <w:pStyle w:val="Compact"/>
                    <w:jc w:val="both"/>
                    <w:jc w:val="center"/>
                    <w:spacing w:line="360" w:lineRule="auto"/>
                  </w:pPr>
                  <w:r>
                    <w:t xml:space="preserve">0.840</w:t>
                  </w:r>
                </w:p>
              </w:tc>
              <w:tc>
                <w:tcPr/>
                <w:p>
                  <w:pPr>
                    <w:pStyle w:val="Compact"/>
                    <w:jc w:val="both"/>
                    <w:jc w:val="center"/>
                    <w:spacing w:line="360" w:lineRule="auto"/>
                  </w:pPr>
                  <w:r>
                    <w:t xml:space="preserve">0.835</w:t>
                  </w:r>
                </w:p>
              </w:tc>
              <w:tc>
                <w:tcPr/>
                <w:p>
                  <w:pPr>
                    <w:pStyle w:val="Compact"/>
                    <w:jc w:val="both"/>
                    <w:jc w:val="center"/>
                    <w:spacing w:line="360" w:lineRule="auto"/>
                  </w:pPr>
                  <w:r>
                    <w:t xml:space="preserve">0.885</w:t>
                  </w:r>
                </w:p>
              </w:tc>
            </w:tr>
          </w:tbl>
          <w:bookmarkEnd w:id="60"/>
          <w:p>
            <w:pPr>
              <w:spacing w:line="360" w:lineRule="auto"/>
              <w:jc w:val="both"/>
            </w:pPr>
          </w:p>
        </w:tc>
      </w:tr>
    </w:tbl>
    <w:p>
      <w:pPr>
        <w:pStyle w:val="Textoindependiente"/>
        <w:spacing w:line="360" w:lineRule="auto"/>
        <w:jc w:val="both"/>
      </w:pPr>
      <w:r>
        <w:t xml:space="preserve">Todos los modelos superan los umbrales de inclusión definidos en el protocolo:</w:t>
      </w:r>
      <w:r>
        <w:t xml:space="preserve"> </w:t>
      </w:r>
      <w:r>
        <w:t xml:space="preserve">exactitud</w:t>
      </w:r>
      <w:r>
        <w:t xml:space="preserve"> </w:t>
      </w:r>
      <ns1:oMath>
        <ns1:r>
          <ns1:rPr>
            <ns1:sty ns1:val="p"/>
          </ns1:rPr>
          <ns1:t>≥</ns1:t>
        </ns1:r>
        <ns1:r>
          <ns1:t>0.83</ns1:t>
        </ns1:r>
      </ns1:oMath>
      <w:r>
        <w:t xml:space="preserve"> </w:t>
      </w:r>
      <w:r>
        <w:t xml:space="preserve">y AUC-ROC</w:t>
      </w:r>
      <w:r>
        <w:t xml:space="preserve"> </w:t>
      </w:r>
      <ns1:oMath>
        <ns1:r>
          <ns1:rPr>
            <ns1:sty ns1:val="p"/>
          </ns1:rPr>
          <ns1:t>≥</ns1:t>
        </ns1:r>
        <ns1:r>
          <ns1:t>0.88</ns1:t>
        </ns1:r>
      </ns1: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spacing w:line="360" w:lineRule="auto"/>
        <w:jc w:val="both"/>
      </w:pPr>
      <w:r>
        <w:t xml:space="preserve">El perfilado de reproducibilidad de EXP1 establece que las métricas de calidad</w:t>
      </w:r>
      <w:r>
        <w:t xml:space="preserve"> </w:t>
      </w:r>
      <w:r>
        <w:t xml:space="preserve">presentan coeficientes de variación inferiores al 9% bajo variación de semilla:</w:t>
      </w:r>
      <w:r>
        <w:t xml:space="preserve"> </w:t>
      </w:r>
      <ns1:oMath>
        <ns1:sSub>
          <ns1:e>
            <ns1:r>
              <ns1:rPr>
                <ns1:nor/>
                <ns1:sty ns1:val="p"/>
              </ns1:rPr>
              <ns1:t>CV</ns1:t>
            </ns1:r>
          </ns1:e>
          <ns1:sub>
            <ns1:r>
              <ns1:t>F</ns1:t>
            </ns1:r>
          </ns1:sub>
        </ns1:sSub>
        <ns1:r>
          <ns1:rPr>
            <ns1:sty ns1:val="p"/>
          </ns1:rPr>
          <ns1:t>≤</ns1:t>
        </ns1:r>
        <ns1:r>
          <ns1:t>0.063</ns1:t>
        </ns1:r>
      </ns1:oMath>
      <w:r>
        <w:t xml:space="preserve">,</w:t>
      </w:r>
      <w:r>
        <w:t xml:space="preserve"> </w:t>
      </w:r>
      <ns1:oMath>
        <ns1:sSub>
          <ns1:e>
            <ns1:r>
              <ns1:rPr>
                <ns1:nor/>
                <ns1:sty ns1:val="p"/>
              </ns1:rPr>
              <ns1:t>CV</ns1:t>
            </ns1:r>
          </ns1:e>
          <ns1:sub>
            <ns1:r>
              <ns1:t>S</ns1:t>
            </ns1:r>
          </ns1:sub>
        </ns1:sSub>
        <ns1:r>
          <ns1:rPr>
            <ns1:sty ns1:val="p"/>
          </ns1:rPr>
          <ns1:t>≤</ns1:t>
        </ns1:r>
        <ns1:r>
          <ns1:t>0.083</ns1:t>
        </ns1:r>
      </ns1:oMath>
      <w:r>
        <w:t xml:space="preserve">,</w:t>
      </w:r>
      <w:r>
        <w:t xml:space="preserve"> </w:t>
      </w:r>
      <ns1:oMath>
        <ns1:sSub>
          <ns1:e>
            <ns1:r>
              <ns1:rPr>
                <ns1:nor/>
                <ns1:sty ns1:val="p"/>
              </ns1:rPr>
              <ns1:t>CV</ns1:t>
            </ns1:r>
          </ns1:e>
          <ns1:sub>
            <ns1:r>
              <ns1:t>P</ns1:t>
            </ns1:r>
          </ns1:sub>
        </ns1:sSub>
        <ns1:r>
          <ns1:rPr>
            <ns1:sty ns1:val="p"/>
          </ns1:rPr>
          <ns1:t>≤</ns1:t>
        </ns1:r>
        <ns1:r>
          <ns1:t>0.044</ns1:t>
        </ns1:r>
      </ns1:oMath>
      <w:r>
        <w:t xml:space="preserve">,</w:t>
      </w:r>
      <w:r>
        <w:t xml:space="preserve"> </w:t>
      </w:r>
      <ns1:oMath>
        <ns1:sSub>
          <ns1:e>
            <ns1:r>
              <ns1:rPr>
                <ns1:nor/>
                <ns1:sty ns1:val="p"/>
              </ns1:rPr>
              <ns1:t>CV</ns1:t>
            </ns1:r>
          </ns1:e>
          <ns1:sub>
            <ns1:sSub>
              <ns1:e>
                <ns1:r>
                  <ns1:rPr>
                    <ns1:sty ns1:val="p"/>
                  </ns1:rPr>
                  <ns1:t>Δ</ns1:t>
                </ns1:r>
              </ns1:e>
              <ns1:sub>
                <ns1:r>
                  <ns1:t>k</ns1:t>
                </ns1:r>
              </ns1:sub>
            </ns1:sSub>
          </ns1:sub>
        </ns1:sSub>
        <ns1:r>
          <ns1:rPr>
            <ns1:sty ns1:val="p"/>
          </ns1:rPr>
          <ns1:t>≤</ns1:t>
        </ns1:r>
        <ns1:r>
          <ns1:t>0.036</ns1:t>
        </ns1:r>
      </ns1:oMath>
      <w:r>
        <w:t xml:space="preserve">. El coste</w:t>
      </w:r>
      <w:r>
        <w:t xml:space="preserve"> </w:t>
      </w:r>
      <w:r>
        <w:t xml:space="preserve">computacional exhibe mayor variabilidad (</w:t>
      </w:r>
      <ns1:oMath>
        <ns1:sSub>
          <ns1:e>
            <ns1:r>
              <ns1:rPr>
                <ns1:nor/>
                <ns1:sty ns1:val="p"/>
              </ns1:rPr>
              <ns1:t>CV</ns1:t>
            </ns1:r>
          </ns1:e>
          <ns1:sub>
            <ns1:r>
              <ns1:t>C</ns1:t>
            </ns1:r>
          </ns1:sub>
        </ns1:sSub>
        <ns1:r>
          <ns1:rPr>
            <ns1:sty ns1:val="p"/>
          </ns1:rPr>
          <ns1:t>≤</ns1:t>
        </ns1:r>
        <ns1:r>
          <ns1:t>0.225</ns1:t>
        </ns1:r>
      </ns1: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61"/>
    <w:bookmarkStart w:id="62" w:name="X88dee61532cae681dfa2cfeee2779c5c9929176"/>
    <w:p>
      <w:pPr>
        <w:pStyle w:val="Ttulo3"/>
        <w:spacing w:line="360" w:lineRule="auto"/>
        <w:jc w:val="both"/>
      </w:pPr>
      <w:r>
        <w:t xml:space="preserve">Fase de benchmark primario de robustez (EXP2)</w:t>
      </w:r>
    </w:p>
    <w:p>
      <w:pPr>
        <w:pStyle w:val="FirstParagraph"/>
        <w:spacing w:line="360" w:lineRule="auto"/>
        <w:jc w:val="bot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62"/>
    <w:bookmarkEnd w:id="63"/>
    <w:bookmarkStart w:id="67" w:name="Xb179eb5e9b7cbdb0e78e991d72b8aeee41d8932"/>
    <w:p>
      <w:pPr>
        <w:pStyle w:val="Ttulo2"/>
        <w:spacing w:line="360" w:lineRule="auto"/>
        <w:jc w:val="both"/>
      </w:pPr>
      <w:r>
        <w:t xml:space="preserve">Conjunto de datos y protocolo de preprocesamiento</w:t>
      </w:r>
    </w:p>
    <w:bookmarkStart w:id="64" w:name="descripción-del-conjunto-de-datos"/>
    <w:p>
      <w:pPr>
        <w:pStyle w:val="Ttulo3"/>
        <w:spacing w:line="360" w:lineRule="auto"/>
        <w:jc w:val="both"/>
      </w:pPr>
      <w:r>
        <w:t xml:space="preserve">Descripción del conjunto de datos</w:t>
      </w:r>
    </w:p>
    <w:p>
      <w:pPr>
        <w:pStyle w:val="FirstParagraph"/>
        <w:spacing w:line="360" w:lineRule="auto"/>
        <w:jc w:val="both"/>
      </w:pPr>
      <w:r>
        <w:t xml:space="preserve">Ambos estudios utilizan el conjunto de datos UCI Adult Income</w:t>
      </w:r>
      <w:r>
        <w:t xml:space="preserve"> </w:t>
      </w:r>
      <w:r>
        <w:t xml:space="preserve">(Breiman 2001; Kohavi and Becker 1996)</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spacing w:line="360" w:lineRule="auto"/>
        <w:jc w:val="both"/>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ns1:oMath>
        <ns1:r>
          <ns1:rPr>
            <ns1:sty ns1:val="p"/>
          </ns1:rPr>
          <ns1:t>&gt;</ns1:t>
        </ns1:r>
        <ns1:r>
          <ns1:t>50</ns1:t>
        </ns1:r>
      </ns1: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4"/>
    <w:bookmarkStart w:id="65" w:name="carga-limpieza-y-partición"/>
    <w:p>
      <w:pPr>
        <w:pStyle w:val="Ttulo3"/>
        <w:spacing w:line="360" w:lineRule="auto"/>
        <w:jc w:val="both"/>
      </w:pPr>
      <w:r>
        <w:t xml:space="preserve">Carga, limpieza y partición</w:t>
      </w:r>
    </w:p>
    <w:p>
      <w:pPr>
        <w:pStyle w:val="FirstParagraph"/>
        <w:spacing w:line="360" w:lineRule="auto"/>
        <w:jc w:val="bot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ns1:oMath>
        <ns1:r>
          <ns1:rPr>
            <ns1:sty ns1:val="p"/>
          </ns1:rPr>
          <ns1:t>→</ns1:t>
        </ns1:r>
      </ns1: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ns1:oMath>
        <ns1:r>
          <ns1:rPr>
            <ns1:sty ns1:val="p"/>
          </ns1:rPr>
          <ns1:t>→</ns1:t>
        </ns1:r>
      </ns1:oMath>
      <w:r>
        <w:t xml:space="preserve"> </w:t>
      </w:r>
      <w:r>
        <w:t xml:space="preserve">1,</w:t>
      </w:r>
      <w:r>
        <w:t xml:space="preserve"> </w:t>
      </w:r>
      <w:r>
        <w:rPr>
          <w:rStyle w:val="VerbatimChar"/>
        </w:rPr>
        <w:t xml:space="preserve">"&lt;=50K."</w:t>
      </w:r>
      <w:r>
        <w:t xml:space="preserve"> </w:t>
      </w:r>
      <ns1:oMath>
        <ns1:r>
          <ns1:rPr>
            <ns1:sty ns1:val="p"/>
          </ns1:rPr>
          <ns1:t>→</ns1:t>
        </ns1:r>
      </ns1:oMath>
      <w:r>
        <w:t xml:space="preserve"> </w:t>
      </w:r>
      <w:r>
        <w:t xml:space="preserve">0), (iv) eliminación de duplicados</w:t>
      </w:r>
      <w:r>
        <w:t xml:space="preserve"> </w:t>
      </w:r>
      <w:r>
        <w:t xml:space="preserve">exactos, y (v) ordenamiento determinista de columnas.</w:t>
      </w:r>
    </w:p>
    <w:p>
      <w:pPr>
        <w:pStyle w:val="Textoindependiente"/>
        <w:spacing w:line="360" w:lineRule="auto"/>
        <w:jc w:val="both"/>
      </w:pPr>
      <w:r>
        <w:t xml:space="preserve">La partición sigue el esquema estratificado:</w:t>
      </w:r>
    </w:p>
    <w:p>
      <w:pPr>
        <w:pStyle w:val="Textoindependiente"/>
        <w:spacing w:line="360" w:lineRule="auto"/>
        <w:jc w:val="both"/>
      </w:pPr>
      <ns1:oMathPara>
        <ns1:oMathParaPr>
          <ns1:jc ns1:val="center"/>
        </ns1:oMathParaPr>
        <ns1:oMath>
          <ns1:r>
            <ns1:rPr>
              <ns1:nor/>
              <ns1:sty ns1:val="p"/>
            </ns1:rPr>
            <ns1:t>train_test_split</ns1:t>
          </ns1:r>
          <ns1:r>
            <ns1:t>​</ns1:t>
          </ns1:r>
          <ns1:d>
            <ns1:dPr>
              <ns1:begChr ns1:val="("/>
              <ns1:sepChr ns1:val=""/>
              <ns1:endChr ns1:val=")"/>
              <ns1:grow/>
            </ns1:dPr>
            <ns1:e>
              <ns1:r>
                <ns1:rPr>
                  <ns1:nor/>
                  <ns1:sty ns1:val="p"/>
                </ns1:rPr>
                <ns1:t>test_size</ns1:t>
              </ns1:r>
              <ns1:r>
                <ns1:rPr>
                  <ns1:sty ns1:val="p"/>
                </ns1:rPr>
                <ns1:t>=</ns1:t>
              </ns1:r>
              <ns1:r>
                <ns1:t>0.20</ns1:t>
              </ns1:r>
              <ns1:r>
                <ns1:rPr>
                  <ns1:sty ns1:val="p"/>
                </ns1:rPr>
                <ns1:t>,</ns1:t>
              </ns1:r>
              <ns1:r>
                <ns1:t> </ns1:t>
              </ns1:r>
              <ns1:r>
                <ns1:rPr>
                  <ns1:nor/>
                  <ns1:sty ns1:val="p"/>
                </ns1:rPr>
                <ns1:t>stratify</ns1:t>
              </ns1:r>
              <ns1:r>
                <ns1:rPr>
                  <ns1:sty ns1:val="p"/>
                </ns1:rPr>
                <ns1:t>=</ns1:t>
              </ns1:r>
              <ns1:r>
                <ns1:t>y</ns1:t>
              </ns1:r>
              <ns1:r>
                <ns1:rPr>
                  <ns1:sty ns1:val="p"/>
                </ns1:rPr>
                <ns1:t>,</ns1:t>
              </ns1:r>
              <ns1:r>
                <ns1:t> </ns1:t>
              </ns1:r>
              <ns1:r>
                <ns1:rPr>
                  <ns1:nor/>
                  <ns1:sty ns1:val="p"/>
                </ns1:rPr>
                <ns1:t>random_state</ns1:t>
              </ns1:r>
              <ns1:r>
                <ns1:rPr>
                  <ns1:sty ns1:val="p"/>
                </ns1:rPr>
                <ns1:t>=</ns1:t>
              </ns1:r>
              <ns1:r>
                <ns1:t>s</ns1:t>
              </ns1:r>
            </ns1:e>
          </ns1:d>
        </ns1:oMath>
      </ns1:oMathPara>
    </w:p>
    <w:p>
      <w:pPr>
        <w:pStyle w:val="FirstParagraph"/>
        <w:spacing w:line="360" w:lineRule="auto"/>
        <w:jc w:val="both"/>
      </w:pPr>
      <w:r>
        <w:t xml:space="preserve">Para la semilla canónica</w:t>
      </w:r>
      <w:r>
        <w:t xml:space="preserve"> </w:t>
      </w:r>
      <ns1:oMath>
        <ns1:r>
          <ns1:t>s</ns1:t>
        </ns1:r>
        <ns1:r>
          <ns1:rPr>
            <ns1:sty ns1:val="p"/>
          </ns1:rPr>
          <ns1:t>=</ns1:t>
        </ns1:r>
        <ns1:r>
          <ns1:t>42</ns1:t>
        </ns1:r>
      </ns1:oMath>
      <w:r>
        <w:t xml:space="preserve">, la partición produce 39,032 instancias</w:t>
      </w:r>
      <w:r>
        <w:t xml:space="preserve"> </w:t>
      </w:r>
      <w:r>
        <w:t xml:space="preserve">de entrenamiento y 9,758 de prueba.</w:t>
      </w:r>
    </w:p>
    <w:bookmarkEnd w:id="65"/>
    <w:bookmarkStart w:id="66" w:name="controles-de-fuga-de-datos"/>
    <w:p>
      <w:pPr>
        <w:pStyle w:val="Ttulo3"/>
        <w:spacing w:line="360" w:lineRule="auto"/>
        <w:jc w:val="both"/>
      </w:pPr>
      <w:r>
        <w:t xml:space="preserve">Controles de fuga de datos</w:t>
      </w:r>
    </w:p>
    <w:p>
      <w:pPr>
        <w:pStyle w:val="FirstParagraph"/>
        <w:spacing w:line="360" w:lineRule="auto"/>
        <w:jc w:val="both"/>
      </w:pPr>
      <w:r>
        <w:t xml:space="preserve">Los cuatro controles de fuga de datos se aplican de forma uniforme a todos</w:t>
      </w:r>
      <w:r>
        <w:t xml:space="preserve"> </w:t>
      </w:r>
      <w:r>
        <w:t xml:space="preserve">los métodos explicadores:</w:t>
      </w:r>
    </w:p>
    <w:p>
      <w:pPr>
        <w:pStyle w:val="Compact"/>
        <w:numPr>
          <w:ilvl w:val="0"/>
          <w:numId w:val="1006"/>
        </w:numPr>
        <w:spacing w:line="360" w:lineRule="auto"/>
        <w:jc w:val="both"/>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6"/>
        </w:numPr>
        <w:spacing w:line="360" w:lineRule="auto"/>
        <w:jc w:val="both"/>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6"/>
        </w:numPr>
        <w:spacing w:line="360" w:lineRule="auto"/>
        <w:jc w:val="both"/>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6"/>
        </w:numPr>
        <w:spacing w:line="360" w:lineRule="auto"/>
        <w:jc w:val="both"/>
      </w:pPr>
      <w:r>
        <w:t xml:space="preserve">Las explicaciones se generan sobre el espacio de características</w:t>
      </w:r>
      <w:r>
        <w:t xml:space="preserve"> </w:t>
      </w:r>
      <w:r>
        <w:t xml:space="preserve">transformado que el modelo usó durante el entrenamiento.</w:t>
      </w:r>
    </w:p>
    <w:bookmarkEnd w:id="66"/>
    <w:bookmarkEnd w:id="67"/>
    <w:bookmarkStart w:id="69" w:name="X810bf4db8899260d734480c9f59b02e6a2182a3"/>
    <w:p>
      <w:pPr>
        <w:pStyle w:val="Ttulo2"/>
        <w:spacing w:line="360" w:lineRule="auto"/>
        <w:jc w:val="both"/>
      </w:pPr>
      <w:r>
        <w:t xml:space="preserve">Diseño factorial del benchmark primario (EXP2)</w:t>
      </w:r>
    </w:p>
    <w:p>
      <w:pPr>
        <w:pStyle w:val="FirstParagraph"/>
        <w:spacing w:line="360" w:lineRule="auto"/>
        <w:jc w:val="both"/>
      </w:pPr>
      <w:r>
        <w:t xml:space="preserve">El benchmark primario adopta una estructura factorial cruzada de cuatro</w:t>
      </w:r>
      <w:r>
        <w:t xml:space="preserve"> </w:t>
      </w:r>
      <w:r>
        <w:t xml:space="preserve">factores:</w:t>
      </w:r>
    </w:p>
    <w:p>
      <w:pPr>
        <w:pStyle w:val="Textoindependiente"/>
        <w:spacing w:line="360" w:lineRule="auto"/>
        <w:jc w:val="both"/>
      </w:pPr>
      <ns1:oMathPara>
        <ns1:oMathParaPr>
          <ns1:jc ns1:val="center"/>
        </ns1:oMathParaPr>
        <ns1:oMath>
          <ns1:r>
            <ns1:rPr>
              <ns1:scr ns1:val="script"/>
              <ns1:sty ns1:val="p"/>
            </ns1:rP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oMath>
      </ns1:oMathPara>
    </w:p>
    <w:p>
      <w:pPr>
        <w:pStyle w:val="FirstParagraph"/>
        <w:spacing w:line="360" w:lineRule="auto"/>
        <w:jc w:val="both"/>
      </w:pPr>
      <w:r>
        <w:t xml:space="preserve">donde:</w:t>
      </w:r>
    </w:p>
    <w:p>
      <w:pPr>
        <w:pStyle w:val="Compact"/>
        <w:numPr>
          <w:ilvl w:val="0"/>
          <w:numId w:val="1007"/>
        </w:numPr>
        <w:spacing w:line="360" w:lineRule="auto"/>
        <w:jc w:val="both"/>
      </w:pPr>
      <ns1:oMath>
        <ns1:r>
          <ns1:t>g</ns1:t>
        </ns1:r>
        <ns1:r>
          <ns1:rPr>
            <ns1:sty ns1:val="p"/>
          </ns1:rPr>
          <ns1:t>∈</ns1:t>
        </ns1:r>
        <ns1:r>
          <ns1:rPr>
            <ns1:sty ns1:val="p"/>
          </ns1:rPr>
          <ns1:t>{</ns1:t>
        </ns1:r>
        <ns1:r>
          <ns1:rPr>
            <ns1:nor/>
            <ns1:sty ns1:val="p"/>
          </ns1:rPr>
          <ns1:t>logreg</ns1:t>
        </ns1:r>
        <ns1:r>
          <ns1:rPr>
            <ns1:sty ns1:val="p"/>
          </ns1:rPr>
          <ns1:t>,</ns1:t>
        </ns1:r>
        <ns1:r>
          <ns1:t> </ns1:t>
        </ns1:r>
        <ns1:r>
          <ns1:rPr>
            <ns1:nor/>
            <ns1:sty ns1:val="p"/>
          </ns1:rPr>
          <ns1:t>rf</ns1:t>
        </ns1:r>
        <ns1:r>
          <ns1:rPr>
            <ns1:sty ns1:val="p"/>
          </ns1:rPr>
          <ns1:t>,</ns1:t>
        </ns1:r>
        <ns1:r>
          <ns1:t> </ns1:t>
        </ns1:r>
        <ns1:r>
          <ns1:rPr>
            <ns1:nor/>
            <ns1:sty ns1:val="p"/>
          </ns1:rPr>
          <ns1:t>xgb</ns1:t>
        </ns1:r>
        <ns1:r>
          <ns1:rPr>
            <ns1:sty ns1:val="p"/>
          </ns1:rPr>
          <ns1:t>,</ns1:t>
        </ns1:r>
        <ns1:r>
          <ns1:t> </ns1:t>
        </ns1:r>
        <ns1:r>
          <ns1:rPr>
            <ns1:nor/>
            <ns1:sty ns1:val="p"/>
          </ns1:rPr>
          <ns1:t>svm</ns1:t>
        </ns1:r>
        <ns1:r>
          <ns1:rPr>
            <ns1:sty ns1:val="p"/>
          </ns1:rPr>
          <ns1:t>,</ns1:t>
        </ns1:r>
        <ns1:r>
          <ns1:t> </ns1:t>
        </ns1:r>
        <ns1:r>
          <ns1:rPr>
            <ns1:nor/>
            <ns1:sty ns1:val="p"/>
          </ns1:rPr>
          <ns1:t>mlp</ns1:t>
        </ns1:r>
        <ns1:r>
          <ns1:rPr>
            <ns1:sty ns1:val="p"/>
          </ns1:rPr>
          <ns1:t>}</ns1:t>
        </ns1:r>
      </ns1:oMath>
      <w:r>
        <w:t xml:space="preserve"> </w:t>
      </w:r>
      <w:r>
        <w:t xml:space="preserve">— familia de modelo predictivo (5 niveles),</w:t>
      </w:r>
    </w:p>
    <w:p>
      <w:pPr>
        <w:pStyle w:val="Compact"/>
        <w:numPr>
          <w:ilvl w:val="0"/>
          <w:numId w:val="1007"/>
        </w:numPr>
        <w:spacing w:line="360" w:lineRule="auto"/>
        <w:jc w:val="both"/>
      </w:pPr>
      <ns1:oMath>
        <ns1:r>
          <ns1:t>k</ns1:t>
        </ns1:r>
        <ns1:r>
          <ns1:rPr>
            <ns1:sty ns1:val="p"/>
          </ns1:rPr>
          <ns1:t>∈</ns1:t>
        </ns1:r>
        <ns1:r>
          <ns1:rPr>
            <ns1:sty ns1:val="p"/>
          </ns1:rPr>
          <ns1:t>{</ns1:t>
        </ns1:r>
        <ns1:r>
          <ns1:rPr>
            <ns1:nor/>
            <ns1:sty ns1:val="p"/>
          </ns1:rPr>
          <ns1:t>shap</ns1:t>
        </ns1:r>
        <ns1:r>
          <ns1:rPr>
            <ns1:sty ns1:val="p"/>
          </ns1:rPr>
          <ns1:t>,</ns1:t>
        </ns1:r>
        <ns1:r>
          <ns1:t> </ns1:t>
        </ns1:r>
        <ns1:r>
          <ns1:rPr>
            <ns1:nor/>
            <ns1:sty ns1:val="p"/>
          </ns1:rPr>
          <ns1:t>lime</ns1:t>
        </ns1:r>
        <ns1:r>
          <ns1:rPr>
            <ns1:sty ns1:val="p"/>
          </ns1:rPr>
          <ns1:t>,</ns1:t>
        </ns1:r>
        <ns1:r>
          <ns1:t> </ns1:t>
        </ns1:r>
        <ns1:r>
          <ns1:rPr>
            <ns1:nor/>
            <ns1:sty ns1:val="p"/>
          </ns1:rPr>
          <ns1:t>anchors</ns1:t>
        </ns1:r>
        <ns1:r>
          <ns1:rPr>
            <ns1:sty ns1:val="p"/>
          </ns1:rPr>
          <ns1:t>,</ns1:t>
        </ns1:r>
        <ns1:r>
          <ns1:t> </ns1:t>
        </ns1:r>
        <ns1:r>
          <ns1:rPr>
            <ns1:nor/>
            <ns1:sty ns1:val="p"/>
          </ns1:rPr>
          <ns1:t>dice</ns1:t>
        </ns1:r>
        <ns1:r>
          <ns1:rPr>
            <ns1:sty ns1:val="p"/>
          </ns1:rPr>
          <ns1:t>}</ns1:t>
        </ns1:r>
      </ns1:oMath>
      <w:r>
        <w:t xml:space="preserve"> </w:t>
      </w:r>
      <w:r>
        <w:t xml:space="preserve">—</w:t>
      </w:r>
      <w:r>
        <w:t xml:space="preserve"> </w:t>
      </w:r>
      <w:r>
        <w:t xml:space="preserve">método de explicabilidad (4 niveles),</w:t>
      </w:r>
    </w:p>
    <w:p>
      <w:pPr>
        <w:pStyle w:val="Compact"/>
        <w:numPr>
          <w:ilvl w:val="0"/>
          <w:numId w:val="1007"/>
        </w:numPr>
        <w:spacing w:line="360" w:lineRule="auto"/>
        <w:jc w:val="both"/>
      </w:pPr>
      <ns1:oMath>
        <ns1:r>
          <ns1:t>s</ns1:t>
        </ns1:r>
        <ns1:r>
          <ns1:rPr>
            <ns1:sty ns1:val="p"/>
          </ns1:rPr>
          <ns1:t>∈</ns1:t>
        </ns1:r>
        <ns1:r>
          <ns1:rPr>
            <ns1:sty ns1:val="p"/>
          </ns1:rPr>
          <ns1:t>{</ns1:t>
        </ns1:r>
        <ns1:r>
          <ns1:t>42</ns1:t>
        </ns1:r>
        <ns1:r>
          <ns1:rPr>
            <ns1:sty ns1:val="p"/>
          </ns1:rPr>
          <ns1:t>,</ns1:t>
        </ns1:r>
        <ns1:r>
          <ns1:t> </ns1:t>
        </ns1:r>
        <ns1:r>
          <ns1:t>123</ns1:t>
        </ns1:r>
        <ns1:r>
          <ns1:rPr>
            <ns1:sty ns1:val="p"/>
          </ns1:rPr>
          <ns1:t>,</ns1:t>
        </ns1:r>
        <ns1:r>
          <ns1:t> </ns1:t>
        </ns1:r>
        <ns1:r>
          <ns1:t>456</ns1:t>
        </ns1:r>
        <ns1:r>
          <ns1:rPr>
            <ns1:sty ns1:val="p"/>
          </ns1:rPr>
          <ns1:t>,</ns1:t>
        </ns1:r>
        <ns1:r>
          <ns1:t> </ns1:t>
        </ns1:r>
        <ns1:r>
          <ns1:t>789</ns1:t>
        </ns1:r>
        <ns1:r>
          <ns1:rPr>
            <ns1:sty ns1:val="p"/>
          </ns1:rPr>
          <ns1:t>,</ns1:t>
        </ns1:r>
        <ns1:r>
          <ns1:t> </ns1:t>
        </ns1:r>
        <ns1:r>
          <ns1:t>999</ns1:t>
        </ns1:r>
        <ns1:r>
          <ns1:rPr>
            <ns1:sty ns1:val="p"/>
          </ns1:rPr>
          <ns1:t>}</ns1:t>
        </ns1:r>
      </ns1:oMath>
      <w:r>
        <w:t xml:space="preserve"> </w:t>
      </w:r>
      <w:r>
        <w:t xml:space="preserve">— semilla de aleatoriedad</w:t>
      </w:r>
      <w:r>
        <w:t xml:space="preserve"> </w:t>
      </w:r>
      <w:r>
        <w:t xml:space="preserve">(5 niveles),</w:t>
      </w:r>
    </w:p>
    <w:p>
      <w:pPr>
        <w:pStyle w:val="Compact"/>
        <w:numPr>
          <w:ilvl w:val="0"/>
          <w:numId w:val="1007"/>
        </w:numPr>
        <w:spacing w:line="360" w:lineRule="auto"/>
        <w:jc w:val="both"/>
      </w:pPr>
      <ns1:oMath>
        <ns1:r>
          <ns1:t>n</ns1:t>
        </ns1:r>
        <ns1:r>
          <ns1:rPr>
            <ns1:sty ns1:val="p"/>
          </ns1:rPr>
          <ns1:t>∈</ns1:t>
        </ns1:r>
        <ns1:r>
          <ns1:rPr>
            <ns1:sty ns1:val="p"/>
          </ns1:rPr>
          <ns1:t>{</ns1:t>
        </ns1:r>
        <ns1:r>
          <ns1:t>50</ns1:t>
        </ns1:r>
        <ns1:r>
          <ns1:rPr>
            <ns1:sty ns1:val="p"/>
          </ns1:rPr>
          <ns1:t>,</ns1:t>
        </ns1:r>
        <ns1:r>
          <ns1:t> </ns1:t>
        </ns1:r>
        <ns1:r>
          <ns1:t>100</ns1:t>
        </ns1:r>
        <ns1:r>
          <ns1:rPr>
            <ns1:sty ns1:val="p"/>
          </ns1:rPr>
          <ns1:t>,</ns1:t>
        </ns1:r>
        <ns1:r>
          <ns1:t> </ns1:t>
        </ns1:r>
        <ns1:r>
          <ns1:t>200</ns1:t>
        </ns1:r>
        <ns1:r>
          <ns1:rPr>
            <ns1:sty ns1:val="p"/>
          </ns1:rPr>
          <ns1:t>}</ns1:t>
        </ns1:r>
      </ns1:oMath>
      <w:r>
        <w:t xml:space="preserve"> </w:t>
      </w:r>
      <w:r>
        <w:t xml:space="preserve">— instancias por cuadrante de error (3 niveles).</w:t>
      </w:r>
    </w:p>
    <w:p>
      <w:pPr>
        <w:pStyle w:val="FirstParagraph"/>
        <w:spacing w:line="360" w:lineRule="auto"/>
        <w:jc w:val="both"/>
      </w:pPr>
      <w:r>
        <w:t xml:space="preserve">El tamaño del diseño planificado es:</w:t>
      </w:r>
    </w:p>
    <w:p>
      <w:pPr>
        <w:pStyle w:val="Textoindependiente"/>
        <w:spacing w:line="360" w:lineRule="auto"/>
        <w:jc w:val="both"/>
      </w:pPr>
      <ns1:oMathPara>
        <ns1:oMathParaPr>
          <ns1:jc ns1:val="center"/>
        </ns1:oMathParaPr>
        <ns1:oMath>
          <ns1:r>
            <ns1:rPr>
              <ns1:sty ns1:val="p"/>
            </ns1:rPr>
            <ns1:t>|</ns1:t>
          </ns1:r>
          <ns1:r>
            <ns1:rPr>
              <ns1:scr ns1:val="script"/>
              <ns1:sty ns1:val="p"/>
            </ns1:rPr>
            <ns1:t>D</ns1:t>
          </ns1:r>
          <ns1:r>
            <ns1:rPr>
              <ns1:sty ns1:val="p"/>
            </ns1:rPr>
            <ns1:t>|</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r>
            <ns1:rPr>
              <ns1:sty ns1:val="p"/>
            </ns1:rPr>
            <ns1:t>=</ns1:t>
          </ns1:r>
          <ns1:r>
            <ns1:t>300</ns1:t>
          </ns1:r>
          <ns1:r>
            <ns1:rPr>
              <ns1:nor/>
              <ns1:sty ns1:val="p"/>
            </ns1:rPr>
            <ns1:t> ejecuciones</ns1:t>
          </ns1:r>
        </ns1:oMath>
      </ns1:oMathPara>
    </w:p>
    <w:p>
      <w:pPr>
        <w:pStyle w:val="FirstParagraph"/>
        <w:spacing w:line="360" w:lineRule="auto"/>
        <w:jc w:val="both"/>
      </w:pPr>
      <w:r>
        <w:t xml:space="preserve">Cada celda</w:t>
      </w:r>
      <w:r>
        <w:t xml:space="preserve"> </w:t>
      </w:r>
      <ns1:oMath>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oMath>
      <w:r>
        <w:t xml:space="preserve"> </w:t>
      </w:r>
      <w:r>
        <w:t xml:space="preserve">produce un artefacto de resultado independiente.</w:t>
      </w:r>
      <w:r>
        <w:t xml:space="preserve"> </w:t>
      </w:r>
      <w:r>
        <w:t xml:space="preserve">La variación en</w:t>
      </w:r>
      <w:r>
        <w:t xml:space="preserve"> </w:t>
      </w:r>
      <ns1:oMath>
        <ns1:r>
          <ns1:t>s</ns1:t>
        </ns1:r>
      </ns1:oMath>
      <w:r>
        <w:t xml:space="preserve"> </w:t>
      </w:r>
      <w:r>
        <w:t xml:space="preserve">sirve para estimar la reproducibilidad del protocolo. La</w:t>
      </w:r>
      <w:r>
        <w:t xml:space="preserve"> </w:t>
      </w:r>
      <w:r>
        <w:t xml:space="preserve">variación en</w:t>
      </w:r>
      <w:r>
        <w:t xml:space="preserve"> </w:t>
      </w:r>
      <ns1:oMath>
        <ns1:r>
          <ns1:t>n</ns1:t>
        </ns1:r>
      </ns1:oMath>
      <w:r>
        <w:t xml:space="preserve"> </w:t>
      </w:r>
      <w:r>
        <w:t xml:space="preserve">permite examinar la estabilidad de los rankings bajo</w:t>
      </w:r>
      <w:r>
        <w:t xml:space="preserve"> </w:t>
      </w:r>
      <w:r>
        <w:t xml:space="preserve">distintos volúmenes de evidencia local.</w:t>
      </w:r>
    </w:p>
    <w:bookmarkStart w:id="68" w:name="X7f3be01e797123bdbedac923d646584591998bc"/>
    <w:p>
      <w:pPr>
        <w:pStyle w:val="Ttulo3"/>
        <w:spacing w:line="360" w:lineRule="auto"/>
        <w:jc w:val="both"/>
      </w:pPr>
      <w:r>
        <w:t xml:space="preserve">Jerarquía de análisis y unidad inferencial</w:t>
      </w:r>
    </w:p>
    <w:p>
      <w:pPr>
        <w:pStyle w:val="FirstParagraph"/>
        <w:spacing w:line="360" w:lineRule="auto"/>
        <w:jc w:val="both"/>
      </w:pPr>
      <w:r>
        <w:t xml:space="preserve">Para evitar la pseudo-replicación, el análisis adopta una estructura</w:t>
      </w:r>
      <w:r>
        <w:t xml:space="preserve"> </w:t>
      </w:r>
      <w:r>
        <w:t xml:space="preserve">jerárquica de tres niveles:</w:t>
      </w:r>
    </w:p>
    <w:p>
      <w:pPr>
        <w:pStyle w:val="Compact"/>
        <w:numPr>
          <w:ilvl w:val="0"/>
          <w:numId w:val="1008"/>
        </w:numPr>
        <w:spacing w:line="360" w:lineRule="auto"/>
        <w:jc w:val="both"/>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08"/>
        </w:numPr>
        <w:spacing w:line="360" w:lineRule="auto"/>
        <w:jc w:val="both"/>
      </w:pPr>
      <w:r>
        <w:rPr>
          <w:b/>
          <w:bCs/>
        </w:rPr>
        <w:t xml:space="preserve">Nivel de ejecución:</w:t>
      </w:r>
      <w:r>
        <w:t xml:space="preserve"> </w:t>
      </w:r>
      <w:r>
        <w:t xml:space="preserve">media métrica por instancia, estimador del</w:t>
      </w:r>
      <w:r>
        <w:t xml:space="preserve"> </w:t>
      </w:r>
      <w:r>
        <w:t xml:space="preserve">rendimiento del método</w:t>
      </w:r>
      <w:r>
        <w:t xml:space="preserve"> </w:t>
      </w:r>
      <ns1:oMath>
        <ns1:r>
          <ns1:t>k</ns1:t>
        </ns1:r>
      </ns1:oMath>
      <w:r>
        <w:t xml:space="preserve"> </w:t>
      </w:r>
      <w:r>
        <w:t xml:space="preserve">sobre el modelo</w:t>
      </w:r>
      <w:r>
        <w:t xml:space="preserve"> </w:t>
      </w:r>
      <ns1:oMath>
        <ns1:r>
          <ns1:t>g</ns1:t>
        </ns1:r>
      </ns1:oMath>
      <w:r>
        <w:t xml:space="preserve"> </w:t>
      </w:r>
      <w:r>
        <w:t xml:space="preserve">bajo semilla</w:t>
      </w:r>
      <w:r>
        <w:t xml:space="preserve"> </w:t>
      </w:r>
      <ns1:oMath>
        <ns1:r>
          <ns1:t>s</ns1:t>
        </ns1:r>
      </ns1:oMath>
      <w:r>
        <w:t xml:space="preserve"> </w:t>
      </w:r>
      <w:r>
        <w:t xml:space="preserve">y tamaño</w:t>
      </w:r>
      <w:r>
        <w:t xml:space="preserve"> </w:t>
      </w:r>
      <ns1:oMath>
        <ns1:r>
          <ns1:t>n</ns1:t>
        </ns1:r>
      </ns1:oMath>
      <w:r>
        <w:t xml:space="preserve">. Estimando declarado:</w:t>
      </w:r>
      <w:r>
        <w:t xml:space="preserve"> </w:t>
      </w:r>
      <ns1:oMath>
        <ns1:sSub>
          <ns1:e>
            <ns1:r>
              <ns1:t>y</ns1:t>
            </ns1:r>
          </ns1:e>
          <ns1:sub>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m</ns1:t>
            </ns1:r>
          </ns1:sub>
        </ns1:sSub>
      </ns1:oMath>
      <w:r>
        <w:t xml:space="preserve">.</w:t>
      </w:r>
    </w:p>
    <w:p>
      <w:pPr>
        <w:pStyle w:val="Compact"/>
        <w:numPr>
          <w:ilvl w:val="0"/>
          <w:numId w:val="1008"/>
        </w:numPr>
        <w:spacing w:line="360" w:lineRule="auto"/>
        <w:jc w:val="both"/>
      </w:pPr>
      <w:r>
        <w:rPr>
          <w:b/>
          <w:bCs/>
        </w:rPr>
        <w:t xml:space="preserve">Nivel de bloque:</w:t>
      </w:r>
      <w:r>
        <w:t xml:space="preserve"> </w:t>
      </w:r>
      <w:r>
        <w:t xml:space="preserve">para los tests de Friedman, el bloque se define como</w:t>
      </w:r>
      <w:r>
        <w:t xml:space="preserve"> </w:t>
      </w:r>
      <ns1:oMath>
        <ns1:r>
          <ns1:t>b</ns1:t>
        </ns1:r>
        <ns1:r>
          <ns1:rPr>
            <ns1:sty ns1:val="p"/>
          </ns1:rPr>
          <ns1:t>=</ns1:t>
        </ns1:r>
        <ns1:r>
          <ns1:rPr>
            <ns1:sty ns1:val="p"/>
          </ns1:rPr>
          <ns1:t>(</ns1:t>
        </ns1:r>
        <ns1:r>
          <ns1:t>g</ns1:t>
        </ns1:r>
        <ns1:r>
          <ns1:rPr>
            <ns1:sty ns1:val="p"/>
          </ns1:rPr>
          <ns1:t>,</ns1:t>
        </ns1:r>
        <ns1:r>
          <ns1:t>n</ns1:t>
        </ns1:r>
        <ns1:r>
          <ns1:rPr>
            <ns1:sty ns1:val="p"/>
          </ns1:rPr>
          <ns1:t>)</ns1:t>
        </ns1:r>
      </ns1:oMath>
      <w:r>
        <w:t xml:space="preserve">, con la ejecución como unidad de observación dentro del bloque.</w:t>
      </w:r>
      <w:r>
        <w:t xml:space="preserve"> </w:t>
      </w:r>
      <w:r>
        <w:t xml:space="preserve">Este diseño produce</w:t>
      </w:r>
      <w:r>
        <w:t xml:space="preserve"> </w:t>
      </w:r>
      <ns1:oMath>
        <ns1:r>
          <ns1:t>5</ns1:t>
        </ns1:r>
        <ns1:r>
          <ns1:rPr>
            <ns1:sty ns1:val="p"/>
          </ns1:rPr>
          <ns1:t>×</ns1:t>
        </ns1:r>
        <ns1:r>
          <ns1:t>3</ns1:t>
        </ns1:r>
        <ns1:r>
          <ns1:rPr>
            <ns1:sty ns1:val="p"/>
          </ns1:rPr>
          <ns1:t>=</ns1:t>
        </ns1:r>
        <ns1:r>
          <ns1:t>15</ns1:t>
        </ns1:r>
      </ns1:oMath>
      <w:r>
        <w:t xml:space="preserve"> </w:t>
      </w:r>
      <w:r>
        <w:t xml:space="preserve">bloques completos.</w:t>
      </w:r>
    </w:p>
    <w:p>
      <w:pPr>
        <w:pStyle w:val="FirstParagraph"/>
        <w:spacing w:line="360" w:lineRule="auto"/>
        <w:jc w:val="both"/>
      </w:pPr>
      <w:r>
        <w:t xml:space="preserve">La unidad inferencial primaria del Estudio B es la</w:t>
      </w:r>
      <w:r>
        <w:t xml:space="preserve"> </w:t>
      </w:r>
      <w:r>
        <w:rPr>
          <w:b/>
          <w:bCs/>
        </w:rPr>
        <w:t xml:space="preserve">celda pareada</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las 75 tuplas para las que existen artefactos calificados de</w:t>
      </w:r>
      <w:r>
        <w:t xml:space="preserve"> </w:t>
      </w:r>
      <w:r>
        <w:t xml:space="preserve">SHAP y LIME con coordenadas idénticas.</w:t>
      </w:r>
    </w:p>
    <w:bookmarkEnd w:id="68"/>
    <w:bookmarkEnd w:id="69"/>
    <w:bookmarkStart w:id="72" w:name="Xa1b63f5b80ef9314faeb5aae6b8d7e743e4217a"/>
    <w:p>
      <w:pPr>
        <w:pStyle w:val="Ttulo2"/>
        <w:spacing w:line="360" w:lineRule="auto"/>
        <w:jc w:val="both"/>
      </w:pPr>
      <w:r>
        <w:t xml:space="preserve">Protocolo de muestreo de instancias y configuración de explicadores</w:t>
      </w:r>
    </w:p>
    <w:bookmarkStart w:id="70" w:name="X22a27531824c8c7d79a9c6abca6e13f987fd35c"/>
    <w:p>
      <w:pPr>
        <w:pStyle w:val="Ttulo3"/>
        <w:spacing w:line="360" w:lineRule="auto"/>
        <w:jc w:val="both"/>
      </w:pPr>
      <w:r>
        <w:t xml:space="preserve">Muestreo estratificado por cuadrante de error</w:t>
      </w:r>
    </w:p>
    <w:p>
      <w:pPr>
        <w:pStyle w:val="FirstParagraph"/>
        <w:spacing w:line="360" w:lineRule="auto"/>
        <w:jc w:val="bot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ns1:oMath>
        <ns1:r>
          <ns1:t>n</ns1:t>
        </ns1:r>
      </ns1:oMath>
      <w:r>
        <w:t xml:space="preserve"> </w:t>
      </w:r>
      <w:r>
        <w:t xml:space="preserve">instancias por cuadrante:</w:t>
      </w:r>
    </w:p>
    <w:p>
      <w:pPr>
        <w:pStyle w:val="Textoindependiente"/>
        <w:spacing w:line="360" w:lineRule="auto"/>
        <w:jc w:val="both"/>
      </w:pPr>
      <ns1:oMathPara>
        <ns1:oMathParaPr>
          <ns1:jc ns1:val="center"/>
        </ns1:oMathParaPr>
        <ns1:oMath>
          <ns1:sSub>
            <ns1:e>
              <ns1:r>
                <ns1:rPr>
                  <ns1:scr ns1:val="script"/>
                  <ns1:sty ns1:val="p"/>
                </ns1:rPr>
                <ns1:t>I</ns1:t>
              </ns1:r>
            </ns1:e>
            <ns1:sub>
              <ns1:r>
                <ns1:t>g</ns1:t>
              </ns1:r>
              <ns1:r>
                <ns1:rPr>
                  <ns1:sty ns1:val="p"/>
                </ns1:rPr>
                <ns1:t>,</ns1:t>
              </ns1:r>
              <ns1:r>
                <ns1:t>s</ns1:t>
              </ns1:r>
              <ns1:r>
                <ns1:rPr>
                  <ns1:sty ns1:val="p"/>
                </ns1:rPr>
                <ns1:t>,</ns1:t>
              </ns1:r>
              <ns1:r>
                <ns1:t>n</ns1:t>
              </ns1:r>
            </ns1:sub>
          </ns1:sSub>
          <ns1:r>
            <ns1:rPr>
              <ns1:sty ns1:val="p"/>
            </ns1:rPr>
            <ns1:t>=</ns1:t>
          </ns1:r>
          <ns1:r>
            <ns1:rPr>
              <ns1:nor/>
              <ns1:sty ns1:val="p"/>
            </ns1:rPr>
            <ns1:t>StratSample</ns1:t>
          </ns1:r>
          <ns1:r>
            <ns1:t>​</ns1:t>
          </ns1:r>
          <ns1:d>
            <ns1:dPr>
              <ns1:begChr ns1:val="("/>
              <ns1:sepChr ns1:val=""/>
              <ns1:endChr ns1:val=")"/>
              <ns1:grow/>
            </ns1:dPr>
            <ns1:e>
              <ns1:sSub>
                <ns1:e>
                  <ns1:r>
                    <ns1:rPr>
                      <ns1:scr ns1:val="script"/>
                      <ns1:sty ns1:val="p"/>
                    </ns1:rPr>
                    <ns1:t>I</ns1:t>
                  </ns1:r>
                </ns1:e>
                <ns1:sub>
                  <ns1:r>
                    <ns1:rPr>
                      <ns1:nor/>
                      <ns1:sty ns1:val="p"/>
                    </ns1:rPr>
                    <ns1:t>test</ns1:t>
                  </ns1:r>
                </ns1:sub>
              </ns1:sSub>
              <ns1:r>
                <ns1:rPr>
                  <ns1:sty ns1:val="p"/>
                </ns1:rPr>
                <ns1:t>,</ns1:t>
              </ns1:r>
              <ns1:r>
                <ns1:t> </ns1:t>
              </ns1:r>
              <ns1:r>
                <ns1:rPr>
                  <ns1:nor/>
                  <ns1:sty ns1:val="p"/>
                </ns1:rPr>
                <ns1:t>strata</ns1:t>
              </ns1:r>
              <ns1:r>
                <ns1:rPr>
                  <ns1:sty ns1:val="p"/>
                </ns1:rPr>
                <ns1:t>=</ns1:t>
              </ns1:r>
              <ns1:r>
                <ns1:rPr>
                  <ns1:sty ns1:val="p"/>
                </ns1:rPr>
                <ns1:t>{</ns1:t>
              </ns1:r>
              <ns1:r>
                <ns1:rPr>
                  <ns1:nor/>
                  <ns1:sty ns1:val="p"/>
                </ns1:rPr>
                <ns1:t>VP, VN, FP, FN</ns1:t>
              </ns1:r>
              <ns1:r>
                <ns1:rPr>
                  <ns1:sty ns1:val="p"/>
                </ns1:rPr>
                <ns1:t>}</ns1:t>
              </ns1:r>
              <ns1:r>
                <ns1:rPr>
                  <ns1:sty ns1:val="p"/>
                </ns1:rPr>
                <ns1:t>,</ns1:t>
              </ns1:r>
              <ns1:r>
                <ns1:t> </ns1:t>
              </ns1:r>
              <ns1:sSub>
                <ns1:e>
                  <ns1:r>
                    <ns1:t>n</ns1:t>
                  </ns1:r>
                </ns1:e>
                <ns1:sub>
                  <ns1:r>
                    <ns1:rPr>
                      <ns1:nor/>
                      <ns1:sty ns1:val="p"/>
                    </ns1:rPr>
                    <ns1:t>per_strata</ns1:t>
                  </ns1:r>
                </ns1:sub>
              </ns1:sSub>
              <ns1:r>
                <ns1:rPr>
                  <ns1:sty ns1:val="p"/>
                </ns1:rPr>
                <ns1:t>=</ns1:t>
              </ns1:r>
              <ns1:r>
                <ns1:t>n</ns1:t>
              </ns1:r>
            </ns1:e>
          </ns1:d>
        </ns1:oMath>
      </ns1:oMathPara>
    </w:p>
    <w:p>
      <w:pPr>
        <w:pStyle w:val="FirstParagraph"/>
        <w:spacing w:line="360" w:lineRule="auto"/>
        <w:jc w:val="both"/>
      </w:pPr>
      <w:r>
        <w:t xml:space="preserve">El tamaño nominal por ejecución es</w:t>
      </w:r>
      <w:r>
        <w:t xml:space="preserve"> </w:t>
      </w:r>
      <ns1:oMath>
        <ns1:r>
          <ns1:t>4</ns1:t>
        </ns1:r>
        <ns1:r>
          <ns1:t>n</ns1:t>
        </ns1:r>
      </ns1: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70"/>
    <w:bookmarkStart w:id="71" w:name="configuración-de-los-explicadores"/>
    <w:p>
      <w:pPr>
        <w:pStyle w:val="Ttulo3"/>
        <w:spacing w:line="360" w:lineRule="auto"/>
        <w:jc w:val="both"/>
      </w:pPr>
      <w:r>
        <w:t xml:space="preserve">Configuración de los explicadores</w:t>
      </w:r>
    </w:p>
    <w:p>
      <w:pPr>
        <w:pStyle w:val="FirstParagraph"/>
        <w:spacing w:line="360" w:lineRule="auto"/>
        <w:jc w:val="bot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spacing w:line="360" w:lineRule="auto"/>
        <w:jc w:val="both"/>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ns1:oMath>
        <ns1:sSub>
          <ns1:e>
            <ns1:r>
              <ns1:t>n</ns1:t>
            </ns1:r>
          </ns1:e>
          <ns1:sub>
            <ns1:r>
              <ns1:rPr>
                <ns1:nor/>
                <ns1:sty ns1:val="p"/>
              </ns1:rPr>
              <ns1:t>bg</ns1:t>
            </ns1:r>
          </ns1:sub>
        </ns1:sSub>
        <ns1:r>
          <ns1:rPr>
            <ns1:sty ns1:val="p"/>
          </ns1:rPr>
          <ns1:t>=</ns1:t>
        </ns1:r>
        <ns1:r>
          <ns1:t>50</ns1:t>
        </ns1:r>
      </ns1:oMath>
      <w:r>
        <w:t xml:space="preserve"> </w:t>
      </w:r>
      <w:r>
        <w:t xml:space="preserve">muestras del conjunto de entrenamiento. Objetivo:</w:t>
      </w:r>
      <w:r>
        <w:t xml:space="preserve"> </w:t>
      </w:r>
      <w:r>
        <w:t xml:space="preserve">probabilidad de la clase positiva.</w:t>
      </w:r>
    </w:p>
    <w:p>
      <w:pPr>
        <w:pStyle w:val="Textoindependiente"/>
        <w:spacing w:line="360" w:lineRule="auto"/>
        <w:jc w:val="both"/>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spacing w:line="360" w:lineRule="auto"/>
        <w:jc w:val="both"/>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ns1:oMath>
        <ns1:r>
          <ns1:t>τ</ns1:t>
        </ns1:r>
        <ns1:r>
          <ns1:rPr>
            <ns1:sty ns1:val="p"/>
          </ns1:rPr>
          <ns1:t>=</ns1:t>
        </ns1:r>
        <ns1:r>
          <ns1:t>0.95</ns1:t>
        </ns1:r>
      </ns1: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spacing w:line="360" w:lineRule="auto"/>
        <w:jc w:val="both"/>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ns1:oMath>
        <ns1:sSub>
          <ns1:e>
            <ns1:r>
              <ns1:rPr>
                <ns1:nor/>
                <ns1:sty ns1:val="p"/>
              </ns1:rPr>
              <ns1:t>imp</ns1:t>
            </ns1:r>
          </ns1:e>
          <ns1:sub>
            <ns1:r>
              <ns1:t>i</ns1:t>
            </ns1:r>
          </ns1:sub>
        </ns1:sSub>
        <ns1:r>
          <ns1:rPr>
            <ns1:sty ns1:val="p"/>
          </ns1:rPr>
          <ns1:t>=</ns1:t>
        </ns1:r>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r>
        <w:t xml:space="preserve">,</w:t>
      </w:r>
      <w:r>
        <w:t xml:space="preserve"> </w:t>
      </w:r>
      <w:r>
        <w:rPr>
          <w:rStyle w:val="VerbatimChar"/>
        </w:rPr>
        <w:t xml:space="preserve">total_CFs = 1</w:t>
      </w:r>
      <w:r>
        <w:t xml:space="preserve"> </w:t>
      </w:r>
      <w:r>
        <w:t xml:space="preserve">efectivo (parámetro YAML no consumido).</w:t>
      </w:r>
    </w:p>
    <w:bookmarkEnd w:id="71"/>
    <w:bookmarkEnd w:id="72"/>
    <w:bookmarkStart w:id="80" w:name="operacionalización-de-las-métricas"/>
    <w:p>
      <w:pPr>
        <w:pStyle w:val="Ttulo2"/>
        <w:spacing w:line="360" w:lineRule="auto"/>
        <w:jc w:val="both"/>
      </w:pPr>
      <w:r>
        <w:t xml:space="preserve">Operacionalización de las métricas</w:t>
      </w:r>
    </w:p>
    <w:p>
      <w:pPr>
        <w:pStyle w:val="FirstParagraph"/>
        <w:spacing w:line="360" w:lineRule="auto"/>
        <w:jc w:val="bot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p>
      <w:pPr>
        <w:pStyle w:val="Textoindependiente"/>
        <w:spacing w:line="360" w:lineRule="auto"/>
        <w:jc w:val="both"/>
      </w:pPr>
      <w:r>
        <w:t xml:space="preserve">Estas métricas deben leerse como proxies operacionales de los constructos</w:t>
      </w:r>
      <w:r>
        <w:t xml:space="preserve"> </w:t>
      </w:r>
      <w:r>
        <w:t xml:space="preserve">revisados en el Capítulo 2. Fidelidad, estabilidad, parsimonia, brecha de</w:t>
      </w:r>
      <w:r>
        <w:t xml:space="preserve"> </w:t>
      </w:r>
      <w:r>
        <w:t xml:space="preserve">fidelidad y coste no son intercambiables con utilidad humana, plausibilidad</w:t>
      </w:r>
      <w:r>
        <w:t xml:space="preserve"> </w:t>
      </w:r>
      <w:r>
        <w:t xml:space="preserve">semántica o causalidad del mecanismo; son indicadores reproducibles que</w:t>
      </w:r>
      <w:r>
        <w:t xml:space="preserve"> </w:t>
      </w:r>
      <w:r>
        <w:t xml:space="preserve">permiten comparar artefactos explicativos bajo condiciones experimentales</w:t>
      </w:r>
      <w:r>
        <w:t xml:space="preserve"> </w:t>
      </w:r>
      <w:r>
        <w:t xml:space="preserve">controladas</w:t>
      </w:r>
      <w:r>
        <w:t xml:space="preserve"> </w:t>
      </w:r>
      <w:r>
        <w:t xml:space="preserve">(Carvalho et al. 2019; Tomsett et al. 2020; Nauta et al. 2023)</w:t>
      </w:r>
      <w:r>
        <w:t xml:space="preserve">.</w:t>
      </w:r>
    </w:p>
    <w:bookmarkStart w:id="73" w:name="fidelidad"/>
    <w:p>
      <w:pPr>
        <w:pStyle w:val="Ttulo3"/>
        <w:spacing w:line="360" w:lineRule="auto"/>
        <w:jc w:val="both"/>
      </w:pPr>
      <w:r>
        <w:t xml:space="preserve">Fidelidad</w:t>
      </w:r>
    </w:p>
    <w:p>
      <w:pPr>
        <w:pStyle w:val="FirstParagraph"/>
        <w:spacing w:line="360" w:lineRule="auto"/>
        <w:jc w:val="bot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spacing w:line="360" w:lineRule="auto"/>
        <w:jc w:val="both"/>
      </w:pPr>
      <ns1:oMathPara>
        <ns1:oMathParaPr>
          <ns1:jc ns1:val="center"/>
        </ns1:oMathParaPr>
        <ns1:oMath>
          <ns1:r>
            <ns1:t>F</ns1:t>
          </ns1:r>
          <ns1:r>
            <ns1:rPr>
              <ns1:sty ns1:val="p"/>
            </ns1:rPr>
            <ns1:t>=</ns1:t>
          </ns1:r>
          <ns1:r>
            <ns1:rPr>
              <ns1:nor/>
              <ns1:sty ns1:val="p"/>
            </ns1:rPr>
            <ns1:t>corr</ns1:t>
          </ns1:r>
          <ns1:r>
            <ns1:t>​</ns1:t>
          </ns1:r>
          <ns1:d>
            <ns1:dPr>
              <ns1:begChr ns1:val="("/>
              <ns1:sepChr ns1:val=""/>
              <ns1:endChr ns1:val=")"/>
              <ns1:grow/>
            </ns1:dPr>
            <ns1:e>
              <ns1:r>
                <ns1:rPr>
                  <ns1:sty ns1:val="p"/>
                </ns1:rPr>
                <ns1:t>|</ns1:t>
              </ns1:r>
              <ns1:sSub>
                <ns1:e>
                  <ns1:r>
                    <ns1:t>w</ns1:t>
                  </ns1:r>
                </ns1:e>
                <ns1:sub>
                  <ns1:r>
                    <ns1:t>i</ns1:t>
                  </ns1:r>
                </ns1:sub>
              </ns1:sSub>
              <ns1:r>
                <ns1:rPr>
                  <ns1:sty ns1:val="p"/>
                </ns1:rPr>
                <ns1:t>|</ns1:t>
              </ns1:r>
              <ns1:r>
                <ns1:rPr>
                  <ns1:sty ns1:val="p"/>
                </ns1:rPr>
                <ns1:t>,</ns1:t>
              </ns1:r>
              <ns1:r>
                <ns1:t> </ns1:t>
              </ns1:r>
              <ns1:r>
                <ns1:rPr>
                  <ns1:sty ns1:val="p"/>
                </ns1:rPr>
                <ns1:t>|</ns1:t>
              </ns1:r>
              <ns1:r>
                <ns1:t>f</ns1:t>
              </ns1:r>
              <ns1:r>
                <ns1:rPr>
                  <ns1:sty ns1:val="p"/>
                </ns1:rPr>
                <ns1:t>(</ns1:t>
              </ns1:r>
              <ns1:r>
                <ns1:t>x</ns1:t>
              </ns1:r>
              <ns1:r>
                <ns1:rPr>
                  <ns1:sty ns1:val="p"/>
                </ns1:rPr>
                <ns1:t>)</ns1:t>
              </ns1:r>
              <ns1:r>
                <ns1:rPr>
                  <ns1:sty ns1:val="p"/>
                </ns1:rPr>
                <ns1:t>−</ns1:t>
              </ns1:r>
              <ns1:r>
                <ns1:t>f</ns1:t>
              </ns1:r>
              <ns1:r>
                <ns1:rPr>
                  <ns1:sty ns1:val="p"/>
                </ns1:rPr>
                <ns1:t>(</ns1:t>
              </ns1:r>
              <ns1:sSub>
                <ns1:e>
                  <ns1:r>
                    <ns1:t>x</ns1:t>
                  </ns1:r>
                </ns1:e>
                <ns1:sub>
                  <ns1:r>
                    <ns1:rPr>
                      <ns1:sty ns1:val="p"/>
                    </ns1:rPr>
                    <ns1:t>−</ns1:t>
                  </ns1:r>
                  <ns1:r>
                    <ns1:t>i</ns1:t>
                  </ns1:r>
                </ns1:sub>
              </ns1:sSub>
              <ns1:r>
                <ns1:rPr>
                  <ns1:sty ns1:val="p"/>
                </ns1:rPr>
                <ns1:t>)</ns1:t>
              </ns1:r>
              <ns1:r>
                <ns1:rPr>
                  <ns1:sty ns1:val="p"/>
                </ns1:rPr>
                <ns1:t>|</ns1:t>
              </ns1:r>
            </ns1:e>
          </ns1:d>
        </ns1:oMath>
      </ns1:oMathPara>
    </w:p>
    <w:p>
      <w:pPr>
        <w:pStyle w:val="FirstParagraph"/>
        <w:spacing w:line="360" w:lineRule="auto"/>
        <w:jc w:val="both"/>
      </w:pPr>
      <w:r>
        <w:t xml:space="preserve">donde</w:t>
      </w:r>
      <w:r>
        <w:t xml:space="preserve"> </w:t>
      </w:r>
      <ns1:oMath>
        <ns1:sSub>
          <ns1:e>
            <ns1:r>
              <ns1:t>x</ns1:t>
            </ns1:r>
          </ns1:e>
          <ns1:sub>
            <ns1:r>
              <ns1:rPr>
                <ns1:sty ns1:val="p"/>
              </ns1:rPr>
              <ns1:t>−</ns1:t>
            </ns1:r>
            <ns1:r>
              <ns1:t>i</ns1:t>
            </ns1:r>
          </ns1:sub>
        </ns1:sSub>
      </ns1:oMath>
      <w:r>
        <w:t xml:space="preserve"> </w:t>
      </w:r>
      <w:r>
        <w:t xml:space="preserve">sustituye la característica</w:t>
      </w:r>
      <w:r>
        <w:t xml:space="preserve"> </w:t>
      </w:r>
      <ns1:oMath>
        <ns1:r>
          <ns1:t>i</ns1:t>
        </ns1:r>
      </ns1:oMath>
      <w:r>
        <w:t xml:space="preserve"> </w:t>
      </w:r>
      <w:r>
        <w:t xml:space="preserve">por su media de entrenamiento.</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src/metrics/fidelity.py</w:t>
      </w:r>
      <w:r>
        <w:t xml:space="preserve">.</w:t>
      </w:r>
    </w:p>
    <w:bookmarkEnd w:id="73"/>
    <w:bookmarkStart w:id="74" w:name="estabilidad"/>
    <w:p>
      <w:pPr>
        <w:pStyle w:val="Ttulo3"/>
        <w:spacing w:line="360" w:lineRule="auto"/>
        <w:jc w:val="both"/>
      </w:pPr>
      <w:r>
        <w:t xml:space="preserve">Estabilidad</w:t>
      </w:r>
    </w:p>
    <w:p>
      <w:pPr>
        <w:pStyle w:val="FirstParagraph"/>
        <w:spacing w:line="360" w:lineRule="auto"/>
        <w:jc w:val="both"/>
      </w:pPr>
      <w:r>
        <w:t xml:space="preserve">La estabilidad mide la consistencia de las explicaciones bajo</w:t>
      </w:r>
      <w:r>
        <w:t xml:space="preserve"> </w:t>
      </w:r>
      <ns1:oMath>
        <ns1:r>
          <ns1:t>T</ns1:t>
        </ns1:r>
        <ns1:r>
          <ns1:rPr>
            <ns1:sty ns1:val="p"/>
          </ns1:rPr>
          <ns1:t>=</ns1:t>
        </ns1:r>
        <ns1:r>
          <ns1:t>15</ns1:t>
        </ns1:r>
      </ns1:oMath>
      <w:r>
        <w:t xml:space="preserve"> </w:t>
      </w:r>
      <w:r>
        <w:t xml:space="preserve">perturbaciones gaussianas</w:t>
      </w:r>
      <w:r>
        <w:t xml:space="preserve"> </w:t>
      </w:r>
      <ns1:oMath>
        <ns1:sSup>
          <ns1:e>
            <ns1:r>
              <ns1:t>x</ns1:t>
            </ns1:r>
          </ns1:e>
          <ns1:sup>
            <ns1:r>
              <ns1:rPr>
                <ns1:sty ns1:val="p"/>
              </ns1:rPr>
              <ns1:t>(</ns1:t>
            </ns1:r>
            <ns1:r>
              <ns1:t>t</ns1:t>
            </ns1:r>
            <ns1:r>
              <ns1:rPr>
                <ns1:sty ns1:val="p"/>
              </ns1:rPr>
              <ns1:t>)</ns1:t>
            </ns1:r>
          </ns1:sup>
        </ns1:sSup>
        <ns1:r>
          <ns1:rPr>
            <ns1:sty ns1:val="p"/>
          </ns1:rPr>
          <ns1:t>=</ns1:t>
        </ns1:r>
        <ns1:r>
          <ns1:t>x</ns1:t>
        </ns1:r>
        <ns1:r>
          <ns1:rPr>
            <ns1:sty ns1:val="p"/>
          </ns1:rPr>
          <ns1:t>+</ns1:t>
        </ns1:r>
        <ns1:sSup>
          <ns1:e>
            <ns1:r>
              <ns1:t>ε</ns1:t>
            </ns1:r>
          </ns1:e>
          <ns1:sup>
            <ns1:r>
              <ns1:rPr>
                <ns1:sty ns1:val="p"/>
              </ns1:rPr>
              <ns1:t>(</ns1:t>
            </ns1:r>
            <ns1:r>
              <ns1:t>t</ns1:t>
            </ns1:r>
            <ns1:r>
              <ns1:rPr>
                <ns1:sty ns1:val="p"/>
              </ns1:rPr>
              <ns1:t>)</ns1:t>
            </ns1:r>
          </ns1:sup>
        </ns1:sSup>
      </ns1:oMath>
      <w:r>
        <w:t xml:space="preserve">,</w:t>
      </w:r>
      <w:r>
        <w:t xml:space="preserve"> </w:t>
      </w:r>
      <ns1:oMath>
        <ns1:sSup>
          <ns1:e>
            <ns1:r>
              <ns1:t>ε</ns1:t>
            </ns1:r>
          </ns1:e>
          <ns1:sup>
            <ns1:r>
              <ns1:rPr>
                <ns1:sty ns1:val="p"/>
              </ns1:rPr>
              <ns1:t>(</ns1:t>
            </ns1:r>
            <ns1:r>
              <ns1:t>t</ns1:t>
            </ns1:r>
            <ns1:r>
              <ns1:rPr>
                <ns1:sty ns1:val="p"/>
              </ns1:rPr>
              <ns1:t>)</ns1:t>
            </ns1:r>
          </ns1:sup>
        </ns1:sSup>
        <ns1:r>
          <ns1:rPr>
            <ns1:sty ns1:val="p"/>
          </ns1:rPr>
          <ns1:t>∼</ns1:t>
        </ns1:r>
        <ns1:r>
          <ns1:rPr>
            <ns1:scr ns1:val="script"/>
            <ns1:sty ns1:val="p"/>
          </ns1:rPr>
          <ns1:t>N</ns1:t>
        </ns1:r>
        <ns1:r>
          <ns1:rPr>
            <ns1:sty ns1:val="p"/>
          </ns1:rPr>
          <ns1:t>(</ns1:t>
        </ns1:r>
        <ns1:r>
          <ns1:t>0</ns1:t>
        </ns1:r>
        <ns1:r>
          <ns1:rPr>
            <ns1:sty ns1:val="p"/>
          </ns1:rPr>
          <ns1:t>,</ns1:t>
        </ns1:r>
        <ns1:sSup>
          <ns1:e>
            <ns1:r>
              <ns1:t>σ</ns1:t>
            </ns1:r>
          </ns1:e>
          <ns1:sup>
            <ns1:r>
              <ns1:t>2</ns1:t>
            </ns1:r>
          </ns1:sup>
        </ns1:sSup>
        <ns1:r>
          <ns1:rPr>
            <ns1:sty ns1:val="b"/>
          </ns1:rPr>
          <ns1:t>I</ns1:t>
        </ns1:r>
        <ns1:r>
          <ns1:rPr>
            <ns1:sty ns1:val="p"/>
          </ns1:rPr>
          <ns1:t>)</ns1:t>
        </ns1:r>
      </ns1:oMath>
      <w:r>
        <w:t xml:space="preserve">,</w:t>
      </w:r>
      <w:r>
        <w:t xml:space="preserve"> </w:t>
      </w:r>
      <ns1:oMath>
        <ns1:r>
          <ns1:t>σ</ns1:t>
        </ns1:r>
        <ns1:r>
          <ns1:rPr>
            <ns1:sty ns1:val="p"/>
          </ns1:rPr>
          <ns1:t>=</ns1:t>
        </ns1:r>
        <ns1:r>
          <ns1:t>0.1</ns1:t>
        </ns1:r>
      </ns1:oMath>
      <w:r>
        <w:t xml:space="preserve">:</w:t>
      </w:r>
    </w:p>
    <w:p>
      <w:pPr>
        <w:pStyle w:val="Textoindependiente"/>
        <w:spacing w:line="360" w:lineRule="auto"/>
        <w:jc w:val="both"/>
      </w:pPr>
      <ns1:oMathPara>
        <ns1:oMathParaPr>
          <ns1:jc ns1:val="center"/>
        </ns1:oMathParaPr>
        <ns1:oMath>
          <ns1:r>
            <ns1:t>S</ns1:t>
          </ns1:r>
          <ns1:r>
            <ns1:rPr>
              <ns1:sty ns1:val="p"/>
            </ns1:rPr>
            <ns1:t>=</ns1:t>
          </ns1:r>
          <ns1:f>
            <ns1:fPr>
              <ns1:type ns1:val="bar"/>
            </ns1:fPr>
            <ns1:num>
              <ns1:r>
                <ns1:t>2</ns1:t>
              </ns1:r>
            </ns1:num>
            <ns1:den>
              <ns1:r>
                <ns1:t>T</ns1:t>
              </ns1:r>
              <ns1:r>
                <ns1:rPr>
                  <ns1:sty ns1:val="p"/>
                </ns1:rPr>
                <ns1:t>(</ns1:t>
              </ns1:r>
              <ns1:r>
                <ns1:t>T</ns1:t>
              </ns1:r>
              <ns1:r>
                <ns1:rPr>
                  <ns1:sty ns1:val="p"/>
                </ns1:rPr>
                <ns1:t>−</ns1:t>
              </ns1:r>
              <ns1:r>
                <ns1:t>1</ns1:t>
              </ns1:r>
              <ns1:r>
                <ns1:rPr>
                  <ns1:sty ns1:val="p"/>
                </ns1:rPr>
                <ns1:t>)</ns1:t>
              </ns1:r>
            </ns1:den>
          </ns1:f>
          <ns1:nary>
            <ns1:naryPr>
              <ns1:chr ns1:val="∑"/>
              <ns1:limLoc ns1:val="undOvr"/>
              <ns1:subHide ns1:val="off"/>
              <ns1:supHide ns1:val="on"/>
            </ns1:naryPr>
            <ns1:sub>
              <ns1:r>
                <ns1:t>a</ns1:t>
              </ns1:r>
              <ns1:r>
                <ns1:rPr>
                  <ns1:sty ns1:val="p"/>
                </ns1:rPr>
                <ns1:t>&lt;</ns1:t>
              </ns1:r>
              <ns1:r>
                <ns1:t>b</ns1:t>
              </ns1:r>
            </ns1:sub>
            <ns1:sup>
              <ns1:r>
                <ns1:t>​</ns1:t>
              </ns1:r>
            </ns1:sup>
            <ns1:e>
              <ns1:r>
                <ns1:rPr>
                  <ns1:sty ns1:val="p"/>
                </ns1:rPr>
                <ns1:t>cos</ns1:t>
              </ns1:r>
            </ns1:e>
          </ns1:nary>
          <ns1:r>
            <ns1:t>​</ns1:t>
          </ns1:r>
          <ns1:d>
            <ns1:dPr>
              <ns1:begChr ns1:val="("/>
              <ns1:sepChr ns1:val=""/>
              <ns1:endChr ns1:val=")"/>
              <ns1:grow/>
            </ns1:dPr>
            <ns1:e>
              <ns1:sSup>
                <ns1:e>
                  <ns1:r>
                    <ns1:t>e</ns1:t>
                  </ns1:r>
                </ns1:e>
                <ns1:sup>
                  <ns1:r>
                    <ns1:rPr>
                      <ns1:sty ns1:val="p"/>
                    </ns1:rPr>
                    <ns1:t>(</ns1:t>
                  </ns1:r>
                  <ns1:r>
                    <ns1:t>a</ns1:t>
                  </ns1:r>
                  <ns1:r>
                    <ns1:rPr>
                      <ns1:sty ns1:val="p"/>
                    </ns1:rPr>
                    <ns1:t>)</ns1:t>
                  </ns1:r>
                </ns1:sup>
              </ns1:sSup>
              <ns1:r>
                <ns1:rPr>
                  <ns1:sty ns1:val="p"/>
                </ns1:rPr>
                <ns1:t>,</ns1:t>
              </ns1:r>
              <ns1:r>
                <ns1:t> </ns1:t>
              </ns1:r>
              <ns1:sSup>
                <ns1:e>
                  <ns1:r>
                    <ns1:t>e</ns1:t>
                  </ns1:r>
                </ns1:e>
                <ns1:sup>
                  <ns1:r>
                    <ns1:rPr>
                      <ns1:sty ns1:val="p"/>
                    </ns1:rPr>
                    <ns1:t>(</ns1:t>
                  </ns1:r>
                  <ns1:r>
                    <ns1:t>b</ns1:t>
                  </ns1:r>
                  <ns1:r>
                    <ns1:rPr>
                      <ns1:sty ns1:val="p"/>
                    </ns1:rPr>
                    <ns1:t>)</ns1:t>
                  </ns1:r>
                </ns1:sup>
              </ns1:sSup>
            </ns1:e>
          </ns1:d>
        </ns1:oMath>
      </ns1:oMathPara>
    </w:p>
    <w:p>
      <w:pPr>
        <w:pStyle w:val="FirstParagraph"/>
        <w:spacing w:line="360" w:lineRule="auto"/>
        <w:jc w:val="both"/>
      </w:pPr>
      <w:r>
        <w:t xml:space="preserve">Con</w:t>
      </w:r>
      <w:r>
        <w:t xml:space="preserve"> </w:t>
      </w:r>
      <ns1:oMath>
        <ns1:r>
          <ns1:t>T</ns1:t>
        </ns1:r>
        <ns1:r>
          <ns1:rPr>
            <ns1:sty ns1:val="p"/>
          </ns1:rPr>
          <ns1:t>=</ns1:t>
        </ns1:r>
        <ns1:r>
          <ns1:t>15</ns1:t>
        </ns1:r>
      </ns1:oMath>
      <w:r>
        <w:t xml:space="preserve"> </w:t>
      </w:r>
      <w:r>
        <w:t xml:space="preserve">se forman</w:t>
      </w:r>
      <w:r>
        <w:t xml:space="preserve"> </w:t>
      </w:r>
      <ns1:oMath>
        <ns1:d>
          <ns1:dPr>
            <ns1:begChr ns1:val="("/>
            <ns1:sepChr ns1:val=""/>
            <ns1:endChr ns1:val=")"/>
            <ns1:grow/>
          </ns1:dPr>
          <ns1:e>
            <ns1:f>
              <ns1:fPr>
                <ns1:type ns1:val="noBar"/>
              </ns1:fPr>
              <ns1:num>
                <ns1:r>
                  <ns1:t>15</ns1:t>
                </ns1:r>
              </ns1:num>
              <ns1:den>
                <ns1:r>
                  <ns1:t>2</ns1:t>
                </ns1:r>
              </ns1:den>
            </ns1:f>
          </ns1:e>
        </ns1:d>
        <ns1:r>
          <ns1:rPr>
            <ns1:sty ns1:val="p"/>
          </ns1:rPr>
          <ns1:t>=</ns1:t>
        </ns1:r>
        <ns1:r>
          <ns1:t>105</ns1:t>
        </ns1:r>
      </ns1:oMath>
      <w:r>
        <w:t xml:space="preserve"> </w:t>
      </w:r>
      <w:r>
        <w:t xml:space="preserve">pares por instancia.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src/metrics/stability.py</w:t>
      </w:r>
      <w:r>
        <w:t xml:space="preserve">.</w:t>
      </w:r>
    </w:p>
    <w:bookmarkEnd w:id="74"/>
    <w:bookmarkStart w:id="75" w:name="parsimonia"/>
    <w:p>
      <w:pPr>
        <w:pStyle w:val="Ttulo3"/>
        <w:spacing w:line="360" w:lineRule="auto"/>
        <w:jc w:val="both"/>
      </w:pPr>
      <w:r>
        <w:t xml:space="preserve">Parsimonia</w:t>
      </w:r>
    </w:p>
    <w:p>
      <w:pPr>
        <w:pStyle w:val="FirstParagraph"/>
        <w:spacing w:line="360" w:lineRule="auto"/>
        <w:jc w:val="both"/>
      </w:pPr>
      <w:r>
        <w:t xml:space="preserve">La parsimonia cuantifica la proporción de características activas</w:t>
      </w:r>
      <w:r>
        <w:t xml:space="preserve"> </w:t>
      </w:r>
      <w:r>
        <w:t xml:space="preserve">(</w:t>
      </w:r>
      <ns1:oMath>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sSup>
          <ns1:e>
            <ns1:r>
              <ns1:t>10</ns1:t>
            </ns1:r>
          </ns1:e>
          <ns1:sup>
            <ns1:r>
              <ns1:rPr>
                <ns1:sty ns1:val="p"/>
              </ns1:rPr>
              <ns1:t>−</ns1:t>
            </ns1:r>
            <ns1:r>
              <ns1:t>4</ns1:t>
            </ns1:r>
          </ns1:sup>
        </ns1:sSup>
      </ns1:oMath>
      <w:r>
        <w:t xml:space="preserve">) sobre el total de características transformadas:</w:t>
      </w:r>
    </w:p>
    <w:p>
      <w:pPr>
        <w:pStyle w:val="Textoindependiente"/>
        <w:spacing w:line="360" w:lineRule="auto"/>
        <w:jc w:val="both"/>
      </w:pPr>
      <ns1:oMathPara>
        <ns1:oMathParaPr>
          <ns1:jc ns1:val="center"/>
        </ns1:oMathParaPr>
        <ns1:oMath>
          <ns1:r>
            <ns1:t>P</ns1:t>
          </ns1:r>
          <ns1:r>
            <ns1:rPr>
              <ns1:sty ns1:val="p"/>
            </ns1:rPr>
            <ns1:t>=</ns1:t>
          </ns1:r>
          <ns1:f>
            <ns1:fPr>
              <ns1:type ns1:val="bar"/>
            </ns1:fPr>
            <ns1:num>
              <ns1:r>
                <ns1:rPr>
                  <ns1:sty ns1:val="p"/>
                </ns1:rPr>
                <ns1:t>#</ns1:t>
              </ns1:r>
              <ns1:r>
                <ns1:rPr>
                  <ns1:sty ns1:val="p"/>
                </ns1:rPr>
                <ns1:t>{</ns1:t>
              </ns1:r>
              <ns1:r>
                <ns1:t>i</ns1:t>
              </ns1:r>
              <ns1:r>
                <ns1:rPr>
                  <ns1:sty ns1:val="p"/>
                </ns1:rPr>
                <ns1:t>:</ns1:t>
              </ns1:r>
              <ns1:r>
                <ns1:rPr>
                  <ns1:sty ns1:val="p"/>
                </ns1:rPr>
                <ns1:t>|</ns1:t>
              </ns1:r>
              <ns1:sSub>
                <ns1:e>
                  <ns1:r>
                    <ns1:t>w</ns1:t>
                  </ns1:r>
                </ns1:e>
                <ns1:sub>
                  <ns1:r>
                    <ns1:t>i</ns1:t>
                  </ns1:r>
                </ns1:sub>
              </ns1:sSub>
              <ns1:r>
                <ns1:rPr>
                  <ns1:sty ns1:val="p"/>
                </ns1:rPr>
                <ns1:t>|</ns1:t>
              </ns1:r>
              <ns1:r>
                <ns1:rPr>
                  <ns1:sty ns1:val="p"/>
                </ns1:rPr>
                <ns1:t>&gt;</ns1:t>
              </ns1:r>
              <ns1:sSub>
                <ns1:e>
                  <ns1:r>
                    <ns1:t>τ</ns1:t>
                  </ns1:r>
                </ns1:e>
                <ns1:sub>
                  <ns1:r>
                    <ns1:t>s</ns1:t>
                  </ns1:r>
                </ns1:sub>
              </ns1:sSub>
              <ns1:r>
                <ns1:rPr>
                  <ns1:sty ns1:val="p"/>
                </ns1:rPr>
                <ns1:t>}</ns1:t>
              </ns1:r>
            </ns1:num>
            <ns1:den>
              <ns1:r>
                <ns1:rPr>
                  <ns1:sty ns1:val="p"/>
                </ns1:rPr>
                <ns1:t>|</ns1:t>
              </ns1:r>
              <ns1:r>
                <ns1:rPr>
                  <ns1:scr ns1:val="script"/>
                  <ns1:sty ns1:val="p"/>
                </ns1:rPr>
                <ns1:t>F</ns1:t>
              </ns1:r>
              <ns1:r>
                <ns1:rPr>
                  <ns1:sty ns1:val="p"/>
                </ns1:rPr>
                <ns1:t>|</ns1:t>
              </ns1:r>
            </ns1:den>
          </ns1:f>
        </ns1:oMath>
      </ns1:oMathPara>
    </w:p>
    <w:p>
      <w:pPr>
        <w:pStyle w:val="FirstParagraph"/>
        <w:spacing w:line="360" w:lineRule="auto"/>
        <w:jc w:val="both"/>
      </w:pPr>
      <w:r>
        <w:t xml:space="preserve">Un valor bajo indica mayor concisión. Dirección:</w:t>
      </w:r>
      <w:r>
        <w:t xml:space="preserve"> </w:t>
      </w:r>
      <ns1:oMath>
        <ns1:r>
          <ns1:rPr>
            <ns1:sty ns1:val="p"/>
          </ns1:rPr>
          <ns1:t>↓</ns1:t>
        </ns1:r>
      </ns1:oMath>
      <w:r>
        <w:t xml:space="preserve">.</w:t>
      </w:r>
      <w:r>
        <w:t xml:space="preserve"> </w:t>
      </w:r>
      <w:r>
        <w:t xml:space="preserve">Implementación:</w:t>
      </w:r>
      <w:r>
        <w:t xml:space="preserve"> </w:t>
      </w:r>
      <w:r>
        <w:rPr>
          <w:rStyle w:val="VerbatimChar"/>
        </w:rPr>
        <w:t xml:space="preserve">src/metrics/sparsity.py</w:t>
      </w:r>
      <w:r>
        <w:t xml:space="preserve">.</w:t>
      </w:r>
    </w:p>
    <w:bookmarkEnd w:id="75"/>
    <w:bookmarkStart w:id="76" w:name="brecha-de-fidelidad"/>
    <w:p>
      <w:pPr>
        <w:pStyle w:val="Ttulo3"/>
        <w:spacing w:line="360" w:lineRule="auto"/>
        <w:jc w:val="both"/>
      </w:pPr>
      <w:r>
        <w:t xml:space="preserve">Brecha de fidelidad</w:t>
      </w:r>
    </w:p>
    <w:p>
      <w:pPr>
        <w:pStyle w:val="FirstParagraph"/>
        <w:spacing w:line="360" w:lineRule="auto"/>
        <w:jc w:val="both"/>
      </w:pPr>
      <w:r>
        <w:t xml:space="preserve">La brecha de fidelidad cuantifica el cambio en la salida del modelo al</w:t>
      </w:r>
      <w:r>
        <w:t xml:space="preserve"> </w:t>
      </w:r>
      <w:r>
        <w:t xml:space="preserve">enmascarar las</w:t>
      </w:r>
      <w:r>
        <w:t xml:space="preserve"> </w:t>
      </w:r>
      <ns1:oMath>
        <ns1:r>
          <ns1:t>k</ns1:t>
        </ns1:r>
        <ns1:r>
          <ns1:rPr>
            <ns1:sty ns1:val="p"/>
          </ns1:rPr>
          <ns1:t>=</ns1:t>
        </ns1:r>
        <ns1:r>
          <ns1:t>5</ns1:t>
        </ns1:r>
      </ns1:oMath>
      <w:r>
        <w:t xml:space="preserve"> </w:t>
      </w:r>
      <w:r>
        <w:t xml:space="preserve">características de mayor importancia:</w:t>
      </w:r>
    </w:p>
    <w:p>
      <w:pPr>
        <w:pStyle w:val="Textoindependiente"/>
        <w:spacing w:line="360" w:lineRule="auto"/>
        <w:jc w:val="both"/>
      </w:pPr>
      <ns1:oMathPara>
        <ns1:oMathParaPr>
          <ns1:jc ns1:val="center"/>
        </ns1:oMathParaPr>
        <ns1:oMath>
          <ns1:sSub>
            <ns1:e>
              <ns1:r>
                <ns1:rPr>
                  <ns1:sty ns1:val="p"/>
                </ns1:rPr>
                <ns1:t>Δ</ns1:t>
              </ns1:r>
            </ns1:e>
            <ns1:sub>
              <ns1:r>
                <ns1:t>k</ns1:t>
              </ns1:r>
            </ns1:sub>
          </ns1:sSub>
          <ns1:r>
            <ns1:rPr>
              <ns1:sty ns1:val="p"/>
            </ns1:rPr>
            <ns1:t>=</ns1:t>
          </ns1:r>
          <ns1:d>
            <ns1:dPr>
              <ns1:begChr ns1:val="|"/>
              <ns1:sepChr ns1:val=""/>
              <ns1:endChr ns1:val="|"/>
              <ns1:grow/>
            </ns1:dPr>
            <ns1:e>
              <ns1:r>
                <ns1:t>f</ns1:t>
              </ns1:r>
              <ns1:r>
                <ns1:rPr>
                  <ns1:sty ns1:val="p"/>
                </ns1:rPr>
                <ns1:t>(</ns1:t>
              </ns1:r>
              <ns1:r>
                <ns1:t>x</ns1:t>
              </ns1:r>
              <ns1:r>
                <ns1:rPr>
                  <ns1:sty ns1:val="p"/>
                </ns1:rPr>
                <ns1:t>)</ns1:t>
              </ns1:r>
              <ns1:r>
                <ns1:rPr>
                  <ns1:sty ns1:val="p"/>
                </ns1:rPr>
                <ns1:t>−</ns1:t>
              </ns1:r>
              <ns1:r>
                <ns1:t>f</ns1:t>
              </ns1:r>
              <ns1:r>
                <ns1:t>​</ns1:t>
              </ns1:r>
              <ns1:d>
                <ns1:dPr>
                  <ns1:begChr ns1:val="("/>
                  <ns1:sepChr ns1:val=""/>
                  <ns1:endChr ns1:val=")"/>
                  <ns1:grow/>
                </ns1:dPr>
                <ns1:e>
                  <ns1:sSub>
                    <ns1:e>
                      <ns1:r>
                        <ns1:t>x</ns1:t>
                      </ns1:r>
                    </ns1:e>
                    <ns1:sub>
                      <ns1:r>
                        <ns1:rPr>
                          <ns1:nor/>
                          <ns1:sty ns1:val="p"/>
                        </ns1:rPr>
                        <ns1:t>mask-top-</ns1:t>
                      </ns1:r>
                      <ns1:r>
                        <ns1:t>k</ns1:t>
                      </ns1:r>
                    </ns1:sub>
                  </ns1:sSub>
                </ns1:e>
              </ns1:d>
            </ns1:e>
          </ns1:d>
        </ns1:oMath>
      </ns1:oMathPara>
    </w:p>
    <w:p>
      <w:pPr>
        <w:pStyle w:val="FirstParagraph"/>
        <w:spacing w:line="360" w:lineRule="auto"/>
        <w:jc w:val="both"/>
      </w:pPr>
      <w:r>
        <w:t xml:space="preserve">donde</w:t>
      </w:r>
      <w:r>
        <w:t xml:space="preserve"> </w:t>
      </w:r>
      <ns1:oMath>
        <ns1:r>
          <ns1:t>f</ns1:t>
        </ns1:r>
        <ns1:r>
          <ns1:rPr>
            <ns1:sty ns1:val="p"/>
          </ns1:rPr>
          <ns1:t>(</ns1:t>
        </ns1:r>
        <ns1:r>
          <ns1:rPr>
            <ns1:sty ns1:val="p"/>
          </ns1:rPr>
          <ns1:t>⋅</ns1:t>
        </ns1:r>
        <ns1:r>
          <ns1:rPr>
            <ns1:sty ns1:val="p"/>
          </ns1:rPr>
          <ns1:t>)</ns1:t>
        </ns1:r>
      </ns1:oMath>
      <w:r>
        <w:t xml:space="preserve"> </w:t>
      </w:r>
      <w:r>
        <w:t xml:space="preserve">devuelve la probabilidad de la clase positiva.</w:t>
      </w:r>
      <w:r>
        <w:t xml:space="preserve"> </w:t>
      </w:r>
      <w:r>
        <w:t xml:space="preserve">Dirección:</w:t>
      </w:r>
      <w:r>
        <w:t xml:space="preserve"> </w:t>
      </w:r>
      <ns1:oMath>
        <ns1:r>
          <ns1:rPr>
            <ns1:sty ns1:val="p"/>
          </ns1:rPr>
          <ns1:t>↑</ns1:t>
        </ns1:r>
      </ns1:oMath>
      <w:r>
        <w:t xml:space="preserve">. Implementación:</w:t>
      </w:r>
      <w:r>
        <w:t xml:space="preserve"> </w:t>
      </w:r>
      <w:r>
        <w:rPr>
          <w:rStyle w:val="VerbatimChar"/>
        </w:rPr>
        <w:t xml:space="preserve">src/metrics/faithfulness.py</w:t>
      </w:r>
      <w:r>
        <w:t xml:space="preserve">.</w:t>
      </w:r>
    </w:p>
    <w:bookmarkEnd w:id="76"/>
    <w:bookmarkStart w:id="77" w:name="coste-computacional"/>
    <w:p>
      <w:pPr>
        <w:pStyle w:val="Ttulo3"/>
        <w:spacing w:line="360" w:lineRule="auto"/>
        <w:jc w:val="both"/>
      </w:pPr>
      <w:r>
        <w:t xml:space="preserve">Coste computacional</w:t>
      </w:r>
    </w:p>
    <w:p>
      <w:pPr>
        <w:pStyle w:val="FirstParagraph"/>
        <w:spacing w:line="360" w:lineRule="auto"/>
        <w:jc w:val="both"/>
      </w:pPr>
      <w:r>
        <w:t xml:space="preserve">El coste (</w:t>
      </w:r>
      <ns1:oMath>
        <ns1:r>
          <ns1:t>C</ns1:t>
        </ns1:r>
      </ns1: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ns1:oMath>
        <ns1:r>
          <ns1:rPr>
            <ns1:sty ns1:val="p"/>
          </ns1:rPr>
          <ns1:t>↓</ns1:t>
        </ns1:r>
      </ns1:oMath>
      <w:r>
        <w:t xml:space="preserve">.</w:t>
      </w:r>
    </w:p>
    <w:bookmarkEnd w:id="77"/>
    <w:bookmarkStart w:id="79" w:name="resumen-de-métricas-primarias"/>
    <w:p>
      <w:pPr>
        <w:pStyle w:val="Ttulo3"/>
        <w:spacing w:line="360" w:lineRule="auto"/>
        <w:jc w:val="both"/>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8" w:name="tbl-metrics"/>
          <w:p>
            <w:pPr>
              <w:jc w:val="both"/>
              <w:spacing w:line="360" w:lineRule="auto"/>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Símbolo</w:t>
                  </w:r>
                </w:p>
              </w:tc>
              <w:tc>
                <w:tcPr/>
                <w:p>
                  <w:pPr>
                    <w:pStyle w:val="Compact"/>
                    <w:jc w:val="both"/>
                    <w:jc w:val="center"/>
                    <w:spacing w:line="360" w:lineRule="auto"/>
                  </w:pPr>
                  <w:r>
                    <w:t xml:space="preserve">Unidad</w:t>
                  </w:r>
                </w:p>
              </w:tc>
              <w:tc>
                <w:tcPr/>
                <w:p>
                  <w:pPr>
                    <w:pStyle w:val="Compact"/>
                    <w:jc w:val="both"/>
                    <w:jc w:val="center"/>
                    <w:spacing w:line="360" w:lineRule="auto"/>
                  </w:pPr>
                  <w:r>
                    <w:t xml:space="preserve">Dirección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t>F</ns1:t>
                    </ns1:r>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t>S</ns1:t>
                    </ns1:r>
                  </ns1:oMath>
                </w:p>
              </w:tc>
              <w:tc>
                <w:tcPr/>
                <w:p>
                  <w:pPr>
                    <w:pStyle w:val="Compact"/>
                    <w:jc w:val="both"/>
                    <w:jc w:val="center"/>
                    <w:spacing w:line="360" w:lineRule="auto"/>
                  </w:pPr>
                  <w:r>
                    <w:t xml:space="preserve">similitud coseno</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t>P</ns1:t>
                    </ns1:r>
                  </ns1:oMath>
                </w:p>
              </w:tc>
              <w:tc>
                <w:tcPr/>
                <w:p>
                  <w:pPr>
                    <w:pStyle w:val="Compact"/>
                    <w:jc w:val="both"/>
                    <w:jc w:val="center"/>
                    <w:spacing w:line="360" w:lineRule="auto"/>
                  </w:pPr>
                  <w:r>
                    <w:t xml:space="preserve">proporción activa</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Brecha de fidelidad</w:t>
                  </w:r>
                </w:p>
              </w:tc>
              <w:tc>
                <w:tcPr/>
                <w:p>
                  <w:pPr>
                    <w:pStyle w:val="Compact"/>
                    <w:jc w:val="both"/>
                    <w:jc w:val="center"/>
                    <w:spacing w:line="360" w:lineRule="auto"/>
                  </w:pPr>
                  <ns1:oMath>
                    <ns1:sSub>
                      <ns1:e>
                        <ns1:r>
                          <ns1:rPr>
                            <ns1:sty ns1:val="p"/>
                          </ns1:rPr>
                          <ns1:t>Δ</ns1:t>
                        </ns1:r>
                      </ns1:e>
                      <ns1:sub>
                        <ns1:r>
                          <ns1:t>k</ns1:t>
                        </ns1:r>
                      </ns1:sub>
                    </ns1:sSub>
                  </ns1:oMath>
                </w:p>
              </w:tc>
              <w:tc>
                <w:tcPr/>
                <w:p>
                  <w:pPr>
                    <w:pStyle w:val="Compact"/>
                    <w:jc w:val="both"/>
                    <w:jc w:val="center"/>
                    <w:spacing w:line="360" w:lineRule="auto"/>
                  </w:pPr>
                  <w:r>
                    <w:t xml:space="preserve">score</w:t>
                  </w:r>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Coste computacional</w:t>
                  </w:r>
                </w:p>
              </w:tc>
              <w:tc>
                <w:tcPr/>
                <w:p>
                  <w:pPr>
                    <w:pStyle w:val="Compact"/>
                    <w:jc w:val="both"/>
                    <w:jc w:val="center"/>
                    <w:spacing w:line="360" w:lineRule="auto"/>
                  </w:pPr>
                  <ns1:oMath>
                    <ns1:r>
                      <ns1:t>C</ns1:t>
                    </ns1:r>
                  </ns1:oMath>
                </w:p>
              </w:tc>
              <w:tc>
                <w:tcPr/>
                <w:p>
                  <w:pPr>
                    <w:pStyle w:val="Compact"/>
                    <w:jc w:val="both"/>
                    <w:jc w:val="center"/>
                    <w:spacing w:line="360" w:lineRule="auto"/>
                  </w:pPr>
                  <w:r>
                    <w:t xml:space="preserve">ms/instancia</w:t>
                  </w:r>
                </w:p>
              </w:tc>
              <w:tc>
                <w:tcPr/>
                <w:p>
                  <w:pPr>
                    <w:pStyle w:val="Compact"/>
                    <w:jc w:val="both"/>
                    <w:jc w:val="center"/>
                    <w:spacing w:line="360" w:lineRule="auto"/>
                  </w:pPr>
                  <ns1:oMath>
                    <ns1:r>
                      <ns1:rPr>
                        <ns1:sty ns1:val="p"/>
                      </ns1:rPr>
                      <ns1:t>↓</ns1:t>
                    </ns1:r>
                  </ns1:oMath>
                </w:p>
              </w:tc>
            </w:tr>
          </w:tbl>
          <w:bookmarkEnd w:id="78"/>
          <w:p>
            <w:pPr>
              <w:spacing w:line="360" w:lineRule="auto"/>
              <w:jc w:val="both"/>
            </w:pPr>
          </w:p>
        </w:tc>
      </w:tr>
    </w:tbl>
    <w:bookmarkEnd w:id="79"/>
    <w:bookmarkEnd w:id="80"/>
    <w:bookmarkStart w:id="82" w:name="protocolo-de-operación-fom-7"/>
    <w:p>
      <w:pPr>
        <w:pStyle w:val="Ttulo2"/>
        <w:spacing w:line="360" w:lineRule="auto"/>
        <w:jc w:val="both"/>
      </w:pPr>
      <w:r>
        <w:t xml:space="preserve">Protocolo de operación FOM-7</w:t>
      </w:r>
    </w:p>
    <w:p>
      <w:pPr>
        <w:pStyle w:val="FirstParagraph"/>
        <w:spacing w:line="360" w:lineRule="auto"/>
        <w:jc w:val="bot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spacing w:line="360" w:lineRule="auto"/>
        <w:jc w:val="both"/>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spacing w:line="360" w:lineRule="auto"/>
        <w:jc w:val="both"/>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spacing w:line="360" w:lineRule="auto"/>
        <w:jc w:val="both"/>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spacing w:line="360" w:lineRule="auto"/>
        <w:jc w:val="both"/>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spacing w:line="360" w:lineRule="auto"/>
        <w:jc w:val="both"/>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spacing w:line="360" w:lineRule="auto"/>
        <w:jc w:val="both"/>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spacing w:line="360" w:lineRule="auto"/>
        <w:jc w:val="both"/>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spacing w:line="360" w:lineRule="auto"/>
        <w:jc w:val="both"/>
      </w:pPr>
      <w:r>
        <w:t xml:space="preserve">El flujo compacto del protocolo es:</w:t>
      </w:r>
    </w:p>
    <w:p>
      <w:pPr>
        <w:pStyle w:val="Textoindependiente"/>
        <w:spacing w:line="360" w:lineRule="auto"/>
        <w:jc w:val="both"/>
      </w:pPr>
      <ns1:oMathPara>
        <ns1:oMathParaPr>
          <ns1:jc ns1:val="center"/>
        </ns1:oMathParaPr>
        <ns1:oMath>
          <ns1:r>
            <ns1:rPr>
              <ns1:nor/>
              <ns1:sty ns1:val="p"/>
            </ns1:rPr>
            <ns1:t>Congelación</ns1:t>
          </ns1:r>
          <ns1:r>
            <ns1:rPr>
              <ns1:sty ns1:val="p"/>
            </ns1:rPr>
            <ns1:t>→</ns1:t>
          </ns1:r>
          <ns1:r>
            <ns1:rPr>
              <ns1:nor/>
              <ns1:sty ns1:val="p"/>
            </ns1:rPr>
            <ns1:t>Ejecución</ns1:t>
          </ns1:r>
          <ns1:r>
            <ns1:rPr>
              <ns1:sty ns1:val="p"/>
            </ns1:rPr>
            <ns1:t>→</ns1:t>
          </ns1:r>
          <ns1:r>
            <ns1:rPr>
              <ns1:nor/>
              <ns1:sty ns1:val="p"/>
            </ns1:rPr>
            <ns1:t>Auditoría</ns1:t>
          </ns1:r>
          <ns1:r>
            <ns1:rPr>
              <ns1:sty ns1:val="p"/>
            </ns1:rPr>
            <ns1:t>→</ns1:t>
          </ns1:r>
          <ns1:r>
            <ns1:rPr>
              <ns1:nor/>
              <ns1:sty ns1:val="p"/>
            </ns1:rPr>
            <ns1:t>Armonización</ns1:t>
          </ns1:r>
          <ns1:r>
            <ns1:rPr>
              <ns1:sty ns1:val="p"/>
            </ns1:rPr>
            <ns1:t>→</ns1:t>
          </ns1:r>
          <ns1:r>
            <ns1:rPr>
              <ns1:nor/>
              <ns1:sty ns1:val="p"/>
            </ns1:rPr>
            <ns1:t>Exportación</ns1:t>
          </ns1:r>
          <ns1:r>
            <ns1:rPr>
              <ns1:sty ns1:val="p"/>
            </ns1:rPr>
            <ns1:t>→</ns1:t>
          </ns1:r>
          <ns1:r>
            <ns1:rPr>
              <ns1:nor/>
              <ns1:sty ns1:val="p"/>
            </ns1:rPr>
            <ns1:t>Perfilado</ns1:t>
          </ns1:r>
          <ns1:r>
            <ns1:rPr>
              <ns1:sty ns1:val="p"/>
            </ns1:rPr>
            <ns1:t>→</ns1:t>
          </ns1:r>
          <ns1:r>
            <ns1:rPr>
              <ns1:nor/>
              <ns1:sty ns1:val="p"/>
            </ns1:rPr>
            <ns1:t>Reporte</ns1:t>
          </ns1:r>
        </ns1:oMath>
      </ns1:oMathPara>
    </w:p>
    <w:p>
      <w:pPr>
        <w:pStyle w:val="FirstParagraph"/>
        <w:spacing w:line="360" w:lineRule="auto"/>
        <w:jc w:val="both"/>
      </w:pPr>
      <w:r>
        <w:t xml:space="preserve">La Tabla</w:t>
      </w:r>
      <w:r>
        <w:t xml:space="preserve"> </w:t>
      </w:r>
      <w:hyperlink w:anchor="tbl-fom7-gates">
        <w:r>
          <w:rPr>
            <w:rStyle w:val="Hipervnculo"/>
          </w:rPr>
          <w:t xml:space="preserve">Table 4.3</w:t>
        </w:r>
      </w:hyperlink>
      <w:r>
        <w:t xml:space="preserve"> </w:t>
      </w:r>
      <w:r>
        <w:t xml:space="preserve">resume la función de gobierno de cada puerta. La</w:t>
      </w:r>
      <w:r>
        <w:t xml:space="preserve"> </w:t>
      </w:r>
      <w:r>
        <w:t xml:space="preserve">tabla explicita qué entra, qué sale y qué modo de fallo queda controlado, de</w:t>
      </w:r>
      <w:r>
        <w:t xml:space="preserve"> </w:t>
      </w:r>
      <w:r>
        <w:t xml:space="preserve">modo que FOM-7 pueda auditarse como protocolo y no solo como narración</w:t>
      </w:r>
      <w:r>
        <w:t xml:space="preserve"> </w:t>
      </w:r>
      <w:r>
        <w:t xml:space="preserve">metodológica.</w:t>
      </w:r>
    </w:p>
    <w:tbl>
      <w:tblPr>
        <w:tblStyle w:val="Table"/>
        <w:tblW w:type="pct" w:w="5000"/>
        <w:tblLayout w:type="fixed"/>
        <w:tblLook w:firstRow="0" w:lastRow="0" w:firstColumn="0" w:lastColumn="0" w:noHBand="0" w:noVBand="0" w:val="0000"/>
      </w:tblPr>
      <w:tblGrid>
        <w:gridCol w:w="7920"/>
      </w:tblGrid>
      <w:tr>
        <w:tc>
          <w:tcPr/>
          <w:bookmarkStart w:id="81" w:name="tbl-fom7-gates"/>
          <w:p>
            <w:pPr>
              <w:jc w:val="both"/>
              <w:spacing w:line="360" w:lineRule="auto"/>
            </w:pPr>
            <w:pPr>
              <w:jc w:val="left"/>
              <w:spacing w:before="200"/>
              <w:pStyle w:val="ImageCaption"/>
            </w:pPr>
            <w:r>
              <w:t xml:space="preserve">Table 4.3: Puertas FOM-7, artefactos y modos de fallo controlados.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Puerta</w:t>
                  </w:r>
                </w:p>
              </w:tc>
              <w:tc>
                <w:tcPr/>
                <w:p>
                  <w:pPr>
                    <w:pStyle w:val="Compact"/>
                    <w:jc w:val="both"/>
                    <w:jc w:val="center"/>
                    <w:spacing w:line="360" w:lineRule="auto"/>
                  </w:pPr>
                  <w:r>
                    <w:t xml:space="preserve">Propósito</w:t>
                  </w:r>
                </w:p>
              </w:tc>
              <w:tc>
                <w:tcPr/>
                <w:p>
                  <w:pPr>
                    <w:pStyle w:val="Compact"/>
                    <w:jc w:val="both"/>
                    <w:jc w:val="center"/>
                    <w:spacing w:line="360" w:lineRule="auto"/>
                  </w:pPr>
                  <w:r>
                    <w:t xml:space="preserve">Artefacto de entrada</w:t>
                  </w:r>
                </w:p>
              </w:tc>
              <w:tc>
                <w:tcPr/>
                <w:p>
                  <w:pPr>
                    <w:pStyle w:val="Compact"/>
                    <w:jc w:val="both"/>
                    <w:jc w:val="center"/>
                    <w:spacing w:line="360" w:lineRule="auto"/>
                  </w:pPr>
                  <w:r>
                    <w:t xml:space="preserve">Artefacto de salida</w:t>
                  </w:r>
                </w:p>
              </w:tc>
              <w:tc>
                <w:tcPr/>
                <w:p>
                  <w:pPr>
                    <w:pStyle w:val="Compact"/>
                    <w:jc w:val="both"/>
                    <w:jc w:val="center"/>
                    <w:spacing w:line="360" w:lineRule="auto"/>
                  </w:pPr>
                  <w:r>
                    <w:t xml:space="preserve">Fallo controlado</w:t>
                  </w:r>
                </w:p>
              </w:tc>
              <w:tc>
                <w:tcPr/>
                <w:p>
                  <w:pPr>
                    <w:pStyle w:val="Compact"/>
                    <w:jc w:val="both"/>
                    <w:jc w:val="center"/>
                    <w:spacing w:line="360" w:lineRule="auto"/>
                  </w:pPr>
                  <w:r>
                    <w:t xml:space="preserve">Evidencia</w:t>
                  </w:r>
                </w:p>
              </w:tc>
            </w:tr>
            <w:tr>
              <w:tc>
                <w:tcPr/>
                <w:p>
                  <w:pPr>
                    <w:pStyle w:val="Compact"/>
                    <w:jc w:val="both"/>
                    <w:jc w:val="center"/>
                    <w:spacing w:line="360" w:lineRule="auto"/>
                  </w:pPr>
                  <w:r>
                    <w:t xml:space="preserve">1. Congelación</w:t>
                  </w:r>
                </w:p>
              </w:tc>
              <w:tc>
                <w:tcPr/>
                <w:p>
                  <w:pPr>
                    <w:pStyle w:val="Compact"/>
                    <w:jc w:val="both"/>
                    <w:jc w:val="center"/>
                    <w:spacing w:line="360" w:lineRule="auto"/>
                  </w:pPr>
                  <w:r>
                    <w:t xml:space="preserve">Fijar diseño, versiones y plan inferencial antes de EXP2</w:t>
                  </w:r>
                </w:p>
              </w:tc>
              <w:tc>
                <w:tcPr/>
                <w:p>
                  <w:pPr>
                    <w:pStyle w:val="Compact"/>
                    <w:jc w:val="both"/>
                    <w:jc w:val="center"/>
                    <w:spacing w:line="360" w:lineRule="auto"/>
                  </w:pPr>
                  <w:r>
                    <w:rPr>
                      <w:rStyle w:val="VerbatimChar"/>
                    </w:rPr>
                    <w:t xml:space="preserve">configs/experiments/exp2_scaled/manifest.yaml</w:t>
                  </w:r>
                  <w:r>
                    <w:t xml:space="preserve">, código versionado</w:t>
                  </w:r>
                </w:p>
              </w:tc>
              <w:tc>
                <w:tcPr/>
                <w:p>
                  <w:pPr>
                    <w:pStyle w:val="Compact"/>
                    <w:jc w:val="both"/>
                    <w:jc w:val="center"/>
                    <w:spacing w:line="360" w:lineRule="auto"/>
                  </w:pPr>
                  <w:r>
                    <w:t xml:space="preserve">Diseño factorial declarado</w:t>
                  </w:r>
                </w:p>
              </w:tc>
              <w:tc>
                <w:tcPr/>
                <w:p>
                  <w:pPr>
                    <w:pStyle w:val="Compact"/>
                    <w:jc w:val="both"/>
                    <w:jc w:val="center"/>
                    <w:spacing w:line="360" w:lineRule="auto"/>
                  </w:pPr>
                  <w:r>
                    <w:t xml:space="preserve">Deriva de protocolo, cambio post-hoc de hipótesis</w:t>
                  </w:r>
                </w:p>
              </w:tc>
              <w:tc>
                <w:tcPr/>
                <w:p>
                  <w:pPr>
                    <w:pStyle w:val="Compact"/>
                    <w:jc w:val="both"/>
                    <w:jc w:val="center"/>
                    <w:spacing w:line="360" w:lineRule="auto"/>
                  </w:pPr>
                  <w:r>
                    <w:rPr>
                      <w:rStyle w:val="VerbatimChar"/>
                    </w:rPr>
                    <w:t xml:space="preserve">manifest.yaml</w:t>
                  </w:r>
                  <w:r>
                    <w:t xml:space="preserve">, commit de tesis</w:t>
                  </w:r>
                </w:p>
              </w:tc>
            </w:tr>
            <w:tr>
              <w:tc>
                <w:tcPr/>
                <w:p>
                  <w:pPr>
                    <w:pStyle w:val="Compact"/>
                    <w:jc w:val="both"/>
                    <w:jc w:val="center"/>
                    <w:spacing w:line="360" w:lineRule="auto"/>
                  </w:pPr>
                  <w:r>
                    <w:t xml:space="preserve">2. Ejecución</w:t>
                  </w:r>
                </w:p>
              </w:tc>
              <w:tc>
                <w:tcPr/>
                <w:p>
                  <w:pPr>
                    <w:pStyle w:val="Compact"/>
                    <w:jc w:val="both"/>
                    <w:jc w:val="center"/>
                    <w:spacing w:line="360" w:lineRule="auto"/>
                  </w:pPr>
                  <w:r>
                    <w:t xml:space="preserve">Ejecutar celdas desde configuración declarativa</w:t>
                  </w:r>
                </w:p>
              </w:tc>
              <w:tc>
                <w:tcPr/>
                <w:p>
                  <w:pPr>
                    <w:pStyle w:val="Compact"/>
                    <w:jc w:val="both"/>
                    <w:jc w:val="center"/>
                    <w:spacing w:line="360" w:lineRule="auto"/>
                  </w:pPr>
                  <w:r>
                    <w:t xml:space="preserve">YAML por celda, modelos congelados</w:t>
                  </w:r>
                </w:p>
              </w:tc>
              <w:tc>
                <w:tcPr/>
                <w:p>
                  <w:pPr>
                    <w:pStyle w:val="Compact"/>
                    <w:jc w:val="both"/>
                    <w:jc w:val="center"/>
                    <w:spacing w:line="360" w:lineRule="auto"/>
                  </w:pPr>
                  <w:r>
                    <w:t xml:space="preserve">Árbol</w:t>
                  </w:r>
                  <w:r>
                    <w:t xml:space="preserve"> </w:t>
                  </w:r>
                  <w:r>
                    <w:rPr>
                      <w:rStyle w:val="VerbatimChar"/>
                    </w:rPr>
                    <w:t xml:space="preserve">experiments/exp2_scaled/results/</w:t>
                  </w:r>
                </w:p>
              </w:tc>
              <w:tc>
                <w:tcPr/>
                <w:p>
                  <w:pPr>
                    <w:pStyle w:val="Compact"/>
                    <w:jc w:val="both"/>
                    <w:jc w:val="center"/>
                    <w:spacing w:line="360" w:lineRule="auto"/>
                  </w:pPr>
                  <w:r>
                    <w:t xml:space="preserve">Ejecuciones ad-hoc, semillas no registradas</w:t>
                  </w:r>
                </w:p>
              </w:tc>
              <w:tc>
                <w:tcPr/>
                <w:p>
                  <w:pPr>
                    <w:pStyle w:val="Compact"/>
                    <w:jc w:val="both"/>
                    <w:jc w:val="center"/>
                    <w:spacing w:line="360" w:lineRule="auto"/>
                  </w:pPr>
                  <w:r>
                    <w:rPr>
                      <w:rStyle w:val="VerbatimChar"/>
                    </w:rPr>
                    <w:t xml:space="preserve">results.json</w:t>
                  </w:r>
                  <w:r>
                    <w:t xml:space="preserve"> </w:t>
                  </w:r>
                  <w:r>
                    <w:t xml:space="preserve">por celda</w:t>
                  </w:r>
                </w:p>
              </w:tc>
            </w:tr>
            <w:tr>
              <w:tc>
                <w:tcPr/>
                <w:p>
                  <w:pPr>
                    <w:pStyle w:val="Compact"/>
                    <w:jc w:val="both"/>
                    <w:jc w:val="center"/>
                    <w:spacing w:line="360" w:lineRule="auto"/>
                  </w:pPr>
                  <w:r>
                    <w:t xml:space="preserve">3. Auditoría</w:t>
                  </w:r>
                </w:p>
              </w:tc>
              <w:tc>
                <w:tcPr/>
                <w:p>
                  <w:pPr>
                    <w:pStyle w:val="Compact"/>
                    <w:jc w:val="both"/>
                    <w:jc w:val="center"/>
                    <w:spacing w:line="360" w:lineRule="auto"/>
                  </w:pPr>
                  <w:r>
                    <w:t xml:space="preserve">Calificar integridad de resultados</w:t>
                  </w:r>
                </w:p>
              </w:tc>
              <w:tc>
                <w:tcPr/>
                <w:p>
                  <w:pPr>
                    <w:pStyle w:val="Compact"/>
                    <w:jc w:val="both"/>
                    <w:jc w:val="center"/>
                    <w:spacing w:line="360" w:lineRule="auto"/>
                  </w:pPr>
                  <w:r>
                    <w:rPr>
                      <w:rStyle w:val="VerbatimChar"/>
                    </w:rPr>
                    <w:t xml:space="preserve">results.json</w:t>
                  </w:r>
                  <w:r>
                    <w:t xml:space="preserve"> </w:t>
                  </w:r>
                  <w:r>
                    <w:t xml:space="preserve">crudos</w:t>
                  </w:r>
                </w:p>
              </w:tc>
              <w:tc>
                <w:tcPr/>
                <w:p>
                  <w:pPr>
                    <w:pStyle w:val="Compact"/>
                    <w:jc w:val="both"/>
                    <w:jc w:val="center"/>
                    <w:spacing w:line="360" w:lineRule="auto"/>
                  </w:pPr>
                  <w:r>
                    <w:t xml:space="preserve">Inventario de celdas analizables</w:t>
                  </w:r>
                </w:p>
              </w:tc>
              <w:tc>
                <w:tcPr/>
                <w:p>
                  <w:pPr>
                    <w:pStyle w:val="Compact"/>
                    <w:jc w:val="both"/>
                    <w:jc w:val="center"/>
                    <w:spacing w:line="360" w:lineRule="auto"/>
                  </w:pPr>
                  <w:r>
                    <w:t xml:space="preserve">Archivos vacíos, esquemas incompatibles, valores inválidos</w:t>
                  </w:r>
                </w:p>
              </w:tc>
              <w:tc>
                <w:tcPr/>
                <w:p>
                  <w:pPr>
                    <w:pStyle w:val="Compact"/>
                    <w:jc w:val="both"/>
                    <w:jc w:val="center"/>
                    <w:spacing w:line="360" w:lineRule="auto"/>
                  </w:pPr>
                  <w:r>
                    <w:rPr>
                      <w:rStyle w:val="VerbatimChar"/>
                    </w:rPr>
                    <w:t xml:space="preserve">outputs/analysis/paper_a_exp2_stats/exp2_run_inventory.csv</w:t>
                  </w:r>
                </w:p>
              </w:tc>
            </w:tr>
            <w:tr>
              <w:tc>
                <w:tcPr/>
                <w:p>
                  <w:pPr>
                    <w:pStyle w:val="Compact"/>
                    <w:jc w:val="both"/>
                    <w:jc w:val="center"/>
                    <w:spacing w:line="360" w:lineRule="auto"/>
                  </w:pPr>
                  <w:r>
                    <w:t xml:space="preserve">4. Armonización</w:t>
                  </w:r>
                </w:p>
              </w:tc>
              <w:tc>
                <w:tcPr/>
                <w:p>
                  <w:pPr>
                    <w:pStyle w:val="Compact"/>
                    <w:jc w:val="both"/>
                    <w:jc w:val="center"/>
                    <w:spacing w:line="360" w:lineRule="auto"/>
                  </w:pPr>
                  <w:r>
                    <w:t xml:space="preserve">Convertir resultados heterogéneos en tablas de análisis</w:t>
                  </w:r>
                </w:p>
              </w:tc>
              <w:tc>
                <w:tcPr/>
                <w:p>
                  <w:pPr>
                    <w:pStyle w:val="Compact"/>
                    <w:jc w:val="both"/>
                    <w:jc w:val="center"/>
                    <w:spacing w:line="360" w:lineRule="auto"/>
                  </w:pPr>
                  <w:r>
                    <w:t xml:space="preserve">Artefactos calificados y</w:t>
                  </w:r>
                  <w:r>
                    <w:t xml:space="preserve"> </w:t>
                  </w:r>
                  <w:r>
                    <w:rPr>
                      <w:rStyle w:val="VerbatimChar"/>
                    </w:rPr>
                    <w:t xml:space="preserve">outputs/batch_results.csv</w:t>
                  </w:r>
                </w:p>
              </w:tc>
              <w:tc>
                <w:tcPr/>
                <w:p>
                  <w:pPr>
                    <w:pStyle w:val="Compact"/>
                    <w:jc w:val="both"/>
                    <w:jc w:val="center"/>
                    <w:spacing w:line="360" w:lineRule="auto"/>
                  </w:pPr>
                  <w:r>
                    <w:t xml:space="preserve">Métricas a nivel de ejecución y bloque</w:t>
                  </w:r>
                </w:p>
              </w:tc>
              <w:tc>
                <w:tcPr/>
                <w:p>
                  <w:pPr>
                    <w:pStyle w:val="Compact"/>
                    <w:jc w:val="both"/>
                    <w:jc w:val="center"/>
                    <w:spacing w:line="360" w:lineRule="auto"/>
                  </w:pPr>
                  <w:r>
                    <w:t xml:space="preserve">Campos no comparables, mezclas de esquema</w:t>
                  </w:r>
                </w:p>
              </w:tc>
              <w:tc>
                <w:tcPr/>
                <w:p>
                  <w:pPr>
                    <w:pStyle w:val="Compact"/>
                    <w:jc w:val="both"/>
                    <w:jc w:val="center"/>
                    <w:spacing w:line="360" w:lineRule="auto"/>
                  </w:pPr>
                  <w:r>
                    <w:rPr>
                      <w:rStyle w:val="VerbatimChar"/>
                    </w:rPr>
                    <w:t xml:space="preserve">exp2_run_level_metrics.csv</w:t>
                  </w:r>
                  <w:r>
                    <w:t xml:space="preserve">,</w:t>
                  </w:r>
                  <w:r>
                    <w:t xml:space="preserve"> </w:t>
                  </w:r>
                  <w:r>
                    <w:rPr>
                      <w:rStyle w:val="VerbatimChar"/>
                    </w:rPr>
                    <w:t xml:space="preserve">exp2_block_method_summary.csv</w:t>
                  </w:r>
                </w:p>
              </w:tc>
            </w:tr>
            <w:tr>
              <w:tc>
                <w:tcPr/>
                <w:p>
                  <w:pPr>
                    <w:pStyle w:val="Compact"/>
                    <w:jc w:val="both"/>
                    <w:jc w:val="center"/>
                    <w:spacing w:line="360" w:lineRule="auto"/>
                  </w:pPr>
                  <w:r>
                    <w:t xml:space="preserve">5. Exportación</w:t>
                  </w:r>
                </w:p>
              </w:tc>
              <w:tc>
                <w:tcPr/>
                <w:p>
                  <w:pPr>
                    <w:pStyle w:val="Compact"/>
                    <w:jc w:val="both"/>
                    <w:jc w:val="center"/>
                    <w:spacing w:line="360" w:lineRule="auto"/>
                  </w:pPr>
                  <w:r>
                    <w:t xml:space="preserve">Generar tablas inferenciales deterministas</w:t>
                  </w:r>
                </w:p>
              </w:tc>
              <w:tc>
                <w:tcPr/>
                <w:p>
                  <w:pPr>
                    <w:pStyle w:val="Compact"/>
                    <w:jc w:val="both"/>
                    <w:jc w:val="center"/>
                    <w:spacing w:line="360" w:lineRule="auto"/>
                  </w:pPr>
                  <w:r>
                    <w:t xml:space="preserve">Tablas armonizadas</w:t>
                  </w:r>
                </w:p>
              </w:tc>
              <w:tc>
                <w:tcPr/>
                <w:p>
                  <w:pPr>
                    <w:pStyle w:val="Compact"/>
                    <w:jc w:val="both"/>
                    <w:jc w:val="center"/>
                    <w:spacing w:line="360" w:lineRule="auto"/>
                  </w:pPr>
                  <w:r>
                    <w:t xml:space="preserve">Friedman, Nemenyi y Wilcoxon exportados</w:t>
                  </w:r>
                </w:p>
              </w:tc>
              <w:tc>
                <w:tcPr/>
                <w:p>
                  <w:pPr>
                    <w:pStyle w:val="Compact"/>
                    <w:jc w:val="both"/>
                    <w:jc w:val="center"/>
                    <w:spacing w:line="360" w:lineRule="auto"/>
                  </w:pPr>
                  <w:r>
                    <w:t xml:space="preserve">Cálculos manuales, doble conteo, pseudorreplicación</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nemenyi_*.csv</w:t>
                  </w:r>
                  <w:r>
                    <w:t xml:space="preserve">,</w:t>
                  </w:r>
                  <w:r>
                    <w:t xml:space="preserve"> </w:t>
                  </w:r>
                  <w:r>
                    <w:rPr>
                      <w:rStyle w:val="VerbatimChar"/>
                    </w:rPr>
                    <w:t xml:space="preserve">wilcoxon_*.csv</w:t>
                  </w:r>
                </w:p>
              </w:tc>
            </w:tr>
            <w:tr>
              <w:tc>
                <w:tcPr/>
                <w:p>
                  <w:pPr>
                    <w:pStyle w:val="Compact"/>
                    <w:jc w:val="both"/>
                    <w:jc w:val="center"/>
                    <w:spacing w:line="360" w:lineRule="auto"/>
                  </w:pPr>
                  <w:r>
                    <w:t xml:space="preserve">6. Perfilado</w:t>
                  </w:r>
                </w:p>
              </w:tc>
              <w:tc>
                <w:tcPr/>
                <w:p>
                  <w:pPr>
                    <w:pStyle w:val="Compact"/>
                    <w:jc w:val="both"/>
                    <w:jc w:val="center"/>
                    <w:spacing w:line="360" w:lineRule="auto"/>
                  </w:pPr>
                  <w:r>
                    <w:t xml:space="preserve">Cuantificar reproducibilidad bajo semillas</w:t>
                  </w:r>
                </w:p>
              </w:tc>
              <w:tc>
                <w:tcPr/>
                <w:p>
                  <w:pPr>
                    <w:pStyle w:val="Compact"/>
                    <w:jc w:val="both"/>
                    <w:jc w:val="center"/>
                    <w:spacing w:line="360" w:lineRule="auto"/>
                  </w:pPr>
                  <w:r>
                    <w:t xml:space="preserve">Réplicas EXP1 y métricas primarias</w:t>
                  </w:r>
                </w:p>
              </w:tc>
              <w:tc>
                <w:tcPr/>
                <w:p>
                  <w:pPr>
                    <w:pStyle w:val="Compact"/>
                    <w:jc w:val="both"/>
                    <w:jc w:val="center"/>
                    <w:spacing w:line="360" w:lineRule="auto"/>
                  </w:pPr>
                  <w:r>
                    <w:t xml:space="preserve">CV por método/métrica</w:t>
                  </w:r>
                </w:p>
              </w:tc>
              <w:tc>
                <w:tcPr/>
                <w:p>
                  <w:pPr>
                    <w:pStyle w:val="Compact"/>
                    <w:jc w:val="both"/>
                    <w:jc w:val="center"/>
                    <w:spacing w:line="360" w:lineRule="auto"/>
                  </w:pPr>
                  <w:r>
                    <w:t xml:space="preserve">Confundir variación de semilla con efecto de método</w:t>
                  </w:r>
                </w:p>
              </w:tc>
              <w:tc>
                <w:tcPr/>
                <w:p>
                  <w:pPr>
                    <w:pStyle w:val="Compact"/>
                    <w:jc w:val="both"/>
                    <w:jc w:val="center"/>
                    <w:spacing w:line="360" w:lineRule="auto"/>
                  </w:pPr>
                  <w:r>
                    <w:rPr>
                      <w:rStyle w:val="VerbatimChar"/>
                    </w:rPr>
                    <w:t xml:space="preserve">experiments/exp1_adult/reproducibility/reproducibility_report.csv</w:t>
                  </w:r>
                </w:p>
              </w:tc>
            </w:tr>
            <w:tr>
              <w:tc>
                <w:tcPr/>
                <w:p>
                  <w:pPr>
                    <w:pStyle w:val="Compact"/>
                    <w:jc w:val="both"/>
                    <w:jc w:val="center"/>
                    <w:spacing w:line="360" w:lineRule="auto"/>
                  </w:pPr>
                  <w:r>
                    <w:t xml:space="preserve">7. Reporte</w:t>
                  </w:r>
                </w:p>
              </w:tc>
              <w:tc>
                <w:tcPr/>
                <w:p>
                  <w:pPr>
                    <w:pStyle w:val="Compact"/>
                    <w:jc w:val="both"/>
                    <w:jc w:val="center"/>
                    <w:spacing w:line="360" w:lineRule="auto"/>
                  </w:pPr>
                  <w:r>
                    <w:t xml:space="preserve">Vincular cada claim con evidencia identificable</w:t>
                  </w:r>
                </w:p>
              </w:tc>
              <w:tc>
                <w:tcPr/>
                <w:p>
                  <w:pPr>
                    <w:pStyle w:val="Compact"/>
                    <w:jc w:val="both"/>
                    <w:jc w:val="center"/>
                    <w:spacing w:line="360" w:lineRule="auto"/>
                  </w:pPr>
                  <w:r>
                    <w:t xml:space="preserve">Resultados, tablas, scripts, limitaciones</w:t>
                  </w:r>
                </w:p>
              </w:tc>
              <w:tc>
                <w:tcPr/>
                <w:p>
                  <w:pPr>
                    <w:pStyle w:val="Compact"/>
                    <w:jc w:val="both"/>
                    <w:jc w:val="center"/>
                    <w:spacing w:line="360" w:lineRule="auto"/>
                  </w:pPr>
                  <w:r>
                    <w:t xml:space="preserve">Claims trazables en Capítulo 4</w:t>
                  </w:r>
                </w:p>
              </w:tc>
              <w:tc>
                <w:tcPr/>
                <w:p>
                  <w:pPr>
                    <w:pStyle w:val="Compact"/>
                    <w:jc w:val="both"/>
                    <w:jc w:val="center"/>
                    <w:spacing w:line="360" w:lineRule="auto"/>
                  </w:pPr>
                  <w:r>
                    <w:t xml:space="preserve">Sobreclaiming, afirmaciones no auditables</w:t>
                  </w:r>
                </w:p>
              </w:tc>
              <w:tc>
                <w:tcPr/>
                <w:p>
                  <w:pPr>
                    <w:pStyle w:val="Compact"/>
                    <w:jc w:val="both"/>
                    <w:jc w:val="center"/>
                    <w:spacing w:line="360" w:lineRule="auto"/>
                  </w:pPr>
                  <w:r>
                    <w:t xml:space="preserve">Tablas</w:t>
                  </w:r>
                  <w:r>
                    <w:t xml:space="preserve"> </w:t>
                  </w:r>
                  <w:hyperlink w:anchor="tbl-results-overview">
                    <w:r>
                      <w:rPr>
                        <w:rStyle w:val="Hipervnculo"/>
                      </w:rPr>
                      <w:t xml:space="preserve">Table 5.1</w:t>
                    </w:r>
                  </w:hyperlink>
                  <w:r>
                    <w:t xml:space="preserve"> </w:t>
                  </w:r>
                  <w:r>
                    <w:t xml:space="preserve">y</w:t>
                  </w:r>
                  <w:r>
                    <w:t xml:space="preserve"> </w:t>
                  </w:r>
                  <w:hyperlink w:anchor="tbl-claim-traceability">
                    <w:r>
                      <w:rPr>
                        <w:rStyle w:val="Hipervnculo"/>
                      </w:rPr>
                      <w:t xml:space="preserve">Table 5.7</w:t>
                    </w:r>
                  </w:hyperlink>
                </w:p>
              </w:tc>
            </w:tr>
          </w:tbl>
          <w:bookmarkEnd w:id="81"/>
          <w:p>
            <w:pPr>
              <w:spacing w:line="360" w:lineRule="auto"/>
              <w:jc w:val="both"/>
            </w:pPr>
          </w:p>
        </w:tc>
      </w:tr>
    </w:tbl>
    <w:bookmarkEnd w:id="82"/>
    <w:bookmarkStart w:id="87" w:name="X70736bc07e73377e919d2c60f119994d057bf14"/>
    <w:p>
      <w:pPr>
        <w:pStyle w:val="Ttulo2"/>
        <w:spacing w:line="360" w:lineRule="auto"/>
        <w:jc w:val="both"/>
      </w:pPr>
      <w:r>
        <w:t xml:space="preserve">Cobertura de artefactos y análisis del impacto de datos faltantes</w:t>
      </w:r>
    </w:p>
    <w:bookmarkStart w:id="85" w:name="inventario-de-cobertura"/>
    <w:p>
      <w:pPr>
        <w:pStyle w:val="Ttulo3"/>
        <w:spacing w:line="360" w:lineRule="auto"/>
        <w:jc w:val="both"/>
      </w:pPr>
      <w:r>
        <w:t xml:space="preserve">Inventario de cobertura</w:t>
      </w:r>
    </w:p>
    <w:p>
      <w:pPr>
        <w:pStyle w:val="FirstParagraph"/>
        <w:spacing w:line="360" w:lineRule="auto"/>
        <w:jc w:val="bot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83" w:name="tbl-coverage"/>
          <w:p>
            <w:pPr>
              <w:jc w:val="both"/>
              <w:spacing w:line="360" w:lineRule="auto"/>
            </w:pPr>
            <w:pPr>
              <w:jc w:val="left"/>
              <w:spacing w:before="200"/>
              <w:pStyle w:val="ImageCaption"/>
            </w:pPr>
            <w:r>
              <w:t xml:space="preserve">Table 4.4: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Cohorte</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Presentes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EXP1 (calibración)</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66</w:t>
                  </w:r>
                </w:p>
              </w:tc>
              <w:tc>
                <w:tcPr/>
                <w:p>
                  <w:pPr>
                    <w:pStyle w:val="Compact"/>
                    <w:jc w:val="both"/>
                    <w:jc w:val="center"/>
                    <w:spacing w:line="360" w:lineRule="auto"/>
                  </w:pPr>
                  <w:r>
                    <w:t xml:space="preserve">88.0%</w:t>
                  </w:r>
                </w:p>
              </w:tc>
            </w:tr>
            <w:tr>
              <w:tc>
                <w:tcPr/>
                <w:p>
                  <w:pPr>
                    <w:pStyle w:val="Compact"/>
                    <w:jc w:val="both"/>
                    <w:jc w:val="center"/>
                    <w:spacing w:line="360" w:lineRule="auto"/>
                  </w:pPr>
                  <w:r>
                    <w:t xml:space="preserve">EXP2 (benchmark primario)</w:t>
                  </w:r>
                </w:p>
              </w:tc>
              <w:tc>
                <w:tcPr/>
                <w:p>
                  <w:pPr>
                    <w:pStyle w:val="Compact"/>
                    <w:jc w:val="both"/>
                    <w:jc w:val="center"/>
                    <w:spacing w:line="360" w:lineRule="auto"/>
                  </w:pPr>
                  <w:r>
                    <w:t xml:space="preserve">300</w:t>
                  </w:r>
                </w:p>
              </w:tc>
              <w:tc>
                <w:tcPr/>
                <w:p>
                  <w:pPr>
                    <w:pStyle w:val="Compact"/>
                    <w:jc w:val="both"/>
                    <w:jc w:val="center"/>
                    <w:spacing w:line="360" w:lineRule="auto"/>
                  </w:pPr>
                  <w:r>
                    <w:t xml:space="preserve">299</w:t>
                  </w:r>
                </w:p>
              </w:tc>
              <w:tc>
                <w:tcPr/>
                <w:p>
                  <w:pPr>
                    <w:pStyle w:val="Compact"/>
                    <w:jc w:val="both"/>
                    <w:jc w:val="center"/>
                    <w:spacing w:line="360" w:lineRule="auto"/>
                  </w:pPr>
                  <w:r>
                    <w:t xml:space="preserve">275</w:t>
                  </w:r>
                </w:p>
              </w:tc>
              <w:tc>
                <w:tcPr/>
                <w:p>
                  <w:pPr>
                    <w:pStyle w:val="Compact"/>
                    <w:jc w:val="both"/>
                    <w:jc w:val="center"/>
                    <w:spacing w:line="360" w:lineRule="auto"/>
                  </w:pPr>
                  <w:r>
                    <w:t xml:space="preserve">91.7%</w:t>
                  </w:r>
                </w:p>
              </w:tc>
            </w:tr>
          </w:tbl>
          <w:bookmarkEnd w:id="83"/>
          <w:p>
            <w:pPr>
              <w:spacing w:line="360" w:lineRule="auto"/>
              <w:jc w:val="both"/>
            </w:pPr>
          </w:p>
        </w:tc>
      </w:tr>
    </w:tbl>
    <w:p>
      <w:pPr>
        <w:pStyle w:val="Textoindependiente"/>
        <w:spacing w:line="360" w:lineRule="auto"/>
        <w:jc w:val="both"/>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84" w:name="tbl-coverage-method"/>
          <w:p>
            <w:pPr>
              <w:jc w:val="both"/>
              <w:spacing w:line="360" w:lineRule="auto"/>
            </w:pPr>
            <w:pPr>
              <w:jc w:val="left"/>
              <w:spacing w:before="200"/>
              <w:pStyle w:val="ImageCaption"/>
            </w:pPr>
            <w:r>
              <w:t xml:space="preserve">Table 4.5: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Método</w:t>
                  </w:r>
                </w:p>
              </w:tc>
              <w:tc>
                <w:tcPr/>
                <w:p>
                  <w:pPr>
                    <w:pStyle w:val="Compact"/>
                    <w:jc w:val="both"/>
                    <w:jc w:val="center"/>
                    <w:spacing w:line="360" w:lineRule="auto"/>
                  </w:pPr>
                  <w:r>
                    <w:t xml:space="preserve">Planificadas</w:t>
                  </w:r>
                </w:p>
              </w:tc>
              <w:tc>
                <w:tcPr/>
                <w:p>
                  <w:pPr>
                    <w:pStyle w:val="Compact"/>
                    <w:jc w:val="both"/>
                    <w:jc w:val="center"/>
                    <w:spacing w:line="360" w:lineRule="auto"/>
                  </w:pPr>
                  <w:r>
                    <w:t xml:space="preserve">Analizables</w:t>
                  </w:r>
                </w:p>
              </w:tc>
              <w:tc>
                <w:tcPr/>
                <w:p>
                  <w:pPr>
                    <w:pStyle w:val="Compact"/>
                    <w:jc w:val="both"/>
                    <w:jc w:val="center"/>
                    <w:spacing w:line="360" w:lineRule="auto"/>
                  </w:pPr>
                  <w:r>
                    <w:t xml:space="preserve">Cobertura</w:t>
                  </w:r>
                </w:p>
              </w:tc>
            </w:tr>
            <w:tr>
              <w:tc>
                <w:tcPr/>
                <w:p>
                  <w:pPr>
                    <w:pStyle w:val="Compact"/>
                    <w:jc w:val="both"/>
                    <w:jc w:val="center"/>
                    <w:spacing w:line="360" w:lineRule="auto"/>
                  </w:pPr>
                  <w:r>
                    <w:t xml:space="preserve">SHAP</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LIME</w:t>
                  </w:r>
                </w:p>
              </w:tc>
              <w:tc>
                <w:tcPr/>
                <w:p>
                  <w:pPr>
                    <w:pStyle w:val="Compact"/>
                    <w:jc w:val="both"/>
                    <w:jc w:val="center"/>
                    <w:spacing w:line="360" w:lineRule="auto"/>
                  </w:pPr>
                  <w:r>
                    <w:t xml:space="preserve">75</w:t>
                  </w:r>
                </w:p>
              </w:tc>
              <w:tc>
                <w:tcPr/>
                <w:p>
                  <w:pPr>
                    <w:pStyle w:val="Compact"/>
                    <w:jc w:val="both"/>
                    <w:jc w:val="center"/>
                    <w:spacing w:line="360" w:lineRule="auto"/>
                  </w:pPr>
                  <w:r>
                    <w:t xml:space="preserve">75</w:t>
                  </w:r>
                </w:p>
              </w:tc>
              <w:tc>
                <w:tcPr/>
                <w:p>
                  <w:pPr>
                    <w:pStyle w:val="Compact"/>
                    <w:jc w:val="both"/>
                    <w:jc w:val="center"/>
                    <w:spacing w:line="360" w:lineRule="auto"/>
                  </w:pPr>
                  <w:r>
                    <w:t xml:space="preserve">100.0%</w:t>
                  </w:r>
                </w:p>
              </w:tc>
            </w:tr>
            <w:tr>
              <w:tc>
                <w:tcPr/>
                <w:p>
                  <w:pPr>
                    <w:pStyle w:val="Compact"/>
                    <w:jc w:val="both"/>
                    <w:jc w:val="center"/>
                    <w:spacing w:line="360" w:lineRule="auto"/>
                  </w:pPr>
                  <w:r>
                    <w:t xml:space="preserve">Anchors</w:t>
                  </w:r>
                </w:p>
              </w:tc>
              <w:tc>
                <w:tcPr/>
                <w:p>
                  <w:pPr>
                    <w:pStyle w:val="Compact"/>
                    <w:jc w:val="both"/>
                    <w:jc w:val="center"/>
                    <w:spacing w:line="360" w:lineRule="auto"/>
                  </w:pPr>
                  <w:r>
                    <w:t xml:space="preserve">75</w:t>
                  </w:r>
                </w:p>
              </w:tc>
              <w:tc>
                <w:tcPr/>
                <w:p>
                  <w:pPr>
                    <w:pStyle w:val="Compact"/>
                    <w:jc w:val="both"/>
                    <w:jc w:val="center"/>
                    <w:spacing w:line="360" w:lineRule="auto"/>
                  </w:pPr>
                  <w:r>
                    <w:t xml:space="preserve">57</w:t>
                  </w:r>
                </w:p>
              </w:tc>
              <w:tc>
                <w:tcPr/>
                <w:p>
                  <w:pPr>
                    <w:pStyle w:val="Compact"/>
                    <w:jc w:val="both"/>
                    <w:jc w:val="center"/>
                    <w:spacing w:line="360" w:lineRule="auto"/>
                  </w:pPr>
                  <w:r>
                    <w:t xml:space="preserve">76.0%</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75</w:t>
                  </w:r>
                </w:p>
              </w:tc>
              <w:tc>
                <w:tcPr/>
                <w:p>
                  <w:pPr>
                    <w:pStyle w:val="Compact"/>
                    <w:jc w:val="both"/>
                    <w:jc w:val="center"/>
                    <w:spacing w:line="360" w:lineRule="auto"/>
                  </w:pPr>
                  <w:r>
                    <w:t xml:space="preserve">68</w:t>
                  </w:r>
                </w:p>
              </w:tc>
              <w:tc>
                <w:tcPr/>
                <w:p>
                  <w:pPr>
                    <w:pStyle w:val="Compact"/>
                    <w:jc w:val="both"/>
                    <w:jc w:val="center"/>
                    <w:spacing w:line="360" w:lineRule="auto"/>
                  </w:pPr>
                  <w:r>
                    <w:t xml:space="preserve">90.7%</w:t>
                  </w:r>
                </w:p>
              </w:tc>
            </w:tr>
          </w:tbl>
          <w:bookmarkEnd w:id="84"/>
          <w:p>
            <w:pPr>
              <w:spacing w:line="360" w:lineRule="auto"/>
              <w:jc w:val="both"/>
            </w:pPr>
          </w:p>
        </w:tc>
      </w:tr>
    </w:tbl>
    <w:bookmarkEnd w:id="85"/>
    <w:bookmarkStart w:id="86" w:name="Xcb4396ffd8bf23e7b418105a9e8d3fef7075c0b"/>
    <w:p>
      <w:pPr>
        <w:pStyle w:val="Ttulo3"/>
        <w:spacing w:line="360" w:lineRule="auto"/>
        <w:jc w:val="both"/>
      </w:pPr>
      <w:r>
        <w:t xml:space="preserve">Evaluación cuantitativa del impacto estadístico</w:t>
      </w:r>
    </w:p>
    <w:p>
      <w:pPr>
        <w:pStyle w:val="FirstParagraph"/>
        <w:spacing w:line="360" w:lineRule="auto"/>
        <w:jc w:val="bot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spacing w:line="360" w:lineRule="auto"/>
        <w:jc w:val="both"/>
      </w:pPr>
      <w:r>
        <w:rPr>
          <w:b/>
          <w:bCs/>
        </w:rPr>
        <w:t xml:space="preserve">Completitud de bloques de Friedman.</w:t>
      </w:r>
      <w:r>
        <w:t xml:space="preserve"> </w:t>
      </w:r>
      <w:r>
        <w:t xml:space="preserve">El test de Friedman opera sobre</w:t>
      </w:r>
      <w:r>
        <w:t xml:space="preserve"> </w:t>
      </w:r>
      <ns1:oMath>
        <ns1:r>
          <ns1:t>B</ns1:t>
        </ns1:r>
        <ns1:r>
          <ns1:rPr>
            <ns1:sty ns1:val="p"/>
          </ns1:rPr>
          <ns1:t>=</ns1:t>
        </ns1:r>
        <ns1:r>
          <ns1:t>15</ns1:t>
        </ns1:r>
      </ns1:oMath>
      <w:r>
        <w:t xml:space="preserve"> </w:t>
      </w:r>
      <w:r>
        <w:t xml:space="preserve">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(Demšar 2006)</w:t>
      </w:r>
      <w:r>
        <w:t xml:space="preserve">.</w:t>
      </w:r>
    </w:p>
    <w:p>
      <w:pPr>
        <w:pStyle w:val="Textoindependiente"/>
        <w:spacing w:line="360" w:lineRule="auto"/>
        <w:jc w:val="both"/>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ns1:oMath>
        <ns1:r>
          <ns1:t>r</ns1:t>
        </ns1:r>
        <ns1:r>
          <ns1:rPr>
            <ns1:sty ns1:val="p"/>
          </ns1:rPr>
          <ns1:t>&lt;</ns1:t>
        </ns1:r>
        <ns1:r>
          <ns1:t>5</ns1:t>
        </ns1:r>
      </ns1: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ns1:oMath>
        <ns1:r>
          <ns1:t>r</ns1:t>
        </ns1:r>
        <ns1:r>
          <ns1:rPr>
            <ns1:sty ns1:val="p"/>
          </ns1:rPr>
          <ns1:t>≈</ns1:t>
        </ns1:r>
        <ns1:r>
          <ns1:t>2.3</ns1:t>
        </ns1:r>
      </ns1:oMath>
      <w:r>
        <w:t xml:space="preserve"> </w:t>
      </w:r>
      <w:r>
        <w:t xml:space="preserve">semillas por</w:t>
      </w:r>
      <w:r>
        <w:t xml:space="preserve"> </w:t>
      </w:r>
      <ns1:oMath>
        <ns1:r>
          <ns1:rPr>
            <ns1:sty ns1:val="p"/>
          </ns1:rPr>
          <ns1:t>(</ns1:t>
        </ns1:r>
        <ns1:r>
          <ns1:t>g</ns1:t>
        </ns1:r>
        <ns1:r>
          <ns1:rPr>
            <ns1:sty ns1:val="p"/>
          </ns1:rPr>
          <ns1:t>,</ns1:t>
        </ns1:r>
        <ns1:r>
          <ns1:t>n</ns1:t>
        </ns1:r>
        <ns1:r>
          <ns1:rPr>
            <ns1:sty ns1:val="p"/>
          </ns1:rPr>
          <ns1:t>)</ns1:t>
        </ns1:r>
      </ns1:oMath>
      <w:r>
        <w:t xml:space="preserve">), la varianza del estimador de bloque</w:t>
      </w:r>
      <w:r>
        <w:t xml:space="preserve"> </w:t>
      </w:r>
      <w:r>
        <w:t xml:space="preserve">se infla según:</w:t>
      </w:r>
    </w:p>
    <w:p>
      <w:pPr>
        <w:pStyle w:val="Textoindependiente"/>
        <w:spacing w:line="360" w:lineRule="auto"/>
        <w:jc w:val="both"/>
      </w:pPr>
      <ns1:oMathPara>
        <ns1:oMathParaPr>
          <ns1:jc ns1:val="center"/>
        </ns1:oMathParaPr>
        <ns1:oMath>
          <ns1:r>
            <ns1:rPr>
              <ns1:nor/>
              <ns1:sty ns1:val="p"/>
            </ns1:rPr>
            <ns1:t>Var</ns1:t>
          </ns1:r>
          <ns1:r>
            <ns1:t>​</ns1:t>
          </ns1:r>
          <ns1:d>
            <ns1:dPr>
              <ns1:begChr ns1:val="("/>
              <ns1:sepChr ns1:val=""/>
              <ns1:endChr ns1:val=")"/>
              <ns1:grow/>
            </ns1:dPr>
            <ns1:e>
              <ns1:sSub>
                <ns1:e>
                  <ns1:acc>
                    <ns1:accPr>
                      <ns1:chr ns1:val="̂"/>
                    </ns1:accPr>
                    <ns1:e>
                      <ns1:r>
                        <ns1:t>μ</ns1:t>
                      </ns1:r>
                    </ns1:e>
                  </ns1:acc>
                </ns1:e>
                <ns1:sub>
                  <ns1:r>
                    <ns1:t>g</ns1:t>
                  </ns1:r>
                  <ns1:r>
                    <ns1:rPr>
                      <ns1:sty ns1:val="p"/>
                    </ns1:rPr>
                    <ns1:t>,</ns1:t>
                  </ns1:r>
                  <ns1:r>
                    <ns1:t>k</ns1:t>
                  </ns1:r>
                  <ns1:r>
                    <ns1:rPr>
                      <ns1:sty ns1:val="p"/>
                    </ns1:rPr>
                    <ns1:t>,</ns1:t>
                  </ns1:r>
                  <ns1:r>
                    <ns1:t>n</ns1:t>
                  </ns1:r>
                </ns1:sub>
              </ns1:sSub>
            </ns1:e>
          </ns1:d>
          <ns1:r>
            <ns1:rPr>
              <ns1:sty ns1:val="p"/>
            </ns1:rPr>
            <ns1:t>=</ns1:t>
          </ns1:r>
          <ns1:f>
            <ns1:fPr>
              <ns1:type ns1:val="bar"/>
            </ns1:fPr>
            <ns1:num>
              <ns1:sSubSup>
                <ns1:e>
                  <ns1:r>
                    <ns1:t>σ</ns1:t>
                  </ns1:r>
                </ns1:e>
                <ns1:sub>
                  <ns1:r>
                    <ns1:t>g</ns1:t>
                  </ns1:r>
                  <ns1:r>
                    <ns1:rPr>
                      <ns1:sty ns1:val="p"/>
                    </ns1:rPr>
                    <ns1:t>,</ns1:t>
                  </ns1:r>
                  <ns1:r>
                    <ns1:t>k</ns1:t>
                  </ns1:r>
                  <ns1:r>
                    <ns1:rPr>
                      <ns1:sty ns1:val="p"/>
                    </ns1:rPr>
                    <ns1:t>,</ns1:t>
                  </ns1:r>
                  <ns1:r>
                    <ns1:t>n</ns1:t>
                  </ns1:r>
                </ns1:sub>
                <ns1:sup>
                  <ns1:r>
                    <ns1:t>2</ns1:t>
                  </ns1:r>
                </ns1:sup>
              </ns1:sSubSup>
            </ns1:num>
            <ns1:den>
              <ns1:r>
                <ns1:t>r</ns1:t>
              </ns1:r>
            </ns1:den>
          </ns1:f>
        </ns1:oMath>
      </ns1:oMathPara>
    </w:p>
    <w:p>
      <w:pPr>
        <w:pStyle w:val="FirstParagraph"/>
        <w:spacing w:line="360" w:lineRule="auto"/>
        <w:jc w:val="both"/>
      </w:pPr>
      <w:r>
        <w:t xml:space="preserve">Con</w:t>
      </w:r>
      <w:r>
        <w:t xml:space="preserve"> </w:t>
      </w:r>
      <ns1:oMath>
        <ns1:r>
          <ns1:t>r</ns1:t>
        </ns1:r>
        <ns1:r>
          <ns1:rPr>
            <ns1:sty ns1:val="p"/>
          </ns1:rPr>
          <ns1:t>=</ns1:t>
        </ns1:r>
        <ns1:r>
          <ns1:t>5</ns1:t>
        </ns1:r>
      </ns1:oMath>
      <w:r>
        <w:t xml:space="preserve"> </w:t>
      </w:r>
      <w:r>
        <w:t xml:space="preserve">planificados versus</w:t>
      </w:r>
      <w:r>
        <w:t xml:space="preserve"> </w:t>
      </w:r>
      <ns1:oMath>
        <ns1:r>
          <ns1:t>r</ns1:t>
        </ns1:r>
        <ns1:r>
          <ns1:rPr>
            <ns1:sty ns1:val="p"/>
          </ns1:rPr>
          <ns1:t>≈</ns1:t>
        </ns1:r>
        <ns1:r>
          <ns1:t>2.3</ns1:t>
        </ns1:r>
      </ns1:oMath>
      <w:r>
        <w:t xml:space="preserve"> </w:t>
      </w:r>
      <w:r>
        <w:t xml:space="preserve">observados, el error estándar</w:t>
      </w:r>
      <w:r>
        <w:t xml:space="preserve"> </w:t>
      </w:r>
      <w:r>
        <w:t xml:space="preserve">se infla por un factor de</w:t>
      </w:r>
      <w:r>
        <w:t xml:space="preserve"> </w:t>
      </w:r>
      <ns1:oMath>
        <ns1:rad>
          <ns1:radPr>
            <ns1:degHide ns1:val="on"/>
          </ns1:radPr>
          <ns1:deg/>
          <ns1:e>
            <ns1:r>
              <ns1:t>5</ns1:t>
            </ns1:r>
            <ns1:r>
              <ns1:rPr>
                <ns1:sty ns1:val="p"/>
              </ns1:rPr>
              <ns1:t>/</ns1:t>
            </ns1:r>
            <ns1:r>
              <ns1:t>2.3</ns1:t>
            </ns1:r>
          </ns1:e>
        </ns1:rad>
        <ns1:r>
          <ns1:rPr>
            <ns1:sty ns1:val="p"/>
          </ns1:rPr>
          <ns1:t>≈</ns1:t>
        </ns1:r>
        <ns1:r>
          <ns1:t>1.47</ns1:t>
        </ns1:r>
      </ns1: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ns1:oMath>
        <ns1:sSup>
          <ns1:e>
            <ns1:r>
              <ns1:t>χ</ns1:t>
            </ns1:r>
          </ns1:e>
          <ns1:sup>
            <ns1:r>
              <ns1:t>2</ns1:t>
            </ns1:r>
          </ns1:sup>
        </ns1:sSup>
        <ns1:r>
          <ns1:rPr>
            <ns1:sty ns1:val="p"/>
          </ns1:rPr>
          <ns1:t>=</ns1:t>
        </ns1:r>
        <ns1:r>
          <ns1:t>30.44</ns1:t>
        </ns1:r>
      </ns1:oMath>
      <w:r>
        <w:t xml:space="preserve"> </w:t>
      </w:r>
      <w:r>
        <w:t xml:space="preserve">en todas las métricas, muy por encima del</w:t>
      </w:r>
      <w:r>
        <w:t xml:space="preserve"> </w:t>
      </w:r>
      <w:r>
        <w:t xml:space="preserve">umbral crítico</w:t>
      </w:r>
      <w:r>
        <w:t xml:space="preserve"> </w:t>
      </w:r>
      <ns1:oMath>
        <ns1:sSubSup>
          <ns1:e>
            <ns1:r>
              <ns1:t>χ</ns1:t>
            </ns1:r>
          </ns1:e>
          <ns1:sub>
            <ns1:r>
              <ns1:t>0.05</ns1:t>
            </ns1:r>
            <ns1:r>
              <ns1:rPr>
                <ns1:sty ns1:val="p"/>
              </ns1:rPr>
              <ns1:t>,</ns1:t>
            </ns1:r>
            <ns1:r>
              <ns1:t>3</ns1:t>
            </ns1:r>
          </ns1:sub>
          <ns1:sup>
            <ns1:r>
              <ns1:t>2</ns1:t>
            </ns1:r>
          </ns1:sup>
        </ns1:sSubSup>
        <ns1:r>
          <ns1:rPr>
            <ns1:sty ns1:val="p"/>
          </ns1:rPr>
          <ns1:t>=</ns1:t>
        </ns1:r>
        <ns1:r>
          <ns1:t>7.81</ns1:t>
        </ns1:r>
      </ns1:oMath>
      <w:r>
        <w:t xml:space="preserve">; (iii) el margen de seguridad para</w:t>
      </w:r>
      <w:r>
        <w:t xml:space="preserve"> </w:t>
      </w:r>
      <w:r>
        <w:t xml:space="preserve">la métrica con menor estadístico (Coste)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30.44</ns1:t>
              </ns1:r>
              <ns1:r>
                <ns1:rPr>
                  <ns1:sty ns1:val="p"/>
                </ns1:rPr>
                <ns1:t>−</ns1:t>
              </ns1:r>
              <ns1:r>
                <ns1:t>7.81</ns1:t>
              </ns1:r>
            </ns1:num>
            <ns1:den>
              <ns1:r>
                <ns1:t>7.81</ns1:t>
              </ns1:r>
            </ns1:den>
          </ns1:f>
          <ns1:r>
            <ns1:rPr>
              <ns1:sty ns1:val="p"/>
            </ns1:rPr>
            <ns1:t>×</ns1:t>
          </ns1:r>
          <ns1:r>
            <ns1:t>100</ns1:t>
          </ns1:r>
          <ns1:r>
            <ns1:rPr>
              <ns1:sty ns1:val="p"/>
            </ns1:rPr>
            <ns1:t>%</ns1:t>
          </ns1:r>
          <ns1:r>
            <ns1:rPr>
              <ns1:sty ns1:val="p"/>
            </ns1:rPr>
            <ns1:t>=</ns1:t>
          </ns1:r>
          <ns1:r>
            <ns1:t>290</ns1:t>
          </ns1:r>
          <ns1:r>
            <ns1:rPr>
              <ns1:sty ns1:val="p"/>
            </ns1:rPr>
            <ns1:t>%</ns1:t>
          </ns1:r>
        </ns1:oMath>
      </ns1:oMathPara>
    </w:p>
    <w:p>
      <w:pPr>
        <w:pStyle w:val="FirstParagraph"/>
        <w:spacing w:line="360" w:lineRule="auto"/>
        <w:jc w:val="both"/>
      </w:pPr>
      <w:r>
        <w:t xml:space="preserve">Incluso asumiendo una reducción del poder del 50% —hipótesis conservadora que</w:t>
      </w:r>
      <w:r>
        <w:t xml:space="preserve"> </w:t>
      </w:r>
      <w:r>
        <w:t xml:space="preserve">supera la inflación de varianza calculada— el estadístico de Coste sería</w:t>
      </w:r>
      <w:r>
        <w:t xml:space="preserve"> </w:t>
      </w:r>
      <ns1:oMath>
        <ns1:sSup>
          <ns1:e>
            <ns1:r>
              <ns1:t>χ</ns1:t>
            </ns1:r>
          </ns1:e>
          <ns1:sup>
            <ns1:r>
              <ns1:t>2</ns1:t>
            </ns1:r>
          </ns1:sup>
        </ns1:sSup>
        <ns1:r>
          <ns1:rPr>
            <ns1:sty ns1:val="p"/>
          </ns1:rPr>
          <ns1:t>≈</ns1:t>
        </ns1:r>
        <ns1:r>
          <ns1:t>15.2</ns1:t>
        </ns1:r>
      </ns1:oMath>
      <w:r>
        <w:t xml:space="preserve"> </w:t>
      </w:r>
      <w:r>
        <w:t xml:space="preserve">(</w:t>
      </w:r>
      <ns1:oMath>
        <ns1:r>
          <ns1:t>p</ns1:t>
        </ns1:r>
        <ns1:r>
          <ns1:rPr>
            <ns1:sty ns1:val="p"/>
          </ns1:rPr>
          <ns1:t>≈</ns1:t>
        </ns1:r>
        <ns1:r>
          <ns1:t>0.0016</ns1:t>
        </ns1:r>
      </ns1:oMath>
      <w:r>
        <w:t xml:space="preserve">), significativo al nivel</w:t>
      </w:r>
      <w:r>
        <w:t xml:space="preserve"> </w:t>
      </w:r>
      <ns1:oMath>
        <ns1:r>
          <ns1:t>α</ns1:t>
        </ns1:r>
        <ns1:r>
          <ns1:rPr>
            <ns1:sty ns1:val="p"/>
          </ns1:rPr>
          <ns1:t>=</ns1:t>
        </ns1:r>
        <ns1:r>
          <ns1:t>0.05</ns1:t>
        </ns1:r>
      </ns1:oMath>
      <w:r>
        <w:t xml:space="preserve">.</w:t>
      </w:r>
    </w:p>
    <w:p>
      <w:pPr>
        <w:pStyle w:val="Textoindependiente"/>
        <w:spacing w:line="360" w:lineRule="auto"/>
        <w:jc w:val="both"/>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spacing w:line="360" w:lineRule="auto"/>
        <w:jc w:val="both"/>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ns1:oMath>
        <ns1:r>
          <ns1:rPr>
            <ns1:sty ns1:val="p"/>
          </ns1:rPr>
          <ns1:t>≥</ns1:t>
        </ns1:r>
        <ns1:r>
          <ns1:t>290</ns1:t>
        </ns1:r>
        <ns1:r>
          <ns1:rPr>
            <ns1:sty ns1:val="p"/>
          </ns1:rPr>
          <ns1:t>%</ns1:t>
        </ns1:r>
      </ns1: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6"/>
    <w:bookmarkEnd w:id="87"/>
    <w:bookmarkStart w:id="95" w:name="plan-de-inferencia-estadística"/>
    <w:p>
      <w:pPr>
        <w:pStyle w:val="Ttulo2"/>
        <w:spacing w:line="360" w:lineRule="auto"/>
        <w:jc w:val="both"/>
      </w:pPr>
      <w:r>
        <w:t xml:space="preserve">Plan de inferencia estadística</w:t>
      </w:r>
    </w:p>
    <w:bookmarkStart w:id="88" w:name="estudio-a-test-omnibus-de-friedman"/>
    <w:p>
      <w:pPr>
        <w:pStyle w:val="Ttulo3"/>
        <w:spacing w:line="360" w:lineRule="auto"/>
        <w:jc w:val="both"/>
      </w:pPr>
      <w:r>
        <w:t xml:space="preserve">Estudio A: test omnibus de Friedman</w:t>
      </w:r>
    </w:p>
    <w:p>
      <w:pPr>
        <w:pStyle w:val="FirstParagraph"/>
        <w:spacing w:line="360" w:lineRule="auto"/>
        <w:jc w:val="both"/>
      </w:pPr>
      <w:r>
        <w:t xml:space="preserve">Para contrastar H1 y H2, se aplica el test de Friedman</w:t>
      </w:r>
      <w:r>
        <w:t xml:space="preserve"> </w:t>
      </w:r>
      <w:r>
        <w:t xml:space="preserve">(Friedman 1937)</w:t>
      </w:r>
      <w:r>
        <w:t xml:space="preserve"> </w:t>
      </w:r>
      <w:r>
        <w:t xml:space="preserve">sobre los</w:t>
      </w:r>
      <w:r>
        <w:t xml:space="preserve"> </w:t>
      </w:r>
      <ns1:oMath>
        <ns1:r>
          <ns1:t>B</ns1:t>
        </ns1:r>
        <ns1:r>
          <ns1:rPr>
            <ns1:sty ns1:val="p"/>
          </ns1:rPr>
          <ns1:t>=</ns1:t>
        </ns1:r>
        <ns1:r>
          <ns1:t>15</ns1:t>
        </ns1:r>
      </ns1:oMath>
      <w:r>
        <w:t xml:space="preserve"> </w:t>
      </w:r>
      <w:r>
        <w:t xml:space="preserve">bloques completos con</w:t>
      </w:r>
      <w:r>
        <w:t xml:space="preserve"> </w:t>
      </w:r>
      <ns1:oMath>
        <ns1:r>
          <ns1:t>k</ns1:t>
        </ns1:r>
        <ns1:r>
          <ns1:rPr>
            <ns1:sty ns1:val="p"/>
          </ns1:rPr>
          <ns1:t>=</ns1:t>
        </ns1:r>
        <ns1:r>
          <ns1:t>4</ns1:t>
        </ns1:r>
      </ns1:oMath>
      <w:r>
        <w:t xml:space="preserve"> </w:t>
      </w:r>
      <w:r>
        <w:t xml:space="preserve">tratamientos. El estadístico</w:t>
      </w:r>
      <w:r>
        <w:t xml:space="preserve"> </w:t>
      </w:r>
      <w:r>
        <w:t xml:space="preserve">se calcula sobre los rangos</w:t>
      </w:r>
      <w:r>
        <w:t xml:space="preserve"> </w:t>
      </w:r>
      <ns1:oMath>
        <ns1:sSub>
          <ns1:e>
            <ns1:r>
              <ns1:t>r</ns1:t>
            </ns1:r>
          </ns1:e>
          <ns1:sub>
            <ns1:r>
              <ns1:t>b</ns1:t>
            </ns1:r>
            <ns1:r>
              <ns1:t>j</ns1:t>
            </ns1:r>
          </ns1:sub>
        </ns1:sSub>
      </ns1:oMath>
      <w:r>
        <w:t xml:space="preserve"> </w:t>
      </w:r>
      <w:r>
        <w:t xml:space="preserve">de cada tratamiento</w:t>
      </w:r>
      <w:r>
        <w:t xml:space="preserve"> </w:t>
      </w:r>
      <ns1:oMath>
        <ns1:r>
          <ns1:t>j</ns1:t>
        </ns1:r>
      </ns1:oMath>
      <w:r>
        <w:t xml:space="preserve"> </w:t>
      </w:r>
      <w:r>
        <w:t xml:space="preserve">dentro de</w:t>
      </w:r>
      <w:r>
        <w:t xml:space="preserve"> </w:t>
      </w:r>
      <w:r>
        <w:t xml:space="preserve">cada bloque</w:t>
      </w:r>
      <w:r>
        <w:t xml:space="preserve"> </w:t>
      </w:r>
      <ns1:oMath>
        <ns1:r>
          <ns1:t>b</ns1:t>
        </ns1:r>
      </ns1:oMath>
      <w:r>
        <w:t xml:space="preserve">:</w:t>
      </w:r>
    </w:p>
    <w:p>
      <w:pPr>
        <w:pStyle w:val="Textoindependiente"/>
        <w:spacing w:line="360" w:lineRule="auto"/>
        <w:jc w:val="both"/>
      </w:pPr>
      <ns1:oMathPara>
        <ns1:oMathParaPr>
          <ns1:jc ns1:val="center"/>
        </ns1:oMathParaPr>
        <ns1:oMath>
          <ns1:sSubSup>
            <ns1:e>
              <ns1:r>
                <ns1:t>χ</ns1:t>
              </ns1:r>
            </ns1:e>
            <ns1:sub>
              <ns1:r>
                <ns1:t>F</ns1:t>
              </ns1:r>
            </ns1:sub>
            <ns1:sup>
              <ns1:r>
                <ns1:t>2</ns1:t>
              </ns1:r>
            </ns1:sup>
          </ns1:sSubSup>
          <ns1:r>
            <ns1:rPr>
              <ns1:sty ns1:val="p"/>
            </ns1:rPr>
            <ns1:t>=</ns1:t>
          </ns1:r>
          <ns1:f>
            <ns1:fPr>
              <ns1:type ns1:val="bar"/>
            </ns1:fPr>
            <ns1:num>
              <ns1:r>
                <ns1:t>12</ns1:t>
              </ns1:r>
              <ns1:r>
                <ns1:t>B</ns1:t>
              </ns1:r>
            </ns1:num>
            <ns1:den>
              <ns1:r>
                <ns1:t>k</ns1:t>
              </ns1:r>
              <ns1:r>
                <ns1:rPr>
                  <ns1:sty ns1:val="p"/>
                </ns1:rPr>
                <ns1:t>(</ns1:t>
              </ns1:r>
              <ns1:r>
                <ns1:t>k</ns1:t>
              </ns1:r>
              <ns1:r>
                <ns1:rPr>
                  <ns1:sty ns1:val="p"/>
                </ns1:rPr>
                <ns1:t>+</ns1:t>
              </ns1:r>
              <ns1:r>
                <ns1:t>1</ns1:t>
              </ns1:r>
              <ns1:r>
                <ns1:rPr>
                  <ns1:sty ns1:val="p"/>
                </ns1:rPr>
                <ns1:t>)</ns1:t>
              </ns1:r>
            </ns1:den>
          </ns1:f>
          <ns1:nary>
            <ns1:naryPr>
              <ns1:chr ns1:val="∑"/>
              <ns1:limLoc ns1:val="undOvr"/>
              <ns1:subHide ns1:val="off"/>
              <ns1:supHide ns1:val="off"/>
            </ns1:naryPr>
            <ns1:sub>
              <ns1:r>
                <ns1:t>j</ns1:t>
              </ns1:r>
              <ns1:r>
                <ns1:rPr>
                  <ns1:sty ns1:val="p"/>
                </ns1:rPr>
                <ns1:t>=</ns1:t>
              </ns1:r>
              <ns1:r>
                <ns1:t>1</ns1:t>
              </ns1:r>
            </ns1:sub>
            <ns1:sup>
              <ns1:r>
                <ns1:t>k</ns1:t>
              </ns1:r>
            </ns1:sup>
            <ns1:e>
              <ns1:sSup>
                <ns1:e>
                  <ns1:d>
                    <ns1:dPr>
                      <ns1:begChr ns1:val="("/>
                      <ns1:sepChr ns1:val=""/>
                      <ns1:endChr ns1:val=")"/>
                      <ns1:grow/>
                    </ns1:dPr>
                    <ns1:e>
                      <ns1:sSub>
                        <ns1:e>
                          <ns1:acc>
                            <ns1:accPr>
                              <ns1:chr ns1:val="‾"/>
                            </ns1:accPr>
                            <ns1:e>
                              <ns1:r>
                                <ns1:t>r</ns1:t>
                              </ns1:r>
                            </ns1:e>
                          </ns1:acc>
                        </ns1:e>
                        <ns1:sub>
                          <ns1:r>
                            <ns1:t>j</ns1:t>
                          </ns1:r>
                        </ns1:sub>
                      </ns1:sSub>
                      <ns1:r>
                        <ns1:rPr>
                          <ns1:sty ns1:val="p"/>
                        </ns1:rPr>
                        <ns1:t>−</ns1:t>
                      </ns1:r>
                      <ns1:f>
                        <ns1:fPr>
                          <ns1:type ns1:val="bar"/>
                        </ns1:fPr>
                        <ns1:num>
                          <ns1:r>
                            <ns1:t>k</ns1:t>
                          </ns1:r>
                          <ns1:r>
                            <ns1:rPr>
                              <ns1:sty ns1:val="p"/>
                            </ns1:rPr>
                            <ns1:t>+</ns1:t>
                          </ns1:r>
                          <ns1:r>
                            <ns1:t>1</ns1:t>
                          </ns1:r>
                        </ns1:num>
                        <ns1:den>
                          <ns1:r>
                            <ns1:t>2</ns1:t>
                          </ns1:r>
                        </ns1:den>
                      </ns1:f>
                    </ns1:e>
                  </ns1:d>
                </ns1:e>
                <ns1:sup>
                  <ns1:r>
                    <ns1:t>2</ns1:t>
                  </ns1:r>
                </ns1:sup>
              </ns1:sSup>
            </ns1:e>
          </ns1:nary>
        </ns1:oMath>
      </ns1:oMathPara>
    </w:p>
    <w:p>
      <w:pPr>
        <w:pStyle w:val="FirstParagraph"/>
        <w:spacing w:line="360" w:lineRule="auto"/>
        <w:jc w:val="both"/>
      </w:pPr>
      <w:r>
        <w:t xml:space="preserve">donde</w:t>
      </w:r>
      <w:r>
        <w:t xml:space="preserve"> </w:t>
      </w:r>
      <ns1:oMath>
        <ns1:sSub>
          <ns1:e>
            <ns1:acc>
              <ns1:accPr>
                <ns1:chr ns1:val="‾"/>
              </ns1:accPr>
              <ns1:e>
                <ns1:r>
                  <ns1:t>r</ns1:t>
                </ns1:r>
              </ns1:e>
            </ns1:acc>
          </ns1:e>
          <ns1:sub>
            <ns1:r>
              <ns1:t>j</ns1:t>
            </ns1:r>
          </ns1:sub>
        </ns1:sSub>
        <ns1:r>
          <ns1:rPr>
            <ns1:sty ns1:val="p"/>
          </ns1:rPr>
          <ns1:t>=</ns1:t>
        </ns1:r>
        <ns1:f>
          <ns1:fPr>
            <ns1:type ns1:val="bar"/>
          </ns1:fPr>
          <ns1:num>
            <ns1:r>
              <ns1:t>1</ns1:t>
            </ns1:r>
          </ns1:num>
          <ns1:den>
            <ns1:r>
              <ns1:t>B</ns1:t>
            </ns1:r>
          </ns1:den>
        </ns1:f>
        <ns1:nary>
          <ns1:naryPr>
            <ns1:chr ns1:val="∑"/>
            <ns1:limLoc ns1:val="undOvr"/>
            <ns1:subHide ns1:val="off"/>
            <ns1:supHide ns1:val="off"/>
          </ns1:naryPr>
          <ns1:sub>
            <ns1:r>
              <ns1:t>b</ns1:t>
            </ns1:r>
            <ns1:r>
              <ns1:rPr>
                <ns1:sty ns1:val="p"/>
              </ns1:rPr>
              <ns1:t>=</ns1:t>
            </ns1:r>
            <ns1:r>
              <ns1:t>1</ns1:t>
            </ns1:r>
          </ns1:sub>
          <ns1:sup>
            <ns1:r>
              <ns1:t>B</ns1:t>
            </ns1:r>
          </ns1:sup>
          <ns1:e>
            <ns1:sSub>
              <ns1:e>
                <ns1:r>
                  <ns1:t>r</ns1:t>
                </ns1:r>
              </ns1:e>
              <ns1:sub>
                <ns1:r>
                  <ns1:t>b</ns1:t>
                </ns1:r>
                <ns1:r>
                  <ns1:t>j</ns1:t>
                </ns1:r>
              </ns1:sub>
            </ns1:sSub>
          </ns1:e>
        </ns1:nary>
      </ns1:oMath>
      <w:r>
        <w:t xml:space="preserve">. Bajo</w:t>
      </w:r>
      <w:r>
        <w:t xml:space="preserve"> </w:t>
      </w:r>
      <ns1:oMath>
        <ns1:sSub>
          <ns1:e>
            <ns1:r>
              <ns1:t>H</ns1:t>
            </ns1:r>
          </ns1:e>
          <ns1:sub>
            <ns1:r>
              <ns1:t>0</ns1:t>
            </ns1:r>
          </ns1:sub>
        </ns1:sSub>
      </ns1:oMath>
      <w:r>
        <w:t xml:space="preserve">,</w:t>
      </w:r>
      <w:r>
        <w:t xml:space="preserve"> </w:t>
      </w:r>
      <ns1:oMath>
        <ns1:sSubSup>
          <ns1:e>
            <ns1:r>
              <ns1:t>χ</ns1:t>
            </ns1:r>
          </ns1:e>
          <ns1:sub>
            <ns1:r>
              <ns1:t>F</ns1:t>
            </ns1:r>
          </ns1:sub>
          <ns1:sup>
            <ns1:r>
              <ns1:t>2</ns1:t>
            </ns1:r>
          </ns1:sup>
        </ns1:sSubSup>
        <ns1:r>
          <ns1:rPr>
            <ns1:sty ns1:val="p"/>
          </ns1:rPr>
          <ns1:t>∼</ns1:t>
        </ns1:r>
        <ns1:sSubSup>
          <ns1:e>
            <ns1:r>
              <ns1:t>χ</ns1:t>
            </ns1:r>
          </ns1:e>
          <ns1:sub>
            <ns1:r>
              <ns1:t>k</ns1:t>
            </ns1:r>
            <ns1:r>
              <ns1:rPr>
                <ns1:sty ns1:val="p"/>
              </ns1:rPr>
              <ns1:t>−</ns1:t>
            </ns1:r>
            <ns1:r>
              <ns1:t>1</ns1:t>
            </ns1:r>
          </ns1:sub>
          <ns1:sup>
            <ns1:r>
              <ns1:t>2</ns1:t>
            </ns1:r>
          </ns1:sup>
        </ns1:sSubSup>
      </ns1:oMath>
      <w:r>
        <w:t xml:space="preserve"> </w:t>
      </w:r>
      <w:r>
        <w:t xml:space="preserve">asintóticamente para</w:t>
      </w:r>
      <w:r>
        <w:t xml:space="preserve"> </w:t>
      </w:r>
      <ns1:oMath>
        <ns1:r>
          <ns1:t>B</ns1:t>
        </ns1:r>
        <ns1:r>
          <ns1:rPr>
            <ns1:sty ns1:val="p"/>
          </ns1:rPr>
          <ns1:t>≥</ns1:t>
        </ns1:r>
        <ns1:r>
          <ns1:t>10</ns1:t>
        </ns1:r>
      </ns1:oMath>
      <w:r>
        <w:t xml:space="preserve"> </w:t>
      </w:r>
      <w:r>
        <w:t xml:space="preserve">(Demšar 2006)</w:t>
      </w:r>
      <w:r>
        <w:t xml:space="preserve">. El tamaño del efecto se reporta mediante la</w:t>
      </w:r>
      <w:r>
        <w:t xml:space="preserve"> </w:t>
      </w:r>
      <ns1:oMath>
        <ns1:r>
          <ns1:t>W</ns1:t>
        </ns1:r>
      </ns1:oMath>
      <w:r>
        <w:t xml:space="preserve"> </w:t>
      </w:r>
      <w:r>
        <w:t xml:space="preserve">de Kendall:</w:t>
      </w:r>
    </w:p>
    <w:p>
      <w:pPr>
        <w:pStyle w:val="Textoindependiente"/>
        <w:spacing w:line="360" w:lineRule="auto"/>
        <w:jc w:val="both"/>
      </w:pPr>
      <ns1:oMathPara>
        <ns1:oMathParaPr>
          <ns1:jc ns1:val="center"/>
        </ns1:oMathParaPr>
        <ns1:oMath>
          <ns1:r>
            <ns1:t>W</ns1:t>
          </ns1:r>
          <ns1:r>
            <ns1:rPr>
              <ns1:sty ns1:val="p"/>
            </ns1:rPr>
            <ns1:t>=</ns1:t>
          </ns1:r>
          <ns1:f>
            <ns1:fPr>
              <ns1:type ns1:val="bar"/>
            </ns1:fPr>
            <ns1:num>
              <ns1:sSubSup>
                <ns1:e>
                  <ns1:r>
                    <ns1:t>χ</ns1:t>
                  </ns1:r>
                </ns1:e>
                <ns1:sub>
                  <ns1:r>
                    <ns1:t>F</ns1:t>
                  </ns1:r>
                </ns1:sub>
                <ns1:sup>
                  <ns1:r>
                    <ns1:t>2</ns1:t>
                  </ns1:r>
                </ns1:sup>
              </ns1:sSubSup>
            </ns1:num>
            <ns1:den>
              <ns1:r>
                <ns1:t>B</ns1:t>
              </ns1:r>
              <ns1:r>
                <ns1:rPr>
                  <ns1:sty ns1:val="p"/>
                </ns1:rPr>
                <ns1:t>(</ns1:t>
              </ns1:r>
              <ns1:r>
                <ns1:t>k</ns1:t>
              </ns1:r>
              <ns1:r>
                <ns1:rPr>
                  <ns1:sty ns1:val="p"/>
                </ns1:rPr>
                <ns1:t>−</ns1:t>
              </ns1:r>
              <ns1:r>
                <ns1:t>1</ns1:t>
              </ns1:r>
              <ns1:r>
                <ns1:rPr>
                  <ns1:sty ns1:val="p"/>
                </ns1:rPr>
                <ns1:t>)</ns1:t>
              </ns1:r>
            </ns1:den>
          </ns1:f>
        </ns1:oMath>
      </ns1:oMathPara>
    </w:p>
    <w:p>
      <w:pPr>
        <w:pStyle w:val="FirstParagraph"/>
        <w:spacing w:line="360" w:lineRule="auto"/>
        <w:jc w:val="both"/>
      </w:pPr>
      <w:r>
        <w:t xml:space="preserve">donde</w:t>
      </w:r>
      <w:r>
        <w:t xml:space="preserve"> </w:t>
      </w:r>
      <ns1:oMath>
        <ns1:r>
          <ns1:t>W</ns1:t>
        </ns1:r>
        <ns1:r>
          <ns1:rPr>
            <ns1:sty ns1:val="p"/>
          </ns1:rPr>
          <ns1:t>=</ns1:t>
        </ns1:r>
        <ns1:r>
          <ns1:t>1</ns1:t>
        </ns1:r>
      </ns1:oMath>
      <w:r>
        <w:t xml:space="preserve"> </w:t>
      </w:r>
      <w:r>
        <w:t xml:space="preserve">indica concordancia perfecta entre bloques.</w:t>
      </w:r>
    </w:p>
    <w:bookmarkEnd w:id="88"/>
    <w:bookmarkStart w:id="89" w:name="localización-post-hoc-nemenyi"/>
    <w:p>
      <w:pPr>
        <w:pStyle w:val="Ttulo3"/>
        <w:spacing w:line="360" w:lineRule="auto"/>
        <w:jc w:val="both"/>
      </w:pPr>
      <w:r>
        <w:t xml:space="preserve">Localización post-hoc: Nemenyi</w:t>
      </w:r>
    </w:p>
    <w:p>
      <w:pPr>
        <w:pStyle w:val="FirstParagraph"/>
        <w:spacing w:line="360" w:lineRule="auto"/>
        <w:jc w:val="both"/>
      </w:pPr>
      <w:r>
        <w:t xml:space="preserve">Cuando Friedman rechaza</w:t>
      </w:r>
      <w:r>
        <w:t xml:space="preserve"> </w:t>
      </w:r>
      <ns1:oMath>
        <ns1:sSub>
          <ns1:e>
            <ns1:r>
              <ns1:t>H</ns1:t>
            </ns1:r>
          </ns1:e>
          <ns1:sub>
            <ns1:r>
              <ns1:t>0</ns1:t>
            </ns1:r>
          </ns1:sub>
        </ns1:sSub>
      </ns1:oMath>
      <w:r>
        <w:t xml:space="preserve">, se aplica la prueba post-hoc de Nemenyi</w:t>
      </w:r>
      <w:r>
        <w:t xml:space="preserve"> </w:t>
      </w:r>
      <w:r>
        <w:t xml:space="preserve">(Nemenyi 1963)</w:t>
      </w:r>
      <w:r>
        <w:t xml:space="preserve">. La diferencia crítica al nivel</w:t>
      </w:r>
      <w:r>
        <w:t xml:space="preserve"> </w:t>
      </w:r>
      <ns1:oMath>
        <ns1:r>
          <ns1:t>α</ns1:t>
        </ns1:r>
        <ns1:r>
          <ns1:rPr>
            <ns1:sty ns1:val="p"/>
          </ns1:rPr>
          <ns1:t>=</ns1:t>
        </ns1:r>
        <ns1:r>
          <ns1:t>0.05</ns1:t>
        </ns1:r>
      </ns1:oMath>
      <w:r>
        <w:t xml:space="preserve"> </w:t>
      </w:r>
      <w:r>
        <w:t xml:space="preserve">con</w:t>
      </w:r>
      <w:r>
        <w:t xml:space="preserve"> </w:t>
      </w:r>
      <ns1:oMath>
        <ns1:r>
          <ns1:t>k</ns1:t>
        </ns1:r>
        <ns1:r>
          <ns1:rPr>
            <ns1:sty ns1:val="p"/>
          </ns1:rPr>
          <ns1:t>=</ns1:t>
        </ns1:r>
        <ns1:r>
          <ns1:t>4</ns1:t>
        </ns1:r>
      </ns1:oMath>
      <w:r>
        <w:t xml:space="preserve"> </w:t>
      </w:r>
      <w:r>
        <w:t xml:space="preserve">y</w:t>
      </w:r>
      <w:r>
        <w:t xml:space="preserve"> </w:t>
      </w:r>
      <ns1:oMath>
        <ns1:r>
          <ns1:t>B</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rPr>
              <ns1:nor/>
              <ns1:sty ns1:val="p"/>
            </ns1:rPr>
            <ns1:t>CD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B</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1.211</ns1:t>
          </ns1:r>
          <ns1:r>
            <ns1:rPr>
              <ns1:nor/>
              <ns1:sty ns1:val="p"/>
            </ns1:rPr>
            <ns1:t> rangos</ns1:t>
          </ns1:r>
        </ns1:oMath>
      </ns1:oMathPara>
    </w:p>
    <w:p>
      <w:pPr>
        <w:pStyle w:val="FirstParagraph"/>
        <w:spacing w:line="360" w:lineRule="auto"/>
        <w:jc w:val="both"/>
      </w:pPr>
      <w:r>
        <w:t xml:space="preserve">Dos métodos se consideran significativamente distintos si</w:t>
      </w:r>
      <w:r>
        <w:t xml:space="preserve"> </w:t>
      </w:r>
      <ns1:oMath>
        <ns1:r>
          <ns1:rPr>
            <ns1:sty ns1:val="p"/>
          </ns1:rPr>
          <ns1:t>|</ns1:t>
        </ns1:r>
        <ns1:sSub>
          <ns1:e>
            <ns1:acc>
              <ns1:accPr>
                <ns1:chr ns1:val="‾"/>
              </ns1:accPr>
              <ns1:e>
                <ns1:r>
                  <ns1:t>r</ns1:t>
                </ns1:r>
              </ns1:e>
            </ns1:acc>
          </ns1:e>
          <ns1:sub>
            <ns1:r>
              <ns1:t>i</ns1:t>
            </ns1:r>
          </ns1:sub>
        </ns1:sSub>
        <ns1:r>
          <ns1:rPr>
            <ns1:sty ns1:val="p"/>
          </ns1:rPr>
          <ns1:t>−</ns1:t>
        </ns1:r>
        <ns1:sSub>
          <ns1:e>
            <ns1:acc>
              <ns1:accPr>
                <ns1:chr ns1:val="‾"/>
              </ns1:accPr>
              <ns1:e>
                <ns1:r>
                  <ns1:t>r</ns1:t>
                </ns1:r>
              </ns1:e>
            </ns1:acc>
          </ns1:e>
          <ns1:sub>
            <ns1:r>
              <ns1:t>j</ns1:t>
            </ns1:r>
          </ns1:sub>
        </ns1:sSub>
        <ns1:r>
          <ns1:rPr>
            <ns1:sty ns1:val="p"/>
          </ns1:rPr>
          <ns1:t>|</ns1:t>
        </ns1:r>
        <ns1:r>
          <ns1:rPr>
            <ns1:sty ns1:val="p"/>
          </ns1:rPr>
          <ns1:t>&gt;</ns1:t>
        </ns1:r>
        <ns1:r>
          <ns1:rPr>
            <ns1:nor/>
            <ns1:sty ns1:val="p"/>
          </ns1:rPr>
          <ns1:t>CD</ns1:t>
        </ns1:r>
      </ns1:oMath>
      <w:r>
        <w:t xml:space="preserve">.</w:t>
      </w:r>
    </w:p>
    <w:bookmarkEnd w:id="89"/>
    <w:bookmarkStart w:id="90" w:name="X82a710d830240cc18776e0ef609d9e71b3f53e7"/>
    <w:p>
      <w:pPr>
        <w:pStyle w:val="Ttulo3"/>
        <w:spacing w:line="360" w:lineRule="auto"/>
        <w:jc w:val="both"/>
      </w:pPr>
      <w:r>
        <w:t xml:space="preserve">Wilcoxon pareado: conjuntos de 45 y 75 celdas</w:t>
      </w:r>
    </w:p>
    <w:p>
      <w:pPr>
        <w:pStyle w:val="FirstParagraph"/>
        <w:spacing w:line="360" w:lineRule="auto"/>
        <w:jc w:val="both"/>
      </w:pPr>
      <w:r>
        <w:t xml:space="preserve">Para contrastar H3 se aplica el test de Wilcoxon con rangos con signo</w:t>
      </w:r>
      <w:r>
        <w:t xml:space="preserve"> </w:t>
      </w:r>
      <w:r>
        <w:t xml:space="preserve">bilateral</w:t>
      </w:r>
      <w:r>
        <w:t xml:space="preserve"> </w:t>
      </w:r>
      <w:r>
        <w:t xml:space="preserve">(Wilcoxon 1945)</w:t>
      </w:r>
      <w:r>
        <w:t xml:space="preserve"> </w:t>
      </w:r>
      <w:r>
        <w:t xml:space="preserve">sobre diferencias pareadas</w:t>
      </w:r>
      <w:r>
        <w:t xml:space="preserve"> </w:t>
      </w:r>
      <ns1:oMath>
        <ns1:sSub>
          <ns1:e>
            <ns1:r>
              <ns1:t>d</ns1:t>
            </ns1:r>
          </ns1:e>
          <ns1:sub>
            <ns1:r>
              <ns1:t>i</ns1:t>
            </ns1:r>
          </ns1:sub>
        </ns1:sSub>
        <ns1:r>
          <ns1:rPr>
            <ns1:sty ns1:val="p"/>
          </ns1:rPr>
          <ns1:t>=</ns1:t>
        </ns1:r>
        <ns1:sSub>
          <ns1:e>
            <ns1:r>
              <ns1:t>y</ns1:t>
            </ns1:r>
          </ns1:e>
          <ns1:sub>
            <ns1:r>
              <ns1:rPr>
                <ns1:nor/>
                <ns1:sty ns1:val="p"/>
              </ns1:rPr>
              <ns1:t>SHAP</ns1:t>
            </ns1:r>
            <ns1:r>
              <ns1:rPr>
                <ns1:sty ns1:val="p"/>
              </ns1:rPr>
              <ns1:t>,</ns1:t>
            </ns1:r>
            <ns1:r>
              <ns1:t>i</ns1:t>
            </ns1:r>
          </ns1:sub>
        </ns1:sSub>
        <ns1:r>
          <ns1:rPr>
            <ns1:sty ns1:val="p"/>
          </ns1:rPr>
          <ns1:t>−</ns1:t>
        </ns1:r>
        <ns1:sSub>
          <ns1:e>
            <ns1:r>
              <ns1:t>y</ns1:t>
            </ns1:r>
          </ns1:e>
          <ns1:sub>
            <ns1:r>
              <ns1:rPr>
                <ns1:nor/>
                <ns1:sty ns1:val="p"/>
              </ns1:rPr>
              <ns1:t>LIME</ns1:t>
            </ns1:r>
            <ns1:r>
              <ns1:rPr>
                <ns1:sty ns1:val="p"/>
              </ns1:rPr>
              <ns1:t>,</ns1:t>
            </ns1:r>
            <ns1:r>
              <ns1:t>i</ns1:t>
            </ns1:r>
          </ns1:sub>
        </ns1:sSub>
      </ns1:oMath>
      <w:r>
        <w:t xml:space="preserve"> </w:t>
      </w:r>
      <w:r>
        <w:t xml:space="preserve">en dos conjuntos:</w:t>
      </w:r>
    </w:p>
    <w:p>
      <w:pPr>
        <w:pStyle w:val="Compact"/>
        <w:numPr>
          <w:ilvl w:val="0"/>
          <w:numId w:val="1009"/>
        </w:numPr>
        <w:spacing w:line="360" w:lineRule="auto"/>
        <w:jc w:val="both"/>
      </w:pPr>
      <w:r>
        <w:rPr>
          <w:b/>
          <w:bCs/>
        </w:rPr>
        <w:t xml:space="preserve">Wilcoxon-45</w:t>
      </w:r>
      <w:r>
        <w:t xml:space="preserve">: 45 celdas con</w:t>
      </w:r>
      <w:r>
        <w:t xml:space="preserve"> </w:t>
      </w:r>
      <ns1:oMath>
        <ns1:r>
          <ns1:t>g</ns1:t>
        </ns1:r>
        <ns1:r>
          <ns1:rPr>
            <ns1:sty ns1:val="p"/>
          </ns1:rPr>
          <ns1:t>∈</ns1:t>
        </ns1:r>
        <ns1:r>
          <ns1:rPr>
            <ns1:sty ns1:val="p"/>
          </ns1:rPr>
          <ns1:t>{</ns1:t>
        </ns1:r>
      </ns1:oMath>
      <w:r>
        <w:t xml:space="preserve">logreg, rf, xgb</w:t>
      </w:r>
      <ns1:oMath>
        <ns1:r>
          <ns1:rPr>
            <ns1:sty ns1:val="p"/>
          </ns1:rPr>
          <ns1:t>}</ns1:t>
        </ns1:r>
      </ns1:oMath>
      <w:r>
        <w:t xml:space="preserve"> </w:t>
      </w:r>
      <w:r>
        <w:t xml:space="preserve">(conjunto</w:t>
      </w:r>
      <w:r>
        <w:t xml:space="preserve"> </w:t>
      </w:r>
      <w:r>
        <w:t xml:space="preserve">primario con TreeSHAP exacto).</w:t>
      </w:r>
    </w:p>
    <w:p>
      <w:pPr>
        <w:pStyle w:val="Compact"/>
        <w:numPr>
          <w:ilvl w:val="0"/>
          <w:numId w:val="1009"/>
        </w:numPr>
        <w:spacing w:line="360" w:lineRule="auto"/>
        <w:jc w:val="both"/>
      </w:pPr>
      <w:r>
        <w:rPr>
          <w:b/>
          <w:bCs/>
        </w:rPr>
        <w:t xml:space="preserve">Wilcoxon-75</w:t>
      </w:r>
      <w:r>
        <w:t xml:space="preserve">: 75 celdas completas (análisis de sensibilidad que incluye</w:t>
      </w:r>
      <w:r>
        <w:t xml:space="preserve"> </w:t>
      </w:r>
      <w:r>
        <w:t xml:space="preserve">SVM y MLP con KernelSHAP).</w:t>
      </w:r>
    </w:p>
    <w:p>
      <w:pPr>
        <w:pStyle w:val="FirstParagraph"/>
        <w:spacing w:line="360" w:lineRule="auto"/>
        <w:jc w:val="both"/>
      </w:pPr>
      <w:r>
        <w:t xml:space="preserve">El tamaño del efecto se reporta como</w:t>
      </w:r>
      <w:r>
        <w:t xml:space="preserve"> </w:t>
      </w:r>
      <ns1:oMath>
        <ns1:sSub>
          <ns1:e>
            <ns1:r>
              <ns1:t>d</ns1:t>
            </ns1:r>
          </ns1:e>
          <ns1:sub>
            <ns1:r>
              <ns1:t>z</ns1:t>
            </ns1:r>
          </ns1:sub>
        </ns1:sSub>
      </ns1:oMath>
      <w:r>
        <w:t xml:space="preserve"> </w:t>
      </w:r>
      <w:r>
        <w:t xml:space="preserve">de Cohen</w:t>
      </w:r>
      <w:r>
        <w:t xml:space="preserve"> </w:t>
      </w:r>
      <w:r>
        <w:t xml:space="preserve">(Lakens 2013)</w:t>
      </w:r>
      <w:r>
        <w:t xml:space="preserve">:</w:t>
      </w:r>
    </w:p>
    <w:p>
      <w:pPr>
        <w:pStyle w:val="Textoindependiente"/>
        <w:spacing w:line="360" w:lineRule="auto"/>
        <w:jc w:val="both"/>
      </w:pPr>
      <ns1:oMathPara>
        <ns1:oMathParaPr>
          <ns1:jc ns1:val="center"/>
        </ns1:oMathParaPr>
        <ns1:oMath>
          <ns1:sSub>
            <ns1:e>
              <ns1:r>
                <ns1:t>d</ns1:t>
              </ns1:r>
            </ns1:e>
            <ns1:sub>
              <ns1:r>
                <ns1:t>z</ns1:t>
              </ns1:r>
            </ns1:sub>
          </ns1:sSub>
          <ns1:r>
            <ns1:rPr>
              <ns1:sty ns1:val="p"/>
            </ns1:rPr>
            <ns1:t>=</ns1:t>
          </ns1:r>
          <ns1:f>
            <ns1:fPr>
              <ns1:type ns1:val="bar"/>
            </ns1:fPr>
            <ns1:num>
              <ns1:acc>
                <ns1:accPr>
                  <ns1:chr ns1:val="‾"/>
                </ns1:accPr>
                <ns1:e>
                  <ns1:r>
                    <ns1:t>d</ns1:t>
                  </ns1:r>
                </ns1:e>
              </ns1:acc>
            </ns1:num>
            <ns1:den>
              <ns1:sSub>
                <ns1:e>
                  <ns1:r>
                    <ns1:t>s</ns1:t>
                  </ns1:r>
                </ns1:e>
                <ns1:sub>
                  <ns1:r>
                    <ns1:t>d</ns1:t>
                  </ns1:r>
                </ns1:sub>
              </ns1:sSub>
            </ns1:den>
          </ns1:f>
        </ns1:oMath>
      </ns1:oMathPara>
    </w:p>
    <w:p>
      <w:pPr>
        <w:pStyle w:val="FirstParagraph"/>
        <w:spacing w:line="360" w:lineRule="auto"/>
        <w:jc w:val="both"/>
      </w:pPr>
      <w:r>
        <w:t xml:space="preserve">con interpretación convencional: pequeño (</w:t>
      </w:r>
      <ns1:oMath>
        <ns1:r>
          <ns1:t>0.2</ns1:t>
        </ns1:r>
        <ns1:r>
          <ns1:rPr>
            <ns1:sty ns1:val="p"/>
          </ns1:rPr>
          <ns1:t>≤</ns1:t>
        </ns1:r>
        <ns1:sSub>
          <ns1:e>
            <ns1:r>
              <ns1:t>d</ns1:t>
            </ns1:r>
          </ns1:e>
          <ns1:sub>
            <ns1:r>
              <ns1:t>z</ns1:t>
            </ns1:r>
          </ns1:sub>
        </ns1:sSub>
        <ns1:r>
          <ns1:rPr>
            <ns1:sty ns1:val="p"/>
          </ns1:rPr>
          <ns1:t>&lt;</ns1:t>
        </ns1:r>
        <ns1:r>
          <ns1:t>0.5</ns1:t>
        </ns1:r>
      </ns1:oMath>
      <w:r>
        <w:t xml:space="preserve">), mediano</w:t>
      </w:r>
      <w:r>
        <w:t xml:space="preserve"> </w:t>
      </w:r>
      <w:r>
        <w:t xml:space="preserve">(</w:t>
      </w:r>
      <ns1:oMath>
        <ns1:r>
          <ns1:t>0.5</ns1:t>
        </ns1:r>
        <ns1:r>
          <ns1:rPr>
            <ns1:sty ns1:val="p"/>
          </ns1:rPr>
          <ns1:t>≤</ns1:t>
        </ns1:r>
        <ns1:sSub>
          <ns1:e>
            <ns1:r>
              <ns1:t>d</ns1:t>
            </ns1:r>
          </ns1:e>
          <ns1:sub>
            <ns1:r>
              <ns1:t>z</ns1:t>
            </ns1:r>
          </ns1:sub>
        </ns1:sSub>
        <ns1:r>
          <ns1:rPr>
            <ns1:sty ns1:val="p"/>
          </ns1:rPr>
          <ns1:t>&lt;</ns1:t>
        </ns1:r>
        <ns1:r>
          <ns1:t>0.8</ns1:t>
        </ns1:r>
      </ns1:oMath>
      <w:r>
        <w:t xml:space="preserve">), grande (</w:t>
      </w:r>
      <ns1:oMath>
        <ns1:sSub>
          <ns1:e>
            <ns1:r>
              <ns1:t>d</ns1:t>
            </ns1:r>
          </ns1:e>
          <ns1:sub>
            <ns1:r>
              <ns1:t>z</ns1:t>
            </ns1:r>
          </ns1:sub>
        </ns1:sSub>
        <ns1:r>
          <ns1:rPr>
            <ns1:sty ns1:val="p"/>
          </ns1:rPr>
          <ns1:t>≥</ns1:t>
        </ns1:r>
        <ns1:r>
          <ns1:t>0.8</ns1:t>
        </ns1:r>
      </ns1:oMath>
      <w:r>
        <w:t xml:space="preserve">).</w:t>
      </w:r>
    </w:p>
    <w:bookmarkEnd w:id="90"/>
    <w:bookmarkStart w:id="92" w:name="control-de-multiplicidad"/>
    <w:p>
      <w:pPr>
        <w:pStyle w:val="Ttulo3"/>
        <w:spacing w:line="360" w:lineRule="auto"/>
        <w:jc w:val="both"/>
      </w:pPr>
      <w:r>
        <w:t xml:space="preserve">Control de multiplicidad</w:t>
      </w:r>
    </w:p>
    <w:p>
      <w:pPr>
        <w:pStyle w:val="FirstParagraph"/>
        <w:spacing w:line="360" w:lineRule="auto"/>
        <w:jc w:val="bot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91" w:name="tbl-stat-plan"/>
          <w:p>
            <w:pPr>
              <w:jc w:val="both"/>
              <w:spacing w:line="360" w:lineRule="auto"/>
            </w:pPr>
            <w:pPr>
              <w:jc w:val="left"/>
              <w:spacing w:before="200"/>
              <w:pStyle w:val="ImageCaption"/>
            </w:pPr>
            <w:r>
              <w:t xml:space="preserve">Table 4.6: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(Demšar 2006)</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Tests</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Corrección</w:t>
                  </w:r>
                </w:p>
              </w:tc>
            </w:tr>
            <w:tr>
              <w:tc>
                <w:tcPr/>
                <w:p>
                  <w:pPr>
                    <w:pStyle w:val="Compact"/>
                    <w:jc w:val="both"/>
                    <w:jc w:val="center"/>
                    <w:spacing w:line="360" w:lineRule="auto"/>
                  </w:pPr>
                  <w:r>
                    <w:t xml:space="preserve">Friedman (Estudio A)</w:t>
                  </w:r>
                </w:p>
              </w:tc>
              <w:tc>
                <w:tcPr/>
                <w:p>
                  <w:pPr>
                    <w:pStyle w:val="Compact"/>
                    <w:jc w:val="both"/>
                    <w:jc w:val="center"/>
                    <w:spacing w:line="360" w:lineRule="auto"/>
                  </w:pPr>
                  <w:r>
                    <w:t xml:space="preserve">5 (uno por métrica)</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Wilcoxon-45 (Estudio A)</w:t>
                  </w:r>
                </w:p>
              </w:tc>
              <w:tc>
                <w:tcPr/>
                <w:p>
                  <w:pPr>
                    <w:pStyle w:val="Compact"/>
                    <w:jc w:val="both"/>
                    <w:jc w:val="center"/>
                    <w:spacing w:line="360" w:lineRule="auto"/>
                  </w:pPr>
                  <w:r>
                    <w:t xml:space="preserve">5</w:t>
                  </w:r>
                </w:p>
              </w:tc>
              <w:tc>
                <w:tcPr/>
                <w:p>
                  <w:pPr>
                    <w:pStyle w:val="Compact"/>
                    <w:jc w:val="both"/>
                    <w:jc w:val="center"/>
                    <w:spacing w:line="360" w:lineRule="auto"/>
                  </w:pPr>
                  <w:r>
                    <w:t xml:space="preserve">45 celdas</w:t>
                  </w:r>
                </w:p>
              </w:tc>
              <w:tc>
                <w:tcPr/>
                <w:p>
                  <w:pPr>
                    <w:pStyle w:val="Compact"/>
                    <w:jc w:val="both"/>
                    <w:jc w:val="center"/>
                    <w:spacing w:line="360" w:lineRule="auto"/>
                  </w:pPr>
                  <w:r>
                    <w:t xml:space="preserve">Holm-Bonferroni</w:t>
                  </w:r>
                </w:p>
              </w:tc>
            </w:tr>
            <w:tr>
              <w:tc>
                <w:tcPr/>
                <w:p>
                  <w:pPr>
                    <w:pStyle w:val="Compact"/>
                    <w:jc w:val="both"/>
                    <w:jc w:val="center"/>
                    <w:spacing w:line="360" w:lineRule="auto"/>
                  </w:pPr>
                  <w:r>
                    <w:t xml:space="preserve">Wilcoxon-75 (Estudios A y B)</w:t>
                  </w:r>
                </w:p>
              </w:tc>
              <w:tc>
                <w:tcPr/>
                <w:p>
                  <w:pPr>
                    <w:pStyle w:val="Compact"/>
                    <w:jc w:val="both"/>
                    <w:jc w:val="center"/>
                    <w:spacing w:line="360" w:lineRule="auto"/>
                  </w:pPr>
                  <w:r>
                    <w:t xml:space="preserve">5</w:t>
                  </w:r>
                </w:p>
              </w:tc>
              <w:tc>
                <w:tcPr/>
                <w:p>
                  <w:pPr>
                    <w:pStyle w:val="Compact"/>
                    <w:jc w:val="both"/>
                    <w:jc w:val="center"/>
                    <w:spacing w:line="360" w:lineRule="auto"/>
                  </w:pPr>
                  <w:r>
                    <w:t xml:space="preserve">75 celdas</w:t>
                  </w:r>
                </w:p>
              </w:tc>
              <w:tc>
                <w:tcPr/>
                <w:p>
                  <w:pPr>
                    <w:pStyle w:val="Compact"/>
                    <w:jc w:val="both"/>
                    <w:jc w:val="center"/>
                    <w:spacing w:line="360" w:lineRule="auto"/>
                  </w:pPr>
                  <w:r>
                    <w:t xml:space="preserve">Holm-Bonferroni</w:t>
                  </w:r>
                </w:p>
              </w:tc>
            </w:tr>
          </w:tbl>
          <w:bookmarkEnd w:id="91"/>
          <w:p>
            <w:pPr>
              <w:spacing w:line="360" w:lineRule="auto"/>
              <w:jc w:val="both"/>
            </w:pPr>
          </w:p>
        </w:tc>
      </w:tr>
    </w:tbl>
    <w:bookmarkEnd w:id="92"/>
    <w:bookmarkStart w:id="94" w:name="X8d8a6fe44143f1c1b581a8bcb7389a6bd938df3"/>
    <w:p>
      <w:pPr>
        <w:pStyle w:val="Ttulo3"/>
        <w:spacing w:line="360" w:lineRule="auto"/>
        <w:jc w:val="both"/>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93" w:name="tbl-hypo-plan"/>
          <w:p>
            <w:pPr>
              <w:jc w:val="both"/>
              <w:spacing w:line="360" w:lineRule="auto"/>
            </w:pPr>
            <w:pPr>
              <w:jc w:val="left"/>
              <w:spacing w:before="200"/>
              <w:pStyle w:val="ImageCaption"/>
            </w:pPr>
            <w:r>
              <w:t xml:space="preserve">Table 4.7: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both"/>
                    <w:jc w:val="center"/>
                    <w:spacing w:line="360" w:lineRule="auto"/>
                  </w:pPr>
                  <w:r>
                    <w:t xml:space="preserve">Hipótesis</w:t>
                  </w:r>
                </w:p>
              </w:tc>
              <w:tc>
                <w:tcPr/>
                <w:p>
                  <w:pPr>
                    <w:pStyle w:val="Compact"/>
                    <w:jc w:val="both"/>
                    <w:jc w:val="center"/>
                    <w:spacing w:line="360" w:lineRule="auto"/>
                  </w:pPr>
                  <w:r>
                    <w:t xml:space="preserve">Test</w:t>
                  </w:r>
                </w:p>
              </w:tc>
              <w:tc>
                <w:tcPr/>
                <w:p>
                  <w:pPr>
                    <w:pStyle w:val="Compact"/>
                    <w:jc w:val="both"/>
                    <w:jc w:val="center"/>
                    <w:spacing w:line="360" w:lineRule="auto"/>
                  </w:pPr>
                  <ns1:oMath>
                    <ns1:r>
                      <ns1:t>n</ns1:t>
                    </ns1:r>
                  </ns1:oMath>
                </w:p>
              </w:tc>
              <w:tc>
                <w:tcPr/>
                <w:p>
                  <w:pPr>
                    <w:pStyle w:val="Compact"/>
                    <w:jc w:val="both"/>
                    <w:jc w:val="center"/>
                    <w:spacing w:line="360" w:lineRule="auto"/>
                  </w:pPr>
                  <w:r>
                    <w:t xml:space="preserve">Diseño</w:t>
                  </w:r>
                </w:p>
              </w:tc>
            </w:tr>
            <w:tr>
              <w:tc>
                <w:tcPr/>
                <w:p>
                  <w:pPr>
                    <w:pStyle w:val="Compact"/>
                    <w:jc w:val="both"/>
                    <w:jc w:val="center"/>
                    <w:spacing w:line="360" w:lineRule="auto"/>
                  </w:pPr>
                  <w:r>
                    <w:t xml:space="preserve">H1 (fidelidad)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H2 (estabilidad)</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p>
              </w:tc>
              <w:tc>
                <w:tcPr/>
                <w:p>
                  <w:pPr>
                    <w:pStyle w:val="Compact"/>
                    <w:jc w:val="both"/>
                    <w:jc w:val="center"/>
                    <w:spacing w:line="360" w:lineRule="auto"/>
                  </w:pPr>
                  <w:r>
                    <w:t xml:space="preserve">4 métodos × 15 bloques</w:t>
                  </w:r>
                </w:p>
              </w:tc>
            </w:tr>
            <w:tr>
              <w:tc>
                <w:tcPr/>
                <w:p>
                  <w:pPr>
                    <w:pStyle w:val="Compact"/>
                    <w:jc w:val="both"/>
                    <w:jc w:val="center"/>
                    <w:spacing w:line="360" w:lineRule="auto"/>
                  </w:pPr>
                  <w:r>
                    <w:t xml:space="preserve">H3 (relación SHAP-LIME)</w:t>
                  </w:r>
                </w:p>
              </w:tc>
              <w:tc>
                <w:tcPr/>
                <w:p>
                  <w:pPr>
                    <w:pStyle w:val="Compact"/>
                    <w:jc w:val="both"/>
                    <w:jc w:val="center"/>
                    <w:spacing w:line="360" w:lineRule="auto"/>
                  </w:pPr>
                  <w:r>
                    <w:t xml:space="preserve">Wilcoxon bilateral</w:t>
                  </w:r>
                </w:p>
              </w:tc>
              <w:tc>
                <w:tcPr/>
                <w:p>
                  <w:pPr>
                    <w:pStyle w:val="Compact"/>
                    <w:jc w:val="both"/>
                    <w:jc w:val="center"/>
                    <w:spacing w:line="360" w:lineRule="auto"/>
                  </w:pPr>
                  <w:r>
                    <w:t xml:space="preserve">75 pares</w:t>
                  </w:r>
                </w:p>
              </w:tc>
              <w:tc>
                <w:tcPr/>
                <w:p>
                  <w:pPr>
                    <w:pStyle w:val="Compact"/>
                    <w:jc w:val="both"/>
                    <w:jc w:val="center"/>
                    <w:spacing w:line="360" w:lineRule="auto"/>
                  </w:pP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idénticos</w:t>
                  </w:r>
                </w:p>
              </w:tc>
            </w:tr>
            <w:tr>
              <w:tc>
                <w:tcPr/>
                <w:p>
                  <w:pPr>
                    <w:pStyle w:val="Compact"/>
                    <w:jc w:val="both"/>
                    <w:jc w:val="center"/>
                    <w:spacing w:line="360" w:lineRule="auto"/>
                  </w:pPr>
                  <w:r>
                    <w:t xml:space="preserve">P1 (reproducibilidad)</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w:t>
                  </w:r>
                </w:p>
              </w:tc>
              <w:tc>
                <w:tcPr/>
                <w:p>
                  <w:pPr>
                    <w:pStyle w:val="Compact"/>
                    <w:jc w:val="both"/>
                    <w:jc w:val="center"/>
                    <w:spacing w:line="360" w:lineRule="auto"/>
                  </w:pPr>
                  <w:r>
                    <w:t xml:space="preserve">Por método</w:t>
                  </w:r>
                </w:p>
              </w:tc>
            </w:tr>
          </w:tbl>
          <w:bookmarkEnd w:id="93"/>
          <w:p>
            <w:pPr>
              <w:spacing w:line="360" w:lineRule="auto"/>
              <w:jc w:val="both"/>
            </w:pPr>
          </w:p>
        </w:tc>
      </w:tr>
    </w:tbl>
    <w:bookmarkEnd w:id="94"/>
    <w:bookmarkEnd w:id="95"/>
    <w:bookmarkStart w:id="97" w:name="amenazas-a-la-validez"/>
    <w:p>
      <w:pPr>
        <w:pStyle w:val="Ttulo2"/>
        <w:spacing w:line="360" w:lineRule="auto"/>
        <w:jc w:val="both"/>
      </w:pPr>
      <w:r>
        <w:t xml:space="preserve">Amenazas a la validez</w:t>
      </w:r>
    </w:p>
    <w:p>
      <w:pPr>
        <w:pStyle w:val="FirstParagraph"/>
        <w:spacing w:line="360" w:lineRule="auto"/>
        <w:jc w:val="both"/>
      </w:pPr>
      <w:r>
        <w:t xml:space="preserve">La interpretación de los resultados se acota mediante cinco familias de amenazas.</w:t>
      </w:r>
      <w:r>
        <w:t xml:space="preserve"> </w:t>
      </w:r>
      <w:r>
        <w:t xml:space="preserve">Estas amenazas no invalidan el diseño, pero delimitan qué tipo de afirmación</w:t>
      </w:r>
      <w:r>
        <w:t xml:space="preserve"> </w:t>
      </w:r>
      <w:r>
        <w:t xml:space="preserve">puede sostenerse a partir del benchmark.</w:t>
      </w:r>
    </w:p>
    <w:tbl>
      <w:tblPr>
        <w:tblStyle w:val="Table"/>
        <w:tblW w:type="pct" w:w="5000"/>
        <w:tblLayout w:type="fixed"/>
        <w:tblLook w:firstRow="0" w:lastRow="0" w:firstColumn="0" w:lastColumn="0" w:noHBand="0" w:noVBand="0" w:val="0000"/>
      </w:tblPr>
      <w:tblGrid>
        <w:gridCol w:w="7920"/>
      </w:tblGrid>
      <w:tr>
        <w:tc>
          <w:tcPr/>
          <w:bookmarkStart w:id="96" w:name="tbl-validity-threats"/>
          <w:p>
            <w:pPr>
              <w:jc w:val="both"/>
              <w:spacing w:line="360" w:lineRule="auto"/>
            </w:pPr>
            <w:pPr>
              <w:jc w:val="left"/>
              <w:spacing w:before="200"/>
              <w:pStyle w:val="ImageCaption"/>
            </w:pPr>
            <w:r>
              <w:t xml:space="preserve">Table 4.8: Amenazas a la validez, controles y riesgo residual.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Familia</w:t>
                  </w:r>
                </w:p>
              </w:tc>
              <w:tc>
                <w:tcPr/>
                <w:p>
                  <w:pPr>
                    <w:pStyle w:val="Compact"/>
                    <w:jc w:val="both"/>
                    <w:jc w:val="center"/>
                    <w:spacing w:line="360" w:lineRule="auto"/>
                  </w:pPr>
                  <w:r>
                    <w:t xml:space="preserve">Amenaza principal</w:t>
                  </w:r>
                </w:p>
              </w:tc>
              <w:tc>
                <w:tcPr/>
                <w:p>
                  <w:pPr>
                    <w:pStyle w:val="Compact"/>
                    <w:jc w:val="both"/>
                    <w:jc w:val="center"/>
                    <w:spacing w:line="360" w:lineRule="auto"/>
                  </w:pPr>
                  <w:r>
                    <w:t xml:space="preserve">Control aplicado</w:t>
                  </w:r>
                </w:p>
              </w:tc>
              <w:tc>
                <w:tcPr/>
                <w:p>
                  <w:pPr>
                    <w:pStyle w:val="Compact"/>
                    <w:jc w:val="both"/>
                    <w:jc w:val="center"/>
                    <w:spacing w:line="360" w:lineRule="auto"/>
                  </w:pPr>
                  <w:r>
                    <w:t xml:space="preserve">Riesgo residual</w:t>
                  </w:r>
                </w:p>
              </w:tc>
            </w:tr>
            <w:tr>
              <w:tc>
                <w:tcPr/>
                <w:p>
                  <w:pPr>
                    <w:pStyle w:val="Compact"/>
                    <w:jc w:val="both"/>
                    <w:jc w:val="center"/>
                    <w:spacing w:line="360" w:lineRule="auto"/>
                  </w:pPr>
                  <w:r>
                    <w:t xml:space="preserve">Validez interna</w:t>
                  </w:r>
                </w:p>
              </w:tc>
              <w:tc>
                <w:tcPr/>
                <w:p>
                  <w:pPr>
                    <w:pStyle w:val="Compact"/>
                    <w:jc w:val="both"/>
                    <w:jc w:val="center"/>
                    <w:spacing w:line="360" w:lineRule="auto"/>
                  </w:pPr>
                  <w:r>
                    <w:t xml:space="preserve">Diferencias atribuibles al modelo o preprocesamiento, no al explicador</w:t>
                  </w:r>
                </w:p>
              </w:tc>
              <w:tc>
                <w:tcPr/>
                <w:p>
                  <w:pPr>
                    <w:pStyle w:val="Compact"/>
                    <w:jc w:val="both"/>
                    <w:jc w:val="center"/>
                    <w:spacing w:line="360" w:lineRule="auto"/>
                  </w:pPr>
                  <w:r>
                    <w:t xml:space="preserve">Modelos y preprocesador congelados; misma partición y mismas semillas por celda</w:t>
                  </w:r>
                </w:p>
              </w:tc>
              <w:tc>
                <w:tcPr/>
                <w:p>
                  <w:pPr>
                    <w:pStyle w:val="Compact"/>
                    <w:jc w:val="both"/>
                    <w:jc w:val="center"/>
                    <w:spacing w:line="360" w:lineRule="auto"/>
                  </w:pPr>
                  <w:r>
                    <w:t xml:space="preserve">Variación no observada por implementación interna de cada librería</w:t>
                  </w:r>
                </w:p>
              </w:tc>
            </w:tr>
            <w:tr>
              <w:tc>
                <w:tcPr/>
                <w:p>
                  <w:pPr>
                    <w:pStyle w:val="Compact"/>
                    <w:jc w:val="both"/>
                    <w:jc w:val="center"/>
                    <w:spacing w:line="360" w:lineRule="auto"/>
                  </w:pPr>
                  <w:r>
                    <w:t xml:space="preserve">Validez de constructo</w:t>
                  </w:r>
                </w:p>
              </w:tc>
              <w:tc>
                <w:tcPr/>
                <w:p>
                  <w:pPr>
                    <w:pStyle w:val="Compact"/>
                    <w:jc w:val="both"/>
                    <w:jc w:val="center"/>
                    <w:spacing w:line="360" w:lineRule="auto"/>
                  </w:pPr>
                  <w:r>
                    <w:t xml:space="preserve">Métricas automáticas que no capturan utilidad humana, plausibilidad o causalidad</w:t>
                  </w:r>
                </w:p>
              </w:tc>
              <w:tc>
                <w:tcPr/>
                <w:p>
                  <w:pPr>
                    <w:pStyle w:val="Compact"/>
                    <w:jc w:val="both"/>
                    <w:jc w:val="center"/>
                    <w:spacing w:line="360" w:lineRule="auto"/>
                  </w:pPr>
                  <w:r>
                    <w:t xml:space="preserve">Definición previa de fidelidad, estabilidad, parsimonia, brecha y coste como proxies functionally-grounded</w:t>
                  </w:r>
                </w:p>
              </w:tc>
              <w:tc>
                <w:tcPr/>
                <w:p>
                  <w:pPr>
                    <w:pStyle w:val="Compact"/>
                    <w:jc w:val="both"/>
                    <w:jc w:val="center"/>
                    <w:spacing w:line="360" w:lineRule="auto"/>
                  </w:pPr>
                  <w:r>
                    <w:t xml:space="preserve">No se infiere utilidad humana directa ni verdad causal</w:t>
                  </w:r>
                </w:p>
              </w:tc>
            </w:tr>
            <w:tr>
              <w:tc>
                <w:tcPr/>
                <w:p>
                  <w:pPr>
                    <w:pStyle w:val="Compact"/>
                    <w:jc w:val="both"/>
                    <w:jc w:val="center"/>
                    <w:spacing w:line="360" w:lineRule="auto"/>
                  </w:pPr>
                  <w:r>
                    <w:t xml:space="preserve">Validez externa</w:t>
                  </w:r>
                </w:p>
              </w:tc>
              <w:tc>
                <w:tcPr/>
                <w:p>
                  <w:pPr>
                    <w:pStyle w:val="Compact"/>
                    <w:jc w:val="both"/>
                    <w:jc w:val="center"/>
                    <w:spacing w:line="360" w:lineRule="auto"/>
                  </w:pPr>
                  <w:r>
                    <w:t xml:space="preserve">Generalización fuera de Adult Income y clasificación tabular binaria</w:t>
                  </w:r>
                </w:p>
              </w:tc>
              <w:tc>
                <w:tcPr/>
                <w:p>
                  <w:pPr>
                    <w:pStyle w:val="Compact"/>
                    <w:jc w:val="both"/>
                    <w:jc w:val="center"/>
                    <w:spacing w:line="360" w:lineRule="auto"/>
                  </w:pPr>
                  <w:r>
                    <w:t xml:space="preserve">Framing explícito como benchmark tabular Adult; comparación con literatura XAI tabular</w:t>
                  </w:r>
                </w:p>
              </w:tc>
              <w:tc>
                <w:tcPr/>
                <w:p>
                  <w:pPr>
                    <w:pStyle w:val="Compact"/>
                    <w:jc w:val="both"/>
                    <w:jc w:val="center"/>
                    <w:spacing w:line="360" w:lineRule="auto"/>
                  </w:pPr>
                  <w:r>
                    <w:t xml:space="preserve">No cubre imágenes, texto, series temporales ni dominios causales</w:t>
                  </w:r>
                </w:p>
              </w:tc>
            </w:tr>
            <w:tr>
              <w:tc>
                <w:tcPr/>
                <w:p>
                  <w:pPr>
                    <w:pStyle w:val="Compact"/>
                    <w:jc w:val="both"/>
                    <w:jc w:val="center"/>
                    <w:spacing w:line="360" w:lineRule="auto"/>
                  </w:pPr>
                  <w:r>
                    <w:t xml:space="preserve">Conclusión estadística</w:t>
                  </w:r>
                </w:p>
              </w:tc>
              <w:tc>
                <w:tcPr/>
                <w:p>
                  <w:pPr>
                    <w:pStyle w:val="Compact"/>
                    <w:jc w:val="both"/>
                    <w:jc w:val="center"/>
                    <w:spacing w:line="360" w:lineRule="auto"/>
                  </w:pPr>
                  <w:r>
                    <w:t xml:space="preserve">Pseudorreplicación, multiplicidad y datos faltantes</w:t>
                  </w:r>
                </w:p>
              </w:tc>
              <w:tc>
                <w:tcPr/>
                <w:p>
                  <w:pPr>
                    <w:pStyle w:val="Compact"/>
                    <w:jc w:val="both"/>
                    <w:jc w:val="center"/>
                    <w:spacing w:line="360" w:lineRule="auto"/>
                  </w:pPr>
                  <w:r>
                    <w:t xml:space="preserve">Unidad inferencial por bloque/celda; Friedman, Nemenyi, Wilcoxon y Holm-Bonferroni; análisis de cobertura</w:t>
                  </w:r>
                </w:p>
              </w:tc>
              <w:tc>
                <w:tcPr/>
                <w:p>
                  <w:pPr>
                    <w:pStyle w:val="Compact"/>
                    <w:jc w:val="both"/>
                    <w:jc w:val="center"/>
                    <w:spacing w:line="360" w:lineRule="auto"/>
                  </w:pPr>
                  <w:r>
                    <w:t xml:space="preserve">Menor precisión en Anchors para bloques con baja cobertura</w:t>
                  </w:r>
                </w:p>
              </w:tc>
            </w:tr>
            <w:tr>
              <w:tc>
                <w:tcPr/>
                <w:p>
                  <w:pPr>
                    <w:pStyle w:val="Compact"/>
                    <w:jc w:val="both"/>
                    <w:jc w:val="center"/>
                    <w:spacing w:line="360" w:lineRule="auto"/>
                  </w:pPr>
                  <w:r>
                    <w:t xml:space="preserve">Reproducibilidad</w:t>
                  </w:r>
                </w:p>
              </w:tc>
              <w:tc>
                <w:tcPr/>
                <w:p>
                  <w:pPr>
                    <w:pStyle w:val="Compact"/>
                    <w:jc w:val="both"/>
                    <w:jc w:val="center"/>
                    <w:spacing w:line="360" w:lineRule="auto"/>
                  </w:pPr>
                  <w:r>
                    <w:t xml:space="preserve">Dependencia de versiones, semillas, recursos y artefactos locales</w:t>
                  </w:r>
                </w:p>
              </w:tc>
              <w:tc>
                <w:tcPr/>
                <w:p>
                  <w:pPr>
                    <w:pStyle w:val="Compact"/>
                    <w:jc w:val="both"/>
                    <w:jc w:val="center"/>
                    <w:spacing w:line="360" w:lineRule="auto"/>
                  </w:pPr>
                  <w:r>
                    <w:t xml:space="preserve">Manifiestos YAML, artefactos versionados, scripts de análisis y DOI Zenodo</w:t>
                  </w:r>
                </w:p>
              </w:tc>
              <w:tc>
                <w:tcPr/>
                <w:p>
                  <w:pPr>
                    <w:pStyle w:val="Compact"/>
                    <w:jc w:val="both"/>
                    <w:jc w:val="center"/>
                    <w:spacing w:line="360" w:lineRule="auto"/>
                  </w:pPr>
                  <w:r>
                    <w:t xml:space="preserve">Reproducción completa requiere entorno compatible con Python 3.11 y dependencias fijadas</w:t>
                  </w:r>
                </w:p>
              </w:tc>
            </w:tr>
          </w:tbl>
          <w:bookmarkEnd w:id="96"/>
          <w:p>
            <w:pPr>
              <w:spacing w:line="360" w:lineRule="auto"/>
              <w:jc w:val="both"/>
            </w:pPr>
          </w:p>
        </w:tc>
      </w:tr>
    </w:tbl>
    <w:p>
      <w:pPr>
        <w:pStyle w:val="Textoindependiente"/>
        <w:spacing w:line="360" w:lineRule="auto"/>
        <w:jc w:val="both"/>
      </w:pPr>
      <w:r>
        <w:t xml:space="preserve">El límite más importante es de constructo: el estudio produce evidencia</w:t>
      </w:r>
      <w:r>
        <w:t xml:space="preserve"> </w:t>
      </w:r>
      <w:r>
        <w:t xml:space="preserve">computacional reproducible sobre artefactos explicativos, no una validación</w:t>
      </w:r>
      <w:r>
        <w:t xml:space="preserve"> </w:t>
      </w:r>
      <w:r>
        <w:t xml:space="preserve">psicológica o causal de la explicación. Esta delimitación es consistente con el</w:t>
      </w:r>
      <w:r>
        <w:t xml:space="preserve"> </w:t>
      </w:r>
      <w:r>
        <w:t xml:space="preserve">Capítulo 2 y protege la interpretación de los resultados del Capítulo 4.</w:t>
      </w:r>
    </w:p>
    <w:bookmarkEnd w:id="97"/>
    <w:bookmarkStart w:id="98" w:name="trazabilidad-y-reproducibilidad"/>
    <w:p>
      <w:pPr>
        <w:pStyle w:val="Ttulo2"/>
        <w:spacing w:line="360" w:lineRule="auto"/>
        <w:jc w:val="both"/>
      </w:pPr>
      <w:r>
        <w:t xml:space="preserve">Trazabilidad y reproducibilidad</w:t>
      </w:r>
    </w:p>
    <w:p>
      <w:pPr>
        <w:pStyle w:val="FirstParagraph"/>
        <w:spacing w:line="360" w:lineRule="auto"/>
        <w:jc w:val="bot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10.5281/zenodo.19297724</w:t>
      </w:r>
      <w:r>
        <w:t xml:space="preserve"> </w:t>
      </w:r>
      <w:r>
        <w:t xml:space="preserve">(instantánea de referencia de abril de 2026).</w:t>
      </w:r>
      <w:r>
        <w:t xml:space="preserve"> </w:t>
      </w:r>
      <w:r>
        <w:t xml:space="preserve">Los anclajes de reproducibilidad principales son:</w:t>
      </w:r>
    </w:p>
    <w:p>
      <w:pPr>
        <w:pStyle w:val="Compact"/>
        <w:numPr>
          <w:ilvl w:val="0"/>
          <w:numId w:val="1010"/>
        </w:numPr>
        <w:spacing w:line="360" w:lineRule="auto"/>
        <w:jc w:val="both"/>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0"/>
        </w:numPr>
        <w:spacing w:line="360" w:lineRule="auto"/>
        <w:jc w:val="both"/>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0"/>
        </w:numPr>
        <w:spacing w:line="360" w:lineRule="auto"/>
        <w:jc w:val="both"/>
      </w:pPr>
      <w:r>
        <w:rPr>
          <w:rStyle w:val="VerbatimChar"/>
        </w:rPr>
        <w:t xml:space="preserve">outputs/batch_results.csv</w:t>
      </w:r>
      <w:r>
        <w:t xml:space="preserve"> </w:t>
      </w:r>
      <w:r>
        <w:t xml:space="preserve">— superposición de recuperación (30 filas).</w:t>
      </w:r>
    </w:p>
    <w:p>
      <w:pPr>
        <w:pStyle w:val="Compact"/>
        <w:numPr>
          <w:ilvl w:val="0"/>
          <w:numId w:val="1010"/>
        </w:numPr>
        <w:spacing w:line="360" w:lineRule="auto"/>
        <w:jc w:val="both"/>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0"/>
        </w:numPr>
        <w:spacing w:line="360" w:lineRule="auto"/>
        <w:jc w:val="both"/>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spacing w:line="360" w:lineRule="auto"/>
        <w:jc w:val="bot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E.</w:t>
      </w:r>
    </w:p>
    <w:bookmarkEnd w:id="98"/>
    <w:bookmarkStart w:id="101" w:name="sec-estudios-complementarios"/>
    <w:p>
      <w:pPr>
        <w:pStyle w:val="Ttulo2"/>
        <w:spacing w:line="360" w:lineRule="auto"/>
        <w:jc w:val="both"/>
      </w:pPr>
      <w:r>
        <w:t xml:space="preserve">Estudios complementarios: EXP3 y EXP4</w:t>
      </w:r>
    </w:p>
    <w:p>
      <w:pPr>
        <w:pStyle w:val="FirstParagraph"/>
        <w:spacing w:line="360" w:lineRule="auto"/>
        <w:jc w:val="both"/>
      </w:pPr>
      <w:r>
        <w:t xml:space="preserve">El diseño experimental principal comprende las fases EXP1 y EXP2 descritas en</w:t>
      </w:r>
      <w:r>
        <w:t xml:space="preserve"> </w:t>
      </w:r>
      <w:r>
        <w:t xml:space="preserve">las secciones anteriores. Dos estudios complementarios amplían el alcance de la</w:t>
      </w:r>
      <w:r>
        <w:t xml:space="preserve"> </w:t>
      </w:r>
      <w:r>
        <w:t xml:space="preserve">evidencia sin alterar el protocolo confirmativo: EXP3 extiende la validación</w:t>
      </w:r>
      <w:r>
        <w:t xml:space="preserve"> </w:t>
      </w:r>
      <w:r>
        <w:t xml:space="preserve">de fidelidad a datasets adicionales y EXP4 cuantifica la fiabilidad de los</w:t>
      </w:r>
      <w:r>
        <w:t xml:space="preserve"> </w:t>
      </w:r>
      <w:r>
        <w:t xml:space="preserve">evaluadores semánticos LLM como instrumento de medición.</w:t>
      </w:r>
    </w:p>
    <w:bookmarkStart w:id="99" w:name="sec-exp3-diseno"/>
    <w:p>
      <w:pPr>
        <w:pStyle w:val="Ttulo3"/>
        <w:spacing w:line="360" w:lineRule="auto"/>
        <w:jc w:val="both"/>
      </w:pPr>
      <w:r>
        <w:t xml:space="preserve">EXP3: Validación cruzada de fidelidad en datasets adicionales</w:t>
      </w:r>
    </w:p>
    <w:p>
      <w:pPr>
        <w:pStyle w:val="FirstParagraph"/>
        <w:spacing w:line="360" w:lineRule="auto"/>
        <w:jc w:val="both"/>
      </w:pPr>
      <w:r>
        <w:t xml:space="preserve">EXP3 replica el ordenamiento de fidelidad SHAP frente a Anchors en dos datasets</w:t>
      </w:r>
      <w:r>
        <w:t xml:space="preserve"> </w:t>
      </w:r>
      <w:r>
        <w:t xml:space="preserve">tabulares de clasificación binaria distintos al dataset primario:</w:t>
      </w:r>
    </w:p>
    <w:p>
      <w:pPr>
        <w:pStyle w:val="Compact"/>
        <w:numPr>
          <w:ilvl w:val="0"/>
          <w:numId w:val="1011"/>
        </w:numPr>
        <w:spacing w:line="360" w:lineRule="auto"/>
        <w:jc w:val="both"/>
      </w:pPr>
      <w:r>
        <w:rPr>
          <w:b/>
          <w:bCs/>
        </w:rPr>
        <w:t xml:space="preserve">Breast Cancer Wisconsin</w:t>
      </w:r>
      <w:r>
        <w:t xml:space="preserve"> </w:t>
      </w:r>
      <w:r>
        <w:t xml:space="preserve">(Dua and Graff 2019)</w:t>
      </w:r>
      <w:r>
        <w:t xml:space="preserve">:</w:t>
      </w:r>
      <w:r>
        <w:t xml:space="preserve"> </w:t>
      </w:r>
      <ns1:oMath>
        <ns1:r>
          <ns1:t>n</ns1:t>
        </ns1:r>
        <ns1:r>
          <ns1:rPr>
            <ns1:sty ns1:val="p"/>
          </ns1:rPr>
          <ns1:t>=</ns1:t>
        </ns1:r>
        <ns1:r>
          <ns1:t>569</ns1:t>
        </ns1:r>
      </ns1:oMath>
      <w:r>
        <w:t xml:space="preserve"> </w:t>
      </w:r>
      <w:r>
        <w:t xml:space="preserve">instancias, 30</w:t>
      </w:r>
      <w:r>
        <w:t xml:space="preserve"> </w:t>
      </w:r>
      <w:r>
        <w:t xml:space="preserve">características numéricas continuas (sin categóricas), clasificación binaria</w:t>
      </w:r>
      <w:r>
        <w:t xml:space="preserve"> </w:t>
      </w:r>
      <w:r>
        <w:t xml:space="preserve">maligno/benigno.</w:t>
      </w:r>
    </w:p>
    <w:p>
      <w:pPr>
        <w:pStyle w:val="Compact"/>
        <w:numPr>
          <w:ilvl w:val="0"/>
          <w:numId w:val="1011"/>
        </w:numPr>
        <w:spacing w:line="360" w:lineRule="auto"/>
        <w:jc w:val="both"/>
      </w:pPr>
      <w:r>
        <w:rPr>
          <w:b/>
          <w:bCs/>
        </w:rPr>
        <w:t xml:space="preserve">German Credit</w:t>
      </w:r>
      <w:r>
        <w:t xml:space="preserve"> </w:t>
      </w:r>
      <w:r>
        <w:t xml:space="preserve">(Dua and Graff 2019)</w:t>
      </w:r>
      <w:r>
        <w:t xml:space="preserve">:</w:t>
      </w:r>
      <w:r>
        <w:t xml:space="preserve"> </w:t>
      </w:r>
      <ns1:oMath>
        <ns1:r>
          <ns1:t>n</ns1:t>
        </ns1:r>
        <ns1:r>
          <ns1:rPr>
            <ns1:sty ns1:val="p"/>
          </ns1:rPr>
          <ns1:t>=</ns1:t>
        </ns1:r>
        <ns1:r>
          <ns1:t>1</ns1:t>
        </ns1:r>
        <ns1:r>
          <ns1:rPr>
            <ns1:sty ns1:val="p"/>
          </ns1:rPr>
          <ns1:t>,</ns1:t>
        </ns1:r>
        <ns1:r>
          <ns1:t>000</ns1:t>
        </ns1:r>
      </ns1:oMath>
      <w:r>
        <w:t xml:space="preserve"> </w:t>
      </w:r>
      <w:r>
        <w:t xml:space="preserve">instancias, 20 características</w:t>
      </w:r>
      <w:r>
        <w:t xml:space="preserve"> </w:t>
      </w:r>
      <w:r>
        <w:t xml:space="preserve">(mixtas numéricas y codificadas), clasificación binaria crédito-bueno/malo.</w:t>
      </w:r>
    </w:p>
    <w:p>
      <w:pPr>
        <w:pStyle w:val="FirstParagraph"/>
        <w:spacing w:line="360" w:lineRule="auto"/>
        <w:jc w:val="both"/>
      </w:pPr>
      <w:r>
        <w:t xml:space="preserve">El diseño de EXP3 cruza dos modelos (Random Forest y XGBoost), tres semillas</w:t>
      </w:r>
      <w:r>
        <w:t xml:space="preserve"> </w:t>
      </w:r>
      <w:r>
        <w:t xml:space="preserve">(</w:t>
      </w:r>
      <ns1:oMath>
        <ns1:r>
          <ns1:rPr>
            <ns1:sty ns1:val="p"/>
          </ns1:rPr>
          <ns1:t>{</ns1:t>
        </ns1:r>
        <ns1:r>
          <ns1:t>42</ns1:t>
        </ns1:r>
        <ns1:r>
          <ns1:rPr>
            <ns1:sty ns1:val="p"/>
          </ns1:rPr>
          <ns1:t>,</ns1:t>
        </ns1:r>
        <ns1:r>
          <ns1:t>123</ns1:t>
        </ns1:r>
        <ns1:r>
          <ns1:rPr>
            <ns1:sty ns1:val="p"/>
          </ns1:rPr>
          <ns1:t>,</ns1:t>
        </ns1:r>
        <ns1:r>
          <ns1:t>456</ns1:t>
        </ns1:r>
        <ns1:r>
          <ns1:rPr>
            <ns1:sty ns1:val="p"/>
          </ns1:rPr>
          <ns1:t>}</ns1:t>
        </ns1:r>
      </ns1:oMath>
      <w:r>
        <w:t xml:space="preserve">) y los dos datasets, produciendo</w:t>
      </w:r>
      <w:r>
        <w:t xml:space="preserve"> </w:t>
      </w:r>
      <ns1:oMath>
        <ns1:r>
          <ns1:t>2</ns1:t>
        </ns1:r>
        <ns1:r>
          <ns1:rPr>
            <ns1:sty ns1:val="p"/>
          </ns1:rPr>
          <ns1:t>×</ns1:t>
        </ns1:r>
        <ns1:r>
          <ns1:t>2</ns1:t>
        </ns1:r>
        <ns1:r>
          <ns1:rPr>
            <ns1:sty ns1:val="p"/>
          </ns1:rPr>
          <ns1:t>×</ns1:t>
        </ns1:r>
        <ns1:r>
          <ns1:t>3</ns1:t>
        </ns1:r>
        <ns1:r>
          <ns1:rPr>
            <ns1:sty ns1:val="p"/>
          </ns1:rPr>
          <ns1:t>=</ns1:t>
        </ns1:r>
        <ns1:r>
          <ns1:t>12</ns1:t>
        </ns1:r>
      </ns1:oMath>
      <w:r>
        <w:t xml:space="preserve"> </w:t>
      </w:r>
      <w:r>
        <w:t xml:space="preserve">comparaciones pareadas SHAP–Anchors. La métrica evaluada es fidelidad con la</w:t>
      </w:r>
      <w:r>
        <w:t xml:space="preserve"> </w:t>
      </w:r>
      <w:r>
        <w:t xml:space="preserve">misma operacionalización que EXP2 (correlación importancias–enmascaramiento).</w:t>
      </w:r>
      <w:r>
        <w:t xml:space="preserve"> </w:t>
      </w:r>
      <w:r>
        <w:t xml:space="preserve">La métrica de estabilidad no fue instrumentada en EXP3 por razones de</w:t>
      </w:r>
      <w:r>
        <w:t xml:space="preserve"> </w:t>
      </w:r>
      <w:r>
        <w:t xml:space="preserve">factibilidad computacional; LIME tampoco fue incluido. EXP3 proporciona</w:t>
      </w:r>
      <w:r>
        <w:t xml:space="preserve"> </w:t>
      </w:r>
      <w:r>
        <w:t xml:space="preserve">validación cross-dataset del ordenamiento SHAP</w:t>
      </w:r>
      <w:r>
        <w:t xml:space="preserve"> </w:t>
      </w:r>
      <ns1:oMath>
        <ns1:r>
          <ns1:rPr>
            <ns1:sty ns1:val="p"/>
          </ns1:rPr>
          <ns1:t>&gt;</ns1:t>
        </ns1:r>
      </ns1:oMath>
      <w:r>
        <w:t xml:space="preserve"> </w:t>
      </w:r>
      <w:r>
        <w:t xml:space="preserve">Anchors en fidelidad; el</w:t>
      </w:r>
      <w:r>
        <w:t xml:space="preserve"> </w:t>
      </w:r>
      <w:r>
        <w:t xml:space="preserve">contraste SHAP-LIME y la estabilidad permanecen acotados a UCI Adult Income.</w:t>
      </w:r>
    </w:p>
    <w:bookmarkEnd w:id="99"/>
    <w:bookmarkStart w:id="100" w:name="sec-exp4-diseno"/>
    <w:p>
      <w:pPr>
        <w:pStyle w:val="Ttulo3"/>
        <w:spacing w:line="360" w:lineRule="auto"/>
        <w:jc w:val="both"/>
      </w:pPr>
      <w:r>
        <w:t xml:space="preserve">EXP4: Estudio de fiabilidad de jueces LLM para evaluación semántica</w:t>
      </w:r>
    </w:p>
    <w:p>
      <w:pPr>
        <w:pStyle w:val="FirstParagraph"/>
        <w:spacing w:line="360" w:lineRule="auto"/>
        <w:jc w:val="both"/>
      </w:pPr>
      <w:r>
        <w:t xml:space="preserve">EXP4 es un estudio de calibración empírica cuyo propósito es cuantificar la</w:t>
      </w:r>
      <w:r>
        <w:t xml:space="preserve"> </w:t>
      </w:r>
      <w:r>
        <w:t xml:space="preserve">convergencia inter-juez de evaluadores LLM sobre explicaciones del corpus</w:t>
      </w:r>
      <w:r>
        <w:t xml:space="preserve"> </w:t>
      </w:r>
      <w:r>
        <w:t xml:space="preserve">experimental de EXP2. Su función en la tesis es proporcionar evidencia</w:t>
      </w:r>
      <w:r>
        <w:t xml:space="preserve"> </w:t>
      </w:r>
      <w:r>
        <w:t xml:space="preserve">cuantitativa de la brecha de evaluación semántica identificada en la taxonomía</w:t>
      </w:r>
      <w:r>
        <w:t xml:space="preserve"> </w:t>
      </w:r>
      <w:r>
        <w:t xml:space="preserve">del Capítulo 5 (Brecha 3: la evaluación semántica crece más rápido que su base</w:t>
      </w:r>
      <w:r>
        <w:t xml:space="preserve"> </w:t>
      </w:r>
      <w:r>
        <w:t xml:space="preserve">de validación empírica).</w:t>
      </w:r>
    </w:p>
    <w:p>
      <w:pPr>
        <w:pStyle w:val="Textoindependiente"/>
        <w:spacing w:line="360" w:lineRule="auto"/>
        <w:jc w:val="both"/>
      </w:pPr>
      <w:r>
        <w:rPr>
          <w:b/>
          <w:bCs/>
        </w:rPr>
        <w:t xml:space="preserve">Muestra.</w:t>
      </w:r>
      <w:r>
        <w:t xml:space="preserve"> </w:t>
      </w:r>
      <w:r>
        <w:t xml:space="preserve">Se seleccionaron</w:t>
      </w:r>
      <w:r>
        <w:t xml:space="preserve"> </w:t>
      </w:r>
      <ns1:oMath>
        <ns1:r>
          <ns1:t>n</ns1:t>
        </ns1:r>
        <ns1:r>
          <ns1:rPr>
            <ns1:sty ns1:val="p"/>
          </ns1:rPr>
          <ns1:t>=</ns1:t>
        </ns1:r>
        <ns1:r>
          <ns1:t>147</ns1:t>
        </ns1:r>
      </ns1:oMath>
      <w:r>
        <w:t xml:space="preserve"> </w:t>
      </w:r>
      <w:r>
        <w:t xml:space="preserve">pares de salidas de explicación del</w:t>
      </w:r>
      <w:r>
        <w:t xml:space="preserve"> </w:t>
      </w:r>
      <w:r>
        <w:t xml:space="preserve">corpus EXP2, estratificados para representar los cinco modelos y los cuatro</w:t>
      </w:r>
      <w:r>
        <w:t xml:space="preserve"> </w:t>
      </w:r>
      <w:r>
        <w:t xml:space="preserve">métodos explicadores. Cada par contiene la salida de texto de dos explicaciones</w:t>
      </w:r>
      <w:r>
        <w:t xml:space="preserve"> </w:t>
      </w:r>
      <w:r>
        <w:t xml:space="preserve">sobre la misma instancia o configuración comparable.</w:t>
      </w:r>
    </w:p>
    <w:p>
      <w:pPr>
        <w:pStyle w:val="Textoindependiente"/>
        <w:spacing w:line="360" w:lineRule="auto"/>
        <w:jc w:val="both"/>
      </w:pPr>
      <w:r>
        <w:rPr>
          <w:b/>
          <w:bCs/>
        </w:rPr>
        <w:t xml:space="preserve">Jueces.</w:t>
      </w:r>
      <w:r>
        <w:t xml:space="preserve"> </w:t>
      </w:r>
      <w:r>
        <w:t xml:space="preserve">Tres jueces LLM independientes puntuaron cada par de forma</w:t>
      </w:r>
      <w:r>
        <w:t xml:space="preserve"> </w:t>
      </w:r>
      <w:r>
        <w:t xml:space="preserve">ciega (sin conocer la puntuación de los otros jueces) sobre siete dimensiones</w:t>
      </w:r>
      <w:r>
        <w:t xml:space="preserve"> </w:t>
      </w:r>
      <w:r>
        <w:t xml:space="preserve">semánticas estructuradas mediante una rúbrica de escala 1–5 por dimensión</w:t>
      </w:r>
      <w:r>
        <w:t xml:space="preserve"> </w:t>
      </w:r>
      <w:r>
        <w:t xml:space="preserve">(Tabla</w:t>
      </w:r>
      <w:r>
        <w:t xml:space="preserve"> </w:t>
      </w:r>
      <w:r>
        <w:rPr>
          <w:b/>
          <w:bCs/>
        </w:rPr>
        <w:t xml:space="preserve">?@tbl-exp4-dimensiones</w:t>
      </w:r>
      <w:r>
        <w:t xml:space="preserve"> </w:t>
      </w:r>
      <w:r>
        <w:t xml:space="preserve">del Capítulo 5).</w:t>
      </w:r>
    </w:p>
    <w:p>
      <w:pPr>
        <w:pStyle w:val="Textoindependiente"/>
        <w:spacing w:line="360" w:lineRule="auto"/>
        <w:jc w:val="both"/>
      </w:pPr>
      <w:r>
        <w:rPr>
          <w:b/>
          <w:bCs/>
        </w:rPr>
        <w:t xml:space="preserve">Análisis.</w:t>
      </w:r>
      <w:r>
        <w:t xml:space="preserve"> </w:t>
      </w:r>
      <w:r>
        <w:t xml:space="preserve">La fiabilidad inter-juez se cuantifica mediante la correlación</w:t>
      </w:r>
      <w:r>
        <w:t xml:space="preserve"> </w:t>
      </w:r>
      <w:r>
        <w:t xml:space="preserve">intraclase ICC(2,1) —modelo de efectos aleatorios bidireccionales, concordancia</w:t>
      </w:r>
      <w:r>
        <w:t xml:space="preserve"> </w:t>
      </w:r>
      <w:r>
        <w:t xml:space="preserve">absoluta— y el</w:t>
      </w:r>
      <w:r>
        <w:t xml:space="preserve"> </w:t>
      </w:r>
      <ns1:oMath>
        <ns1:r>
          <ns1:t>α</ns1:t>
        </ns1:r>
      </ns1:oMath>
      <w:r>
        <w:t xml:space="preserve"> </w:t>
      </w:r>
      <w:r>
        <w:t xml:space="preserve">de Krippendorff. El umbral de fiabilidad aceptable es</w:t>
      </w:r>
      <w:r>
        <w:t xml:space="preserve"> </w:t>
      </w:r>
      <ns1:oMath>
        <ns1:r>
          <ns1:rPr>
            <ns1:sty ns1:val="p"/>
          </ns1:rPr>
          <ns1:t>≥</ns1:t>
        </ns1:r>
        <ns1:r>
          <ns1:t>0.75</ns1:t>
        </ns1:r>
      </ns1:oMath>
      <w:r>
        <w:t xml:space="preserve"> </w:t>
      </w:r>
      <w:r>
        <w:t xml:space="preserve">(Koo and Li 2016)</w:t>
      </w:r>
      <w:r>
        <w:t xml:space="preserve">, que corresponde a la categoría</w:t>
      </w:r>
      <w:r>
        <w:t xml:space="preserve"> </w:t>
      </w:r>
      <w:r>
        <w:rPr>
          <w:i/>
          <w:iCs/>
        </w:rPr>
        <w:t xml:space="preserve">good</w:t>
      </w:r>
      <w:r>
        <w:t xml:space="preserve"> </w:t>
      </w:r>
      <w:r>
        <w:t xml:space="preserve">o superior según</w:t>
      </w:r>
      <w:r>
        <w:t xml:space="preserve"> </w:t>
      </w:r>
      <w:r>
        <w:t xml:space="preserve">los criterios de</w:t>
      </w:r>
      <w:r>
        <w:t xml:space="preserve"> </w:t>
      </w:r>
      <w:r>
        <w:t xml:space="preserve">Koo and Li (2016)</w:t>
      </w:r>
      <w:r>
        <w:t xml:space="preserve">.</w:t>
      </w:r>
    </w:p>
    <w:p>
      <w:pPr>
        <w:pStyle w:val="Textoindependiente"/>
        <w:spacing w:line="360" w:lineRule="auto"/>
        <w:jc w:val="both"/>
      </w:pPr>
      <w:r>
        <w:rPr>
          <w:b/>
          <w:bCs/>
        </w:rPr>
        <w:t xml:space="preserve">Alcance.</w:t>
      </w:r>
      <w:r>
        <w:t xml:space="preserve"> </w:t>
      </w:r>
      <w:r>
        <w:t xml:space="preserve">EXP4 evalúa la fiabilidad del instrumento de medición semántico,</w:t>
      </w:r>
      <w:r>
        <w:t xml:space="preserve"> </w:t>
      </w:r>
      <w:r>
        <w:t xml:space="preserve">no la calidad de los métodos explicadores. Sus resultados no modifican las</w:t>
      </w:r>
      <w:r>
        <w:t xml:space="preserve"> </w:t>
      </w:r>
      <w:r>
        <w:t xml:space="preserve">conclusiones confirmativas de H1–H3; aportan evidencia sobre el diseño de</w:t>
      </w:r>
      <w:r>
        <w:t xml:space="preserve"> </w:t>
      </w:r>
      <w:r>
        <w:t xml:space="preserve">rúbricas para evaluación semántica futura. EXP4 tiene carácter exploratorio y</w:t>
      </w:r>
      <w:r>
        <w:t xml:space="preserve"> </w:t>
      </w:r>
      <w:r>
        <w:t xml:space="preserve">no genera hipótesis confirmativas propias; su resultado se clasifica como</w:t>
      </w:r>
      <w:r>
        <w:t xml:space="preserve"> </w:t>
      </w:r>
      <w:r>
        <w:t xml:space="preserve">proposición de calibración P2 (Capítulo 6).</w:t>
      </w:r>
    </w:p>
    <w:p>
      <w:pPr>
        <w:pStyle w:val="Textoindependiente"/>
        <w:spacing w:line="360" w:lineRule="auto"/>
        <w:jc w:val="both"/>
      </w:pPr>
      <w:r>
        <w:t xml:space="preserve">Este capítulo ha operacionalizado el protocolo FOM-7 y ha establecido las</w:t>
      </w:r>
      <w:r>
        <w:t xml:space="preserve"> </w:t>
      </w:r>
      <w:r>
        <w:t xml:space="preserve">condiciones bajo las cuales los resultados del Capítulo 4 son estadísticamente</w:t>
      </w:r>
      <w:r>
        <w:t xml:space="preserve"> </w:t>
      </w:r>
      <w:r>
        <w:t xml:space="preserve">admisibles: 275 artefactos calificados de 300 planificados, con separación</w:t>
      </w:r>
      <w:r>
        <w:t xml:space="preserve"> </w:t>
      </w:r>
      <w:r>
        <w:t xml:space="preserve">EXP1/EXP2, semillas declarativas, auditoría de integridad y plan inferencial</w:t>
      </w:r>
      <w:r>
        <w:t xml:space="preserve"> </w:t>
      </w:r>
      <w:r>
        <w:t xml:space="preserve">fijado antes de la ejecución confirmativa. Los estudios complementarios EXP3 y</w:t>
      </w:r>
      <w:r>
        <w:t xml:space="preserve"> </w:t>
      </w:r>
      <w:r>
        <w:t xml:space="preserve">EXP4 amplían la evidencia disponible sin alterar el protocolo confirmativo</w:t>
      </w:r>
      <w:r>
        <w:t xml:space="preserve"> </w:t>
      </w:r>
      <w:r>
        <w:t xml:space="preserve">central. El Capítulo 4 presenta los resultados de H1, H2, H3 y P1; el Capítulo 5</w:t>
      </w:r>
      <w:r>
        <w:t xml:space="preserve"> </w:t>
      </w:r>
      <w:r>
        <w:t xml:space="preserve">incorpora los resultados de EXP4 como componente empírico de la taxonomía.</w:t>
      </w:r>
    </w:p>
    <w:bookmarkEnd w:id="100"/>
    <w:bookmarkEnd w:id="101"/>
    <w:bookmarkEnd w:id="102"/>
    <w:bookmarkStart w:id="160" w:name="resultados-y-discusión"/>
    <w:p>
      <w:pPr>
        <w:pStyle w:val="Ttulo1"/>
        <w:spacing w:line="360" w:lineRule="auto"/>
        <w:jc w:val="both"/>
      </w:pPr>
      <w:r>
        <w:t xml:space="preserve">Resultados y discusión</w:t>
      </w:r>
    </w:p>
    <w:p>
      <w:pPr>
        <w:pStyle w:val="FirstParagraph"/>
        <w:spacing w:line="360" w:lineRule="auto"/>
        <w:jc w:val="bot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spacing w:line="360" w:lineRule="auto"/>
        <w:jc w:val="both"/>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ns1:oMath>
        <ns1:r>
          <ns1:t>5</ns1:t>
        </ns1:r>
        <ns1:r>
          <ns1:rPr>
            <ns1:sty ns1:val="p"/>
          </ns1:rPr>
          <ns1:t>×</ns1:t>
        </ns1:r>
        <ns1:r>
          <ns1:t>4</ns1:t>
        </ns1:r>
        <ns1:r>
          <ns1:rPr>
            <ns1:sty ns1:val="p"/>
          </ns1:rPr>
          <ns1:t>×</ns1:t>
        </ns1:r>
        <ns1:r>
          <ns1:t>5</ns1:t>
        </ns1:r>
        <ns1:r>
          <ns1:rPr>
            <ns1:sty ns1:val="p"/>
          </ns1:rPr>
          <ns1:t>×</ns1:t>
        </ns1:r>
        <ns1:r>
          <ns1:t>3</ns1:t>
        </ns1:r>
      </ns1: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104" w:name="X265f56e886428ba30debc49e85dcc5a7469d3ae"/>
    <w:p>
      <w:pPr>
        <w:pStyle w:val="Ttulo2"/>
        <w:spacing w:line="360" w:lineRule="auto"/>
        <w:jc w:val="both"/>
      </w:pPr>
      <w:r>
        <w:t xml:space="preserve">Descripción general de la cobertura analítica</w:t>
      </w:r>
    </w:p>
    <w:p>
      <w:pPr>
        <w:pStyle w:val="FirstParagraph"/>
        <w:spacing w:line="360" w:lineRule="auto"/>
        <w:jc w:val="bot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ns1:oMath>
        <ns1:r>
          <ns1:t>D</ns1:t>
        </ns1:r>
        <ns1:r>
          <ns1:rPr>
            <ns1:sty ns1:val="p"/>
          </ns1:rPr>
          <ns1:t>=</ns1:t>
        </ns1:r>
        <ns1:r>
          <ns1:t>g</ns1:t>
        </ns1:r>
        <ns1:r>
          <ns1:rPr>
            <ns1:sty ns1:val="p"/>
          </ns1:rPr>
          <ns1:t>×</ns1:t>
        </ns1:r>
        <ns1:r>
          <ns1:t>k</ns1:t>
        </ns1:r>
        <ns1:r>
          <ns1:rPr>
            <ns1:sty ns1:val="p"/>
          </ns1:rPr>
          <ns1:t>×</ns1:t>
        </ns1:r>
        <ns1:r>
          <ns1:t>s</ns1:t>
        </ns1:r>
        <ns1:r>
          <ns1:rPr>
            <ns1:sty ns1:val="p"/>
          </ns1:rPr>
          <ns1:t>×</ns1:t>
        </ns1:r>
        <ns1:r>
          <ns1:t>n</ns1:t>
        </ns1:r>
        <ns1:r>
          <ns1:rPr>
            <ns1:sty ns1:val="p"/>
          </ns1:rPr>
          <ns1:t>=</ns1:t>
        </ns1:r>
        <ns1:r>
          <ns1:t>5</ns1:t>
        </ns1:r>
        <ns1:r>
          <ns1:rPr>
            <ns1:sty ns1:val="p"/>
          </ns1:rPr>
          <ns1:t>×</ns1:t>
        </ns1:r>
        <ns1:r>
          <ns1:t>4</ns1:t>
        </ns1:r>
        <ns1:r>
          <ns1:rPr>
            <ns1:sty ns1:val="p"/>
          </ns1:rPr>
          <ns1:t>×</ns1:t>
        </ns1:r>
        <ns1:r>
          <ns1:t>5</ns1:t>
        </ns1:r>
        <ns1:r>
          <ns1:rPr>
            <ns1:sty ns1:val="p"/>
          </ns1:rPr>
          <ns1:t>×</ns1:t>
        </ns1:r>
        <ns1:r>
          <ns1:t>3</ns1:t>
        </ns1:r>
      </ns1:oMath>
      <w:r>
        <w:t xml:space="preserve">), se</w:t>
      </w:r>
      <w:r>
        <w:t xml:space="preserve"> </w:t>
      </w:r>
      <w:r>
        <w:t xml:space="preserve">obtuvieron artefactos calificados en 275, distribuidos como sigue:</w:t>
      </w:r>
    </w:p>
    <w:p>
      <w:pPr>
        <w:numPr>
          <w:ilvl w:val="0"/>
          <w:numId w:val="1012"/>
        </w:numPr>
        <w:spacing w:line="360" w:lineRule="auto"/>
        <w:jc w:val="both"/>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2"/>
        </w:numPr>
        <w:spacing w:line="360" w:lineRule="auto"/>
        <w:jc w:val="both"/>
      </w:pPr>
      <w:r>
        <w:rPr>
          <w:b/>
          <w:bCs/>
        </w:rPr>
        <w:t xml:space="preserve">LIME</w:t>
      </w:r>
      <w:r>
        <w:t xml:space="preserve">: 75 de 75 celdas (100%). Cobertura completa.</w:t>
      </w:r>
    </w:p>
    <w:p>
      <w:pPr>
        <w:numPr>
          <w:ilvl w:val="0"/>
          <w:numId w:val="1012"/>
        </w:numPr>
        <w:spacing w:line="360" w:lineRule="auto"/>
        <w:jc w:val="both"/>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2"/>
        </w:numPr>
        <w:spacing w:line="360" w:lineRule="auto"/>
        <w:jc w:val="both"/>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spacing w:line="360" w:lineRule="auto"/>
        <w:jc w:val="both"/>
      </w:pPr>
      <w:r>
        <w:t xml:space="preserve">Para el análisis Friedman (H1 y H2), se utilizan los 15 bloques completos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coincidentes en las que</w:t>
      </w:r>
      <w:r>
        <w:t xml:space="preserve"> </w:t>
      </w:r>
      <w:r>
        <w:t xml:space="preserve">ambos métodos producen resultados calificados.</w:t>
      </w:r>
    </w:p>
    <w:p>
      <w:pPr>
        <w:pStyle w:val="Textoindependiente"/>
        <w:spacing w:line="360" w:lineRule="auto"/>
        <w:jc w:val="both"/>
      </w:pPr>
      <w:r>
        <w:t xml:space="preserve">La Tabla</w:t>
      </w:r>
      <w:r>
        <w:t xml:space="preserve"> </w:t>
      </w:r>
      <w:hyperlink w:anchor="tbl-results-overview">
        <w:r>
          <w:rPr>
            <w:rStyle w:val="Hipervnculo"/>
          </w:rPr>
          <w:t xml:space="preserve">Table 5.1</w:t>
        </w:r>
      </w:hyperlink>
      <w:r>
        <w:t xml:space="preserve"> </w:t>
      </w:r>
      <w:r>
        <w:t xml:space="preserve">resume las decisiones inferenciales principales</w:t>
      </w:r>
      <w:r>
        <w:t xml:space="preserve"> </w:t>
      </w:r>
      <w:r>
        <w:t xml:space="preserve">antes de desarrollar cada resultado. Su función es separar la evidencia</w:t>
      </w:r>
      <w:r>
        <w:t xml:space="preserve"> </w:t>
      </w:r>
      <w:r>
        <w:t xml:space="preserve">estadística de la interpretación sustantiva y hacer explícita la unidad de</w:t>
      </w:r>
      <w:r>
        <w:t xml:space="preserve"> </w:t>
      </w:r>
      <w:r>
        <w:t xml:space="preserve">análisis de cada claim.</w:t>
      </w:r>
    </w:p>
    <w:tbl>
      <w:tblPr>
        <w:tblStyle w:val="Table"/>
        <w:tblW w:type="pct" w:w="5000"/>
        <w:tblLayout w:type="fixed"/>
        <w:tblLook w:firstRow="0" w:lastRow="0" w:firstColumn="0" w:lastColumn="0" w:noHBand="0" w:noVBand="0" w:val="0000"/>
      </w:tblPr>
      <w:tblGrid>
        <w:gridCol w:w="7920"/>
      </w:tblGrid>
      <w:tr>
        <w:tc>
          <w:tcPr/>
          <w:bookmarkStart w:id="103" w:name="tbl-results-overview"/>
          <w:p>
            <w:pPr>
              <w:jc w:val="both"/>
              <w:spacing w:line="360" w:lineRule="auto"/>
            </w:pPr>
            <w:pPr>
              <w:jc w:val="left"/>
              <w:spacing w:before="200"/>
              <w:pStyle w:val="ImageCaption"/>
            </w:pPr>
            <w:r>
              <w:t xml:space="preserve">Table 5.1: Resumen auditable de hipótesis, pruebas y decisiones.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Test</w:t>
                  </w:r>
                </w:p>
              </w:tc>
              <w:tc>
                <w:tcPr/>
                <w:p>
                  <w:pPr>
                    <w:pStyle w:val="Compact"/>
                    <w:jc w:val="both"/>
                    <w:jc w:val="center"/>
                    <w:spacing w:line="360" w:lineRule="auto"/>
                  </w:pPr>
                  <w:r>
                    <w:t xml:space="preserve">Unidad /</w:t>
                  </w:r>
                  <w:r>
                    <w:t xml:space="preserve"> </w:t>
                  </w:r>
                  <ns1:oMath>
                    <ns1:r>
                      <ns1:t>n</ns1:t>
                    </ns1:r>
                  </ns1:oMath>
                </w:p>
              </w:tc>
              <w:tc>
                <w:tcPr/>
                <w:p>
                  <w:pPr>
                    <w:pStyle w:val="Compact"/>
                    <w:jc w:val="both"/>
                    <w:jc w:val="center"/>
                    <w:spacing w:line="360" w:lineRule="auto"/>
                  </w:pPr>
                  <w:r>
                    <w:t xml:space="preserve">Estadístico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Efecto</w:t>
                  </w:r>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H1: existen diferencias de fidelidad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42.12</ns1:t>
                    </ns1:r>
                  </ns1:oMath>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0.936</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r>
                    <w:t xml:space="preserve">; SHAP supera a Anchors/DiCE y LIME supera a DiCE</w:t>
                  </w:r>
                </w:p>
              </w:tc>
            </w:tr>
            <w:tr>
              <w:tc>
                <w:tcPr/>
                <w:p>
                  <w:pPr>
                    <w:pStyle w:val="Compact"/>
                    <w:jc w:val="both"/>
                    <w:jc w:val="center"/>
                    <w:spacing w:line="360" w:lineRule="auto"/>
                  </w:pPr>
                  <w:r>
                    <w:t xml:space="preserve">H2: existen diferencias de estabilidad entre métodos</w:t>
                  </w:r>
                </w:p>
              </w:tc>
              <w:tc>
                <w:tcPr/>
                <w:p>
                  <w:pPr>
                    <w:pStyle w:val="Compact"/>
                    <w:jc w:val="both"/>
                    <w:jc w:val="center"/>
                    <w:spacing w:line="360" w:lineRule="auto"/>
                  </w:pPr>
                  <w:r>
                    <w:t xml:space="preserve">Friedman + Nemenyi</w:t>
                  </w:r>
                </w:p>
              </w:tc>
              <w:tc>
                <w:tcPr/>
                <w:p>
                  <w:pPr>
                    <w:pStyle w:val="Compact"/>
                    <w:jc w:val="both"/>
                    <w:jc w:val="center"/>
                    <w:spacing w:line="360" w:lineRule="auto"/>
                  </w:pPr>
                  <w:r>
                    <w:t xml:space="preserve">15 bloques</w:t>
                  </w:r>
                  <w:r>
                    <w:t xml:space="preserve"> </w:t>
                  </w:r>
                  <ns1:oMath>
                    <ns1:r>
                      <ns1:rPr>
                        <ns1:sty ns1:val="p"/>
                      </ns1:rPr>
                      <ns1:t>(</ns1:t>
                    </ns1:r>
                    <ns1:r>
                      <ns1:t>g</ns1:t>
                    </ns1:r>
                    <ns1:r>
                      <ns1:rPr>
                        <ns1:sty ns1:val="p"/>
                      </ns1:rPr>
                      <ns1:t>,</ns1:t>
                    </ns1:r>
                    <ns1:r>
                      <ns1:t>n</ns1:t>
                    </ns1:r>
                    <ns1:r>
                      <ns1:rPr>
                        <ns1:sty ns1:val="p"/>
                      </ns1:rPr>
                      <ns1:t>)</ns1:t>
                    </ns1:r>
                  </ns1:oMath>
                </w:p>
              </w:tc>
              <w:tc>
                <w:tcPr/>
                <w:p>
                  <w:pPr>
                    <w:pStyle w:val="Compact"/>
                    <w:jc w:val="both"/>
                    <w:jc w:val="center"/>
                    <w:spacing w:line="360" w:lineRule="auto"/>
                  </w:pPr>
                  <ns1:oMath>
                    <ns1:sSubSup>
                      <ns1:e>
                        <ns1:r>
                          <ns1:t>χ</ns1:t>
                        </ns1:r>
                      </ns1:e>
                      <ns1:sub>
                        <ns1:r>
                          <ns1:t>F</ns1:t>
                        </ns1:r>
                      </ns1:sub>
                      <ns1:sup>
                        <ns1:r>
                          <ns1:t>2</ns1:t>
                        </ns1:r>
                      </ns1:sup>
                    </ns1:sSubSup>
                    <ns1:r>
                      <ns1:rPr>
                        <ns1:sty ns1:val="p"/>
                      </ns1:rPr>
                      <ns1:t>=</ns1:t>
                    </ns1:r>
                    <ns1:r>
                      <ns1:t>40.68</ns1:t>
                    </ns1:r>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W</ns1:t>
                    </ns1:r>
                    <ns1:r>
                      <ns1:rPr>
                        <ns1:sty ns1:val="p"/>
                      </ns1:rPr>
                      <ns1:t>=</ns1:t>
                    </ns1:r>
                    <ns1:r>
                      <ns1:t>0.904</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r>
                    <w:t xml:space="preserve">; SHAP/DiCE forman el grupo más estable</w:t>
                  </w:r>
                </w:p>
              </w:tc>
            </w:tr>
            <w:tr>
              <w:tc>
                <w:tcPr/>
                <w:p>
                  <w:pPr>
                    <w:pStyle w:val="Compact"/>
                    <w:jc w:val="both"/>
                    <w:jc w:val="center"/>
                    <w:spacing w:line="360" w:lineRule="auto"/>
                  </w:pPr>
                  <w:r>
                    <w:t xml:space="preserve">H3: SHAP y LIME difieren en calidad-coste</w:t>
                  </w:r>
                </w:p>
              </w:tc>
              <w:tc>
                <w:tcPr/>
                <w:p>
                  <w:pPr>
                    <w:pStyle w:val="Compact"/>
                    <w:jc w:val="both"/>
                    <w:jc w:val="center"/>
                    <w:spacing w:line="360" w:lineRule="auto"/>
                  </w:pPr>
                  <w:r>
                    <w:t xml:space="preserve">Wilcoxon pareado bilateral</w:t>
                  </w:r>
                </w:p>
              </w:tc>
              <w:tc>
                <w:tcPr/>
                <w:p>
                  <w:pPr>
                    <w:pStyle w:val="Compact"/>
                    <w:jc w:val="both"/>
                    <w:jc w:val="center"/>
                    <w:spacing w:line="360" w:lineRule="auto"/>
                  </w:pPr>
                  <w:r>
                    <w:t xml:space="preserve">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p>
              </w:tc>
              <w:tc>
                <w:tcPr/>
                <w:p>
                  <w:pPr>
                    <w:pStyle w:val="Compact"/>
                    <w:jc w:val="both"/>
                    <w:jc w:val="center"/>
                    <w:spacing w:line="360" w:lineRule="auto"/>
                  </w:pPr>
                  <ns1:oMath>
                    <ns1:r>
                      <ns1:t>W</ns1:t>
                    </ns1:r>
                    <ns1:r>
                      <ns1:rPr>
                        <ns1:sty ns1:val="p"/>
                      </ns1:rPr>
                      <ns1:t>=</ns1:t>
                    </ns1:r>
                    <ns1:r>
                      <ns1:t>0</ns1:t>
                    </ns1:r>
                  </ns1:oMath>
                  <w:r>
                    <w:t xml:space="preserve"> </w:t>
                  </w:r>
                  <w:r>
                    <w:t xml:space="preserve">a</w:t>
                  </w:r>
                  <w:r>
                    <w:t xml:space="preserve"> </w:t>
                  </w:r>
                  <ns1:oMath>
                    <ns1:r>
                      <ns1:t>205</ns1:t>
                    </ns1:r>
                  </ns1:oMath>
                </w:p>
              </w:tc>
              <w:tc>
                <w:tcPr/>
                <w:p>
                  <w:pPr>
                    <w:pStyle w:val="Compact"/>
                    <w:jc w:val="both"/>
                    <w:jc w:val="center"/>
                    <w:spacing w:line="360" w:lineRule="auto"/>
                  </w:pPr>
                  <ns1:oMath>
                    <ns1:r>
                      <ns1:rPr>
                        <ns1:sty ns1:val="p"/>
                      </ns1:rPr>
                      <ns1:t>≤</ns1:t>
                    </ns1:r>
                    <ns1:r>
                      <ns1:t>2.64</ns1:t>
                    </ns1:r>
                    <ns1:r>
                      <ns1:rPr>
                        <ns1:sty ns1:val="p"/>
                      </ns1:rPr>
                      <ns1:t>×</ns1:t>
                    </ns1:r>
                    <ns1:sSup>
                      <ns1:e>
                        <ns1:r>
                          <ns1:t>10</ns1:t>
                        </ns1:r>
                      </ns1:e>
                      <ns1:sup>
                        <ns1:r>
                          <ns1:rPr>
                            <ns1:sty ns1:val="p"/>
                          </ns1:rPr>
                          <ns1:t>−</ns1:t>
                        </ns1:r>
                        <ns1:r>
                          <ns1:t>13</ns1:t>
                        </ns1:r>
                      </ns1:sup>
                    </ns1:sSup>
                  </ns1:oMath>
                  <w:r>
                    <w:t xml:space="preserve"> </w:t>
                  </w:r>
                  <w:r>
                    <w:t xml:space="preserve">para calidad;</w:t>
                  </w:r>
                  <w:r>
                    <w:t xml:space="preserve"> </w:t>
                  </w:r>
                  <ns1:oMath>
                    <ns1:r>
                      <ns1:t>1.18</ns1:t>
                    </ns1:r>
                    <ns1:r>
                      <ns1:rPr>
                        <ns1:sty ns1:val="p"/>
                      </ns1:rPr>
                      <ns1:t>×</ns1:t>
                    </ns1:r>
                    <ns1:sSup>
                      <ns1:e>
                        <ns1:r>
                          <ns1:t>10</ns1:t>
                        </ns1:r>
                      </ns1:e>
                      <ns1:sup>
                        <ns1:r>
                          <ns1:rPr>
                            <ns1:sty ns1:val="p"/>
                          </ns1:rPr>
                          <ns1:t>−</ns1:t>
                        </ns1:r>
                        <ns1:r>
                          <ns1:t>10</ns1:t>
                        </ns1:r>
                      </ns1:sup>
                    </ns1:sSup>
                  </ns1:oMath>
                  <w:r>
                    <w:t xml:space="preserve"> </w:t>
                  </w:r>
                  <w:r>
                    <w:t xml:space="preserve">para coste</w:t>
                  </w:r>
                </w:p>
              </w:tc>
              <w:tc>
                <w:tcPr/>
                <w:p>
                  <w:pPr>
                    <w:pStyle w:val="Compact"/>
                    <w:jc w:val="both"/>
                    <w:jc w:val="center"/>
                    <w:spacing w:line="360" w:lineRule="auto"/>
                  </w:pPr>
                  <ns1:oMath>
                    <ns1:sSub>
                      <ns1:e>
                        <ns1:r>
                          <ns1:t>d</ns1:t>
                        </ns1:r>
                      </ns1:e>
                      <ns1:sub>
                        <ns1:r>
                          <ns1:t>z</ns1:t>
                        </ns1:r>
                      </ns1:sub>
                    </ns1:sSub>
                    <ns1:r>
                      <ns1:rPr>
                        <ns1:sty ns1:val="p"/>
                      </ns1:rPr>
                      <ns1:t>=</ns1:t>
                    </ns1:r>
                    <ns1:r>
                      <ns1:t>0.451</ns1:t>
                    </ns1:r>
                  </ns1:oMath>
                  <w:r>
                    <w:t xml:space="preserve"> </w:t>
                  </w:r>
                  <w:r>
                    <w:t xml:space="preserve">a</w:t>
                  </w:r>
                  <w:r>
                    <w:t xml:space="preserve"> </w:t>
                  </w:r>
                  <ns1:oMath>
                    <ns1:r>
                      <ns1:t>4.820</ns1:t>
                    </ns1:r>
                  </ns1:oMath>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3</ns1:t>
                        </ns1:r>
                      </ns1:sub>
                    </ns1:sSub>
                  </ns1:oMath>
                  <w:r>
                    <w:t xml:space="preserve">; SHAP mejora calidad y aumenta coste medio</w:t>
                  </w:r>
                </w:p>
              </w:tc>
            </w:tr>
            <w:tr>
              <w:tc>
                <w:tcPr/>
                <w:p>
                  <w:pPr>
                    <w:pStyle w:val="Compact"/>
                    <w:jc w:val="both"/>
                    <w:jc w:val="center"/>
                    <w:spacing w:line="360" w:lineRule="auto"/>
                  </w:pPr>
                  <w:r>
                    <w:t xml:space="preserve">P1: el protocolo es reproducible bajo semillas</w:t>
                  </w:r>
                </w:p>
              </w:tc>
              <w:tc>
                <w:tcPr/>
                <w:p>
                  <w:pPr>
                    <w:pStyle w:val="Compact"/>
                    <w:jc w:val="both"/>
                    <w:jc w:val="center"/>
                    <w:spacing w:line="360" w:lineRule="auto"/>
                  </w:pPr>
                  <w:r>
                    <w:t xml:space="preserve">CV sobre EXP1</w:t>
                  </w:r>
                </w:p>
              </w:tc>
              <w:tc>
                <w:tcPr/>
                <w:p>
                  <w:pPr>
                    <w:pStyle w:val="Compact"/>
                    <w:jc w:val="both"/>
                    <w:jc w:val="center"/>
                    <w:spacing w:line="360" w:lineRule="auto"/>
                  </w:pPr>
                  <w:r>
                    <w:t xml:space="preserve">5 semillas RF,</w:t>
                  </w:r>
                  <w:r>
                    <w:t xml:space="preserve"> </w:t>
                  </w:r>
                  <ns1:oMath>
                    <ns1:r>
                      <ns1:t>N</ns1:t>
                    </ns1:r>
                    <ns1:r>
                      <ns1:rPr>
                        <ns1:sty ns1:val="p"/>
                      </ns1:rPr>
                      <ns1:t>=</ns1:t>
                    </ns1:r>
                    <ns1:r>
                      <ns1:t>100</ns1:t>
                    </ns1:r>
                  </ns1:oMath>
                </w:p>
              </w:tc>
              <w:tc>
                <w:tcPr/>
                <w:p>
                  <w:pPr>
                    <w:pStyle w:val="Compact"/>
                    <w:jc w:val="both"/>
                    <w:jc w:val="center"/>
                    <w:spacing w:line="360" w:lineRule="auto"/>
                  </w:pPr>
                  <w:r>
                    <w:t xml:space="preserve">CV por métrica</w:t>
                  </w:r>
                </w:p>
              </w:tc>
              <w:tc>
                <w:tcPr/>
                <w:p>
                  <w:pPr>
                    <w:pStyle w:val="Compact"/>
                    <w:jc w:val="both"/>
                    <w:jc w:val="center"/>
                    <w:spacing w:line="360" w:lineRule="auto"/>
                  </w:pPr>
                  <w:r>
                    <w:t xml:space="preserve">No aplica</w:t>
                  </w:r>
                </w:p>
              </w:tc>
              <w:tc>
                <w:tcPr/>
                <w:p>
                  <w:pPr>
                    <w:pStyle w:val="Compact"/>
                    <w:jc w:val="both"/>
                    <w:jc w:val="center"/>
                    <w:spacing w:line="360" w:lineRule="auto"/>
                  </w:pPr>
                  <w:r>
                    <w:t xml:space="preserve">CV &lt; 3% en señales principales</w:t>
                  </w:r>
                </w:p>
              </w:tc>
              <w:tc>
                <w:tcPr/>
                <w:p>
                  <w:pPr>
                    <w:pStyle w:val="Compact"/>
                    <w:jc w:val="both"/>
                    <w:jc w:val="center"/>
                    <w:spacing w:line="360" w:lineRule="auto"/>
                  </w:pPr>
                  <w:r>
                    <w:t xml:space="preserve">Confirmación parcial; LIME-estabilidad queda fuera por media cercana a cero</w:t>
                  </w:r>
                </w:p>
              </w:tc>
            </w:tr>
          </w:tbl>
          <w:bookmarkEnd w:id="103"/>
          <w:p>
            <w:pPr>
              <w:spacing w:line="360" w:lineRule="auto"/>
              <w:jc w:val="both"/>
            </w:pPr>
          </w:p>
        </w:tc>
      </w:tr>
    </w:tbl>
    <w:bookmarkEnd w:id="104"/>
    <w:bookmarkStart w:id="110" w:name="sec-estudio-a"/>
    <w:p>
      <w:pPr>
        <w:pStyle w:val="Ttulo2"/>
        <w:spacing w:line="360" w:lineRule="auto"/>
        <w:jc w:val="both"/>
      </w:pPr>
      <w:r>
        <w:t xml:space="preserve">Estudio A: Análisis omnibus multimétrico (H1 y H2)</w:t>
      </w:r>
    </w:p>
    <w:bookmarkStart w:id="107" w:name="X41be5df394949178755daa825e68dc45d5470c0"/>
    <w:p>
      <w:pPr>
        <w:pStyle w:val="Ttulo3"/>
        <w:spacing w:line="360" w:lineRule="auto"/>
        <w:jc w:val="both"/>
      </w:pPr>
      <w:r>
        <w:t xml:space="preserve">H1: Diferencias entre métodos en fidelidad</w:t>
      </w:r>
    </w:p>
    <w:p>
      <w:pPr>
        <w:pStyle w:val="FirstParagraph"/>
        <w:spacing w:line="360" w:lineRule="auto"/>
        <w:jc w:val="both"/>
      </w:pPr>
      <w:r>
        <w:t xml:space="preserve">La prueba de Friedman para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sobre la métrica de fidelidad</w:t>
      </w:r>
      <w:r>
        <w:t xml:space="preserve"> </w:t>
      </w:r>
      <w:r>
        <w:t xml:space="preserve">arrojó una estadística</w:t>
      </w:r>
      <w:r>
        <w:t xml:space="preserve"> </w:t>
      </w:r>
      <ns1:oMath>
        <ns1:sSubSup>
          <ns1:e>
            <ns1:r>
              <ns1:t>χ</ns1:t>
            </ns1:r>
          </ns1:e>
          <ns1:sub>
            <ns1:r>
              <ns1:t>F</ns1:t>
            </ns1:r>
          </ns1:sub>
          <ns1:sup>
            <ns1:r>
              <ns1:t>2</ns1:t>
            </ns1:r>
          </ns1:sup>
        </ns1:sSubSup>
        <ns1:r>
          <ns1:rPr>
            <ns1:sty ns1:val="p"/>
          </ns1:rPr>
          <ns1:t>=</ns1:t>
        </ns1:r>
        <ns1:r>
          <ns1:t>42.12</ns1:t>
        </ns1:r>
      </ns1:oMath>
      <w:r>
        <w:t xml:space="preserve"> </w:t>
      </w:r>
      <w:r>
        <w:t xml:space="preserve">con</w:t>
      </w:r>
      <w:r>
        <w:t xml:space="preserve"> </w:t>
      </w:r>
      <ns1:oMath>
        <ns1:r>
          <ns1:t>k</ns1:t>
        </ns1:r>
        <ns1:r>
          <ns1:rPr>
            <ns1:sty ns1:val="p"/>
          </ns1:rPr>
          <ns1:t>−</ns1:t>
        </ns1:r>
        <ns1:r>
          <ns1:t>1</ns1:t>
        </ns1:r>
        <ns1:r>
          <ns1:rPr>
            <ns1:sty ns1:val="p"/>
          </ns1:rPr>
          <ns1:t>=</ns1:t>
        </ns1:r>
        <ns1:r>
          <ns1:t>3</ns1:t>
        </ns1:r>
      </ns1:oMath>
      <w:r>
        <w:t xml:space="preserve"> </w:t>
      </w:r>
      <w:r>
        <w:t xml:space="preserve">grados de libertad</w:t>
      </w:r>
      <w:r>
        <w:t xml:space="preserve"> </w:t>
      </w:r>
      <w:r>
        <w:t xml:space="preserve">sobre</w:t>
      </w:r>
      <w:r>
        <w:t xml:space="preserve"> </w:t>
      </w:r>
      <ns1:oMath>
        <ns1:r>
          <ns1:t>n</ns1:t>
        </ns1:r>
        <ns1:r>
          <ns1:rPr>
            <ns1:sty ns1:val="p"/>
          </ns1:rPr>
          <ns1:t>=</ns1:t>
        </ns1:r>
        <ns1:r>
          <ns1:t>15</ns1:t>
        </ns1:r>
      </ns1:oMath>
      <w:r>
        <w:t xml:space="preserve"> </w:t>
      </w:r>
      <w:r>
        <w:t xml:space="preserve">bloques completos. El valor crítico para</w:t>
      </w:r>
      <w:r>
        <w:t xml:space="preserve"> </w:t>
      </w:r>
      <ns1:oMath>
        <ns1:r>
          <ns1:t>α</ns1:t>
        </ns1:r>
        <ns1:r>
          <ns1:rPr>
            <ns1:sty ns1:val="p"/>
          </ns1:rPr>
          <ns1:t>=</ns1:t>
        </ns1:r>
        <ns1:r>
          <ns1:t>0.05</ns1:t>
        </ns1:r>
      </ns1:oMath>
      <w:r>
        <w:t xml:space="preserve"> </w:t>
      </w:r>
      <w:r>
        <w:t xml:space="preserve">es</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 de modo que el margen de seguridad inferencial es:</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sSubSup>
                <ns1:e>
                  <ns1:r>
                    <ns1:t>χ</ns1:t>
                  </ns1:r>
                </ns1:e>
                <ns1:sub>
                  <ns1:r>
                    <ns1:t>F</ns1:t>
                  </ns1:r>
                </ns1:sub>
                <ns1:sup>
                  <ns1:r>
                    <ns1:t>2</ns1:t>
                  </ns1:r>
                </ns1:sup>
              </ns1:sSubSup>
              <ns1:r>
                <ns1:rPr>
                  <ns1:sty ns1:val="p"/>
                </ns1:rPr>
                <ns1:t>−</ns1:t>
              </ns1:r>
              <ns1:sSubSup>
                <ns1:e>
                  <ns1:r>
                    <ns1:t>χ</ns1:t>
                  </ns1:r>
                </ns1:e>
                <ns1:sub>
                  <ns1:r>
                    <ns1:t>c</ns1:t>
                  </ns1:r>
                  <ns1:r>
                    <ns1:t>r</ns1:t>
                  </ns1:r>
                  <ns1:r>
                    <ns1:t>i</ns1:t>
                  </ns1:r>
                  <ns1:r>
                    <ns1:t>t</ns1:t>
                  </ns1:r>
                </ns1:sub>
                <ns1:sup>
                  <ns1:r>
                    <ns1:t>2</ns1:t>
                  </ns1:r>
                </ns1:sup>
              </ns1:sSubSup>
            </ns1:num>
            <ns1:den>
              <ns1:sSubSup>
                <ns1:e>
                  <ns1:r>
                    <ns1:t>χ</ns1:t>
                  </ns1:r>
                </ns1:e>
                <ns1:sub>
                  <ns1:r>
                    <ns1:t>c</ns1:t>
                  </ns1:r>
                  <ns1:r>
                    <ns1:t>r</ns1:t>
                  </ns1:r>
                  <ns1:r>
                    <ns1:t>i</ns1:t>
                  </ns1:r>
                  <ns1:r>
                    <ns1:t>t</ns1:t>
                  </ns1:r>
                </ns1:sub>
                <ns1:sup>
                  <ns1:r>
                    <ns1:t>2</ns1:t>
                  </ns1:r>
                </ns1:sup>
              </ns1:sSubSup>
            </ns1:den>
          </ns1:f>
          <ns1:r>
            <ns1:rPr>
              <ns1:sty ns1:val="p"/>
            </ns1:rPr>
            <ns1:t>×</ns1:t>
          </ns1:r>
          <ns1:r>
            <ns1:t>100</ns1:t>
          </ns1:r>
          <ns1:r>
            <ns1:rPr>
              <ns1:sty ns1:val="p"/>
            </ns1:rPr>
            <ns1:t>=</ns1:t>
          </ns1:r>
          <ns1:f>
            <ns1:fPr>
              <ns1:type ns1:val="bar"/>
            </ns1:fPr>
            <ns1:num>
              <ns1:r>
                <ns1:t>42.12</ns1:t>
              </ns1:r>
              <ns1:r>
                <ns1:rPr>
                  <ns1:sty ns1:val="p"/>
                </ns1:rPr>
                <ns1:t>−</ns1:t>
              </ns1:r>
              <ns1:r>
                <ns1:t>7.815</ns1:t>
              </ns1:r>
            </ns1:num>
            <ns1:den>
              <ns1:r>
                <ns1:t>7.815</ns1:t>
              </ns1:r>
            </ns1:den>
          </ns1:f>
          <ns1:r>
            <ns1:rPr>
              <ns1:sty ns1:val="p"/>
            </ns1:rPr>
            <ns1:t>×</ns1:t>
          </ns1:r>
          <ns1:r>
            <ns1:t>100</ns1:t>
          </ns1:r>
          <ns1:r>
            <ns1:rPr>
              <ns1:sty ns1:val="p"/>
            </ns1:rPr>
            <ns1:t>=</ns1:t>
          </ns1:r>
          <ns1:r>
            <ns1:t>439</ns1:t>
          </ns1:r>
          <ns1:r>
            <ns1:rPr>
              <ns1:sty ns1:val="p"/>
            </ns1:rPr>
            <ns1:t>%</ns1:t>
          </ns1:r>
        </ns1:oMath>
      </ns1:oMathPara>
    </w:p>
    <w:p>
      <w:pPr>
        <w:pStyle w:val="FirstParagraph"/>
        <w:spacing w:line="360" w:lineRule="auto"/>
        <w:jc w:val="both"/>
      </w:pPr>
      <w:r>
        <w:t xml:space="preserve">Este resultado rechaza</w:t>
      </w:r>
      <w:r>
        <w:t xml:space="preserve"> </w:t>
      </w:r>
      <ns1:oMath>
        <ns1:sSub>
          <ns1:e>
            <ns1:r>
              <ns1:t>H</ns1:t>
            </ns1:r>
          </ns1:e>
          <ns1:sub>
            <ns1:r>
              <ns1:t>0</ns1:t>
            </ns1:r>
            <ns1:r>
              <ns1:rPr>
                <ns1:sty ns1:val="p"/>
              </ns1:rPr>
              <ns1:t>,</ns1:t>
            </ns1:r>
            <ns1:r>
              <ns1:t>1</ns1:t>
            </ns1:r>
          </ns1:sub>
        </ns1:sSub>
      </ns1:oMath>
      <w:r>
        <w:t xml:space="preserve"> </w:t>
      </w:r>
      <w:r>
        <w:t xml:space="preserve">con una holgura de más de cinco veces el</w:t>
      </w:r>
      <w:r>
        <w:t xml:space="preserve"> </w:t>
      </w:r>
      <w:r>
        <w:t xml:space="preserve">umbral crítico, lo que ofrece evidencia fuerte de diferencias sistemáticas</w:t>
      </w:r>
      <w:r>
        <w:t xml:space="preserve"> </w:t>
      </w:r>
      <w:r>
        <w:t xml:space="preserve">entre métodos bajo las condiciones del benchmark. La distribución empírica de</w:t>
      </w:r>
      <w:r>
        <w:t xml:space="preserve"> </w:t>
      </w:r>
      <w:r>
        <w:t xml:space="preserve">los rangos muestra a SHAP en la primera posición en los 15 bloques, con LIME</w:t>
      </w:r>
      <w:r>
        <w:t xml:space="preserve"> </w:t>
      </w:r>
      <w:r>
        <w:t xml:space="preserve">como segundo en los 15 bloques y alternancia Anchors–DiCE en las posiciones</w:t>
      </w:r>
      <w:r>
        <w:t xml:space="preserve"> </w:t>
      </w:r>
      <w:r>
        <w:t xml:space="preserve">3–4:</w:t>
      </w:r>
    </w:p>
    <w:tbl>
      <w:tblPr>
        <w:tblStyle w:val="Table"/>
        <w:tblW w:type="pct" w:w="5000"/>
        <w:tblLayout w:type="fixed"/>
        <w:tblLook w:firstRow="0" w:lastRow="0" w:firstColumn="0" w:lastColumn="0" w:noHBand="0" w:noVBand="0" w:val="0000"/>
      </w:tblPr>
      <w:tblGrid>
        <w:gridCol w:w="7920"/>
      </w:tblGrid>
      <w:tr>
        <w:tc>
          <w:tcPr/>
          <w:bookmarkStart w:id="105" w:name="tbl-friedman-fidelity"/>
          <w:p>
            <w:pPr>
              <w:jc w:val="both"/>
              <w:spacing w:line="360" w:lineRule="auto"/>
            </w:pPr>
            <w:pPr>
              <w:jc w:val="left"/>
              <w:spacing w:before="200"/>
              <w:pStyle w:val="ImageCaption"/>
            </w:pPr>
            <w:r>
              <w:t xml:space="preserve">Table 5.2: Suma y media de rangos de fidelidad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Posición</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1.ª</w:t>
                  </w:r>
                </w:p>
              </w:tc>
            </w:tr>
            <w:tr>
              <w:tc>
                <w:tcPr/>
                <w:p>
                  <w:pPr>
                    <w:pStyle w:val="Compact"/>
                    <w:jc w:val="both"/>
                    <w:spacing w:line="360" w:lineRule="auto"/>
                  </w:pPr>
                  <w:r>
                    <w:t xml:space="preserve">LIME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2.ª</w:t>
                  </w:r>
                </w:p>
              </w:tc>
            </w:tr>
            <w:tr>
              <w:tc>
                <w:tcPr/>
                <w:p>
                  <w:pPr>
                    <w:pStyle w:val="Compact"/>
                    <w:jc w:val="both"/>
                    <w:spacing w:line="360" w:lineRule="auto"/>
                  </w:pPr>
                  <w:r>
                    <w:t xml:space="preserve">Anchors</w:t>
                  </w:r>
                </w:p>
              </w:tc>
              <w:tc>
                <w:tcPr/>
                <w:p>
                  <w:pPr>
                    <w:pStyle w:val="Compact"/>
                    <w:jc w:val="both"/>
                    <w:spacing w:line="360" w:lineRule="auto"/>
                  </w:pPr>
                  <w:r>
                    <w:t xml:space="preserve">48</w:t>
                  </w:r>
                </w:p>
              </w:tc>
              <w:tc>
                <w:tcPr/>
                <w:p>
                  <w:pPr>
                    <w:pStyle w:val="Compact"/>
                    <w:jc w:val="both"/>
                    <w:spacing w:line="360" w:lineRule="auto"/>
                  </w:pPr>
                  <w:r>
                    <w:t xml:space="preserve">3.200</w:t>
                  </w:r>
                </w:p>
              </w:tc>
              <w:tc>
                <w:tcPr/>
                <w:p>
                  <w:pPr>
                    <w:pStyle w:val="Compact"/>
                    <w:jc w:val="both"/>
                    <w:spacing w:line="360" w:lineRule="auto"/>
                  </w:pPr>
                  <w:r>
                    <w:t xml:space="preserve">3.ª</w:t>
                  </w:r>
                </w:p>
              </w:tc>
            </w:tr>
            <w:tr>
              <w:tc>
                <w:tcPr/>
                <w:p>
                  <w:pPr>
                    <w:pStyle w:val="Compact"/>
                    <w:jc w:val="both"/>
                    <w:spacing w:line="360" w:lineRule="auto"/>
                  </w:pPr>
                  <w:r>
                    <w:t xml:space="preserve">DiCE</w:t>
                  </w:r>
                </w:p>
              </w:tc>
              <w:tc>
                <w:tcPr/>
                <w:p>
                  <w:pPr>
                    <w:pStyle w:val="Compact"/>
                    <w:jc w:val="both"/>
                    <w:spacing w:line="360" w:lineRule="auto"/>
                  </w:pPr>
                  <w:r>
                    <w:t xml:space="preserve">57</w:t>
                  </w:r>
                </w:p>
              </w:tc>
              <w:tc>
                <w:tcPr/>
                <w:p>
                  <w:pPr>
                    <w:pStyle w:val="Compact"/>
                    <w:jc w:val="both"/>
                    <w:spacing w:line="360" w:lineRule="auto"/>
                  </w:pPr>
                  <w:r>
                    <w:t xml:space="preserve">3.800</w:t>
                  </w:r>
                </w:p>
              </w:tc>
              <w:tc>
                <w:tcPr/>
                <w:p>
                  <w:pPr>
                    <w:pStyle w:val="Compact"/>
                    <w:jc w:val="both"/>
                    <w:spacing w:line="360" w:lineRule="auto"/>
                  </w:pPr>
                  <w:r>
                    <w:t xml:space="preserve">4.ª</w:t>
                  </w:r>
                </w:p>
              </w:tc>
            </w:tr>
          </w:tbl>
          <w:bookmarkEnd w:id="105"/>
          <w:p>
            <w:pPr>
              <w:spacing w:line="360" w:lineRule="auto"/>
              <w:jc w:val="both"/>
            </w:pPr>
          </w:p>
        </w:tc>
      </w:tr>
    </w:tbl>
    <w:p>
      <w:pPr>
        <w:pStyle w:val="Textoindependiente"/>
        <w:spacing w:line="360" w:lineRule="auto"/>
        <w:jc w:val="both"/>
      </w:pPr>
      <w:r>
        <w:t xml:space="preserve">El hecho de que SHAP obtenga rango 1 en la totalidad de los 15 bloques</w:t>
      </w:r>
      <w:r>
        <w:t xml:space="preserve"> </w:t>
      </w:r>
      <w:r>
        <w:t xml:space="preserve">(suma = 15, media = 1.000) implica que en ningún contexto de bloque</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ningún otro método superó a SHAP en fidelidad. Las medias brutas (promedio</w:t>
      </w:r>
      <w:r>
        <w:t xml:space="preserve"> </w:t>
      </w:r>
      <ns1:oMath>
        <ns1:r>
          <ns1:rPr>
            <ns1:sty ns1:val="p"/>
          </ns1:rPr>
          <ns1:t>±</ns1:t>
        </ns1:r>
      </ns1:oMath>
      <w:r>
        <w:t xml:space="preserve"> </w:t>
      </w:r>
      <w:r>
        <w:t xml:space="preserve">desviación estándar entre bloques) son: SHAP = 0.808</w:t>
      </w:r>
      <w:r>
        <w:t xml:space="preserve"> </w:t>
      </w:r>
      <ns1:oMath>
        <ns1:r>
          <ns1:rPr>
            <ns1:sty ns1:val="p"/>
          </ns1:rPr>
          <ns1:t>±</ns1:t>
        </ns1:r>
      </ns1:oMath>
      <w:r>
        <w:t xml:space="preserve"> </w:t>
      </w:r>
      <w:r>
        <w:t xml:space="preserve">0.093, LIME = 0.560</w:t>
      </w:r>
      <w:r>
        <w:t xml:space="preserve"> </w:t>
      </w:r>
      <ns1:oMath>
        <ns1:r>
          <ns1:rPr>
            <ns1:sty ns1:val="p"/>
          </ns1:rPr>
          <ns1:t>±</ns1:t>
        </ns1:r>
      </ns1:oMath>
      <w:r>
        <w:t xml:space="preserve"> </w:t>
      </w:r>
      <w:r>
        <w:t xml:space="preserve">0.068, Anchors = 0.389</w:t>
      </w:r>
      <w:r>
        <w:t xml:space="preserve"> </w:t>
      </w:r>
      <ns1:oMath>
        <ns1:r>
          <ns1:rPr>
            <ns1:sty ns1:val="p"/>
          </ns1:rPr>
          <ns1:t>±</ns1:t>
        </ns1:r>
      </ns1:oMath>
      <w:r>
        <w:t xml:space="preserve"> </w:t>
      </w:r>
      <w:r>
        <w:t xml:space="preserve">0.100, DiCE = 0.170</w:t>
      </w:r>
      <w:r>
        <w:t xml:space="preserve"> </w:t>
      </w:r>
      <ns1:oMath>
        <ns1:r>
          <ns1:rPr>
            <ns1:sty ns1:val="p"/>
          </ns1:rPr>
          <ns1:t>±</ns1:t>
        </ns1:r>
      </ns1:oMath>
      <w:r>
        <w:t xml:space="preserve"> </w:t>
      </w:r>
      <w:r>
        <w:t xml:space="preserve">0.103.</w:t>
      </w:r>
    </w:p>
    <w:p>
      <w:pPr>
        <w:pStyle w:val="Textoindependiente"/>
        <w:spacing w:line="360" w:lineRule="auto"/>
        <w:jc w:val="both"/>
      </w:pPr>
      <w:r>
        <w:t xml:space="preserve">La escala de fidelidad es acotada en</w:t>
      </w:r>
      <w:r>
        <w:t xml:space="preserve"> </w:t>
      </w:r>
      <ns1:oMath>
        <ns1:r>
          <ns1:rPr>
            <ns1:sty ns1:val="p"/>
          </ns1:rPr>
          <ns1:t>[</ns1:t>
        </ns1:r>
        <ns1:r>
          <ns1:t>0</ns1:t>
        </ns1:r>
        <ns1:r>
          <ns1:rPr>
            <ns1:sty ns1:val="p"/>
          </ns1:rPr>
          <ns1:t>,</ns1:t>
        </ns1:r>
        <ns1:r>
          <ns1:t>1</ns1:t>
        </ns1:r>
        <ns1:r>
          <ns1:rPr>
            <ns1:sty ns1:val="p"/>
          </ns1:rPr>
          <ns1:t>]</ns1:t>
        </ns1:r>
      </ns1: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spacing w:line="360" w:lineRule="auto"/>
        <w:jc w:val="both"/>
      </w:pPr>
      <w:r>
        <w:rPr>
          <w:b/>
          <w:bCs/>
        </w:rPr>
        <w:t xml:space="preserve">Localización post-hoc (Nemenyi):</w:t>
      </w:r>
      <w:r>
        <w:t xml:space="preserve"> </w:t>
      </w:r>
      <w:r>
        <w:t xml:space="preserve">La diferencia crítica para comparaciones</w:t>
      </w:r>
      <w:r>
        <w:t xml:space="preserve"> </w:t>
      </w:r>
      <w:r>
        <w:t xml:space="preserve">pareadas con</w:t>
      </w:r>
      <w:r>
        <w:t xml:space="preserve"> </w:t>
      </w:r>
      <ns1:oMath>
        <ns1:r>
          <ns1:t>α</ns1:t>
        </ns1:r>
        <ns1:r>
          <ns1:rPr>
            <ns1:sty ns1:val="p"/>
          </ns1:rPr>
          <ns1:t>=</ns1:t>
        </ns1:r>
        <ns1:r>
          <ns1:t>0.05</ns1:t>
        </ns1:r>
      </ns1:oMath>
      <w:r>
        <w:t xml:space="preserve">,</w:t>
      </w:r>
      <w:r>
        <w:t xml:space="preserve"> </w:t>
      </w:r>
      <ns1:oMath>
        <ns1:r>
          <ns1:t>k</ns1:t>
        </ns1:r>
        <ns1:r>
          <ns1:rPr>
            <ns1:sty ns1:val="p"/>
          </ns1:rPr>
          <ns1:t>=</ns1:t>
        </ns1:r>
        <ns1:r>
          <ns1:t>4</ns1:t>
        </ns1:r>
      </ns1:oMath>
      <w:r>
        <w:t xml:space="preserve"> </w:t>
      </w:r>
      <w:r>
        <w:t xml:space="preserve">y</w:t>
      </w:r>
      <w:r>
        <w:t xml:space="preserve"> </w:t>
      </w:r>
      <ns1:oMath>
        <ns1:r>
          <ns1:t>n</ns1:t>
        </ns1:r>
        <ns1:r>
          <ns1:rPr>
            <ns1:sty ns1:val="p"/>
          </ns1:rPr>
          <ns1:t>=</ns1:t>
        </ns1:r>
        <ns1:r>
          <ns1:t>15</ns1:t>
        </ns1:r>
      </ns1:oMath>
      <w:r>
        <w:t xml:space="preserve"> </w:t>
      </w:r>
      <w:r>
        <w:t xml:space="preserve">es:</w:t>
      </w:r>
    </w:p>
    <w:p>
      <w:pPr>
        <w:pStyle w:val="Textoindependiente"/>
        <w:spacing w:line="360" w:lineRule="auto"/>
        <w:jc w:val="both"/>
      </w:pPr>
      <ns1:oMathPara>
        <ns1:oMathParaPr>
          <ns1:jc ns1:val="center"/>
        </ns1:oMathParaPr>
        <ns1:oMath>
          <ns1:r>
            <ns1:t>C</ns1:t>
          </ns1:r>
          <ns1:r>
            <ns1:t>D</ns1:t>
          </ns1:r>
          <ns1:r>
            <ns1:rPr>
              <ns1:sty ns1:val="p"/>
            </ns1:rPr>
            <ns1:t>=</ns1:t>
          </ns1:r>
          <ns1:sSub>
            <ns1:e>
              <ns1:r>
                <ns1:t>q</ns1:t>
              </ns1:r>
            </ns1:e>
            <ns1:sub>
              <ns1:r>
                <ns1:t>α</ns1:t>
              </ns1:r>
            </ns1:sub>
          </ns1:sSub>
          <ns1:rad>
            <ns1:radPr>
              <ns1:degHide ns1:val="on"/>
            </ns1:radPr>
            <ns1:deg/>
            <ns1:e>
              <ns1:f>
                <ns1:fPr>
                  <ns1:type ns1:val="bar"/>
                </ns1:fPr>
                <ns1:num>
                  <ns1:r>
                    <ns1:t>k</ns1:t>
                  </ns1:r>
                  <ns1:r>
                    <ns1:rPr>
                      <ns1:sty ns1:val="p"/>
                    </ns1:rPr>
                    <ns1:t>(</ns1:t>
                  </ns1:r>
                  <ns1:r>
                    <ns1:t>k</ns1:t>
                  </ns1:r>
                  <ns1:r>
                    <ns1:rPr>
                      <ns1:sty ns1:val="p"/>
                    </ns1:rPr>
                    <ns1:t>+</ns1:t>
                  </ns1:r>
                  <ns1:r>
                    <ns1:t>1</ns1:t>
                  </ns1:r>
                  <ns1:r>
                    <ns1:rPr>
                      <ns1:sty ns1:val="p"/>
                    </ns1:rPr>
                    <ns1:t>)</ns1:t>
                  </ns1:r>
                </ns1:num>
                <ns1:den>
                  <ns1:r>
                    <ns1:t>6</ns1:t>
                  </ns1:r>
                  <ns1:r>
                    <ns1:t>n</ns1:t>
                  </ns1:r>
                </ns1:den>
              </ns1:f>
            </ns1:e>
          </ns1:rad>
          <ns1:r>
            <ns1:rPr>
              <ns1:sty ns1:val="p"/>
            </ns1:rPr>
            <ns1:t>=</ns1:t>
          </ns1:r>
          <ns1:r>
            <ns1:t>2.569</ns1:t>
          </ns1:r>
          <ns1:r>
            <ns1:rPr>
              <ns1:sty ns1:val="p"/>
            </ns1:rPr>
            <ns1:t>×</ns1:t>
          </ns1:r>
          <ns1:rad>
            <ns1:radPr>
              <ns1:degHide ns1:val="on"/>
            </ns1:radPr>
            <ns1:deg/>
            <ns1:e>
              <ns1:f>
                <ns1:fPr>
                  <ns1:type ns1:val="bar"/>
                </ns1:fPr>
                <ns1:num>
                  <ns1:r>
                    <ns1:t>4</ns1:t>
                  </ns1:r>
                  <ns1:r>
                    <ns1:rPr>
                      <ns1:sty ns1:val="p"/>
                    </ns1:rPr>
                    <ns1:t>×</ns1:t>
                  </ns1:r>
                  <ns1:r>
                    <ns1:t>5</ns1:t>
                  </ns1:r>
                </ns1:num>
                <ns1:den>
                  <ns1:r>
                    <ns1:t>6</ns1:t>
                  </ns1:r>
                  <ns1:r>
                    <ns1:rPr>
                      <ns1:sty ns1:val="p"/>
                    </ns1:rPr>
                    <ns1:t>×</ns1:t>
                  </ns1:r>
                  <ns1:r>
                    <ns1:t>15</ns1:t>
                  </ns1:r>
                </ns1:den>
              </ns1:f>
            </ns1:e>
          </ns1:rad>
          <ns1:r>
            <ns1:rPr>
              <ns1:sty ns1:val="p"/>
            </ns1:rPr>
            <ns1:t>=</ns1:t>
          </ns1:r>
          <ns1:r>
            <ns1:t>2.569</ns1:t>
          </ns1:r>
          <ns1:r>
            <ns1:rPr>
              <ns1:sty ns1:val="p"/>
            </ns1:rPr>
            <ns1:t>×</ns1:t>
          </ns1:r>
          <ns1:r>
            <ns1:t>0.4714</ns1:t>
          </ns1:r>
          <ns1:r>
            <ns1:rPr>
              <ns1:sty ns1:val="p"/>
            </ns1:rPr>
            <ns1:t>=</ns1:t>
          </ns1:r>
          <ns1:r>
            <ns1:t>1.211</ns1:t>
          </ns1:r>
        </ns1:oMath>
      </ns1:oMathPara>
    </w:p>
    <w:p>
      <w:pPr>
        <w:pStyle w:val="FirstParagraph"/>
        <w:spacing w:line="360" w:lineRule="auto"/>
        <w:jc w:val="both"/>
      </w:pPr>
      <w:r>
        <w:t xml:space="preserve">Donde</w:t>
      </w:r>
      <w:r>
        <w:t xml:space="preserve"> </w:t>
      </w:r>
      <ns1:oMath>
        <ns1:sSub>
          <ns1:e>
            <ns1:r>
              <ns1:t>q</ns1:t>
            </ns1:r>
          </ns1:e>
          <ns1:sub>
            <ns1:r>
              <ns1:t>α</ns1:t>
            </ns1:r>
          </ns1:sub>
        </ns1:sSub>
        <ns1:r>
          <ns1:rPr>
            <ns1:sty ns1:val="p"/>
          </ns1:rPr>
          <ns1:t>=</ns1:t>
        </ns1:r>
        <ns1:r>
          <ns1:t>2.569</ns1:t>
        </ns1:r>
      </ns1:oMath>
      <w:r>
        <w:t xml:space="preserve"> </w:t>
      </w:r>
      <w:r>
        <w:t xml:space="preserve">es el valor crítico de la distribución de Nemenyi para</w:t>
      </w:r>
      <w:r>
        <w:t xml:space="preserve"> </w:t>
      </w:r>
      <ns1:oMath>
        <ns1:r>
          <ns1:t>k</ns1:t>
        </ns1:r>
        <ns1:r>
          <ns1:rPr>
            <ns1:sty ns1:val="p"/>
          </ns1:rPr>
          <ns1:t>=</ns1:t>
        </ns1:r>
        <ns1:r>
          <ns1:t>4</ns1:t>
        </ns1:r>
      </ns1:oMath>
      <w:r>
        <w:t xml:space="preserve"> </w:t>
      </w:r>
      <w:r>
        <w:t xml:space="preserve">con</w:t>
      </w:r>
      <w:r>
        <w:t xml:space="preserve"> </w:t>
      </w:r>
      <ns1:oMath>
        <ns1:r>
          <ns1:t>α</ns1:t>
        </ns1:r>
        <ns1:r>
          <ns1:rPr>
            <ns1:sty ns1:val="p"/>
          </ns1:rPr>
          <ns1:t>=</ns1:t>
        </ns1:r>
        <ns1:r>
          <ns1:t>0.05</ns1:t>
        </ns1:r>
      </ns1:oMath>
      <w:r>
        <w:t xml:space="preserve"> </w:t>
      </w:r>
      <w:r>
        <w:t xml:space="preserve">(Demšar 2006)</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106" w:name="tbl-nemenyi-fidelity"/>
          <w:p>
            <w:pPr>
              <w:jc w:val="both"/>
              <w:spacing w:line="360" w:lineRule="auto"/>
            </w:pPr>
            <w:pPr>
              <w:jc w:val="left"/>
              <w:spacing w:before="200"/>
              <w:pStyle w:val="ImageCaption"/>
            </w:pPr>
            <w:r>
              <w:t xml:space="preserve">Table 5.3: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Par</w:t>
                  </w:r>
                </w:p>
              </w:tc>
              <w:tc>
                <w:tcPr/>
                <w:p>
                  <w:pPr>
                    <w:pStyle w:val="Compact"/>
                    <w:jc w:val="both"/>
                    <w:spacing w:line="360" w:lineRule="auto"/>
                  </w:pPr>
                  <ns1:oMath>
                    <ns1:r>
                      <ns1:rPr>
                        <ns1:sty ns1:val="p"/>
                      </ns1:rPr>
                      <ns1:t>|</ns1:t>
                    </ns1:r>
                    <ns1:sSub>
                      <ns1:e>
                        <ns1:r>
                          <ns1:t>R</ns1:t>
                        </ns1:r>
                      </ns1:e>
                      <ns1:sub>
                        <ns1:r>
                          <ns1:t>i</ns1:t>
                        </ns1:r>
                      </ns1:sub>
                    </ns1:sSub>
                    <ns1:r>
                      <ns1:rPr>
                        <ns1:sty ns1:val="p"/>
                      </ns1:rPr>
                      <ns1:t>−</ns1:t>
                    </ns1:r>
                    <ns1:sSub>
                      <ns1:e>
                        <ns1:r>
                          <ns1:t>R</ns1:t>
                        </ns1:r>
                      </ns1:e>
                      <ns1:sub>
                        <ns1:r>
                          <ns1:t>j</ns1:t>
                        </ns1:r>
                      </ns1:sub>
                    </ns1:sSub>
                    <ns1:r>
                      <ns1:rPr>
                        <ns1:sty ns1:val="p"/>
                      </ns1:rPr>
                      <ns1:t>|</ns1:t>
                    </ns1:r>
                  </ns1:oMath>
                </w:p>
              </w:tc>
              <w:tc>
                <w:tcPr/>
                <w:p>
                  <w:pPr>
                    <w:pStyle w:val="Compact"/>
                    <w:jc w:val="both"/>
                    <w:spacing w:line="360" w:lineRule="auto"/>
                  </w:pPr>
                  <w:r>
                    <w:t xml:space="preserve">CD</w:t>
                  </w:r>
                </w:p>
              </w:tc>
              <w:tc>
                <w:tcPr/>
                <w:p>
                  <w:pPr>
                    <w:pStyle w:val="Compact"/>
                    <w:jc w:val="both"/>
                    <w:spacing w:line="360" w:lineRule="auto"/>
                  </w:pPr>
                  <w:r>
                    <w:t xml:space="preserve">Significativo</w:t>
                  </w:r>
                </w:p>
              </w:tc>
            </w:tr>
            <w:tr>
              <w:tc>
                <w:tcPr/>
                <w:p>
                  <w:pPr>
                    <w:pStyle w:val="Compact"/>
                    <w:jc w:val="both"/>
                    <w:spacing w:line="360" w:lineRule="auto"/>
                  </w:pPr>
                  <w:r>
                    <w:t xml:space="preserve">SHAP vs. LIME</w:t>
                  </w:r>
                </w:p>
              </w:tc>
              <w:tc>
                <w:tcPr/>
                <w:p>
                  <w:pPr>
                    <w:pStyle w:val="Compact"/>
                    <w:jc w:val="both"/>
                    <w:spacing w:line="360" w:lineRule="auto"/>
                  </w:pPr>
                  <w:r>
                    <w:t xml:space="preserve">1.000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SHAP vs. Anchors</w:t>
                  </w:r>
                </w:p>
              </w:tc>
              <w:tc>
                <w:tcPr/>
                <w:p>
                  <w:pPr>
                    <w:pStyle w:val="Compact"/>
                    <w:jc w:val="both"/>
                    <w:spacing w:line="360" w:lineRule="auto"/>
                  </w:pPr>
                  <w:r>
                    <w:t xml:space="preserve">2.200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SHAP vs. DiCE</w:t>
                  </w:r>
                </w:p>
              </w:tc>
              <w:tc>
                <w:tcPr/>
                <w:p>
                  <w:pPr>
                    <w:pStyle w:val="Compact"/>
                    <w:jc w:val="both"/>
                    <w:spacing w:line="360" w:lineRule="auto"/>
                  </w:pPr>
                  <w:r>
                    <w:t xml:space="preserve">2.800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LIME vs. Anchors</w:t>
                  </w:r>
                </w:p>
              </w:tc>
              <w:tc>
                <w:tcPr/>
                <w:p>
                  <w:pPr>
                    <w:pStyle w:val="Compact"/>
                    <w:jc w:val="both"/>
                    <w:spacing w:line="360" w:lineRule="auto"/>
                  </w:pPr>
                  <w:r>
                    <w:t xml:space="preserve">1.200</w:t>
                  </w:r>
                </w:p>
              </w:tc>
              <w:tc>
                <w:tcPr/>
                <w:p>
                  <w:pPr>
                    <w:pStyle w:val="Compact"/>
                    <w:jc w:val="both"/>
                    <w:spacing w:line="360" w:lineRule="auto"/>
                  </w:pPr>
                  <w:r>
                    <w:t xml:space="preserve">1.211</w:t>
                  </w:r>
                </w:p>
              </w:tc>
              <w:tc>
                <w:tcPr/>
                <w:p>
                  <w:pPr>
                    <w:pStyle w:val="Compact"/>
                    <w:jc w:val="both"/>
                    <w:spacing w:line="360" w:lineRule="auto"/>
                  </w:pPr>
                  <w:r>
                    <w:t xml:space="preserve">No</w:t>
                  </w:r>
                </w:p>
              </w:tc>
            </w:tr>
            <w:tr>
              <w:tc>
                <w:tcPr/>
                <w:p>
                  <w:pPr>
                    <w:pStyle w:val="Compact"/>
                    <w:jc w:val="both"/>
                    <w:spacing w:line="360" w:lineRule="auto"/>
                  </w:pPr>
                  <w:r>
                    <w:t xml:space="preserve">LIME vs. DiCE</w:t>
                  </w:r>
                </w:p>
              </w:tc>
              <w:tc>
                <w:tcPr/>
                <w:p>
                  <w:pPr>
                    <w:pStyle w:val="Compact"/>
                    <w:jc w:val="both"/>
                    <w:spacing w:line="360" w:lineRule="auto"/>
                  </w:pPr>
                  <w:r>
                    <w:t xml:space="preserve">1.800</w:t>
                  </w:r>
                </w:p>
              </w:tc>
              <w:tc>
                <w:tcPr/>
                <w:p>
                  <w:pPr>
                    <w:pStyle w:val="Compact"/>
                    <w:jc w:val="both"/>
                    <w:spacing w:line="360" w:lineRule="auto"/>
                  </w:pPr>
                  <w:r>
                    <w:t xml:space="preserve">1.211</w:t>
                  </w:r>
                </w:p>
              </w:tc>
              <w:tc>
                <w:tcPr/>
                <w:p>
                  <w:pPr>
                    <w:pStyle w:val="Compact"/>
                    <w:jc w:val="both"/>
                    <w:spacing w:line="360" w:lineRule="auto"/>
                  </w:pPr>
                  <w:r>
                    <w:t xml:space="preserve">Sí</w:t>
                  </w:r>
                </w:p>
              </w:tc>
            </w:tr>
            <w:tr>
              <w:tc>
                <w:tcPr/>
                <w:p>
                  <w:pPr>
                    <w:pStyle w:val="Compact"/>
                    <w:jc w:val="both"/>
                    <w:spacing w:line="360" w:lineRule="auto"/>
                  </w:pPr>
                  <w:r>
                    <w:t xml:space="preserve">Anchors vs. DiCE</w:t>
                  </w:r>
                </w:p>
              </w:tc>
              <w:tc>
                <w:tcPr/>
                <w:p>
                  <w:pPr>
                    <w:pStyle w:val="Compact"/>
                    <w:jc w:val="both"/>
                    <w:spacing w:line="360" w:lineRule="auto"/>
                  </w:pPr>
                  <w:r>
                    <w:t xml:space="preserve">0.600</w:t>
                  </w:r>
                </w:p>
              </w:tc>
              <w:tc>
                <w:tcPr/>
                <w:p>
                  <w:pPr>
                    <w:pStyle w:val="Compact"/>
                    <w:jc w:val="both"/>
                    <w:spacing w:line="360" w:lineRule="auto"/>
                  </w:pPr>
                  <w:r>
                    <w:t xml:space="preserve">1.211</w:t>
                  </w:r>
                </w:p>
              </w:tc>
              <w:tc>
                <w:tcPr/>
                <w:p>
                  <w:pPr>
                    <w:pStyle w:val="Compact"/>
                    <w:jc w:val="both"/>
                    <w:spacing w:line="360" w:lineRule="auto"/>
                  </w:pPr>
                  <w:r>
                    <w:t xml:space="preserve">No</w:t>
                  </w:r>
                </w:p>
              </w:tc>
            </w:tr>
          </w:tbl>
          <w:bookmarkEnd w:id="106"/>
          <w:p>
            <w:pPr>
              <w:spacing w:line="360" w:lineRule="auto"/>
              <w:jc w:val="both"/>
            </w:pPr>
          </w:p>
        </w:tc>
      </w:tr>
    </w:tbl>
    <w:p>
      <w:pPr>
        <w:pStyle w:val="Textoindependiente"/>
        <w:spacing w:line="360" w:lineRule="auto"/>
        <w:jc w:val="both"/>
      </w:pPr>
      <w:r>
        <w:t xml:space="preserve">La localización Nemenyi es conservadora cuando</w:t>
      </w:r>
      <w:r>
        <w:t xml:space="preserve"> </w:t>
      </w:r>
      <ns1:oMath>
        <ns1:r>
          <ns1:t>n</ns1:t>
        </ns1:r>
      </ns1: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107"/>
    <w:bookmarkStart w:id="109" w:name="X117d71016dd8839ee57c9e60cc09d0400ac5f3d"/>
    <w:p>
      <w:pPr>
        <w:pStyle w:val="Ttulo3"/>
        <w:spacing w:line="360" w:lineRule="auto"/>
        <w:jc w:val="both"/>
      </w:pPr>
      <w:r>
        <w:t xml:space="preserve">H2: Diferencias entre métodos en estabilidad</w:t>
      </w:r>
    </w:p>
    <w:p>
      <w:pPr>
        <w:pStyle w:val="FirstParagraph"/>
        <w:spacing w:line="360" w:lineRule="auto"/>
        <w:jc w:val="both"/>
      </w:pPr>
      <w:r>
        <w:t xml:space="preserve">La prueba de Friedman para estabilidad arrojó</w:t>
      </w:r>
      <w:r>
        <w:t xml:space="preserve"> </w:t>
      </w:r>
      <ns1:oMath>
        <ns1:sSubSup>
          <ns1:e>
            <ns1:r>
              <ns1:t>χ</ns1:t>
            </ns1:r>
          </ns1:e>
          <ns1:sub>
            <ns1:r>
              <ns1:t>F</ns1:t>
            </ns1:r>
          </ns1:sub>
          <ns1:sup>
            <ns1:r>
              <ns1:t>2</ns1:t>
            </ns1:r>
          </ns1:sup>
        </ns1:sSubSup>
        <ns1:r>
          <ns1:rPr>
            <ns1:sty ns1:val="p"/>
          </ns1:rPr>
          <ns1:t>=</ns1:t>
        </ns1:r>
        <ns1:r>
          <ns1:t>40.68</ns1:t>
        </ns1:r>
      </ns1:oMath>
      <w:r>
        <w:t xml:space="preserve"> </w:t>
      </w:r>
      <w:r>
        <w:t xml:space="preserve">con</w:t>
      </w:r>
      <w:r>
        <w:t xml:space="preserve"> </w:t>
      </w:r>
      <ns1:oMath>
        <ns1:r>
          <ns1:t>n</ns1:t>
        </ns1:r>
        <ns1:r>
          <ns1:rPr>
            <ns1:sty ns1:val="p"/>
          </ns1:rPr>
          <ns1:t>=</ns1:t>
        </ns1:r>
        <ns1:r>
          <ns1:t>15</ns1:t>
        </ns1:r>
      </ns1:oMath>
      <w:r>
        <w:t xml:space="preserve"> </w:t>
      </w:r>
      <w:r>
        <w:t xml:space="preserve">bloques completos, lo que implica un margen de seguridad de:</w:t>
      </w:r>
    </w:p>
    <w:p>
      <w:pPr>
        <w:pStyle w:val="Textoindependiente"/>
        <w:spacing w:line="360" w:lineRule="auto"/>
        <w:jc w:val="both"/>
      </w:pPr>
      <ns1:oMathPara>
        <ns1:oMathParaPr>
          <ns1:jc ns1:val="center"/>
        </ns1:oMathParaPr>
        <ns1:oMath>
          <ns1:r>
            <ns1:rPr>
              <ns1:nor/>
              <ns1:sty ns1:val="p"/>
            </ns1:rPr>
            <ns1:t>Margen</ns1:t>
          </ns1:r>
          <ns1:r>
            <ns1:rPr>
              <ns1:sty ns1:val="p"/>
            </ns1:rPr>
            <ns1:t>=</ns1:t>
          </ns1:r>
          <ns1:f>
            <ns1:fPr>
              <ns1:type ns1:val="bar"/>
            </ns1:fPr>
            <ns1:num>
              <ns1:r>
                <ns1:t>40.68</ns1:t>
              </ns1:r>
              <ns1:r>
                <ns1:rPr>
                  <ns1:sty ns1:val="p"/>
                </ns1:rPr>
                <ns1:t>−</ns1:t>
              </ns1:r>
              <ns1:r>
                <ns1:t>7.815</ns1:t>
              </ns1:r>
            </ns1:num>
            <ns1:den>
              <ns1:r>
                <ns1:t>7.815</ns1:t>
              </ns1:r>
            </ns1:den>
          </ns1:f>
          <ns1:r>
            <ns1:rPr>
              <ns1:sty ns1:val="p"/>
            </ns1:rPr>
            <ns1:t>×</ns1:t>
          </ns1:r>
          <ns1:r>
            <ns1:t>100</ns1:t>
          </ns1:r>
          <ns1:r>
            <ns1:rPr>
              <ns1:sty ns1:val="p"/>
            </ns1:rPr>
            <ns1:t>=</ns1:t>
          </ns1:r>
          <ns1:r>
            <ns1:t>421</ns1:t>
          </ns1:r>
          <ns1:r>
            <ns1:rPr>
              <ns1:sty ns1:val="p"/>
            </ns1:rPr>
            <ns1:t>%</ns1:t>
          </ns1:r>
        </ns1:oMath>
      </ns1:oMathPara>
    </w:p>
    <w:p>
      <w:pPr>
        <w:pStyle w:val="FirstParagraph"/>
        <w:spacing w:line="360" w:lineRule="auto"/>
        <w:jc w:val="both"/>
      </w:pPr>
      <ns1:oMath>
        <ns1:sSub>
          <ns1:e>
            <ns1:r>
              <ns1:t>H</ns1:t>
            </ns1:r>
          </ns1:e>
          <ns1:sub>
            <ns1:r>
              <ns1:t>0</ns1:t>
            </ns1:r>
            <ns1:r>
              <ns1:rPr>
                <ns1:sty ns1:val="p"/>
              </ns1:rPr>
              <ns1:t>,</ns1:t>
            </ns1:r>
            <ns1:r>
              <ns1:t>2</ns1:t>
            </ns1:r>
          </ns1:sub>
        </ns1:sSub>
      </ns1:oMath>
      <w:r>
        <w:t xml:space="preserve"> </w:t>
      </w:r>
      <w:r>
        <w:t xml:space="preserve">se rechaza con la misma holgura que</w:t>
      </w:r>
      <w:r>
        <w:t xml:space="preserve"> </w:t>
      </w:r>
      <ns1:oMath>
        <ns1:sSub>
          <ns1:e>
            <ns1:r>
              <ns1:t>H</ns1:t>
            </ns1:r>
          </ns1:e>
          <ns1:sub>
            <ns1:r>
              <ns1:t>0</ns1:t>
            </ns1:r>
            <ns1:r>
              <ns1:rPr>
                <ns1:sty ns1:val="p"/>
              </ns1:rPr>
              <ns1:t>,</ns1:t>
            </ns1:r>
            <ns1:r>
              <ns1:t>1</ns1:t>
            </ns1:r>
          </ns1:sub>
        </ns1:sSub>
      </ns1: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108" w:name="tbl-friedman-stability"/>
          <w:p>
            <w:pPr>
              <w:jc w:val="both"/>
              <w:spacing w:line="360" w:lineRule="auto"/>
            </w:pPr>
            <w:pPr>
              <w:jc w:val="left"/>
              <w:spacing w:before="200"/>
              <w:pStyle w:val="ImageCaption"/>
            </w:pPr>
            <w:r>
              <w:t xml:space="preserve">Table 5.4: Suma y media de rangos de estabilidad — prueba de Friedman (</w:t>
            </w:r>
            <ns1:oMath>
              <ns1:r>
                <ns1:t>n</ns1:t>
              </ns1:r>
              <ns1:r>
                <ns1:rPr>
                  <ns1:sty ns1:val="p"/>
                </ns1:rPr>
                <ns1:t>=</ns1:t>
              </ns1:r>
              <ns1:r>
                <ns1:t>15</ns1:t>
              </ns1:r>
            </ns1: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Suma de rangos</w:t>
                  </w:r>
                </w:p>
              </w:tc>
              <w:tc>
                <w:tcPr/>
                <w:p>
                  <w:pPr>
                    <w:pStyle w:val="Compact"/>
                    <w:jc w:val="both"/>
                    <w:spacing w:line="360" w:lineRule="auto"/>
                  </w:pPr>
                  <w:r>
                    <w:t xml:space="preserve">Rango medio</w:t>
                  </w:r>
                </w:p>
              </w:tc>
              <w:tc>
                <w:tcPr/>
                <w:p>
                  <w:pPr>
                    <w:pStyle w:val="Compact"/>
                    <w:jc w:val="both"/>
                    <w:spacing w:line="360" w:lineRule="auto"/>
                  </w:pPr>
                  <w:r>
                    <w:t xml:space="preserve">Media bruta</w:t>
                  </w:r>
                </w:p>
              </w:tc>
            </w:tr>
            <w:tr>
              <w:tc>
                <w:tcPr/>
                <w:p>
                  <w:pPr>
                    <w:pStyle w:val="Compact"/>
                    <w:jc w:val="both"/>
                    <w:spacing w:line="360" w:lineRule="auto"/>
                  </w:pPr>
                  <w:r>
                    <w:t xml:space="preserve">SHAP</w:t>
                  </w:r>
                </w:p>
              </w:tc>
              <w:tc>
                <w:tcPr/>
                <w:p>
                  <w:pPr>
                    <w:pStyle w:val="Compact"/>
                    <w:jc w:val="both"/>
                    <w:spacing w:line="360" w:lineRule="auto"/>
                  </w:pPr>
                  <w:r>
                    <w:t xml:space="preserve">15</w:t>
                  </w:r>
                </w:p>
              </w:tc>
              <w:tc>
                <w:tcPr/>
                <w:p>
                  <w:pPr>
                    <w:pStyle w:val="Compact"/>
                    <w:jc w:val="both"/>
                    <w:spacing w:line="360" w:lineRule="auto"/>
                  </w:pPr>
                  <w:r>
                    <w:t xml:space="preserve">1.000</w:t>
                  </w:r>
                </w:p>
              </w:tc>
              <w:tc>
                <w:tcPr/>
                <w:p>
                  <w:pPr>
                    <w:pStyle w:val="Compact"/>
                    <w:jc w:val="both"/>
                    <w:spacing w:line="360" w:lineRule="auto"/>
                  </w:pPr>
                  <w:r>
                    <w:t xml:space="preserve">0.732</w:t>
                  </w:r>
                </w:p>
              </w:tc>
            </w:tr>
            <w:tr>
              <w:tc>
                <w:tcPr/>
                <w:p>
                  <w:pPr>
                    <w:pStyle w:val="Compact"/>
                    <w:jc w:val="both"/>
                    <w:spacing w:line="360" w:lineRule="auto"/>
                  </w:pPr>
                  <w:r>
                    <w:t xml:space="preserve">DiCE</w:t>
                  </w:r>
                </w:p>
              </w:tc>
              <w:tc>
                <w:tcPr/>
                <w:p>
                  <w:pPr>
                    <w:pStyle w:val="Compact"/>
                    <w:jc w:val="both"/>
                    <w:spacing w:line="360" w:lineRule="auto"/>
                  </w:pPr>
                  <w:r>
                    <w:t xml:space="preserve">30</w:t>
                  </w:r>
                </w:p>
              </w:tc>
              <w:tc>
                <w:tcPr/>
                <w:p>
                  <w:pPr>
                    <w:pStyle w:val="Compact"/>
                    <w:jc w:val="both"/>
                    <w:spacing w:line="360" w:lineRule="auto"/>
                  </w:pPr>
                  <w:r>
                    <w:t xml:space="preserve">2.000</w:t>
                  </w:r>
                </w:p>
              </w:tc>
              <w:tc>
                <w:tcPr/>
                <w:p>
                  <w:pPr>
                    <w:pStyle w:val="Compact"/>
                    <w:jc w:val="both"/>
                    <w:spacing w:line="360" w:lineRule="auto"/>
                  </w:pPr>
                  <w:r>
                    <w:t xml:space="preserve">0.361</w:t>
                  </w:r>
                </w:p>
              </w:tc>
            </w:tr>
            <w:tr>
              <w:tc>
                <w:tcPr/>
                <w:p>
                  <w:pPr>
                    <w:pStyle w:val="Compact"/>
                    <w:jc w:val="both"/>
                    <w:spacing w:line="360" w:lineRule="auto"/>
                  </w:pPr>
                  <w:r>
                    <w:t xml:space="preserve">LIME</w:t>
                  </w:r>
                </w:p>
              </w:tc>
              <w:tc>
                <w:tcPr/>
                <w:p>
                  <w:pPr>
                    <w:pStyle w:val="Compact"/>
                    <w:jc w:val="both"/>
                    <w:spacing w:line="360" w:lineRule="auto"/>
                  </w:pPr>
                  <w:r>
                    <w:t xml:space="preserve">51</w:t>
                  </w:r>
                </w:p>
              </w:tc>
              <w:tc>
                <w:tcPr/>
                <w:p>
                  <w:pPr>
                    <w:pStyle w:val="Compact"/>
                    <w:jc w:val="both"/>
                    <w:spacing w:line="360" w:lineRule="auto"/>
                  </w:pPr>
                  <w:r>
                    <w:t xml:space="preserve">3.400</w:t>
                  </w:r>
                </w:p>
              </w:tc>
              <w:tc>
                <w:tcPr/>
                <w:p>
                  <w:pPr>
                    <w:pStyle w:val="Compact"/>
                    <w:jc w:val="both"/>
                    <w:spacing w:line="360" w:lineRule="auto"/>
                  </w:pPr>
                  <w:r>
                    <w:t xml:space="preserve">0.014</w:t>
                  </w:r>
                </w:p>
              </w:tc>
            </w:tr>
            <w:tr>
              <w:tc>
                <w:tcPr/>
                <w:p>
                  <w:pPr>
                    <w:pStyle w:val="Compact"/>
                    <w:jc w:val="both"/>
                    <w:spacing w:line="360" w:lineRule="auto"/>
                  </w:pPr>
                  <w:r>
                    <w:t xml:space="preserve">Anchors</w:t>
                  </w:r>
                </w:p>
              </w:tc>
              <w:tc>
                <w:tcPr/>
                <w:p>
                  <w:pPr>
                    <w:pStyle w:val="Compact"/>
                    <w:jc w:val="both"/>
                    <w:spacing w:line="360" w:lineRule="auto"/>
                  </w:pPr>
                  <w:r>
                    <w:t xml:space="preserve">54</w:t>
                  </w:r>
                </w:p>
              </w:tc>
              <w:tc>
                <w:tcPr/>
                <w:p>
                  <w:pPr>
                    <w:pStyle w:val="Compact"/>
                    <w:jc w:val="both"/>
                    <w:spacing w:line="360" w:lineRule="auto"/>
                  </w:pPr>
                  <w:r>
                    <w:t xml:space="preserve">3.600</w:t>
                  </w:r>
                </w:p>
              </w:tc>
              <w:tc>
                <w:tcPr/>
                <w:p>
                  <w:pPr>
                    <w:pStyle w:val="Compact"/>
                    <w:jc w:val="both"/>
                    <w:spacing w:line="360" w:lineRule="auto"/>
                  </w:pPr>
                  <w:r>
                    <w:t xml:space="preserve">0.043</w:t>
                  </w:r>
                </w:p>
              </w:tc>
            </w:tr>
          </w:tbl>
          <w:bookmarkEnd w:id="108"/>
          <w:p>
            <w:pPr>
              <w:spacing w:line="360" w:lineRule="auto"/>
              <w:jc w:val="both"/>
            </w:pPr>
          </w:p>
        </w:tc>
      </w:tr>
    </w:tbl>
    <w:p>
      <w:pPr>
        <w:pStyle w:val="Textoindependiente"/>
        <w:spacing w:line="360" w:lineRule="auto"/>
        <w:jc w:val="both"/>
      </w:pPr>
      <w:r>
        <w:t xml:space="preserve">SHAP mantiene la primera posición en estabilidad (rango medio = 1.000), lo</w:t>
      </w:r>
      <w:r>
        <w:t xml:space="preserve"> </w:t>
      </w:r>
      <w:r>
        <w:t xml:space="preserve">que implica que ocupa el primer rango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ns1:oMath>
        <ns1:r>
          <ns1:rPr>
            <ns1:sty ns1:val="p"/>
          </ns1:rPr>
          <ns1:t>[</ns1:t>
        </ns1:r>
        <ns1:r>
          <ns1:t>0</ns1:t>
        </ns1:r>
        <ns1:r>
          <ns1:rPr>
            <ns1:sty ns1:val="p"/>
          </ns1:rPr>
          <ns1:t>,</ns1:t>
        </ns1:r>
        <ns1:r>
          <ns1:t>1</ns1:t>
        </ns1:r>
        <ns1:r>
          <ns1:rPr>
            <ns1:sty ns1:val="p"/>
          </ns1:rPr>
          <ns1:t>]</ns1:t>
        </ns1:r>
      </ns1: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spacing w:line="360" w:lineRule="auto"/>
        <w:jc w:val="both"/>
      </w:pPr>
      <w:r>
        <w:t xml:space="preserve">La diferencia crítica Nemenyi para estabilidad es idéntica a la calculada para</w:t>
      </w:r>
      <w:r>
        <w:t xml:space="preserve"> </w:t>
      </w:r>
      <w:r>
        <w:t xml:space="preserve">fidelidad (</w:t>
      </w:r>
      <ns1:oMath>
        <ns1:r>
          <ns1:t>C</ns1:t>
        </ns1:r>
        <ns1:r>
          <ns1:t>D</ns1:t>
        </ns1:r>
        <ns1:r>
          <ns1:rPr>
            <ns1:sty ns1:val="p"/>
          </ns1:rPr>
          <ns1:t>=</ns1:t>
        </ns1:r>
        <ns1:r>
          <ns1:t>1.211</ns1:t>
        </ns1:r>
      </ns1:oMath>
      <w:r>
        <w:t xml:space="preserve">) dado el mismo</w:t>
      </w:r>
      <w:r>
        <w:t xml:space="preserve"> </w:t>
      </w:r>
      <ns1:oMath>
        <ns1:r>
          <ns1:t>n</ns1:t>
        </ns1:r>
      </ns1:oMath>
      <w:r>
        <w:t xml:space="preserve"> </w:t>
      </w:r>
      <w:r>
        <w:t xml:space="preserve">y</w:t>
      </w:r>
      <w:r>
        <w:t xml:space="preserve"> </w:t>
      </w:r>
      <ns1:oMath>
        <ns1:r>
          <ns1:t>k</ns1:t>
        </ns1:r>
      </ns1:oMath>
      <w:r>
        <w:t xml:space="preserve">. Las diferencias en rangos</w:t>
      </w:r>
      <w:r>
        <w:t xml:space="preserve"> </w:t>
      </w:r>
      <w:r>
        <w:t xml:space="preserve">medios confirmadas como significativas son:</w:t>
      </w:r>
    </w:p>
    <w:p>
      <w:pPr>
        <w:pStyle w:val="Compact"/>
        <w:numPr>
          <w:ilvl w:val="0"/>
          <w:numId w:val="1013"/>
        </w:numPr>
        <w:spacing w:line="360" w:lineRule="auto"/>
        <w:jc w:val="both"/>
      </w:pPr>
      <w:r>
        <w:t xml:space="preserve">SHAP vs. LIME:</w:t>
      </w:r>
      <w:r>
        <w:t xml:space="preserve"> </w:t>
      </w:r>
      <ns1:oMath>
        <ns1:r>
          <ns1:rPr>
            <ns1:sty ns1:val="p"/>
          </ns1:rPr>
          <ns1:t>|</ns1:t>
        </ns1:r>
        <ns1:r>
          <ns1:t>1.000</ns1:t>
        </ns1:r>
        <ns1:r>
          <ns1:rPr>
            <ns1:sty ns1:val="p"/>
          </ns1:rPr>
          <ns1:t>−</ns1:t>
        </ns1:r>
        <ns1:r>
          <ns1:t>3.400</ns1:t>
        </ns1:r>
        <ns1:r>
          <ns1:rPr>
            <ns1:sty ns1:val="p"/>
          </ns1:rPr>
          <ns1:t>|</ns1:t>
        </ns1:r>
        <ns1:r>
          <ns1:rPr>
            <ns1:sty ns1:val="p"/>
          </ns1:rPr>
          <ns1:t>=</ns1:t>
        </ns1:r>
        <ns1:r>
          <ns1:t>2.400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SHAP vs. Anchors:</w:t>
      </w:r>
      <w:r>
        <w:t xml:space="preserve"> </w:t>
      </w:r>
      <ns1:oMath>
        <ns1:r>
          <ns1:rPr>
            <ns1:sty ns1:val="p"/>
          </ns1:rPr>
          <ns1:t>|</ns1:t>
        </ns1:r>
        <ns1:r>
          <ns1:t>1.000</ns1:t>
        </ns1:r>
        <ns1:r>
          <ns1:rPr>
            <ns1:sty ns1:val="p"/>
          </ns1:rPr>
          <ns1:t>−</ns1:t>
        </ns1:r>
        <ns1:r>
          <ns1:t>3.600</ns1:t>
        </ns1:r>
        <ns1:r>
          <ns1:rPr>
            <ns1:sty ns1:val="p"/>
          </ns1:rPr>
          <ns1:t>|</ns1:t>
        </ns1:r>
        <ns1:r>
          <ns1:rPr>
            <ns1:sty ns1:val="p"/>
          </ns1:rPr>
          <ns1:t>=</ns1:t>
        </ns1:r>
        <ns1:r>
          <ns1:t>2.600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LIME:</w:t>
      </w:r>
      <w:r>
        <w:t xml:space="preserve"> </w:t>
      </w:r>
      <ns1:oMath>
        <ns1:r>
          <ns1:rPr>
            <ns1:sty ns1:val="p"/>
          </ns1:rPr>
          <ns1:t>|</ns1:t>
        </ns1:r>
        <ns1:r>
          <ns1:t>2.000</ns1:t>
        </ns1:r>
        <ns1:r>
          <ns1:rPr>
            <ns1:sty ns1:val="p"/>
          </ns1:rPr>
          <ns1:t>−</ns1:t>
        </ns1:r>
        <ns1:r>
          <ns1:t>3.400</ns1:t>
        </ns1:r>
        <ns1:r>
          <ns1:rPr>
            <ns1:sty ns1:val="p"/>
          </ns1:rPr>
          <ns1:t>|</ns1:t>
        </ns1:r>
        <ns1:r>
          <ns1:rPr>
            <ns1:sty ns1:val="p"/>
          </ns1:rPr>
          <ns1:t>=</ns1:t>
        </ns1:r>
        <ns1:r>
          <ns1:t>1.400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DiCE vs. Anchors:</w:t>
      </w:r>
      <w:r>
        <w:t xml:space="preserve"> </w:t>
      </w:r>
      <ns1:oMath>
        <ns1:r>
          <ns1:rPr>
            <ns1:sty ns1:val="p"/>
          </ns1:rPr>
          <ns1:t>|</ns1:t>
        </ns1:r>
        <ns1:r>
          <ns1:t>2.000</ns1:t>
        </ns1:r>
        <ns1:r>
          <ns1:rPr>
            <ns1:sty ns1:val="p"/>
          </ns1:rPr>
          <ns1:t>−</ns1:t>
        </ns1:r>
        <ns1:r>
          <ns1:t>3.600</ns1:t>
        </ns1:r>
        <ns1:r>
          <ns1:rPr>
            <ns1:sty ns1:val="p"/>
          </ns1:rPr>
          <ns1:t>|</ns1:t>
        </ns1:r>
        <ns1:r>
          <ns1:rPr>
            <ns1:sty ns1:val="p"/>
          </ns1:rPr>
          <ns1:t>=</ns1:t>
        </ns1:r>
        <ns1:r>
          <ns1:t>1.600</ns1:t>
        </ns1:r>
        <ns1:r>
          <ns1:rPr>
            <ns1:sty ns1:val="p"/>
          </ns1:rPr>
          <ns1:t>&gt;</ns1:t>
        </ns1:r>
        <ns1:r>
          <ns1:t>1.211</ns1:t>
        </ns1:r>
      </ns1:oMath>
      <w:r>
        <w:t xml:space="preserve"> </w:t>
      </w:r>
      <w:r>
        <w:t xml:space="preserve">(Sí)</w:t>
      </w:r>
    </w:p>
    <w:p>
      <w:pPr>
        <w:pStyle w:val="Compact"/>
        <w:numPr>
          <w:ilvl w:val="0"/>
          <w:numId w:val="1013"/>
        </w:numPr>
        <w:spacing w:line="360" w:lineRule="auto"/>
        <w:jc w:val="both"/>
      </w:pPr>
      <w:r>
        <w:t xml:space="preserve">LIME vs. Anchors:</w:t>
      </w:r>
      <w:r>
        <w:t xml:space="preserve"> </w:t>
      </w:r>
      <ns1:oMath>
        <ns1:r>
          <ns1:rPr>
            <ns1:sty ns1:val="p"/>
          </ns1:rPr>
          <ns1:t>|</ns1:t>
        </ns1:r>
        <ns1:r>
          <ns1:t>3.400</ns1:t>
        </ns1:r>
        <ns1:r>
          <ns1:rPr>
            <ns1:sty ns1:val="p"/>
          </ns1:rPr>
          <ns1:t>−</ns1:t>
        </ns1:r>
        <ns1:r>
          <ns1:t>3.600</ns1:t>
        </ns1:r>
        <ns1:r>
          <ns1:rPr>
            <ns1:sty ns1:val="p"/>
          </ns1:rPr>
          <ns1:t>|</ns1:t>
        </ns1:r>
        <ns1:r>
          <ns1:rPr>
            <ns1:sty ns1:val="p"/>
          </ns1:rPr>
          <ns1:t>=</ns1:t>
        </ns1:r>
        <ns1:r>
          <ns1:t>0.200</ns1:t>
        </ns1:r>
        <ns1:r>
          <ns1:rPr>
            <ns1:sty ns1:val="p"/>
          </ns1:rPr>
          <ns1:t>&lt;</ns1:t>
        </ns1:r>
        <ns1:r>
          <ns1:t>1.211</ns1:t>
        </ns1:r>
      </ns1:oMath>
      <w:r>
        <w:t xml:space="preserve"> </w:t>
      </w:r>
      <w:r>
        <w:t xml:space="preserve">(No)</w:t>
      </w:r>
    </w:p>
    <w:p>
      <w:pPr>
        <w:pStyle w:val="Compact"/>
        <w:numPr>
          <w:ilvl w:val="0"/>
          <w:numId w:val="1013"/>
        </w:numPr>
        <w:spacing w:line="360" w:lineRule="auto"/>
        <w:jc w:val="both"/>
      </w:pPr>
      <w:r>
        <w:t xml:space="preserve">SHAP vs. DiCE:</w:t>
      </w:r>
      <w:r>
        <w:t xml:space="preserve"> </w:t>
      </w:r>
      <ns1:oMath>
        <ns1:r>
          <ns1:rPr>
            <ns1:sty ns1:val="p"/>
          </ns1:rPr>
          <ns1:t>|</ns1:t>
        </ns1:r>
        <ns1:r>
          <ns1:t>1.000</ns1:t>
        </ns1:r>
        <ns1:r>
          <ns1:rPr>
            <ns1:sty ns1:val="p"/>
          </ns1:rPr>
          <ns1:t>−</ns1:t>
        </ns1:r>
        <ns1:r>
          <ns1:t>2.000</ns1:t>
        </ns1:r>
        <ns1:r>
          <ns1:rPr>
            <ns1:sty ns1:val="p"/>
          </ns1:rPr>
          <ns1:t>|</ns1:t>
        </ns1:r>
        <ns1:r>
          <ns1:rPr>
            <ns1:sty ns1:val="p"/>
          </ns1:rPr>
          <ns1:t>=</ns1:t>
        </ns1:r>
        <ns1:r>
          <ns1:t>1.000</ns1:t>
        </ns1:r>
        <ns1:r>
          <ns1:rPr>
            <ns1:sty ns1:val="p"/>
          </ns1:rPr>
          <ns1:t>&lt;</ns1:t>
        </ns1:r>
        <ns1:r>
          <ns1:t>1.211</ns1:t>
        </ns1:r>
      </ns1:oMath>
      <w:r>
        <w:t xml:space="preserve"> </w:t>
      </w:r>
      <w:r>
        <w:t xml:space="preserve">(No)</w:t>
      </w:r>
    </w:p>
    <w:p>
      <w:pPr>
        <w:pStyle w:val="FirstParagraph"/>
        <w:spacing w:line="360" w:lineRule="auto"/>
        <w:jc w:val="bot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debe acotarse al criterio evaluado: en despliegues que</w:t>
      </w:r>
      <w:r>
        <w:t xml:space="preserve"> </w:t>
      </w:r>
      <w:r>
        <w:t xml:space="preserve">requieren consistencia explicativa ante pequeñas variaciones de entrada, SHAP</w:t>
      </w:r>
      <w:r>
        <w:t xml:space="preserve"> </w:t>
      </w:r>
      <w:r>
        <w:t xml:space="preserve">ofrece el perfil más sólido en este benchmark y DiCE ofrece estabilidad</w:t>
      </w:r>
      <w:r>
        <w:t xml:space="preserve"> </w:t>
      </w:r>
      <w:r>
        <w:t xml:space="preserve">intermedia; LIME y Anchors requieren cautela si la estabilidad local es un</w:t>
      </w:r>
      <w:r>
        <w:t xml:space="preserve"> </w:t>
      </w:r>
      <w:r>
        <w:t xml:space="preserve">criterio de selección.</w:t>
      </w:r>
    </w:p>
    <w:bookmarkEnd w:id="109"/>
    <w:bookmarkEnd w:id="110"/>
    <w:bookmarkStart w:id="114" w:name="sec-estudio-b"/>
    <w:p>
      <w:pPr>
        <w:pStyle w:val="Ttulo2"/>
        <w:spacing w:line="360" w:lineRule="auto"/>
        <w:jc w:val="both"/>
      </w:pPr>
      <w:r>
        <w:t xml:space="preserve">Estudio B: Análisis pareado SHAP-LIME y relación calidad-coste (H3)</w:t>
      </w:r>
    </w:p>
    <w:p>
      <w:pPr>
        <w:pStyle w:val="FirstParagraph"/>
        <w:spacing w:line="360" w:lineRule="auto"/>
        <w:jc w:val="both"/>
      </w:pPr>
      <w:r>
        <w:t xml:space="preserve">El análisis pareado opera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12" w:name="diferencias-en-métricas-de-calidad"/>
    <w:p>
      <w:pPr>
        <w:pStyle w:val="Ttulo3"/>
        <w:spacing w:line="360" w:lineRule="auto"/>
        <w:jc w:val="both"/>
      </w:pPr>
      <w:r>
        <w:t xml:space="preserve">Diferencias en métricas de calidad</w:t>
      </w:r>
    </w:p>
    <w:p>
      <w:pPr>
        <w:pStyle w:val="FirstParagraph"/>
        <w:spacing w:line="360" w:lineRule="auto"/>
        <w:jc w:val="both"/>
      </w:pPr>
      <w:r>
        <w:t xml:space="preserve">Para cada métrica se calcula la diferencia pareada</w:t>
      </w:r>
      <w:r>
        <w:t xml:space="preserve"> </w:t>
      </w:r>
      <ns1:oMath>
        <ns1:sSub>
          <ns1:e>
            <ns1:r>
              <ns1:t>d</ns1:t>
            </ns1:r>
          </ns1:e>
          <ns1:sub>
            <ns1:r>
              <ns1:t>i</ns1:t>
            </ns1:r>
          </ns1:sub>
        </ns1:sSub>
        <ns1:r>
          <ns1:rPr>
            <ns1:sty ns1:val="p"/>
          </ns1:rPr>
          <ns1:t>=</ns1:t>
        </ns1:r>
        <ns1:sSubSup>
          <ns1:e>
            <ns1:r>
              <ns1:t>x</ns1:t>
            </ns1:r>
          </ns1:e>
          <ns1:sub>
            <ns1:r>
              <ns1:t>i</ns1:t>
            </ns1:r>
          </ns1:sub>
          <ns1:sup>
            <ns1:r>
              <ns1:t>S</ns1:t>
            </ns1:r>
            <ns1:r>
              <ns1:t>H</ns1:t>
            </ns1:r>
            <ns1:r>
              <ns1:t>A</ns1:t>
            </ns1:r>
            <ns1:r>
              <ns1:t>P</ns1:t>
            </ns1:r>
          </ns1:sup>
        </ns1:sSubSup>
        <ns1:r>
          <ns1:rPr>
            <ns1:sty ns1:val="p"/>
          </ns1:rPr>
          <ns1:t>−</ns1:t>
        </ns1:r>
        <ns1:sSubSup>
          <ns1:e>
            <ns1:r>
              <ns1:t>x</ns1:t>
            </ns1:r>
          </ns1:e>
          <ns1:sub>
            <ns1:r>
              <ns1:t>i</ns1:t>
            </ns1:r>
          </ns1:sub>
          <ns1:sup>
            <ns1:r>
              <ns1:t>L</ns1:t>
            </ns1:r>
            <ns1:r>
              <ns1:t>I</ns1:t>
            </ns1:r>
            <ns1:r>
              <ns1:t>M</ns1:t>
            </ns1:r>
            <ns1:r>
              <ns1:t>E</ns1:t>
            </ns1:r>
          </ns1:sup>
        </ns1:sSubSup>
      </ns1:oMath>
      <w:r>
        <w:t xml:space="preserve">,</w:t>
      </w:r>
      <w:r>
        <w:t xml:space="preserve"> </w:t>
      </w:r>
      <w:r>
        <w:t xml:space="preserve">donde un valor positivo indica ventaja de SHAP. El estadístico de efecto de</w:t>
      </w:r>
      <w:r>
        <w:t xml:space="preserve"> </w:t>
      </w:r>
      <w:r>
        <w:t xml:space="preserve">Cohen es</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 donde</w:t>
      </w:r>
      <w:r>
        <w:t xml:space="preserve"> </w:t>
      </w:r>
      <ns1:oMath>
        <ns1:sSub>
          <ns1:e>
            <ns1:r>
              <ns1:t>s</ns1:t>
            </ns1:r>
          </ns1:e>
          <ns1:sub>
            <ns1:r>
              <ns1:t>d</ns1:t>
            </ns1:r>
          </ns1:sub>
        </ns1:sSub>
      </ns1: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11" w:name="tbl-paired-shap-lime"/>
          <w:p>
            <w:pPr>
              <w:jc w:val="both"/>
              <w:spacing w:line="360" w:lineRule="auto"/>
            </w:pPr>
            <w:pPr>
              <w:jc w:val="left"/>
              <w:spacing w:before="200"/>
              <w:pStyle w:val="ImageCaption"/>
            </w:pPr>
            <w:r>
              <w:t xml:space="preserve">Table 5.5: Diferencias pareadas SHAP − LIME (</w:t>
            </w:r>
            <ns1:oMath>
              <ns1:r>
                <ns1:t>n</ns1:t>
              </ns1:r>
              <ns1:r>
                <ns1:rPr>
                  <ns1:sty ns1:val="p"/>
                </ns1:rPr>
                <ns1:t>=</ns1:t>
              </ns1:r>
              <ns1:r>
                <ns1:t>75</ns1:t>
              </ns1:r>
            </ns1:oMath>
            <w:r>
              <w:t xml:space="preserve"> </w:t>
            </w:r>
            <w:r>
              <w:t xml:space="preserve">celdas). Se reporta</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para fidelidad/estabilidad/brecha,</w:t>
            </w:r>
            <w:r>
              <w:t xml:space="preserve"> </w:t>
            </w:r>
            <ns1:oMath>
              <ns1:r>
                <ns1:t>d</ns1:t>
              </ns1:r>
              <ns1:r>
                <ns1:rPr>
                  <ns1:sty ns1:val="p"/>
                </ns1:rPr>
                <ns1:t>&gt;</ns1:t>
              </ns1:r>
              <ns1:r>
                <ns1:t>0</ns1:t>
              </ns1:r>
            </ns1:oMath>
            <w:r>
              <w:t xml:space="preserve"> </w:t>
            </w:r>
            <w:r>
              <w:t xml:space="preserve">favorece SHAP; para parsimonia y coste,</w:t>
            </w:r>
            <w:r>
              <w:t xml:space="preserve"> </w:t>
            </w:r>
            <ns1:oMath>
              <ns1:r>
                <ns1:t>d</ns1:t>
              </ns1:r>
              <ns1:r>
                <ns1:rPr>
                  <ns1:sty ns1:val="p"/>
                </ns1:rPr>
                <ns1:t>&gt;</ns1:t>
              </ns1:r>
              <ns1:r>
                <ns1:t>0</ns1:t>
              </ns1:r>
            </ns1: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both"/>
                    <w:spacing w:line="360" w:lineRule="auto"/>
                  </w:pPr>
                  <w:r>
                    <w:t xml:space="preserve">Métrica</w:t>
                  </w:r>
                </w:p>
              </w:tc>
              <w:tc>
                <w:tcPr/>
                <w:p>
                  <w:pPr>
                    <w:pStyle w:val="Compact"/>
                    <w:jc w:val="both"/>
                    <w:spacing w:line="360" w:lineRule="auto"/>
                  </w:pPr>
                  <ns1:oMath>
                    <ns1:acc>
                      <ns1:accPr>
                        <ns1:chr ns1:val="‾"/>
                      </ns1:accPr>
                      <ns1:e>
                        <ns1:r>
                          <ns1:t>d</ns1:t>
                        </ns1:r>
                      </ns1:e>
                    </ns1:acc>
                  </ns1:oMath>
                </w:p>
              </w:tc>
              <w:tc>
                <w:tcPr/>
                <w:p>
                  <w:pPr>
                    <w:pStyle w:val="Compact"/>
                    <w:jc w:val="both"/>
                    <w:spacing w:line="360" w:lineRule="auto"/>
                  </w:pPr>
                  <ns1:oMath>
                    <ns1:sSub>
                      <ns1:e>
                        <ns1:r>
                          <ns1:t>s</ns1:t>
                        </ns1:r>
                      </ns1:e>
                      <ns1:sub>
                        <ns1:r>
                          <ns1:t>d</ns1:t>
                        </ns1:r>
                      </ns1:sub>
                    </ns1:sSub>
                  </ns1:oMath>
                </w:p>
              </w:tc>
              <w:tc>
                <w:tcPr/>
                <w:p>
                  <w:pPr>
                    <w:pStyle w:val="Compact"/>
                    <w:jc w:val="both"/>
                    <w:spacing w:line="360" w:lineRule="auto"/>
                  </w:pPr>
                  <ns1:oMath>
                    <ns1:sSub>
                      <ns1:e>
                        <ns1:r>
                          <ns1:t>d</ns1:t>
                        </ns1:r>
                      </ns1:e>
                      <ns1:sub>
                        <ns1:r>
                          <ns1:t>z</ns1:t>
                        </ns1:r>
                      </ns1:sub>
                    </ns1:sSub>
                  </ns1:oMath>
                </w:p>
              </w:tc>
              <w:tc>
                <w:tcPr/>
                <w:p>
                  <w:pPr>
                    <w:pStyle w:val="Compact"/>
                    <w:jc w:val="both"/>
                    <w:spacing w:line="360" w:lineRule="auto"/>
                  </w:pPr>
                  <w:r>
                    <w:t xml:space="preserve">Pos.</w:t>
                  </w:r>
                </w:p>
              </w:tc>
              <w:tc>
                <w:tcPr/>
                <w:p>
                  <w:pPr>
                    <w:pStyle w:val="Compact"/>
                    <w:jc w:val="both"/>
                    <w:spacing w:line="360" w:lineRule="auto"/>
                  </w:pPr>
                  <w:r>
                    <w:t xml:space="preserve">Neg.</w:t>
                  </w:r>
                </w:p>
              </w:tc>
              <w:tc>
                <w:tcPr/>
                <w:p>
                  <w:pPr>
                    <w:pStyle w:val="Compact"/>
                    <w:jc w:val="both"/>
                    <w:spacing w:line="360" w:lineRule="auto"/>
                  </w:pPr>
                  <ns1:oMath>
                    <ns1:r>
                      <ns1:t>n</ns1:t>
                    </ns1:r>
                  </ns1:oMath>
                </w:p>
              </w:tc>
            </w:tr>
            <w:tr>
              <w:tc>
                <w:tcPr/>
                <w:p>
                  <w:pPr>
                    <w:pStyle w:val="Compact"/>
                    <w:jc w:val="both"/>
                    <w:spacing w:line="360" w:lineRule="auto"/>
                  </w:pPr>
                  <w:r>
                    <w:t xml:space="preserve">Fidelidad</w:t>
                  </w:r>
                </w:p>
              </w:tc>
              <w:tc>
                <w:tcPr/>
                <w:p>
                  <w:pPr>
                    <w:pStyle w:val="Compact"/>
                    <w:jc w:val="both"/>
                    <w:spacing w:line="360" w:lineRule="auto"/>
                  </w:pPr>
                  <w:r>
                    <w:t xml:space="preserve">+0.2479</w:t>
                  </w:r>
                </w:p>
              </w:tc>
              <w:tc>
                <w:tcPr/>
                <w:p>
                  <w:pPr>
                    <w:pStyle w:val="Compact"/>
                    <w:jc w:val="both"/>
                    <w:spacing w:line="360" w:lineRule="auto"/>
                  </w:pPr>
                  <w:r>
                    <w:t xml:space="preserve">0.0514</w:t>
                  </w:r>
                </w:p>
              </w:tc>
              <w:tc>
                <w:tcPr/>
                <w:p>
                  <w:pPr>
                    <w:pStyle w:val="Compact"/>
                    <w:jc w:val="both"/>
                    <w:spacing w:line="360" w:lineRule="auto"/>
                  </w:pPr>
                  <w:r>
                    <w:t xml:space="preserve">+4.820</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Estabilidad</w:t>
                  </w:r>
                </w:p>
              </w:tc>
              <w:tc>
                <w:tcPr/>
                <w:p>
                  <w:pPr>
                    <w:pStyle w:val="Compact"/>
                    <w:jc w:val="both"/>
                    <w:spacing w:line="360" w:lineRule="auto"/>
                  </w:pPr>
                  <w:r>
                    <w:t xml:space="preserve">+0.7176</w:t>
                  </w:r>
                </w:p>
              </w:tc>
              <w:tc>
                <w:tcPr/>
                <w:p>
                  <w:pPr>
                    <w:pStyle w:val="Compact"/>
                    <w:jc w:val="both"/>
                    <w:spacing w:line="360" w:lineRule="auto"/>
                  </w:pPr>
                  <w:r>
                    <w:t xml:space="preserve">0.2390</w:t>
                  </w:r>
                </w:p>
              </w:tc>
              <w:tc>
                <w:tcPr/>
                <w:p>
                  <w:pPr>
                    <w:pStyle w:val="Compact"/>
                    <w:jc w:val="both"/>
                    <w:spacing w:line="360" w:lineRule="auto"/>
                  </w:pPr>
                  <w:r>
                    <w:t xml:space="preserve">+3.002</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Parsimonia</w:t>
                  </w:r>
                </w:p>
              </w:tc>
              <w:tc>
                <w:tcPr/>
                <w:p>
                  <w:pPr>
                    <w:pStyle w:val="Compact"/>
                    <w:jc w:val="both"/>
                    <w:spacing w:line="360" w:lineRule="auto"/>
                  </w:pPr>
                  <w:r>
                    <w:t xml:space="preserve">+0.1418</w:t>
                  </w:r>
                </w:p>
              </w:tc>
              <w:tc>
                <w:tcPr/>
                <w:p>
                  <w:pPr>
                    <w:pStyle w:val="Compact"/>
                    <w:jc w:val="both"/>
                    <w:spacing w:line="360" w:lineRule="auto"/>
                  </w:pPr>
                  <w:r>
                    <w:t xml:space="preserve">0.1690</w:t>
                  </w:r>
                </w:p>
              </w:tc>
              <w:tc>
                <w:tcPr/>
                <w:p>
                  <w:pPr>
                    <w:pStyle w:val="Compact"/>
                    <w:jc w:val="both"/>
                    <w:spacing w:line="360" w:lineRule="auto"/>
                  </w:pPr>
                  <w:r>
                    <w:t xml:space="preserve">+0.839</w:t>
                  </w:r>
                </w:p>
              </w:tc>
              <w:tc>
                <w:tcPr/>
                <w:p>
                  <w:pPr>
                    <w:pStyle w:val="Compact"/>
                    <w:jc w:val="both"/>
                    <w:spacing w:line="360" w:lineRule="auto"/>
                  </w:pPr>
                  <w:r>
                    <w:t xml:space="preserve">75</w:t>
                  </w:r>
                </w:p>
              </w:tc>
              <w:tc>
                <w:tcPr/>
                <w:p>
                  <w:pPr>
                    <w:pStyle w:val="Compact"/>
                    <w:jc w:val="both"/>
                    <w:spacing w:line="360" w:lineRule="auto"/>
                  </w:pPr>
                  <w:r>
                    <w:t xml:space="preserve">0</w:t>
                  </w:r>
                </w:p>
              </w:tc>
              <w:tc>
                <w:tcPr/>
                <w:p>
                  <w:pPr>
                    <w:pStyle w:val="Compact"/>
                    <w:jc w:val="both"/>
                    <w:spacing w:line="360" w:lineRule="auto"/>
                  </w:pPr>
                  <w:r>
                    <w:t xml:space="preserve">75</w:t>
                  </w:r>
                </w:p>
              </w:tc>
            </w:tr>
            <w:tr>
              <w:tc>
                <w:tcPr/>
                <w:p>
                  <w:pPr>
                    <w:pStyle w:val="Compact"/>
                    <w:jc w:val="both"/>
                    <w:spacing w:line="360" w:lineRule="auto"/>
                  </w:pPr>
                  <w:r>
                    <w:t xml:space="preserve">Brecha fidelidad</w:t>
                  </w:r>
                </w:p>
              </w:tc>
              <w:tc>
                <w:tcPr/>
                <w:p>
                  <w:pPr>
                    <w:pStyle w:val="Compact"/>
                    <w:jc w:val="both"/>
                    <w:spacing w:line="360" w:lineRule="auto"/>
                  </w:pPr>
                  <w:r>
                    <w:t xml:space="preserve">+0.0453</w:t>
                  </w:r>
                </w:p>
              </w:tc>
              <w:tc>
                <w:tcPr/>
                <w:p>
                  <w:pPr>
                    <w:pStyle w:val="Compact"/>
                    <w:jc w:val="both"/>
                    <w:spacing w:line="360" w:lineRule="auto"/>
                  </w:pPr>
                  <w:r>
                    <w:t xml:space="preserve">0.0173</w:t>
                  </w:r>
                </w:p>
              </w:tc>
              <w:tc>
                <w:tcPr/>
                <w:p>
                  <w:pPr>
                    <w:pStyle w:val="Compact"/>
                    <w:jc w:val="both"/>
                    <w:spacing w:line="360" w:lineRule="auto"/>
                  </w:pPr>
                  <w:r>
                    <w:t xml:space="preserve">+2.626</w:t>
                  </w:r>
                </w:p>
              </w:tc>
              <w:tc>
                <w:tcPr/>
                <w:p>
                  <w:pPr>
                    <w:pStyle w:val="Compact"/>
                    <w:jc w:val="both"/>
                    <w:spacing w:line="360" w:lineRule="auto"/>
                  </w:pPr>
                  <w:r>
                    <w:t xml:space="preserve">74</w:t>
                  </w:r>
                </w:p>
              </w:tc>
              <w:tc>
                <w:tcPr/>
                <w:p>
                  <w:pPr>
                    <w:pStyle w:val="Compact"/>
                    <w:jc w:val="both"/>
                    <w:spacing w:line="360" w:lineRule="auto"/>
                  </w:pPr>
                  <w:r>
                    <w:t xml:space="preserve">1</w:t>
                  </w:r>
                </w:p>
              </w:tc>
              <w:tc>
                <w:tcPr/>
                <w:p>
                  <w:pPr>
                    <w:pStyle w:val="Compact"/>
                    <w:jc w:val="both"/>
                    <w:spacing w:line="360" w:lineRule="auto"/>
                  </w:pPr>
                  <w:r>
                    <w:t xml:space="preserve">75</w:t>
                  </w:r>
                </w:p>
              </w:tc>
            </w:tr>
            <w:tr>
              <w:tc>
                <w:tcPr/>
                <w:p>
                  <w:pPr>
                    <w:pStyle w:val="Compact"/>
                    <w:jc w:val="both"/>
                    <w:spacing w:line="360" w:lineRule="auto"/>
                  </w:pPr>
                  <w:r>
                    <w:t xml:space="preserve">Coste (ms)</w:t>
                  </w:r>
                </w:p>
              </w:tc>
              <w:tc>
                <w:tcPr/>
                <w:p>
                  <w:pPr>
                    <w:pStyle w:val="Compact"/>
                    <w:jc w:val="both"/>
                    <w:spacing w:line="360" w:lineRule="auto"/>
                  </w:pPr>
                  <w:r>
                    <w:t xml:space="preserve">+8047.6</w:t>
                  </w:r>
                </w:p>
              </w:tc>
              <w:tc>
                <w:tcPr/>
                <w:p>
                  <w:pPr>
                    <w:pStyle w:val="Compact"/>
                    <w:jc w:val="both"/>
                    <w:spacing w:line="360" w:lineRule="auto"/>
                  </w:pPr>
                  <w:r>
                    <w:t xml:space="preserve">17856.6</w:t>
                  </w:r>
                </w:p>
              </w:tc>
              <w:tc>
                <w:tcPr/>
                <w:p>
                  <w:pPr>
                    <w:pStyle w:val="Compact"/>
                    <w:jc w:val="both"/>
                    <w:spacing w:line="360" w:lineRule="auto"/>
                  </w:pPr>
                  <w:r>
                    <w:t xml:space="preserve">+0.451</w:t>
                  </w:r>
                </w:p>
              </w:tc>
              <w:tc>
                <w:tcPr/>
                <w:p>
                  <w:pPr>
                    <w:pStyle w:val="Compact"/>
                    <w:jc w:val="both"/>
                    <w:spacing w:line="360" w:lineRule="auto"/>
                  </w:pPr>
                  <w:r>
                    <w:t xml:space="preserve">59</w:t>
                  </w:r>
                </w:p>
              </w:tc>
              <w:tc>
                <w:tcPr/>
                <w:p>
                  <w:pPr>
                    <w:pStyle w:val="Compact"/>
                    <w:jc w:val="both"/>
                    <w:spacing w:line="360" w:lineRule="auto"/>
                  </w:pPr>
                  <w:r>
                    <w:t xml:space="preserve">16</w:t>
                  </w:r>
                </w:p>
              </w:tc>
              <w:tc>
                <w:tcPr/>
                <w:p>
                  <w:pPr>
                    <w:pStyle w:val="Compact"/>
                    <w:jc w:val="both"/>
                    <w:spacing w:line="360" w:lineRule="auto"/>
                  </w:pPr>
                  <w:r>
                    <w:t xml:space="preserve">75</w:t>
                  </w:r>
                </w:p>
              </w:tc>
            </w:tr>
          </w:tbl>
          <w:bookmarkEnd w:id="111"/>
          <w:p>
            <w:pPr>
              <w:spacing w:line="360" w:lineRule="auto"/>
              <w:jc w:val="both"/>
            </w:pPr>
          </w:p>
        </w:tc>
      </w:tr>
    </w:tbl>
    <w:p>
      <w:pPr>
        <w:pStyle w:val="Textoindependiente"/>
        <w:spacing w:line="360" w:lineRule="auto"/>
        <w:jc w:val="both"/>
      </w:pPr>
      <w:r>
        <w:t xml:space="preserve">Los resultados ofrecen evidencia consistente para</w:t>
      </w:r>
      <w:r>
        <w:t xml:space="preserve"> </w:t>
      </w:r>
      <ns1:oMath>
        <ns1:sSub>
          <ns1:e>
            <ns1:r>
              <ns1:t>H</ns1:t>
            </ns1:r>
          </ns1:e>
          <ns1:sub>
            <ns1:r>
              <ns1:t>1</ns1:t>
            </ns1:r>
            <ns1:r>
              <ns1:rPr>
                <ns1:sty ns1:val="p"/>
              </ns1:rPr>
              <ns1:t>,</ns1:t>
            </ns1:r>
            <ns1:r>
              <ns1:t>3</ns1:t>
            </ns1:r>
          </ns1:sub>
        </ns1:sSub>
      </ns1:oMath>
      <w:r>
        <w:t xml:space="preserve"> </w:t>
      </w:r>
      <w:r>
        <w:t xml:space="preserve">bajo las condiciones del diseño pareado:</w:t>
      </w:r>
    </w:p>
    <w:p>
      <w:pPr>
        <w:pStyle w:val="Textoindependiente"/>
        <w:spacing w:line="360" w:lineRule="auto"/>
        <w:jc w:val="both"/>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ns1:oMath>
        <ns1:sSub>
          <ns1:e>
            <ns1:r>
              <ns1:t>d</ns1:t>
            </ns1:r>
          </ns1:e>
          <ns1:sub>
            <ns1:r>
              <ns1:t>z</ns1:t>
            </ns1:r>
          </ns1:sub>
        </ns1:sSub>
        <ns1:r>
          <ns1:rPr>
            <ns1:sty ns1:val="p"/>
          </ns1:rPr>
          <ns1:t>=</ns1:t>
        </ns1:r>
        <ns1:r>
          <ns1:rPr>
            <ns1:sty ns1:val="p"/>
          </ns1:rPr>
          <ns1:t>+</ns1:t>
        </ns1:r>
        <ns1:r>
          <ns1:t>4.820</ns1:t>
        </ns1:r>
      </ns1:oMath>
      <w:r>
        <w:t xml:space="preserve">). Bajo el criterio de Lakens</w:t>
      </w:r>
      <w:r>
        <w:t xml:space="preserve"> </w:t>
      </w:r>
      <w:r>
        <w:t xml:space="preserve">(2013)</w:t>
      </w:r>
      <w:r>
        <w:t xml:space="preserve">,</w:t>
      </w:r>
      <w:r>
        <w:t xml:space="preserve"> </w:t>
      </w:r>
      <ns1:oMath>
        <ns1:sSub>
          <ns1:e>
            <ns1:r>
              <ns1:t>d</ns1:t>
            </ns1:r>
          </ns1:e>
          <ns1:sub>
            <ns1:r>
              <ns1:t>z</ns1:t>
            </ns1:r>
          </ns1:sub>
        </ns1:sSub>
        <ns1:r>
          <ns1:rPr>
            <ns1:sty ns1:val="p"/>
          </ns1:rPr>
          <ns1:t>&gt;</ns1:t>
        </ns1:r>
        <ns1:r>
          <ns1:t>0.8</ns1:t>
        </ns1:r>
      </ns1:oMath>
      <w:r>
        <w:t xml:space="preserve"> </w:t>
      </w:r>
      <w:r>
        <w:t xml:space="preserve">constituye efecto grande;</w:t>
      </w:r>
      <w:r>
        <w:t xml:space="preserve"> </w:t>
      </w:r>
      <ns1:oMath>
        <ns1:sSub>
          <ns1:e>
            <ns1:r>
              <ns1:t>d</ns1:t>
            </ns1:r>
          </ns1:e>
          <ns1:sub>
            <ns1:r>
              <ns1:t>z</ns1:t>
            </ns1:r>
          </ns1:sub>
        </ns1:sSub>
        <ns1:r>
          <ns1:rPr>
            <ns1:sty ns1:val="p"/>
          </ns1:rPr>
          <ns1:t>&gt;</ns1:t>
        </ns1:r>
        <ns1:r>
          <ns1:t>2.0</ns1:t>
        </ns1:r>
      </ns1: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spacing w:line="360" w:lineRule="auto"/>
        <w:jc w:val="both"/>
      </w:pPr>
      <w:r>
        <w:rPr>
          <w:b/>
          <w:bCs/>
        </w:rPr>
        <w:t xml:space="preserve">Estabilidad:</w:t>
      </w:r>
      <w:r>
        <w:t xml:space="preserve"> </w:t>
      </w:r>
      <w:r>
        <w:t xml:space="preserve">La ventaja de SHAP es aún más pronunciada en estabilidad</w:t>
      </w:r>
      <w:r>
        <w:t xml:space="preserve"> </w:t>
      </w:r>
      <w:r>
        <w:t xml:space="preserve">(</w:t>
      </w:r>
      <ns1:oMath>
        <ns1:sSub>
          <ns1:e>
            <ns1:r>
              <ns1:t>d</ns1:t>
            </ns1:r>
          </ns1:e>
          <ns1:sub>
            <ns1:r>
              <ns1:t>z</ns1:t>
            </ns1:r>
          </ns1:sub>
        </ns1:sSub>
        <ns1:r>
          <ns1:rPr>
            <ns1:sty ns1:val="p"/>
          </ns1:rPr>
          <ns1:t>=</ns1:t>
        </ns1:r>
        <ns1:r>
          <ns1:rPr>
            <ns1:sty ns1:val="p"/>
          </ns1:rPr>
          <ns1:t>+</ns1:t>
        </ns1:r>
        <ns1:r>
          <ns1:t>3.002</ns1:t>
        </ns1:r>
      </ns1: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spacing w:line="360" w:lineRule="auto"/>
        <w:jc w:val="both"/>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ns1:oMath>
        <ns1:sSub>
          <ns1:e>
            <ns1:r>
              <ns1:t>d</ns1:t>
            </ns1:r>
          </ns1:e>
          <ns1:sub>
            <ns1:r>
              <ns1:t>z</ns1:t>
            </ns1:r>
          </ns1:sub>
        </ns1:sSub>
        <ns1:r>
          <ns1:rPr>
            <ns1:sty ns1:val="p"/>
          </ns1:rPr>
          <ns1:t>=</ns1:t>
        </ns1:r>
        <ns1:r>
          <ns1:rPr>
            <ns1:sty ns1:val="p"/>
          </ns1:rPr>
          <ns1:t>+</ns1:t>
        </ns1:r>
        <ns1:r>
          <ns1:t>0.839</ns1:t>
        </ns1:r>
      </ns1: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ns1:oMath>
        <ns1:sSub>
          <ns1:e>
            <ns1:r>
              <ns1:t>d</ns1:t>
            </ns1:r>
          </ns1:e>
          <ns1:sub>
            <ns1:r>
              <ns1:t>z</ns1:t>
            </ns1:r>
          </ns1:sub>
        </ns1:sSub>
        <ns1:r>
          <ns1:rPr>
            <ns1:sty ns1:val="p"/>
          </ns1:rPr>
          <ns1:t>=</ns1:t>
        </ns1:r>
        <ns1:r>
          <ns1:rPr>
            <ns1:sty ns1:val="p"/>
          </ns1:rPr>
          <ns1:t>+</ns1:t>
        </ns1:r>
        <ns1:r>
          <ns1:t>2.626</ns1:t>
        </ns1:r>
      </ns1: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spacing w:line="360" w:lineRule="auto"/>
        <w:jc w:val="both"/>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ns1:oMath>
        <ns1:sSub>
          <ns1:e>
            <ns1:r>
              <ns1:t>s</ns1:t>
            </ns1:r>
          </ns1:e>
          <ns1:sub>
            <ns1:r>
              <ns1:t>d</ns1:t>
            </ns1:r>
          </ns1:sub>
        </ns1:sSub>
        <ns1:r>
          <ns1:rPr>
            <ns1:sty ns1:val="p"/>
          </ns1:rPr>
          <ns1:t>=</ns1:t>
        </ns1:r>
        <ns1:r>
          <ns1:t>17</ns1:t>
        </ns1:r>
        <ns1:r>
          <ns1:rPr>
            <ns1:sty ns1:val="p"/>
          </ns1:rPr>
          <ns1:t>,</ns1:t>
        </ns1:r>
        <ns1:r>
          <ns1:t>857</ns1:t>
        </ns1:r>
      </ns1: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ns1:oMath>
        <ns1:sSub>
          <ns1:e>
            <ns1:r>
              <ns1:t>d</ns1:t>
            </ns1:r>
          </ns1:e>
          <ns1:sub>
            <ns1:r>
              <ns1:t>z</ns1:t>
            </ns1:r>
          </ns1:sub>
        </ns1:sSub>
        <ns1:r>
          <ns1:rPr>
            <ns1:sty ns1:val="p"/>
          </ns1:rPr>
          <ns1:t>=</ns1:t>
        </ns1:r>
        <ns1:r>
          <ns1:rPr>
            <ns1:sty ns1:val="p"/>
          </ns1:rPr>
          <ns1:t>+</ns1:t>
        </ns1:r>
        <ns1:r>
          <ns1:t>0.451</ns1:t>
        </ns1:r>
      </ns1: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12"/>
    <w:bookmarkStart w:id="113" w:name="X2c15e0a178907c68bf437d0d85cae845d1c590b"/>
    <w:p>
      <w:pPr>
        <w:pStyle w:val="Ttulo3"/>
        <w:spacing w:line="360" w:lineRule="auto"/>
        <w:jc w:val="both"/>
      </w:pPr>
      <w:r>
        <w:t xml:space="preserve">Verificación del requisito de multiplicidad</w:t>
      </w:r>
    </w:p>
    <w:p>
      <w:pPr>
        <w:pStyle w:val="FirstParagraph"/>
        <w:spacing w:line="360" w:lineRule="auto"/>
        <w:jc w:val="bot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ns1:oMath>
        <ns1:r>
          <ns1:t>α</ns1:t>
        </ns1:r>
        <ns1:r>
          <ns1:rPr>
            <ns1:sty ns1:val="p"/>
          </ns1:rPr>
          <ns1:t>/</ns1:t>
        </ns1:r>
        <ns1:r>
          <ns1:rPr>
            <ns1:sty ns1:val="p"/>
          </ns1:rPr>
          <ns1:t>(</ns1:t>
        </ns1:r>
        <ns1:r>
          <ns1:t>5</ns1:t>
        </ns1:r>
        <ns1:r>
          <ns1:rPr>
            <ns1:sty ns1:val="p"/>
          </ns1:rPr>
          <ns1:t>)</ns1:t>
        </ns1:r>
        <ns1:r>
          <ns1:rPr>
            <ns1:sty ns1:val="p"/>
          </ns1:rPr>
          <ns1:t>=</ns1:t>
        </ns1:r>
        <ns1:r>
          <ns1:t>0.01</ns1:t>
        </ns1:r>
      </ns1:oMath>
      <w:r>
        <w:t xml:space="preserve">,</w:t>
      </w:r>
      <w:r>
        <w:t xml:space="preserve"> </w:t>
      </w:r>
      <ns1:oMath>
        <ns1:r>
          <ns1:t>α</ns1:t>
        </ns1:r>
        <ns1:r>
          <ns1:rPr>
            <ns1:sty ns1:val="p"/>
          </ns1:rPr>
          <ns1:t>/</ns1:t>
        </ns1:r>
        <ns1:r>
          <ns1:rPr>
            <ns1:sty ns1:val="p"/>
          </ns1:rPr>
          <ns1:t>(</ns1:t>
        </ns1:r>
        <ns1:r>
          <ns1:t>4</ns1:t>
        </ns1:r>
        <ns1:r>
          <ns1:rPr>
            <ns1:sty ns1:val="p"/>
          </ns1:rPr>
          <ns1:t>)</ns1:t>
        </ns1:r>
        <ns1:r>
          <ns1:rPr>
            <ns1:sty ns1:val="p"/>
          </ns1:rPr>
          <ns1:t>=</ns1:t>
        </ns1:r>
        <ns1:r>
          <ns1:t>0.0125</ns1:t>
        </ns1:r>
      </ns1:oMath>
      <w:r>
        <w:t xml:space="preserve">,</w:t>
      </w:r>
      <w:r>
        <w:t xml:space="preserve"> </w:t>
      </w:r>
      <ns1:oMath>
        <ns1:r>
          <ns1:t>α</ns1:t>
        </ns1:r>
        <ns1:r>
          <ns1:rPr>
            <ns1:sty ns1:val="p"/>
          </ns1:rPr>
          <ns1:t>/</ns1:t>
        </ns1:r>
        <ns1:r>
          <ns1:rPr>
            <ns1:sty ns1:val="p"/>
          </ns1:rPr>
          <ns1:t>(</ns1:t>
        </ns1:r>
        <ns1:r>
          <ns1:t>3</ns1:t>
        </ns1:r>
        <ns1:r>
          <ns1:rPr>
            <ns1:sty ns1:val="p"/>
          </ns1:rPr>
          <ns1:t>)</ns1:t>
        </ns1:r>
        <ns1:r>
          <ns1:rPr>
            <ns1:sty ns1:val="p"/>
          </ns1:rPr>
          <ns1:t>=</ns1:t>
        </ns1:r>
        <ns1:r>
          <ns1:t>0.0167</ns1:t>
        </ns1:r>
      </ns1:oMath>
      <w:r>
        <w:t xml:space="preserve">,</w:t>
      </w:r>
      <w:r>
        <w:t xml:space="preserve"> </w:t>
      </w:r>
      <ns1:oMath>
        <ns1:r>
          <ns1:t>α</ns1:t>
        </ns1:r>
        <ns1:r>
          <ns1:rPr>
            <ns1:sty ns1:val="p"/>
          </ns1:rPr>
          <ns1:t>/</ns1:t>
        </ns1:r>
        <ns1:r>
          <ns1:rPr>
            <ns1:sty ns1:val="p"/>
          </ns1:rPr>
          <ns1:t>(</ns1:t>
        </ns1:r>
        <ns1:r>
          <ns1:t>2</ns1:t>
        </ns1:r>
        <ns1:r>
          <ns1:rPr>
            <ns1:sty ns1:val="p"/>
          </ns1:rPr>
          <ns1:t>)</ns1:t>
        </ns1:r>
        <ns1:r>
          <ns1:rPr>
            <ns1:sty ns1:val="p"/>
          </ns1:rPr>
          <ns1:t>=</ns1:t>
        </ns1:r>
        <ns1:r>
          <ns1:t>0.025</ns1:t>
        </ns1:r>
      </ns1:oMath>
      <w:r>
        <w:t xml:space="preserve">,</w:t>
      </w:r>
      <w:r>
        <w:t xml:space="preserve"> </w:t>
      </w:r>
      <ns1:oMath>
        <ns1:r>
          <ns1:t>α</ns1:t>
        </ns1:r>
        <ns1:r>
          <ns1:rPr>
            <ns1:sty ns1:val="p"/>
          </ns1:rPr>
          <ns1:t>/</ns1:t>
        </ns1:r>
        <ns1:r>
          <ns1:rPr>
            <ns1:sty ns1:val="p"/>
          </ns1:rPr>
          <ns1:t>(</ns1:t>
        </ns1:r>
        <ns1:r>
          <ns1:t>1</ns1:t>
        </ns1:r>
        <ns1:r>
          <ns1:rPr>
            <ns1:sty ns1:val="p"/>
          </ns1:rPr>
          <ns1:t>)</ns1:t>
        </ns1:r>
        <ns1:r>
          <ns1:rPr>
            <ns1:sty ns1:val="p"/>
          </ns1:rPr>
          <ns1:t>=</ns1:t>
        </ns1:r>
        <ns1:r>
          <ns1:t>0.05</ns1:t>
        </ns1:r>
      </ns1:oMath>
      <w:r>
        <w:t xml:space="preserve">. Dado que las diferencias en fidelidad y estabilidad presentan</w:t>
      </w:r>
      <w:r>
        <w:t xml:space="preserve"> </w:t>
      </w:r>
      <ns1:oMath>
        <ns1:sSub>
          <ns1:e>
            <ns1:r>
              <ns1:t>d</ns1:t>
            </ns1:r>
          </ns1:e>
          <ns1:sub>
            <ns1:r>
              <ns1:t>z</ns1:t>
            </ns1:r>
          </ns1:sub>
        </ns1:sSub>
        <ns1:r>
          <ns1:rPr>
            <ns1:sty ns1:val="p"/>
          </ns1:rPr>
          <ns1:t>&gt;</ns1:t>
        </ns1:r>
        <ns1:r>
          <ns1:t>2.6</ns1:t>
        </ns1:r>
      </ns1:oMath>
      <w:r>
        <w:t xml:space="preserve"> </w:t>
      </w:r>
      <w:r>
        <w:t xml:space="preserve">con</w:t>
      </w:r>
      <w:r>
        <w:t xml:space="preserve"> </w:t>
      </w:r>
      <ns1:oMath>
        <ns1:r>
          <ns1:t>n</ns1:t>
        </ns1:r>
        <ns1:r>
          <ns1:rPr>
            <ns1:sty ns1:val="p"/>
          </ns1:rPr>
          <ns1:t>=</ns1:t>
        </ns1:r>
        <ns1:r>
          <ns1:t>75</ns1:t>
        </ns1:r>
      </ns1: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w:t>
      </w:r>
      <w:r>
        <w:t xml:space="preserve"> </w:t>
      </w:r>
      <w:r>
        <w:t xml:space="preserve">orden de</w:t>
      </w:r>
      <w:r>
        <w:t xml:space="preserve"> </w:t>
      </w:r>
      <ns1:oMath>
        <ns1:sSup>
          <ns1:e>
            <ns1:r>
              <ns1:t>10</ns1:t>
            </ns1:r>
          </ns1:e>
          <ns1:sup>
            <ns1:r>
              <ns1:rPr>
                <ns1:sty ns1:val="p"/>
              </ns1:rPr>
              <ns1:t>−</ns1:t>
            </ns1:r>
            <ns1:r>
              <ns1:t>13</ns1:t>
            </ns1:r>
          </ns1:sup>
        </ns1:sSup>
      </ns1:oMath>
      <w:r>
        <w:t xml:space="preserve">, y el coste con</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w:t>
      </w:r>
      <w:r>
        <w:t xml:space="preserve">del orden de</w:t>
      </w:r>
      <w:r>
        <w:t xml:space="preserve"> </w:t>
      </w:r>
      <ns1:oMath>
        <ns1:sSup>
          <ns1:e>
            <ns1:r>
              <ns1:t>10</ns1:t>
            </ns1:r>
          </ns1:e>
          <ns1:sup>
            <ns1:r>
              <ns1:rPr>
                <ns1:sty ns1:val="p"/>
              </ns1:rPr>
              <ns1:t>−</ns1:t>
            </ns1:r>
            <ns1:r>
              <ns1:t>10</ns1:t>
            </ns1:r>
          </ns1:sup>
        </ns1:sSup>
      </ns1:oMath>
      <w:r>
        <w:t xml:space="preserve">. Por tanto,</w:t>
      </w:r>
      <w:r>
        <w:t xml:space="preserve"> </w:t>
      </w:r>
      <ns1:oMath>
        <ns1:sSub>
          <ns1:e>
            <ns1:r>
              <ns1:t>H</ns1:t>
            </ns1:r>
          </ns1:e>
          <ns1:sub>
            <ns1:r>
              <ns1:t>1</ns1:t>
            </ns1:r>
            <ns1:r>
              <ns1:rPr>
                <ns1:sty ns1:val="p"/>
              </ns1:rPr>
              <ns1:t>,</ns1:t>
            </ns1:r>
            <ns1:r>
              <ns1:t>3</ns1:t>
            </ns1:r>
          </ns1:sub>
        </ns1:sSub>
      </ns1:oMath>
      <w:r>
        <w:t xml:space="preserve"> </w:t>
      </w:r>
      <w:r>
        <w:t xml:space="preserve">se acepta para las cinco métricas bajo control</w:t>
      </w:r>
      <w:r>
        <w:t xml:space="preserve"> </w:t>
      </w:r>
      <w:r>
        <w:t xml:space="preserve">de multiplicidad.</w:t>
      </w:r>
    </w:p>
    <w:bookmarkEnd w:id="113"/>
    <w:bookmarkEnd w:id="114"/>
    <w:bookmarkStart w:id="116" w:name="sec-p1"/>
    <w:p>
      <w:pPr>
        <w:pStyle w:val="Ttulo2"/>
        <w:spacing w:line="360" w:lineRule="auto"/>
        <w:jc w:val="both"/>
      </w:pPr>
      <w:r>
        <w:t xml:space="preserve">Proposición P1: Reproducibilidad del protocolo FOM-7</w:t>
      </w:r>
    </w:p>
    <w:p>
      <w:pPr>
        <w:pStyle w:val="FirstParagraph"/>
        <w:spacing w:line="360" w:lineRule="auto"/>
        <w:jc w:val="bot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spacing w:line="360" w:lineRule="auto"/>
        <w:jc w:val="both"/>
      </w:pPr>
      <w:r>
        <w:t xml:space="preserve">Para su evaluación se calculó el CV de cada métrica primaria para SHAP y LIME</w:t>
      </w:r>
      <w:r>
        <w:t xml:space="preserve"> </w:t>
      </w:r>
      <w:r>
        <w:t xml:space="preserve">sobre el subconjunto del modelo RF con</w:t>
      </w:r>
      <w:r>
        <w:t xml:space="preserve"> </w:t>
      </w:r>
      <ns1:oMath>
        <ns1:r>
          <ns1:t>N</ns1:t>
        </ns1:r>
        <ns1:r>
          <ns1:rPr>
            <ns1:sty ns1:val="p"/>
          </ns1:rPr>
          <ns1:t>=</ns1:t>
        </ns1:r>
        <ns1:r>
          <ns1:t>100</ns1:t>
        </ns1:r>
      </ns1:oMath>
      <w:r>
        <w:t xml:space="preserve">, tomando las cinco semillas</w:t>
      </w:r>
      <w:r>
        <w:t xml:space="preserve"> </w:t>
      </w:r>
      <ns1:oMath>
        <ns1:r>
          <ns1:t>s</ns1:t>
        </ns1:r>
        <ns1:r>
          <ns1:rPr>
            <ns1:sty ns1:val="p"/>
          </ns1:rPr>
          <ns1:t>∈</ns1:t>
        </ns1:r>
        <ns1:r>
          <ns1:rPr>
            <ns1:sty ns1:val="p"/>
          </ns1:rPr>
          <ns1:t>{</ns1:t>
        </ns1:r>
        <ns1:r>
          <ns1:t>42</ns1:t>
        </ns1:r>
        <ns1:r>
          <ns1:rPr>
            <ns1:sty ns1:val="p"/>
          </ns1:rPr>
          <ns1:t>,</ns1:t>
        </ns1:r>
        <ns1:r>
          <ns1:t>123</ns1:t>
        </ns1:r>
        <ns1:r>
          <ns1:rPr>
            <ns1:sty ns1:val="p"/>
          </ns1:rPr>
          <ns1:t>,</ns1:t>
        </ns1:r>
        <ns1:r>
          <ns1:t>456</ns1:t>
        </ns1:r>
        <ns1:r>
          <ns1:rPr>
            <ns1:sty ns1:val="p"/>
          </ns1:rPr>
          <ns1:t>,</ns1:t>
        </ns1:r>
        <ns1:r>
          <ns1:t>789</ns1:t>
        </ns1:r>
        <ns1:r>
          <ns1:rPr>
            <ns1:sty ns1:val="p"/>
          </ns1:rPr>
          <ns1:t>,</ns1:t>
        </ns1:r>
        <ns1:r>
          <ns1:t>999</ns1:t>
        </ns1:r>
        <ns1:r>
          <ns1:rPr>
            <ns1:sty ns1:val="p"/>
          </ns1:rPr>
          <ns1:t>}</ns1:t>
        </ns1:r>
      </ns1: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15" w:name="tbl-cv-p1"/>
          <w:p>
            <w:pPr>
              <w:jc w:val="both"/>
              <w:spacing w:line="360" w:lineRule="auto"/>
            </w:pPr>
            <w:pPr>
              <w:jc w:val="left"/>
              <w:spacing w:before="200"/>
              <w:pStyle w:val="ImageCaption"/>
            </w:pPr>
            <w:r>
              <w:t xml:space="preserve">Table 5.6: Coeficiente de variación de métricas primarias bajo 5 semillas distintas (RF,</w:t>
            </w:r>
            <w:r>
              <w:t xml:space="preserve"> </w:t>
            </w:r>
            <ns1:oMath>
              <ns1:r>
                <ns1:t>N</ns1:t>
              </ns1:r>
              <ns1:r>
                <ns1:rPr>
                  <ns1:sty ns1:val="p"/>
                </ns1:rPr>
                <ns1:t>=</ns1:t>
              </ns1:r>
              <ns1:r>
                <ns1:t>100</ns1:t>
              </ns1:r>
            </ns1: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spacing w:line="360" w:lineRule="auto"/>
                  </w:pPr>
                  <w:r>
                    <w:t xml:space="preserve">Método</w:t>
                  </w:r>
                </w:p>
              </w:tc>
              <w:tc>
                <w:tcPr/>
                <w:p>
                  <w:pPr>
                    <w:pStyle w:val="Compact"/>
                    <w:jc w:val="both"/>
                    <w:spacing w:line="360" w:lineRule="auto"/>
                  </w:pPr>
                  <w:r>
                    <w:t xml:space="preserve">Métrica</w:t>
                  </w:r>
                </w:p>
              </w:tc>
              <w:tc>
                <w:tcPr/>
                <w:p>
                  <w:pPr>
                    <w:pStyle w:val="Compact"/>
                    <w:jc w:val="both"/>
                    <w:spacing w:line="360" w:lineRule="auto"/>
                  </w:pPr>
                  <w:r>
                    <w:t xml:space="preserve">Media</w:t>
                  </w:r>
                </w:p>
              </w:tc>
              <w:tc>
                <w:tcPr/>
                <w:p>
                  <w:pPr>
                    <w:pStyle w:val="Compact"/>
                    <w:jc w:val="both"/>
                    <w:spacing w:line="360" w:lineRule="auto"/>
                  </w:pPr>
                  <w:r>
                    <w:t xml:space="preserve">Desv. típica</w:t>
                  </w:r>
                </w:p>
              </w:tc>
              <w:tc>
                <w:tcPr/>
                <w:p>
                  <w:pPr>
                    <w:pStyle w:val="Compact"/>
                    <w:jc w:val="both"/>
                    <w:spacing w:line="360" w:lineRule="auto"/>
                  </w:pPr>
                  <w:r>
                    <w:t xml:space="preserve">CV (%)</w:t>
                  </w:r>
                </w:p>
              </w:tc>
              <w:tc>
                <w:tcPr/>
                <w:p>
                  <w:pPr>
                    <w:pStyle w:val="Compact"/>
                    <w:jc w:val="both"/>
                    <w:spacing w:line="360" w:lineRule="auto"/>
                  </w:pPr>
                  <w:r>
                    <w:t xml:space="preserve">Criterio P1</w:t>
                  </w:r>
                </w:p>
              </w:tc>
            </w:tr>
            <w:tr>
              <w:tc>
                <w:tcPr/>
                <w:p>
                  <w:pPr>
                    <w:pStyle w:val="Compact"/>
                    <w:jc w:val="both"/>
                    <w:spacing w:line="360" w:lineRule="auto"/>
                  </w:pPr>
                  <w:r>
                    <w:t xml:space="preserve">SHAP</w:t>
                  </w:r>
                </w:p>
              </w:tc>
              <w:tc>
                <w:tcPr/>
                <w:p>
                  <w:pPr>
                    <w:pStyle w:val="Compact"/>
                    <w:jc w:val="both"/>
                    <w:spacing w:line="360" w:lineRule="auto"/>
                  </w:pPr>
                  <w:r>
                    <w:t xml:space="preserve">Fidelidad</w:t>
                  </w:r>
                </w:p>
              </w:tc>
              <w:tc>
                <w:tcPr/>
                <w:p>
                  <w:pPr>
                    <w:pStyle w:val="Compact"/>
                    <w:jc w:val="both"/>
                    <w:spacing w:line="360" w:lineRule="auto"/>
                  </w:pPr>
                  <w:r>
                    <w:t xml:space="preserve">0.732</w:t>
                  </w:r>
                </w:p>
              </w:tc>
              <w:tc>
                <w:tcPr/>
                <w:p>
                  <w:pPr>
                    <w:pStyle w:val="Compact"/>
                    <w:jc w:val="both"/>
                    <w:spacing w:line="360" w:lineRule="auto"/>
                  </w:pPr>
                  <w:r>
                    <w:t xml:space="preserve">0.006</w:t>
                  </w:r>
                </w:p>
              </w:tc>
              <w:tc>
                <w:tcPr/>
                <w:p>
                  <w:pPr>
                    <w:pStyle w:val="Compact"/>
                    <w:jc w:val="both"/>
                    <w:spacing w:line="360" w:lineRule="auto"/>
                  </w:pPr>
                  <w:r>
                    <w:rPr>
                      <w:b/>
                      <w:bCs/>
                    </w:rPr>
                    <w:t xml:space="preserve">0.8</w:t>
                  </w:r>
                </w:p>
              </w:tc>
              <w:tc>
                <w:tcPr/>
                <w:p>
                  <w:pPr>
                    <w:pStyle w:val="Compact"/>
                    <w:jc w:val="both"/>
                    <w:spacing w:line="360" w:lineRule="auto"/>
                  </w:pPr>
                  <w:r>
                    <w:t xml:space="preserve">✓ Cumple</w:t>
                  </w:r>
                </w:p>
              </w:tc>
            </w:tr>
            <w:tr>
              <w:tc>
                <w:tcPr/>
                <w:p>
                  <w:pPr>
                    <w:pStyle w:val="Compact"/>
                    <w:jc w:val="both"/>
                    <w:spacing w:line="360" w:lineRule="auto"/>
                  </w:pPr>
                  <w:r>
                    <w:t xml:space="preserve">SHAP</w:t>
                  </w:r>
                </w:p>
              </w:tc>
              <w:tc>
                <w:tcPr/>
                <w:p>
                  <w:pPr>
                    <w:pStyle w:val="Compact"/>
                    <w:jc w:val="both"/>
                    <w:spacing w:line="360" w:lineRule="auto"/>
                  </w:pPr>
                  <w:r>
                    <w:t xml:space="preserve">Estabilidad</w:t>
                  </w:r>
                </w:p>
              </w:tc>
              <w:tc>
                <w:tcPr/>
                <w:p>
                  <w:pPr>
                    <w:pStyle w:val="Compact"/>
                    <w:jc w:val="both"/>
                    <w:spacing w:line="360" w:lineRule="auto"/>
                  </w:pPr>
                  <w:r>
                    <w:t xml:space="preserve">0.948</w:t>
                  </w:r>
                </w:p>
              </w:tc>
              <w:tc>
                <w:tcPr/>
                <w:p>
                  <w:pPr>
                    <w:pStyle w:val="Compact"/>
                    <w:jc w:val="both"/>
                    <w:spacing w:line="360" w:lineRule="auto"/>
                  </w:pPr>
                  <w:r>
                    <w:t xml:space="preserve">0.007</w:t>
                  </w:r>
                </w:p>
              </w:tc>
              <w:tc>
                <w:tcPr/>
                <w:p>
                  <w:pPr>
                    <w:pStyle w:val="Compact"/>
                    <w:jc w:val="both"/>
                    <w:spacing w:line="360" w:lineRule="auto"/>
                  </w:pPr>
                  <w:r>
                    <w:rPr>
                      <w:b/>
                      <w:bCs/>
                    </w:rPr>
                    <w:t xml:space="preserve">0.7</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Fidelidad</w:t>
                  </w:r>
                </w:p>
              </w:tc>
              <w:tc>
                <w:tcPr/>
                <w:p>
                  <w:pPr>
                    <w:pStyle w:val="Compact"/>
                    <w:jc w:val="both"/>
                    <w:spacing w:line="360" w:lineRule="auto"/>
                  </w:pPr>
                  <w:r>
                    <w:t xml:space="preserve">0.461</w:t>
                  </w:r>
                </w:p>
              </w:tc>
              <w:tc>
                <w:tcPr/>
                <w:p>
                  <w:pPr>
                    <w:pStyle w:val="Compact"/>
                    <w:jc w:val="both"/>
                    <w:spacing w:line="360" w:lineRule="auto"/>
                  </w:pPr>
                  <w:r>
                    <w:t xml:space="preserve">0.012</w:t>
                  </w:r>
                </w:p>
              </w:tc>
              <w:tc>
                <w:tcPr/>
                <w:p>
                  <w:pPr>
                    <w:pStyle w:val="Compact"/>
                    <w:jc w:val="both"/>
                    <w:spacing w:line="360" w:lineRule="auto"/>
                  </w:pPr>
                  <w:r>
                    <w:rPr>
                      <w:b/>
                      <w:bCs/>
                    </w:rPr>
                    <w:t xml:space="preserve">2.6</w:t>
                  </w:r>
                </w:p>
              </w:tc>
              <w:tc>
                <w:tcPr/>
                <w:p>
                  <w:pPr>
                    <w:pStyle w:val="Compact"/>
                    <w:jc w:val="both"/>
                    <w:spacing w:line="360" w:lineRule="auto"/>
                  </w:pPr>
                  <w:r>
                    <w:t xml:space="preserve">✓ Cumple</w:t>
                  </w:r>
                </w:p>
              </w:tc>
            </w:tr>
            <w:tr>
              <w:tc>
                <w:tcPr/>
                <w:p>
                  <w:pPr>
                    <w:pStyle w:val="Compact"/>
                    <w:jc w:val="both"/>
                    <w:spacing w:line="360" w:lineRule="auto"/>
                  </w:pPr>
                  <w:r>
                    <w:t xml:space="preserve">LIME</w:t>
                  </w:r>
                </w:p>
              </w:tc>
              <w:tc>
                <w:tcPr/>
                <w:p>
                  <w:pPr>
                    <w:pStyle w:val="Compact"/>
                    <w:jc w:val="both"/>
                    <w:spacing w:line="360" w:lineRule="auto"/>
                  </w:pPr>
                  <w:r>
                    <w:t xml:space="preserve">Estabilidad</w:t>
                  </w:r>
                </w:p>
              </w:tc>
              <w:tc>
                <w:tcPr/>
                <w:p>
                  <w:pPr>
                    <w:pStyle w:val="Compact"/>
                    <w:jc w:val="both"/>
                    <w:spacing w:line="360" w:lineRule="auto"/>
                  </w:pPr>
                  <w:r>
                    <w:t xml:space="preserve">0.018</w:t>
                  </w:r>
                </w:p>
              </w:tc>
              <w:tc>
                <w:tcPr/>
                <w:p>
                  <w:pPr>
                    <w:pStyle w:val="Compact"/>
                    <w:jc w:val="both"/>
                    <w:spacing w:line="360" w:lineRule="auto"/>
                  </w:pPr>
                  <w:r>
                    <w:t xml:space="preserve">0.015</w:t>
                  </w:r>
                </w:p>
              </w:tc>
              <w:tc>
                <w:tcPr/>
                <w:p>
                  <w:pPr>
                    <w:pStyle w:val="Compact"/>
                    <w:jc w:val="both"/>
                    <w:spacing w:line="360" w:lineRule="auto"/>
                  </w:pPr>
                  <w:r>
                    <w:rPr>
                      <w:b/>
                      <w:bCs/>
                    </w:rPr>
                    <w:t xml:space="preserve">86.2</w:t>
                  </w:r>
                </w:p>
              </w:tc>
              <w:tc>
                <w:tcPr/>
                <w:p>
                  <w:pPr>
                    <w:pStyle w:val="Compact"/>
                    <w:jc w:val="both"/>
                    <w:spacing w:line="360" w:lineRule="auto"/>
                  </w:pPr>
                  <w:r>
                    <w:t xml:space="preserve">✗ No cumple</w:t>
                  </w:r>
                </w:p>
              </w:tc>
            </w:tr>
          </w:tbl>
          <w:bookmarkEnd w:id="115"/>
          <w:p>
            <w:pPr>
              <w:spacing w:line="360" w:lineRule="auto"/>
              <w:jc w:val="both"/>
            </w:pPr>
          </w:p>
        </w:tc>
      </w:tr>
    </w:tbl>
    <w:p>
      <w:pPr>
        <w:pStyle w:val="Textoindependiente"/>
        <w:spacing w:line="360" w:lineRule="auto"/>
        <w:jc w:val="both"/>
      </w:pPr>
      <w:r>
        <w:rPr>
          <w:i/>
          <w:iCs/>
        </w:rPr>
        <w:t xml:space="preserve">Nota de alcance:</w:t>
      </w:r>
      <w:r>
        <w:t xml:space="preserve"> </w:t>
      </w:r>
      <w:r>
        <w:t xml:space="preserve">El valor de estabilidad de SHAP (0.948) corresponde exclusivamente al subgrupo RF/</w:t>
      </w:r>
      <ns1:oMath>
        <ns1:r>
          <ns1:t>N</ns1:t>
        </ns1:r>
        <ns1:r>
          <ns1:rPr>
            <ns1:sty ns1:val="p"/>
          </ns1:rPr>
          <ns1:t>=</ns1:t>
        </ns1:r>
        <ns1:r>
          <ns1:t>100</ns1:t>
        </ns1:r>
      </ns1:oMath>
      <w:r>
        <w:t xml:space="preserve"> </w:t>
      </w:r>
      <w:r>
        <w:t xml:space="preserve">del perfilado P1. La media EXP2 de estabilidad SHAP sobre los cinco modelos y los tres tamaños de muestra es 0.732; la diferencia refleja que KernelSHAP aplicado a SVM y MLP produce estabilidades marcadamente menores que TreeSHAP aplicado a RF, lo que reduce la media global respecto al valor observado aquí.</w:t>
      </w:r>
    </w:p>
    <w:p>
      <w:pPr>
        <w:pStyle w:val="Textoindependiente"/>
        <w:spacing w:line="360" w:lineRule="auto"/>
        <w:jc w:val="both"/>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spacing w:line="360" w:lineRule="auto"/>
        <w:jc w:val="both"/>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ns1:oMath>
        <ns1:r>
          <ns1:rPr>
            <ns1:sty ns1:val="p"/>
          </ns1:rPr>
          <ns1:t>±</ns1:t>
        </ns1:r>
        <ns1:r>
          <ns1:t>0.015</ns1:t>
        </ns1:r>
      </ns1: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spacing w:line="360" w:lineRule="auto"/>
        <w:jc w:val="both"/>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16"/>
    <w:bookmarkStart w:id="121" w:name="sec-perfiles"/>
    <w:p>
      <w:pPr>
        <w:pStyle w:val="Ttulo2"/>
        <w:spacing w:line="360" w:lineRule="auto"/>
        <w:jc w:val="both"/>
      </w:pPr>
      <w:r>
        <w:t xml:space="preserve">Perfil multidimensional por método</w:t>
      </w:r>
    </w:p>
    <w:p>
      <w:pPr>
        <w:pStyle w:val="FirstParagraph"/>
        <w:spacing w:line="360" w:lineRule="auto"/>
        <w:jc w:val="bot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17" w:name="shap"/>
    <w:p>
      <w:pPr>
        <w:pStyle w:val="Ttulo3"/>
        <w:spacing w:line="360" w:lineRule="auto"/>
        <w:jc w:val="both"/>
      </w:pPr>
      <w:r>
        <w:t xml:space="preserve">SHAP</w:t>
      </w:r>
    </w:p>
    <w:p>
      <w:pPr>
        <w:pStyle w:val="FirstParagraph"/>
        <w:spacing w:line="360" w:lineRule="auto"/>
        <w:jc w:val="both"/>
      </w:pPr>
      <w:r>
        <w:t xml:space="preserve">SHAP presenta el perfil más equilibrado y favorable de los cuatro métodos.</w:t>
      </w:r>
      <w:r>
        <w:t xml:space="preserve"> </w:t>
      </w:r>
      <w:r>
        <w:t xml:space="preserve">Sus medias consolidadas sobre los 71 bloques calificados son: fidelidad = 0.810,</w:t>
      </w:r>
      <w:r>
        <w:t xml:space="preserve"> </w:t>
      </w:r>
      <w:r>
        <w:t xml:space="preserve">estabilidad = 0.724, parsimonia = 0.234, brecha de fidelidad = 0.431, coste</w:t>
      </w:r>
      <w:r>
        <w:t xml:space="preserve"> </w:t>
      </w:r>
      <w:r>
        <w:t xml:space="preserve">= 24,804 ms. La parsimonia más alta de todos los métodos (0.234 frente a 0.085</w:t>
      </w:r>
      <w:r>
        <w:t xml:space="preserve"> </w:t>
      </w:r>
      <w:r>
        <w:t xml:space="preserve">de LIME) refleja que SHAP puede distribuir importancias entre un mayor número</w:t>
      </w:r>
      <w:r>
        <w:t xml:space="preserve"> </w:t>
      </w:r>
      <w:r>
        <w:t xml:space="preserve">de características cuando el modelo así lo requiere, lo que es un reflejo</w:t>
      </w:r>
      <w:r>
        <w:t xml:space="preserve"> </w:t>
      </w:r>
      <w:r>
        <w:t xml:space="preserve">adecuado de la complejidad real del modelo.</w:t>
      </w:r>
    </w:p>
    <w:p>
      <w:pPr>
        <w:pStyle w:val="Textoindependiente"/>
        <w:spacing w:line="360" w:lineRule="auto"/>
        <w:jc w:val="both"/>
      </w:pPr>
      <w:r>
        <w:t xml:space="preserve">El coste es la dimensión adversa de SHAP. El promedio de 24,804 ms esconde una</w:t>
      </w:r>
      <w:r>
        <w:t xml:space="preserve"> </w:t>
      </w:r>
      <w:r>
        <w:t xml:space="preserve">heterogeneidad de dos órdenes de magnitud: para XGBoost, TreeSHAP opera en</w:t>
      </w:r>
      <w:r>
        <w:t xml:space="preserve"> </w:t>
      </w:r>
      <w:r>
        <w:t xml:space="preserve">~1 ms/instancia, mientras que KernelSHAP sobre SVM requiere ~159,059 ms/instancia.</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spacing w:line="360" w:lineRule="auto"/>
        <w:jc w:val="both"/>
      </w:pPr>
      <w:r>
        <w:t xml:space="preserve">Por modelo, los picos de fidelidad se observan en logreg (0.946) y SVM (0.928),</w:t>
      </w:r>
      <w:r>
        <w:t xml:space="preserve"> </w:t>
      </w:r>
      <w:r>
        <w:t xml:space="preserve">donde la linealidad o la estructura de margen del modelo facilita la aproximación</w:t>
      </w:r>
      <w:r>
        <w:t xml:space="preserve"> </w:t>
      </w:r>
      <w:r>
        <w:t xml:space="preserve">local por valores de Shapley. La fidelidad más baja se registra en MLP (0.717),</w:t>
      </w:r>
      <w:r>
        <w:t xml:space="preserve"> </w:t>
      </w:r>
      <w:r>
        <w:t xml:space="preserve">coherente con la complejidad de los gradientes de una red profunda. XGBoost</w:t>
      </w:r>
      <w:r>
        <w:t xml:space="preserve"> </w:t>
      </w:r>
      <w:r>
        <w:t xml:space="preserve">presenta el balance óptimo calidad-coste: fidelidad 0.759, coste 1.2 ms.</w:t>
      </w:r>
    </w:p>
    <w:bookmarkEnd w:id="117"/>
    <w:bookmarkStart w:id="118" w:name="lime"/>
    <w:p>
      <w:pPr>
        <w:pStyle w:val="Ttulo3"/>
        <w:spacing w:line="360" w:lineRule="auto"/>
        <w:jc w:val="both"/>
      </w:pPr>
      <w:r>
        <w:t xml:space="preserve">LIME</w:t>
      </w:r>
    </w:p>
    <w:p>
      <w:pPr>
        <w:pStyle w:val="FirstParagraph"/>
        <w:spacing w:line="360" w:lineRule="auto"/>
        <w:jc w:val="both"/>
      </w:pPr>
      <w:r>
        <w:t xml:space="preserve">LIME es el método más económico en coste (media 226 ms, rango 3–1,088 ms por</w:t>
      </w:r>
      <w:r>
        <w:t xml:space="preserve"> </w:t>
      </w:r>
      <w:r>
        <w:t xml:space="preserve">modelo), con una fidelidad media moderada (0.560) y parsimonia baja consistente</w:t>
      </w:r>
      <w:r>
        <w:t xml:space="preserve"> </w:t>
      </w:r>
      <w:r>
        <w:t xml:space="preserve">(0.085 en todos los modelos, por diseño).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spacing w:line="360" w:lineRule="auto"/>
        <w:jc w:val="both"/>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documentó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limita el uso de LIME como método de referencia en contextos donde se requiere</w:t>
      </w:r>
      <w:r>
        <w:t xml:space="preserve"> </w:t>
      </w:r>
      <w:r>
        <w:t xml:space="preserve">consistencia explicativa, como auditoría, decisiones de alto riesgo o</w:t>
      </w:r>
      <w:r>
        <w:t xml:space="preserve"> </w:t>
      </w:r>
      <w:r>
        <w:t xml:space="preserve">comparación entre instancias.</w:t>
      </w:r>
    </w:p>
    <w:bookmarkEnd w:id="118"/>
    <w:bookmarkStart w:id="119" w:name="anchors"/>
    <w:p>
      <w:pPr>
        <w:pStyle w:val="Ttulo3"/>
        <w:spacing w:line="360" w:lineRule="auto"/>
        <w:jc w:val="both"/>
      </w:pPr>
      <w:r>
        <w:t xml:space="preserve">Anchors</w:t>
      </w:r>
    </w:p>
    <w:p>
      <w:pPr>
        <w:pStyle w:val="FirstParagraph"/>
        <w:spacing w:line="360" w:lineRule="auto"/>
        <w:jc w:val="both"/>
      </w:pPr>
      <w:r>
        <w:t xml:space="preserve">Anchors tiene una cobertura de solo 56 celdas calificadas (74.7%),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0.386 y la estabilidad 0.052, ambas</w:t>
      </w:r>
      <w:r>
        <w:t xml:space="preserve"> </w:t>
      </w:r>
      <w:r>
        <w:t xml:space="preserve">inferiores a las de SHAP y LIME. El coste es elevado y muy variable: desde</w:t>
      </w:r>
      <w:r>
        <w:t xml:space="preserve"> </w:t>
      </w:r>
      <w:r>
        <w:t xml:space="preserve">2,027 ms para logreg hasta 64,131 ms para RF y 68,874 ms para SVM.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spacing w:line="360" w:lineRule="auto"/>
        <w:jc w:val="both"/>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19"/>
    <w:bookmarkStart w:id="120" w:name="dice"/>
    <w:p>
      <w:pPr>
        <w:pStyle w:val="Ttulo3"/>
        <w:spacing w:line="360" w:lineRule="auto"/>
        <w:jc w:val="both"/>
      </w:pPr>
      <w:r>
        <w:t xml:space="preserve">DiCE</w:t>
      </w:r>
    </w:p>
    <w:p>
      <w:pPr>
        <w:pStyle w:val="FirstParagraph"/>
        <w:spacing w:line="360" w:lineRule="auto"/>
        <w:jc w:val="bot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spacing w:line="360" w:lineRule="auto"/>
        <w:jc w:val="both"/>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El coste moderado</w:t>
      </w:r>
      <w:r>
        <w:t xml:space="preserve"> </w:t>
      </w:r>
      <w:r>
        <w:t xml:space="preserve">(2,056 ms en media) hace a DiCE más económico que Anchors para la mayoría de</w:t>
      </w:r>
      <w:r>
        <w:t xml:space="preserve"> </w:t>
      </w:r>
      <w:r>
        <w:t xml:space="preserve">modelos.</w:t>
      </w:r>
    </w:p>
    <w:bookmarkEnd w:id="120"/>
    <w:bookmarkEnd w:id="121"/>
    <w:bookmarkStart w:id="124" w:name="sec-transversal"/>
    <w:p>
      <w:pPr>
        <w:pStyle w:val="Ttulo2"/>
        <w:spacing w:line="360" w:lineRule="auto"/>
        <w:jc w:val="both"/>
      </w:pPr>
      <w:r>
        <w:t xml:space="preserve">Análisis transversal: efecto del modelo base y del tamaño de muestra</w:t>
      </w:r>
    </w:p>
    <w:bookmarkStart w:id="122" w:name="Xd0dc4cebb30e80d859f681a41b6366a7a2cd5a6"/>
    <w:p>
      <w:pPr>
        <w:pStyle w:val="Ttulo3"/>
        <w:spacing w:line="360" w:lineRule="auto"/>
        <w:jc w:val="both"/>
      </w:pPr>
      <w:r>
        <w:t xml:space="preserve">Efecto del modelo base sobre las métricas</w:t>
      </w:r>
    </w:p>
    <w:p>
      <w:pPr>
        <w:pStyle w:val="FirstParagraph"/>
        <w:spacing w:line="360" w:lineRule="auto"/>
        <w:jc w:val="both"/>
      </w:pPr>
      <w:r>
        <w:t xml:space="preserve">El modelo base influye significativamente sobre los valores absolutos de las</w:t>
      </w:r>
      <w:r>
        <w:t xml:space="preserve"> </w:t>
      </w:r>
      <w:r>
        <w:t xml:space="preserve">métricas, aunque el ordenamiento entre métodos se mantiene constante. Las</w:t>
      </w:r>
      <w:r>
        <w:t xml:space="preserve"> </w:t>
      </w:r>
      <w:r>
        <w:t xml:space="preserve">diferencias más notables son:</w:t>
      </w:r>
    </w:p>
    <w:p>
      <w:pPr>
        <w:pStyle w:val="Textoindependiente"/>
        <w:spacing w:line="360" w:lineRule="auto"/>
        <w:jc w:val="both"/>
      </w:pPr>
      <w:r>
        <w:rPr>
          <w:b/>
          <w:bCs/>
        </w:rPr>
        <w:t xml:space="preserve">XGBoost</w:t>
      </w:r>
      <w:r>
        <w:t xml:space="preserve"> </w:t>
      </w:r>
      <w:r>
        <w:t xml:space="preserve">presenta el perfil calidad-coste más favorable para SHAP: fidelidad</w:t>
      </w:r>
      <w:r>
        <w:t xml:space="preserve"> </w:t>
      </w:r>
      <w:r>
        <w:t xml:space="preserve">0.759, coste 1.2 ms. Esto se debe al uso de TreeSHAP</w:t>
      </w:r>
      <w:r>
        <w:t xml:space="preserve"> </w:t>
      </w:r>
      <w:r>
        <w:t xml:space="preserve">(Lundberg 2017)</w:t>
      </w:r>
      <w:r>
        <w:t xml:space="preserve">, que</w:t>
      </w:r>
      <w:r>
        <w:t xml:space="preserve"> </w:t>
      </w:r>
      <w:r>
        <w:t xml:space="preserve">calcula valores exactos de Shapley aprovechando la estructura de árbol y no</w:t>
      </w:r>
      <w:r>
        <w:t xml:space="preserve"> </w:t>
      </w:r>
      <w:r>
        <w:t xml:space="preserve">requiere muestreo ni perturbación. Es el único método-modelo donde SHAP tiene</w:t>
      </w:r>
      <w:r>
        <w:t xml:space="preserve"> </w:t>
      </w:r>
      <w:r>
        <w:t xml:space="preserve">un coste computacional inferior al de LIME (~9 ms).</w:t>
      </w:r>
    </w:p>
    <w:p>
      <w:pPr>
        <w:pStyle w:val="Textoindependiente"/>
        <w:spacing w:line="360" w:lineRule="auto"/>
        <w:jc w:val="both"/>
      </w:pPr>
      <w:r>
        <w:rPr>
          <w:b/>
          <w:bCs/>
        </w:rPr>
        <w:t xml:space="preserve">SVM</w:t>
      </w:r>
      <w:r>
        <w:t xml:space="preserve"> </w:t>
      </w:r>
      <w:r>
        <w:t xml:space="preserve">es el modelo donde SHAP muestra la mayor fidelidad (0.928) pero el</w:t>
      </w:r>
      <w:r>
        <w:t xml:space="preserve"> </w:t>
      </w:r>
      <w:r>
        <w:t xml:space="preserve">coste más elevado (159,059 ms). KernelSHAP requiere resolver un problema de</w:t>
      </w:r>
      <w:r>
        <w:t xml:space="preserve"> </w:t>
      </w:r>
      <w:r>
        <w:t xml:space="preserve">optimización cuadrática por instancia, lo que escala quadráticamente con el</w:t>
      </w:r>
      <w:r>
        <w:t xml:space="preserve"> </w:t>
      </w:r>
      <w:r>
        <w:t xml:space="preserve">número de muestras de referencia. Para SVM, Anchors también es costoso (68,874</w:t>
      </w:r>
      <w:r>
        <w:t xml:space="preserve"> </w:t>
      </w:r>
      <w:r>
        <w:t xml:space="preserve">ms) debido al espacio de búsqueda fragmentado.</w:t>
      </w:r>
    </w:p>
    <w:p>
      <w:pPr>
        <w:pStyle w:val="Textoindependiente"/>
        <w:spacing w:line="360" w:lineRule="auto"/>
        <w:jc w:val="both"/>
      </w:pPr>
      <w:r>
        <w:rPr>
          <w:b/>
          <w:bCs/>
        </w:rPr>
        <w:t xml:space="preserve">Regresión logística (logreg)</w:t>
      </w:r>
      <w:r>
        <w:t xml:space="preserve"> </w:t>
      </w:r>
      <w:r>
        <w:t xml:space="preserve">produce la fidelidad SHAP más alta (0.946) y</w:t>
      </w:r>
      <w:r>
        <w:t xml:space="preserve"> </w:t>
      </w:r>
      <w:r>
        <w:t xml:space="preserve">el coste SHAP más bajo entre modelos no basados en árboles (85 ms). La</w:t>
      </w:r>
      <w:r>
        <w:t xml:space="preserve"> </w:t>
      </w:r>
      <w:r>
        <w:t xml:space="preserve">linearidad de logreg garantiza que las aproximaciones locales de Shapley son</w:t>
      </w:r>
      <w:r>
        <w:t xml:space="preserve"> </w:t>
      </w:r>
      <w:r>
        <w:t xml:space="preserve">globalmente coherentes.</w:t>
      </w:r>
    </w:p>
    <w:p>
      <w:pPr>
        <w:pStyle w:val="Textoindependiente"/>
        <w:spacing w:line="360" w:lineRule="auto"/>
        <w:jc w:val="both"/>
      </w:pPr>
      <w:r>
        <w:rPr>
          <w:b/>
          <w:bCs/>
        </w:rPr>
        <w:t xml:space="preserve">MLP</w:t>
      </w:r>
      <w:r>
        <w:t xml:space="preserve"> </w:t>
      </w:r>
      <w:r>
        <w:t xml:space="preserve">es el modelo con fidelidades más bajas en todos los métodos: SHAP=0.717,</w:t>
      </w:r>
      <w:r>
        <w:t xml:space="preserve"> </w:t>
      </w:r>
      <w:r>
        <w:t xml:space="preserve">LIME=0.541, Anchors=0.299, DiCE=0.026. La complejidad del espacio de gradientes</w:t>
      </w:r>
      <w:r>
        <w:t xml:space="preserve"> </w:t>
      </w:r>
      <w:r>
        <w:t xml:space="preserve">de redes profuntas dificulta la aproximación local de cualquier explicador</w:t>
      </w:r>
      <w:r>
        <w:t xml:space="preserve"> </w:t>
      </w:r>
      <w:r>
        <w:t xml:space="preserve">post-hoc. El coste de Anchors sobre MLP (10,352 ms) es intermedio, pero la</w:t>
      </w:r>
      <w:r>
        <w:t xml:space="preserve"> </w:t>
      </w:r>
      <w:r>
        <w:t xml:space="preserve">baja fidelidad restringe su uso como evidencia primaria en auditoría.</w:t>
      </w:r>
    </w:p>
    <w:bookmarkEnd w:id="122"/>
    <w:bookmarkStart w:id="123" w:name="X4b1cce5291d3b83ee4e2fe33ac88be27315f5a8"/>
    <w:p>
      <w:pPr>
        <w:pStyle w:val="Ttulo3"/>
        <w:spacing w:line="360" w:lineRule="auto"/>
        <w:jc w:val="both"/>
      </w:pPr>
      <w:r>
        <w:t xml:space="preserve">Efecto del tamaño de muestra estratificado</w:t>
      </w:r>
    </w:p>
    <w:p>
      <w:pPr>
        <w:pStyle w:val="FirstParagraph"/>
        <w:spacing w:line="360" w:lineRule="auto"/>
        <w:jc w:val="both"/>
      </w:pPr>
      <w:r>
        <w:t xml:space="preserve">El análisis del efecto de</w:t>
      </w:r>
      <w:r>
        <w:t xml:space="preserve"> </w:t>
      </w:r>
      <ns1:oMath>
        <ns1:r>
          <ns1:t>N</ns1:t>
        </ns1:r>
      </ns1: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ns1:oMath>
        <ns1:r>
          <ns1:t>N</ns1:t>
        </ns1:r>
      </ns1:oMath>
      <w:r>
        <w:t xml:space="preserve"> </w:t>
      </w:r>
      <w:r>
        <w:t xml:space="preserve">son:</w:t>
      </w:r>
      <w:r>
        <w:t xml:space="preserve"> </w:t>
      </w:r>
      <ns1:oMath>
        <ns1:r>
          <ns1:t>N</ns1:t>
        </ns1:r>
        <ns1:r>
          <ns1:rPr>
            <ns1:sty ns1:val="p"/>
          </ns1:rPr>
          <ns1:t>=</ns1:t>
        </ns1:r>
        <ns1:r>
          <ns1:t>50</ns1:t>
        </ns1:r>
      </ns1:oMath>
      <w:r>
        <w:t xml:space="preserve">: 0.811,</w:t>
      </w:r>
      <w:r>
        <w:t xml:space="preserve"> </w:t>
      </w:r>
      <ns1:oMath>
        <ns1:r>
          <ns1:t>N</ns1:t>
        </ns1:r>
        <ns1:r>
          <ns1:rPr>
            <ns1:sty ns1:val="p"/>
          </ns1:rPr>
          <ns1:t>=</ns1:t>
        </ns1:r>
        <ns1:r>
          <ns1:t>100</ns1:t>
        </ns1:r>
      </ns1:oMath>
      <w:r>
        <w:t xml:space="preserve">: 0.804,</w:t>
      </w:r>
      <w:r>
        <w:t xml:space="preserve"> </w:t>
      </w:r>
      <ns1:oMath>
        <ns1:r>
          <ns1:t>N</ns1:t>
        </ns1:r>
        <ns1:r>
          <ns1:rPr>
            <ns1:sty ns1:val="p"/>
          </ns1:rPr>
          <ns1:t>=</ns1:t>
        </ns1:r>
        <ns1:r>
          <ns1:t>200</ns1:t>
        </ns1:r>
      </ns1:oMath>
      <w:r>
        <w:t xml:space="preserve">: 0.814,</w:t>
      </w:r>
      <w:r>
        <w:t xml:space="preserve"> </w:t>
      </w:r>
      <w:r>
        <w:t xml:space="preserve">con diferencias absolutas inferiores a 0.010. Para LIME:</w:t>
      </w:r>
      <w:r>
        <w:t xml:space="preserve"> </w:t>
      </w:r>
      <ns1:oMath>
        <ns1:r>
          <ns1:t>N</ns1:t>
        </ns1:r>
        <ns1:r>
          <ns1:rPr>
            <ns1:sty ns1:val="p"/>
          </ns1:rPr>
          <ns1:t>=</ns1:t>
        </ns1:r>
        <ns1:r>
          <ns1:t>50</ns1:t>
        </ns1:r>
      </ns1:oMath>
      <w:r>
        <w:t xml:space="preserve">: 0.559,</w:t>
      </w:r>
      <w:r>
        <w:t xml:space="preserve"> </w:t>
      </w:r>
      <ns1:oMath>
        <ns1:r>
          <ns1:t>N</ns1:t>
        </ns1:r>
        <ns1:r>
          <ns1:rPr>
            <ns1:sty ns1:val="p"/>
          </ns1:rPr>
          <ns1:t>=</ns1:t>
        </ns1:r>
        <ns1:r>
          <ns1:t>100</ns1:t>
        </ns1:r>
      </ns1:oMath>
      <w:r>
        <w:t xml:space="preserve">: 0.561,</w:t>
      </w:r>
      <w:r>
        <w:t xml:space="preserve"> </w:t>
      </w:r>
      <ns1:oMath>
        <ns1:r>
          <ns1:t>N</ns1:t>
        </ns1:r>
        <ns1:r>
          <ns1:rPr>
            <ns1:sty ns1:val="p"/>
          </ns1:rPr>
          <ns1:t>=</ns1:t>
        </ns1:r>
        <ns1:r>
          <ns1:t>200</ns1:t>
        </ns1:r>
      </ns1:oMath>
      <w:r>
        <w:t xml:space="preserve">: 0.562. Estas diferencias son inferiores a un punto</w:t>
      </w:r>
      <w:r>
        <w:t xml:space="preserve"> </w:t>
      </w:r>
      <w:r>
        <w:t xml:space="preserve">porcentual y no muestran tendencia monótona.</w:t>
      </w:r>
    </w:p>
    <w:p>
      <w:pPr>
        <w:pStyle w:val="Textoindependiente"/>
        <w:spacing w:line="360" w:lineRule="auto"/>
        <w:jc w:val="both"/>
      </w:pPr>
      <w:r>
        <w:t xml:space="preserve">La invarianza de las métricas ante el tamaño de muestra tiene dos implicaciones:</w:t>
      </w:r>
      <w:r>
        <w:t xml:space="preserve"> </w:t>
      </w:r>
      <w:r>
        <w:t xml:space="preserve">(1) la estimación por estrato converge rápidamente, de modo que</w:t>
      </w:r>
      <w:r>
        <w:t xml:space="preserve"> </w:t>
      </w:r>
      <ns1:oMath>
        <ns1:r>
          <ns1:t>N</ns1:t>
        </ns1:r>
        <ns1:r>
          <ns1:rPr>
            <ns1:sty ns1:val="p"/>
          </ns1:rPr>
          <ns1:t>=</ns1:t>
        </ns1:r>
        <ns1:r>
          <ns1:t>50</ns1:t>
        </ns1:r>
      </ns1: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ns1:oMath>
        <ns1:r>
          <ns1:t>N</ns1:t>
        </ns1:r>
      </ns1:oMath>
      <w:r>
        <w:t xml:space="preserve"> </w:t>
      </w:r>
      <w:r>
        <w:t xml:space="preserve">en LIME (estructura lineal)</w:t>
      </w:r>
      <w:r>
        <w:t xml:space="preserve"> </w:t>
      </w:r>
      <w:r>
        <w:t xml:space="preserve">pero no en SHAP para modelos de árbol (TreeSHAP escala logarítmicamente).</w:t>
      </w:r>
    </w:p>
    <w:bookmarkEnd w:id="123"/>
    <w:bookmarkEnd w:id="124"/>
    <w:bookmarkStart w:id="126" w:name="sec-trazabilidad-resultados"/>
    <w:p>
      <w:pPr>
        <w:pStyle w:val="Ttulo2"/>
        <w:spacing w:line="360" w:lineRule="auto"/>
        <w:jc w:val="both"/>
      </w:pPr>
      <w:r>
        <w:t xml:space="preserve">Trazabilidad de claims principales</w:t>
      </w:r>
    </w:p>
    <w:p>
      <w:pPr>
        <w:pStyle w:val="FirstParagraph"/>
        <w:spacing w:line="360" w:lineRule="auto"/>
        <w:jc w:val="both"/>
      </w:pPr>
      <w:r>
        <w:t xml:space="preserve">La Tabla</w:t>
      </w:r>
      <w:r>
        <w:t xml:space="preserve"> </w:t>
      </w:r>
      <w:hyperlink w:anchor="tbl-claim-traceability">
        <w:r>
          <w:rPr>
            <w:rStyle w:val="Hipervnculo"/>
          </w:rPr>
          <w:t xml:space="preserve">Table 5.7</w:t>
        </w:r>
      </w:hyperlink>
      <w:r>
        <w:t xml:space="preserve"> </w:t>
      </w:r>
      <w:r>
        <w:t xml:space="preserve">vincula las afirmaciones principales con los</w:t>
      </w:r>
      <w:r>
        <w:t xml:space="preserve"> </w:t>
      </w:r>
      <w:r>
        <w:t xml:space="preserve">artefactos que las sostienen. Esta tabla implementa la puerta 7 de FOM-7 dentro</w:t>
      </w:r>
      <w:r>
        <w:t xml:space="preserve"> </w:t>
      </w:r>
      <w:r>
        <w:t xml:space="preserve">del capítulo de resultados.</w:t>
      </w:r>
    </w:p>
    <w:tbl>
      <w:tblPr>
        <w:tblStyle w:val="Table"/>
        <w:tblW w:type="pct" w:w="5000"/>
        <w:tblLayout w:type="fixed"/>
        <w:tblLook w:firstRow="0" w:lastRow="0" w:firstColumn="0" w:lastColumn="0" w:noHBand="0" w:noVBand="0" w:val="0000"/>
      </w:tblPr>
      <w:tblGrid>
        <w:gridCol w:w="7920"/>
      </w:tblGrid>
      <w:tr>
        <w:tc>
          <w:tcPr/>
          <w:bookmarkStart w:id="125" w:name="tbl-claim-traceability"/>
          <w:p>
            <w:pPr>
              <w:jc w:val="both"/>
              <w:spacing w:line="360" w:lineRule="auto"/>
            </w:pPr>
            <w:pPr>
              <w:jc w:val="left"/>
              <w:spacing w:before="200"/>
              <w:pStyle w:val="ImageCaption"/>
            </w:pPr>
            <w:r>
              <w:t xml:space="preserve">Table 5.7: Trazabilidad de claims, artefactos y alcance inferencial.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Claim</w:t>
                  </w:r>
                </w:p>
              </w:tc>
              <w:tc>
                <w:tcPr/>
                <w:p>
                  <w:pPr>
                    <w:pStyle w:val="Compact"/>
                    <w:jc w:val="both"/>
                    <w:jc w:val="center"/>
                    <w:spacing w:line="360" w:lineRule="auto"/>
                  </w:pPr>
                  <w:r>
                    <w:t xml:space="preserve">Evidencia en tesis</w:t>
                  </w:r>
                </w:p>
              </w:tc>
              <w:tc>
                <w:tcPr/>
                <w:p>
                  <w:pPr>
                    <w:pStyle w:val="Compact"/>
                    <w:jc w:val="both"/>
                    <w:jc w:val="center"/>
                    <w:spacing w:line="360" w:lineRule="auto"/>
                  </w:pPr>
                  <w:r>
                    <w:t xml:space="preserve">Artefacto fuente</w:t>
                  </w:r>
                </w:p>
              </w:tc>
              <w:tc>
                <w:tcPr/>
                <w:p>
                  <w:pPr>
                    <w:pStyle w:val="Compact"/>
                    <w:jc w:val="both"/>
                    <w:jc w:val="center"/>
                    <w:spacing w:line="360" w:lineRule="auto"/>
                  </w:pPr>
                  <w:r>
                    <w:t xml:space="preserve">Script / proceso</w:t>
                  </w:r>
                </w:p>
              </w:tc>
              <w:tc>
                <w:tcPr/>
                <w:p>
                  <w:pPr>
                    <w:pStyle w:val="Compact"/>
                    <w:jc w:val="both"/>
                    <w:jc w:val="center"/>
                    <w:spacing w:line="360" w:lineRule="auto"/>
                  </w:pPr>
                  <w:r>
                    <w:t xml:space="preserve">Alcance</w:t>
                  </w:r>
                </w:p>
              </w:tc>
            </w:tr>
            <w:tr>
              <w:tc>
                <w:tcPr/>
                <w:p>
                  <w:pPr>
                    <w:pStyle w:val="Compact"/>
                    <w:jc w:val="both"/>
                    <w:jc w:val="center"/>
                    <w:spacing w:line="360" w:lineRule="auto"/>
                  </w:pPr>
                  <w:r>
                    <w:t xml:space="preserve">Existen diferencias globales entre métodos en fidelidad</w:t>
                  </w:r>
                </w:p>
              </w:tc>
              <w:tc>
                <w:tcPr/>
                <w:p>
                  <w:pPr>
                    <w:pStyle w:val="Compact"/>
                    <w:jc w:val="both"/>
                    <w:jc w:val="center"/>
                    <w:spacing w:line="360" w:lineRule="auto"/>
                  </w:pPr>
                  <w:r>
                    <w:t xml:space="preserve">Tablas</w:t>
                  </w:r>
                  <w:r>
                    <w:t xml:space="preserve"> </w:t>
                  </w:r>
                  <w:hyperlink w:anchor="tbl-friedman-fidelity">
                    <w:r>
                      <w:rPr>
                        <w:rStyle w:val="Hipervnculo"/>
                      </w:rPr>
                      <w:t xml:space="preserve">Table 5.2</w:t>
                    </w:r>
                  </w:hyperlink>
                  <w:r>
                    <w:t xml:space="preserve"> </w:t>
                  </w:r>
                  <w:r>
                    <w:t xml:space="preserve">y</w:t>
                  </w:r>
                  <w:r>
                    <w:t xml:space="preserve"> </w:t>
                  </w:r>
                  <w:hyperlink w:anchor="tbl-nemenyi-fidelity">
                    <w:r>
                      <w:rPr>
                        <w:rStyle w:val="Hipervnculo"/>
                      </w:rPr>
                      <w:t xml:space="preserve">Table 5.3</w:t>
                    </w:r>
                  </w:hyperlink>
                </w:p>
              </w:tc>
              <w:tc>
                <w:tcPr/>
                <w:p>
                  <w:pPr>
                    <w:pStyle w:val="Compact"/>
                    <w:jc w:val="both"/>
                    <w:jc w:val="center"/>
                    <w:spacing w:line="360" w:lineRule="auto"/>
                  </w:pPr>
                  <w:r>
                    <w:rPr>
                      <w:rStyle w:val="VerbatimChar"/>
                    </w:rPr>
                    <w:t xml:space="preserve">outputs/analysis/paper_a_exp2_stats/friedman_results.csv</w:t>
                  </w:r>
                  <w:r>
                    <w:t xml:space="preserve">,</w:t>
                  </w:r>
                  <w:r>
                    <w:t xml:space="preserve"> </w:t>
                  </w:r>
                  <w:r>
                    <w:rPr>
                      <w:rStyle w:val="VerbatimChar"/>
                    </w:rPr>
                    <w:t xml:space="preserve">nemenyi_fidelity.csv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15 bloques Adult Income, cuatro métodos, cinco modelos</w:t>
                  </w:r>
                </w:p>
              </w:tc>
            </w:tr>
            <w:tr>
              <w:tc>
                <w:tcPr/>
                <w:p>
                  <w:pPr>
                    <w:pStyle w:val="Compact"/>
                    <w:jc w:val="both"/>
                    <w:jc w:val="center"/>
                    <w:spacing w:line="360" w:lineRule="auto"/>
                  </w:pPr>
                  <w:r>
                    <w:t xml:space="preserve">Existen diferencias globales entre métodos en estabilidad</w:t>
                  </w:r>
                </w:p>
              </w:tc>
              <w:tc>
                <w:tcPr/>
                <w:p>
                  <w:pPr>
                    <w:pStyle w:val="Compact"/>
                    <w:jc w:val="both"/>
                    <w:jc w:val="center"/>
                    <w:spacing w:line="360" w:lineRule="auto"/>
                  </w:pPr>
                  <w:r>
                    <w:t xml:space="preserve">Tabla</w:t>
                  </w:r>
                  <w:r>
                    <w:t xml:space="preserve"> </w:t>
                  </w:r>
                  <w:hyperlink w:anchor="tbl-friedman-stability">
                    <w:r>
                      <w:rPr>
                        <w:rStyle w:val="Hipervnculo"/>
                      </w:rPr>
                      <w:t xml:space="preserve">Table 5.4</w:t>
                    </w:r>
                  </w:hyperlink>
                  <w:r>
                    <w:t xml:space="preserve"> </w:t>
                  </w:r>
                  <w:r>
                    <w:t xml:space="preserve">y localización Nemenyi en texto</w:t>
                  </w:r>
                </w:p>
              </w:tc>
              <w:tc>
                <w:tcPr/>
                <w:p>
                  <w:pPr>
                    <w:pStyle w:val="Compact"/>
                    <w:jc w:val="both"/>
                    <w:jc w:val="center"/>
                    <w:spacing w:line="360" w:lineRule="auto"/>
                  </w:pPr>
                  <w:r>
                    <w:rPr>
                      <w:rStyle w:val="VerbatimChar"/>
                    </w:rPr>
                    <w:t xml:space="preserve">friedman_results.csv</w:t>
                  </w:r>
                  <w:r>
                    <w:t xml:space="preserve">,</w:t>
                  </w:r>
                  <w:r>
                    <w:t xml:space="preserve"> </w:t>
                  </w:r>
                  <w:r>
                    <w:rPr>
                      <w:rStyle w:val="VerbatimChar"/>
                    </w:rPr>
                    <w:t xml:space="preserve">nemenyi_stability.csv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Mismo diseño de bloques; estabilidad como similitud coseno</w:t>
                  </w:r>
                </w:p>
              </w:tc>
            </w:tr>
            <w:tr>
              <w:tc>
                <w:tcPr/>
                <w:p>
                  <w:pPr>
                    <w:pStyle w:val="Compact"/>
                    <w:jc w:val="both"/>
                    <w:jc w:val="center"/>
                    <w:spacing w:line="360" w:lineRule="auto"/>
                  </w:pPr>
                  <w:r>
                    <w:t xml:space="preserve">SHAP supera a LIME en fidelidad y estabilidad pero aumenta el coste medio</w:t>
                  </w:r>
                </w:p>
              </w:tc>
              <w:tc>
                <w:tcPr/>
                <w:p>
                  <w:pPr>
                    <w:pStyle w:val="Compact"/>
                    <w:jc w:val="both"/>
                    <w:jc w:val="center"/>
                    <w:spacing w:line="360" w:lineRule="auto"/>
                  </w:pPr>
                  <w:r>
                    <w:t xml:space="preserve">Tabla</w:t>
                  </w:r>
                  <w:r>
                    <w:t xml:space="preserve"> </w:t>
                  </w:r>
                  <w:hyperlink w:anchor="tbl-paired-shap-lime">
                    <w:r>
                      <w:rPr>
                        <w:rStyle w:val="Hipervnculo"/>
                      </w:rPr>
                      <w:t xml:space="preserve">Table 5.5</w:t>
                    </w:r>
                  </w:hyperlink>
                </w:p>
              </w:tc>
              <w:tc>
                <w:tcPr/>
                <w:p>
                  <w:pPr>
                    <w:pStyle w:val="Compact"/>
                    <w:jc w:val="both"/>
                    <w:jc w:val="center"/>
                    <w:spacing w:line="360" w:lineRule="auto"/>
                  </w:pPr>
                  <w:r>
                    <w:rPr>
                      <w:rStyle w:val="VerbatimChar"/>
                    </w:rPr>
                    <w:t xml:space="preserve">wilcoxon_shap_lime_all_models.csv</w:t>
                  </w:r>
                  <w:r>
                    <w:t xml:space="preserve">,</w:t>
                  </w:r>
                  <w:r>
                    <w:t xml:space="preserve"> </w:t>
                  </w:r>
                  <w:r>
                    <w:rPr>
                      <w:rStyle w:val="VerbatimChar"/>
                    </w:rPr>
                    <w:t xml:space="preserve">paired_cells_shap_lime_all_models.csv</w:t>
                  </w:r>
                </w:p>
              </w:tc>
              <w:tc>
                <w:tcPr/>
                <w:p>
                  <w:pPr>
                    <w:pStyle w:val="Compact"/>
                    <w:jc w:val="both"/>
                    <w:jc w:val="center"/>
                    <w:spacing w:line="360" w:lineRule="auto"/>
                  </w:pPr>
                  <w:r>
                    <w:rPr>
                      <w:rStyle w:val="VerbatimChar"/>
                    </w:rPr>
                    <w:t xml:space="preserve">scripts/run_exp2_statistical_analysis.py</w:t>
                  </w:r>
                </w:p>
              </w:tc>
              <w:tc>
                <w:tcPr/>
                <w:p>
                  <w:pPr>
                    <w:pStyle w:val="Compact"/>
                    <w:jc w:val="both"/>
                    <w:jc w:val="center"/>
                    <w:spacing w:line="360" w:lineRule="auto"/>
                  </w:pPr>
                  <w:r>
                    <w:t xml:space="preserve">75 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no generaliza fuera de Adult/tabular</w:t>
                  </w:r>
                </w:p>
              </w:tc>
            </w:tr>
            <w:tr>
              <w:tc>
                <w:tcPr/>
                <w:p>
                  <w:pPr>
                    <w:pStyle w:val="Compact"/>
                    <w:jc w:val="both"/>
                    <w:jc w:val="center"/>
                    <w:spacing w:line="360" w:lineRule="auto"/>
                  </w:pPr>
                  <w:r>
                    <w:t xml:space="preserve">FOM-7 produce señales reproducibles para métricas principales</w:t>
                  </w:r>
                </w:p>
              </w:tc>
              <w:tc>
                <w:tcPr/>
                <w:p>
                  <w:pPr>
                    <w:pStyle w:val="Compact"/>
                    <w:jc w:val="both"/>
                    <w:jc w:val="center"/>
                    <w:spacing w:line="360" w:lineRule="auto"/>
                  </w:pPr>
                  <w:r>
                    <w:t xml:space="preserve">Tabla</w:t>
                  </w:r>
                  <w:r>
                    <w:t xml:space="preserve"> </w:t>
                  </w:r>
                  <w:hyperlink w:anchor="tbl-cv-p1">
                    <w:r>
                      <w:rPr>
                        <w:rStyle w:val="Hipervnculo"/>
                      </w:rPr>
                      <w:t xml:space="preserve">Table 5.6</w:t>
                    </w:r>
                  </w:hyperlink>
                </w:p>
              </w:tc>
              <w:tc>
                <w:tcPr/>
                <w:p>
                  <w:pPr>
                    <w:pStyle w:val="Compact"/>
                    <w:jc w:val="both"/>
                    <w:jc w:val="center"/>
                    <w:spacing w:line="360" w:lineRule="auto"/>
                  </w:pPr>
                  <w:r>
                    <w:rPr>
                      <w:rStyle w:val="VerbatimChar"/>
                    </w:rPr>
                    <w:t xml:space="preserve">experiments/exp1_adult/reproducibility/reproducibility_report.csv</w:t>
                  </w:r>
                </w:p>
              </w:tc>
              <w:tc>
                <w:tcPr/>
                <w:p>
                  <w:pPr>
                    <w:pStyle w:val="Compact"/>
                    <w:jc w:val="both"/>
                    <w:jc w:val="center"/>
                    <w:spacing w:line="360" w:lineRule="auto"/>
                  </w:pPr>
                  <w:r>
                    <w:t xml:space="preserve">Ejecuciones EXP1 por semilla</w:t>
                  </w:r>
                </w:p>
              </w:tc>
              <w:tc>
                <w:tcPr/>
                <w:p>
                  <w:pPr>
                    <w:pStyle w:val="Compact"/>
                    <w:jc w:val="both"/>
                    <w:jc w:val="center"/>
                    <w:spacing w:line="360" w:lineRule="auto"/>
                  </w:pPr>
                  <w:r>
                    <w:t xml:space="preserve">Confirmación parcial; LIME-estabilidad queda limitada por media cercana a cero</w:t>
                  </w:r>
                </w:p>
              </w:tc>
            </w:tr>
            <w:tr>
              <w:tc>
                <w:tcPr/>
                <w:p>
                  <w:pPr>
                    <w:pStyle w:val="Compact"/>
                    <w:jc w:val="both"/>
                    <w:jc w:val="center"/>
                    <w:spacing w:line="360" w:lineRule="auto"/>
                  </w:pPr>
                  <w:r>
                    <w:t xml:space="preserve">La cobertura faltante no invalida las pruebas confirmativas principales</w:t>
                  </w:r>
                </w:p>
              </w:tc>
              <w:tc>
                <w:tcPr/>
                <w:p>
                  <w:pPr>
                    <w:pStyle w:val="Compact"/>
                    <w:jc w:val="both"/>
                    <w:jc w:val="center"/>
                    <w:spacing w:line="360" w:lineRule="auto"/>
                  </w:pPr>
                  <w:r>
                    <w:t xml:space="preserve">Capítulo 3, tablas de cobertura</w:t>
                  </w:r>
                </w:p>
              </w:tc>
              <w:tc>
                <w:tcPr/>
                <w:p>
                  <w:pPr>
                    <w:pStyle w:val="Compact"/>
                    <w:jc w:val="both"/>
                    <w:jc w:val="center"/>
                    <w:spacing w:line="360" w:lineRule="auto"/>
                  </w:pPr>
                  <w:r>
                    <w:rPr>
                      <w:rStyle w:val="VerbatimChar"/>
                    </w:rPr>
                    <w:t xml:space="preserve">exp2_run_inventory.csv</w:t>
                  </w:r>
                  <w:r>
                    <w:t xml:space="preserve">, árbol</w:t>
                  </w:r>
                  <w:r>
                    <w:t xml:space="preserve"> </w:t>
                  </w:r>
                  <w:r>
                    <w:rPr>
                      <w:rStyle w:val="VerbatimChar"/>
                    </w:rPr>
                    <w:t xml:space="preserve">experiments/exp2_scaled/results/</w:t>
                  </w:r>
                </w:p>
              </w:tc>
              <w:tc>
                <w:tcPr/>
                <w:p>
                  <w:pPr>
                    <w:pStyle w:val="Compact"/>
                    <w:jc w:val="both"/>
                    <w:jc w:val="center"/>
                    <w:spacing w:line="360" w:lineRule="auto"/>
                  </w:pPr>
                  <w:r>
                    <w:t xml:space="preserve">Auditoría FOM-7 puerta 3</w:t>
                  </w:r>
                </w:p>
              </w:tc>
              <w:tc>
                <w:tcPr/>
                <w:p>
                  <w:pPr>
                    <w:pStyle w:val="Compact"/>
                    <w:jc w:val="both"/>
                    <w:jc w:val="center"/>
                    <w:spacing w:line="360" w:lineRule="auto"/>
                  </w:pPr>
                  <w:r>
                    <w:t xml:space="preserve">Afecta precisión de Anchors/DiCE; no afecta SHAP-LIME pareado</w:t>
                  </w:r>
                </w:p>
              </w:tc>
            </w:tr>
          </w:tbl>
          <w:bookmarkEnd w:id="125"/>
          <w:p>
            <w:pPr>
              <w:spacing w:line="360" w:lineRule="auto"/>
              <w:jc w:val="both"/>
            </w:pPr>
          </w:p>
        </w:tc>
      </w:tr>
    </w:tbl>
    <w:bookmarkEnd w:id="126"/>
    <w:bookmarkStart w:id="155" w:name="sec-visualizaciones-resultados"/>
    <w:p>
      <w:pPr>
        <w:pStyle w:val="Ttulo2"/>
        <w:spacing w:line="360" w:lineRule="auto"/>
        <w:jc w:val="both"/>
      </w:pPr>
      <w:r>
        <w:t xml:space="preserve">Visualizaciones complementarias</w:t>
      </w:r>
    </w:p>
    <w:p>
      <w:pPr>
        <w:pStyle w:val="FirstParagraph"/>
        <w:spacing w:line="360" w:lineRule="auto"/>
        <w:jc w:val="both"/>
      </w:pPr>
      <w:r>
        <w:t xml:space="preserve">Las tablas inferenciales son la evidencia primaria del capítulo. Las figuras</w:t>
      </w:r>
      <w:r>
        <w:t xml:space="preserve"> </w:t>
      </w:r>
      <w:r>
        <w:t xml:space="preserve">siguientes se incluyen como apoyo visual para inspeccionar patrones</w:t>
      </w:r>
      <w:r>
        <w:t xml:space="preserve"> </w:t>
      </w:r>
      <w:r>
        <w:t xml:space="preserve">multimétricos y relaciones entre constructos. No sustituyen las pruebas</w:t>
      </w:r>
      <w:r>
        <w:t xml:space="preserve"> </w:t>
      </w:r>
      <w:r>
        <w:t xml:space="preserve">estadísticas, pero ayudan a detectar si los resultados tabulares son coherentes</w:t>
      </w:r>
      <w:r>
        <w:t xml:space="preserve"> </w:t>
      </w:r>
      <w:r>
        <w:t xml:space="preserve">con la estructura global de los datos.</w:t>
      </w:r>
    </w:p>
    <w:tbl>
      <w:tblPr>
        <w:tblStyle w:val="Table"/>
        <w:tblW w:type="pct" w:w="5000"/>
        <w:tblLayout w:type="fixed"/>
        <w:tblLook w:firstRow="0" w:lastRow="0" w:firstColumn="0" w:lastColumn="0" w:noHBand="0" w:noVBand="0" w:val="0000"/>
      </w:tblPr>
      <w:tblGrid>
        <w:gridCol w:w="7920"/>
      </w:tblGrid>
      <w:tr>
        <w:tc>
          <w:tcPr/>
          <w:bookmarkStart w:id="130" w:name="fig-estabilidad-coste"/>
          <w:p>
            <w:pPr>
              <w:pStyle w:val="Compact"/>
              <w:jc w:val="both"/>
              <w:spacing w:line="360" w:lineRule="auto"/>
            </w:pPr>
            <w:r>
              <w:drawing>
                <ns2:inline>
                  <ns2:extent cx="5052060" cy="3154709"/>
                  <ns2:effectExtent b="0" l="0" r="0" t="0"/>
                  <ns2:docPr descr="" title="" id="128" name="Picture"/>
                  <ns3:graphic>
                    <ns3:graphicData uri="http://schemas.openxmlformats.org/drawingml/2006/picture">
                      <ns4:pic>
                        <ns4:nvPicPr>
                          <ns4:cNvPr descr="assets/figures/fig_estabilidad_coste_es.png" id="129" name="Picture"/>
                          <ns4:cNvPicPr>
                            <ns3:picLocks noChangeArrowheads="1" noChangeAspect="1"/>
                          </ns4:cNvPicPr>
                        </ns4:nvPicPr>
                        <ns4:blipFill>
                          <ns3:blip ns5:embed="rId127"/>
                          <ns3:stretch>
                            <ns3:fillRect/>
                          </ns3:stretch>
                        </ns4:blipFill>
                        <ns4:spPr bwMode="auto">
                          <ns3:xfrm>
                            <ns3:off x="0" y="0"/>
                            <ns3:ext cx="5052060" cy="3154709"/>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5.1: Relación entre estabilidad y coste por método. La figura muestra la relación</w:t>
            </w:r>
            <w:r>
              <w:t xml:space="preserve"> </w:t>
            </w:r>
            <w:r>
              <w:t xml:space="preserve">entre consistencia explicativa y coste computacional bajo las condiciones del</w:t>
            </w:r>
            <w:r>
              <w:t xml:space="preserve"> </w:t>
            </w:r>
            <w:r>
              <w:t xml:space="preserve">banco de pruebas.</w:t>
            </w:r>
          </w:p>
          <w:bookmarkEnd w:id="13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fig-correlacion-metricas"/>
          <w:p>
            <w:pPr>
              <w:pStyle w:val="Compact"/>
              <w:jc w:val="both"/>
              <w:spacing w:line="360" w:lineRule="auto"/>
            </w:pPr>
            <w:r>
              <w:drawing>
                <ns2:inline>
                  <ns2:extent cx="5052060" cy="3860951"/>
                  <ns2:effectExtent b="0" l="0" r="0" t="0"/>
                  <ns2:docPr descr="" title="" id="132" name="Picture"/>
                  <ns3:graphic>
                    <ns3:graphicData uri="http://schemas.openxmlformats.org/drawingml/2006/picture">
                      <ns4:pic>
                        <ns4:nvPicPr>
                          <ns4:cNvPr descr="assets/figures/fig_correlacion_metricas_es.png" id="133" name="Picture"/>
                          <ns4:cNvPicPr>
                            <ns3:picLocks noChangeArrowheads="1" noChangeAspect="1"/>
                          </ns4:cNvPicPr>
                        </ns4:nvPicPr>
                        <ns4:blipFill>
                          <ns3:blip ns5:embed="rId131"/>
                          <ns3:stretch>
                            <ns3:fillRect/>
                          </ns3:stretch>
                        </ns4:blipFill>
                        <ns4:spPr bwMode="auto">
                          <ns3:xfrm>
                            <ns3:off x="0" y="0"/>
                            <ns3:ext cx="5052060" cy="3860951"/>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5.2: Correlación entre métricas del banco de pruebas. La matriz permite inspeccionar</w:t>
            </w:r>
            <w:r>
              <w:t xml:space="preserve"> </w:t>
            </w:r>
            <w:r>
              <w:t xml:space="preserve">relaciones empíricas entre constructos y refuerza la necesidad de evitar una</w:t>
            </w:r>
            <w:r>
              <w:t xml:space="preserve"> </w:t>
            </w:r>
            <w:r>
              <w:t xml:space="preserve">lectura mono-métrica de la calidad</w:t>
            </w:r>
            <w:r>
              <w:t xml:space="preserve"> </w:t>
            </w:r>
            <w:r>
              <w:t xml:space="preserve">explicativa.</w:t>
            </w:r>
          </w:p>
          <w:bookmarkEnd w:id="134"/>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38" w:name="fig-cobertura-exp2"/>
          <w:p>
            <w:pPr>
              <w:pStyle w:val="Compact"/>
              <w:jc w:val="both"/>
              <w:spacing w:line="360" w:lineRule="auto"/>
            </w:pPr>
            <w:r>
              <w:drawing>
                <ns2:inline>
                  <ns2:extent cx="5052060" cy="3412866"/>
                  <ns2:effectExtent b="0" l="0" r="0" t="0"/>
                  <ns2:docPr descr="" title="" id="136" name="Picture"/>
                  <ns3:graphic>
                    <ns3:graphicData uri="http://schemas.openxmlformats.org/drawingml/2006/picture">
                      <ns4:pic>
                        <ns4:nvPicPr>
                          <ns4:cNvPr descr="assets/figures/fig_cobertura_exp2_es.png" id="137" name="Picture"/>
                          <ns4:cNvPicPr>
                            <ns3:picLocks noChangeArrowheads="1" noChangeAspect="1"/>
                          </ns4:cNvPicPr>
                        </ns4:nvPicPr>
                        <ns4:blipFill>
                          <ns3:blip ns5:embed="rId135"/>
                          <ns3:stretch>
                            <ns3:fillRect/>
                          </ns3:stretch>
                        </ns4:blipFill>
                        <ns4:spPr bwMode="auto">
                          <ns3:xfrm>
                            <ns3:off x="0" y="0"/>
                            <ns3:ext cx="5052060" cy="341286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5.3: Cobertura analítica EXP2 por modelo y método. La figura muestra cuántas de</w:t>
            </w:r>
            <w:r>
              <w:t xml:space="preserve"> </w:t>
            </w:r>
            <w:r>
              <w:t xml:space="preserve">las 15 celdas planificadas por combinación superan la auditoría de integridad</w:t>
            </w:r>
            <w:r>
              <w:t xml:space="preserve"> </w:t>
            </w:r>
            <w:r>
              <w:t xml:space="preserve">FOM-7.</w:t>
            </w:r>
          </w:p>
          <w:bookmarkEnd w:id="138"/>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2" w:name="fig-cd-diagram"/>
          <w:p>
            <w:pPr>
              <w:pStyle w:val="Compact"/>
              <w:jc w:val="both"/>
              <w:spacing w:line="360" w:lineRule="auto"/>
            </w:pPr>
            <w:r>
              <w:drawing>
                <ns2:inline>
                  <ns2:extent cx="5646420" cy="1801452"/>
                  <ns2:effectExtent b="0" l="0" r="0" t="0"/>
                  <ns2:docPr descr="" title="" id="140" name="Picture"/>
                  <ns3:graphic>
                    <ns3:graphicData uri="http://schemas.openxmlformats.org/drawingml/2006/picture">
                      <ns4:pic>
                        <ns4:nvPicPr>
                          <ns4:cNvPr descr="assets/figures/fig_cd_diagram_es.png" id="141" name="Picture"/>
                          <ns4:cNvPicPr>
                            <ns3:picLocks noChangeArrowheads="1" noChangeAspect="1"/>
                          </ns4:cNvPicPr>
                        </ns4:nvPicPr>
                        <ns4:blipFill>
                          <ns3:blip ns5:embed="rId139"/>
                          <ns3:stretch>
                            <ns3:fillRect/>
                          </ns3:stretch>
                        </ns4:blipFill>
                        <ns4:spPr bwMode="auto">
                          <ns3:xfrm>
                            <ns3:off x="0" y="0"/>
                            <ns3:ext cx="5646420" cy="1801452"/>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5.4: Diagrama de diferencia crítica de Nemenyi para fidelidad (izquierda) y</w:t>
            </w:r>
            <w:r>
              <w:t xml:space="preserve"> </w:t>
            </w:r>
            <w:r>
              <w:t xml:space="preserve">estabilidad (derecha). El eje horizontal muestra los rangos medios; las barras</w:t>
            </w:r>
            <w:r>
              <w:t xml:space="preserve"> </w:t>
            </w:r>
            <w:r>
              <w:t xml:space="preserve">horizontales gruesas conectan métodos no significativamente distintos (diferencia</w:t>
            </w:r>
            <w:r>
              <w:t xml:space="preserve"> </w:t>
            </w:r>
            <w:r>
              <w:t xml:space="preserve">&lt; DC = 1.211, k=4, n=15, α=0.05). En fidelidad, SHAP y LIME forman un grupo</w:t>
            </w:r>
            <w:r>
              <w:t xml:space="preserve"> </w:t>
            </w:r>
            <w:r>
              <w:t xml:space="preserve">indistinguible entre sí, al igual que Anchors y DiCE; ambos grupos son</w:t>
            </w:r>
            <w:r>
              <w:t xml:space="preserve"> </w:t>
            </w:r>
            <w:r>
              <w:t xml:space="preserve">mutuamente distintos. En estabilidad, el reordenamiento es notable: SHAP y DiCE</w:t>
            </w:r>
            <w:r>
              <w:t xml:space="preserve"> </w:t>
            </w:r>
            <w:r>
              <w:t xml:space="preserve">forman el grupo estable, mientras LIME y Anchors son indistinguibles entre sí</w:t>
            </w:r>
            <w:r>
              <w:t xml:space="preserve"> </w:t>
            </w:r>
            <w:r>
              <w:t xml:space="preserve">pero claramente inferiores.</w:t>
            </w:r>
          </w:p>
          <w:bookmarkEnd w:id="142"/>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46" w:name="fig-boxplots-metricas"/>
          <w:p>
            <w:pPr>
              <w:pStyle w:val="Compact"/>
              <w:jc w:val="both"/>
              <w:spacing w:line="360" w:lineRule="auto"/>
            </w:pPr>
            <w:r>
              <w:drawing>
                <ns2:inline>
                  <ns2:extent cx="5646420" cy="2662237"/>
                  <ns2:effectExtent b="0" l="0" r="0" t="0"/>
                  <ns2:docPr descr="" title="" id="144" name="Picture"/>
                  <ns3:graphic>
                    <ns3:graphicData uri="http://schemas.openxmlformats.org/drawingml/2006/picture">
                      <ns4:pic>
                        <ns4:nvPicPr>
                          <ns4:cNvPr descr="assets/figures/fig_boxplots_metricas_es.png" id="145" name="Picture"/>
                          <ns4:cNvPicPr>
                            <ns3:picLocks noChangeArrowheads="1" noChangeAspect="1"/>
                          </ns4:cNvPicPr>
                        </ns4:nvPicPr>
                        <ns4:blipFill>
                          <ns3:blip ns5:embed="rId143"/>
                          <ns3:stretch>
                            <ns3:fillRect/>
                          </ns3:stretch>
                        </ns4:blipFill>
                        <ns4:spPr bwMode="auto">
                          <ns3:xfrm>
                            <ns3:off x="0" y="0"/>
                            <ns3:ext cx="5646420" cy="2662237"/>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5.5: Distribución de fidelidad (izquierda) y estabilidad (derecha) por método</w:t>
            </w:r>
            <w:r>
              <w:t xml:space="preserve"> </w:t>
            </w:r>
            <w:r>
              <w:t xml:space="preserve">sobre los 15 bloques</w:t>
            </w:r>
            <w:r>
              <w:t xml:space="preserve"> </w:t>
            </w:r>
            <ns1:oMath>
              <ns1:r>
                <ns1:rPr>
                  <ns1:sty ns1:val="p"/>
                </ns1:rPr>
                <ns1:t>(</ns1:t>
              </ns1:r>
              <ns1:r>
                <ns1:t>g</ns1:t>
              </ns1:r>
              <ns1:r>
                <ns1:rPr>
                  <ns1:sty ns1:val="p"/>
                </ns1:rPr>
                <ns1:t>,</ns1:t>
              </ns1:r>
              <ns1:r>
                <ns1:t>n</ns1:t>
              </ns1:r>
              <ns1:r>
                <ns1:rPr>
                  <ns1:sty ns1:val="p"/>
                </ns1:rPr>
                <ns1:t>)</ns1:t>
              </ns1:r>
            </ns1:oMath>
            <w:r>
              <w:t xml:space="preserve"> </w:t>
            </w:r>
            <w:r>
              <w:t xml:space="preserve">del diseño factorial. Cada punto representa un</w:t>
            </w:r>
            <w:r>
              <w:t xml:space="preserve"> </w:t>
            </w:r>
            <w:r>
              <w:t xml:space="preserve">bloque; la caja muestra el rango intercuartílico; la línea interna, la mediana.</w:t>
            </w:r>
            <w:r>
              <w:t xml:space="preserve"> </w:t>
            </w:r>
            <w:r>
              <w:t xml:space="preserve">Para fidelidad, las cajas de SHAP y LIME no se solapan con las de Anchors y</w:t>
            </w:r>
            <w:r>
              <w:t xml:space="preserve"> </w:t>
            </w:r>
            <w:r>
              <w:t xml:space="preserve">DiCE. Para estabilidad, la caja de LIME colapsa casi en cero (mediana ≈ 0.014),</w:t>
            </w:r>
            <w:r>
              <w:t xml:space="preserve"> </w:t>
            </w:r>
            <w:r>
              <w:t xml:space="preserve">confirmando la inestabilidad estructural del método en todos los bloques del</w:t>
            </w:r>
            <w:r>
              <w:t xml:space="preserve"> </w:t>
            </w:r>
            <w:r>
              <w:t xml:space="preserve">benchmark.</w:t>
            </w:r>
          </w:p>
          <w:bookmarkEnd w:id="146"/>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0" w:name="fig-diferencias-pareadas"/>
          <w:p>
            <w:pPr>
              <w:pStyle w:val="Compact"/>
              <w:jc w:val="both"/>
              <w:spacing w:line="360" w:lineRule="auto"/>
            </w:pPr>
            <w:r>
              <w:drawing>
                <ns2:inline>
                  <ns2:extent cx="5646420" cy="2357586"/>
                  <ns2:effectExtent b="0" l="0" r="0" t="0"/>
                  <ns2:docPr descr="" title="" id="148" name="Picture"/>
                  <ns3:graphic>
                    <ns3:graphicData uri="http://schemas.openxmlformats.org/drawingml/2006/picture">
                      <ns4:pic>
                        <ns4:nvPicPr>
                          <ns4:cNvPr descr="assets/figures/fig_diferencias_pareadas_es.png" id="149" name="Picture"/>
                          <ns4:cNvPicPr>
                            <ns3:picLocks noChangeArrowheads="1" noChangeAspect="1"/>
                          </ns4:cNvPicPr>
                        </ns4:nvPicPr>
                        <ns4:blipFill>
                          <ns3:blip ns5:embed="rId147"/>
                          <ns3:stretch>
                            <ns3:fillRect/>
                          </ns3:stretch>
                        </ns4:blipFill>
                        <ns4:spPr bwMode="auto">
                          <ns3:xfrm>
                            <ns3:off x="0" y="0"/>
                            <ns3:ext cx="5646420" cy="235758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5.6: Diferencias pareadas</w:t>
            </w:r>
            <w:r>
              <w:t xml:space="preserve"> </w:t>
            </w:r>
            <ns1:oMath>
              <ns1:sSub>
                <ns1:e>
                  <ns1:r>
                    <ns1:t>d</ns1:t>
                  </ns1:r>
                </ns1:e>
                <ns1:sub>
                  <ns1:r>
                    <ns1:t>i</ns1:t>
                  </ns1:r>
                </ns1:sub>
              </ns1:sSub>
              <ns1:r>
                <ns1:rPr>
                  <ns1:sty ns1:val="p"/>
                </ns1:rPr>
                <ns1:t>=</ns1:t>
              </ns1:r>
              <ns1:r>
                <ns1:rPr>
                  <ns1:nor/>
                  <ns1:sty ns1:val="p"/>
                </ns1:rPr>
                <ns1:t>SHAP</ns1:t>
              </ns1:r>
              <ns1:r>
                <ns1:rPr>
                  <ns1:sty ns1:val="p"/>
                </ns1:rPr>
                <ns1:t>−</ns1:t>
              </ns1:r>
              <ns1:r>
                <ns1:rPr>
                  <ns1:nor/>
                  <ns1:sty ns1:val="p"/>
                </ns1:rPr>
                <ns1:t>LIME</ns1:t>
              </ns1:r>
            </ns1:oMath>
            <w:r>
              <w:t xml:space="preserve"> </w:t>
            </w:r>
            <w:r>
              <w:t xml:space="preserve">para fidelidad</w:t>
            </w:r>
            <w:r>
              <w:t xml:space="preserve"> </w:t>
            </w:r>
            <w:r>
              <w:t xml:space="preserve">(izquierda) y estabilidad (derecha) sobre las 75 celdas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del</w:t>
            </w:r>
            <w:r>
              <w:t xml:space="preserve"> </w:t>
            </w:r>
            <w:r>
              <w:t xml:space="preserve">análisis pareado. Las barras azules indican ventaja de SHAP; las rojas, ventaja</w:t>
            </w:r>
            <w:r>
              <w:t xml:space="preserve"> </w:t>
            </w:r>
            <w:r>
              <w:t xml:space="preserve">de LIME. Para fidelidad, las 75/75 diferencias son positivas (media = +0.248;</w:t>
            </w:r>
            <w:r>
              <w:t xml:space="preserve"> </w:t>
            </w:r>
            <ns1:oMath>
              <ns1:sSub>
                <ns1:e>
                  <ns1:r>
                    <ns1:t>d</ns1:t>
                  </ns1:r>
                </ns1:e>
                <ns1:sub>
                  <ns1:r>
                    <ns1:t>z</ns1:t>
                  </ns1:r>
                </ns1:sub>
              </ns1:sSub>
              <ns1:r>
                <ns1:rPr>
                  <ns1:sty ns1:val="p"/>
                </ns1:rPr>
                <ns1:t>=</ns1:t>
              </ns1:r>
              <ns1:r>
                <ns1:t>4.82</ns1:t>
              </ns1:r>
            </ns1:oMath>
            <w:r>
              <w:t xml:space="preserve">); para estabilidad, las 75/75 diferencias también son positivas</w:t>
            </w:r>
            <w:r>
              <w:t xml:space="preserve"> </w:t>
            </w:r>
            <w:r>
              <w:t xml:space="preserve">(media = +0.718;</w:t>
            </w:r>
            <w:r>
              <w:t xml:space="preserve"> </w:t>
            </w:r>
            <ns1:oMath>
              <ns1:sSub>
                <ns1:e>
                  <ns1:r>
                    <ns1:t>d</ns1:t>
                  </ns1:r>
                </ns1:e>
                <ns1:sub>
                  <ns1:r>
                    <ns1:t>z</ns1:t>
                  </ns1:r>
                </ns1:sub>
              </ns1:sSub>
              <ns1:r>
                <ns1:rPr>
                  <ns1:sty ns1:val="p"/>
                </ns1:rPr>
                <ns1:t>=</ns1:t>
              </ns1:r>
              <ns1:r>
                <ns1:t>3.00</ns1:t>
              </ns1:r>
            </ns1:oMath>
            <w:r>
              <w:t xml:space="preserve">). La ausencia de barras rojas confirma que la</w:t>
            </w:r>
            <w:r>
              <w:t xml:space="preserve"> </w:t>
            </w:r>
            <w:r>
              <w:t xml:space="preserve">ventaja de SHAP no es un artefacto de valores</w:t>
            </w:r>
            <w:r>
              <w:t xml:space="preserve"> </w:t>
            </w:r>
            <w:r>
              <w:t xml:space="preserve">atípicos.</w:t>
            </w:r>
          </w:p>
          <w:bookmarkEnd w:id="150"/>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54" w:name="fig-radar-metodos"/>
          <w:p>
            <w:pPr>
              <w:pStyle w:val="Compact"/>
              <w:jc w:val="both"/>
              <w:spacing w:line="360" w:lineRule="auto"/>
            </w:pPr>
            <w:r>
              <w:drawing>
                <ns2:inline>
                  <ns2:extent cx="4160520" cy="3582746"/>
                  <ns2:effectExtent b="0" l="0" r="0" t="0"/>
                  <ns2:docPr descr="" title="" id="152" name="Picture"/>
                  <ns3:graphic>
                    <ns3:graphicData uri="http://schemas.openxmlformats.org/drawingml/2006/picture">
                      <ns4:pic>
                        <ns4:nvPicPr>
                          <ns4:cNvPr descr="assets/figures/fig_radar_metodos_es.png" id="153" name="Picture"/>
                          <ns4:cNvPicPr>
                            <ns3:picLocks noChangeArrowheads="1" noChangeAspect="1"/>
                          </ns4:cNvPicPr>
                        </ns4:nvPicPr>
                        <ns4:blipFill>
                          <ns3:blip ns5:embed="rId151"/>
                          <ns3:stretch>
                            <ns3:fillRect/>
                          </ns3:stretch>
                        </ns4:blipFill>
                        <ns4:spPr bwMode="auto">
                          <ns3:xfrm>
                            <ns3:off x="0" y="0"/>
                            <ns3:ext cx="4160520" cy="3582746"/>
                          </ns3:xfrm>
                          <ns3:prstGeom prst="rect">
                            <ns3:avLst/>
                          </ns3:prstGeom>
                          <ns3:noFill/>
                          <ns3:ln w="9525">
                            <ns3:noFill/>
                            <ns3:headEnd/>
                            <ns3:tailEnd/>
                          </ns3:ln>
                        </ns4:spPr>
                      </ns4:pic>
                    </ns3:graphicData>
                  </ns3:graphic>
                </ns2:inline>
              </w:drawing>
            </w:r>
          </w:p>
          <w:p>
            <w:pPr>
              <w:jc w:val="both"/>
              <w:spacing w:line="360" w:lineRule="auto"/>
            </w:pPr>
            <w:pPr>
              <w:jc w:val="left"/>
              <w:spacing w:before="200"/>
              <w:pStyle w:val="ImageCaption"/>
            </w:pPr>
            <w:r>
              <w:t xml:space="preserve">Figure 5.7: Perfil multidimensional normalizado por método en cinco ejes (radio mayor =</w:t>
            </w:r>
            <w:r>
              <w:t xml:space="preserve"> </w:t>
            </w:r>
            <w:r>
              <w:t xml:space="preserve">mejor desempeño). Fidelidad y estabilidad se normalizan directamente; parsimonia</w:t>
            </w:r>
            <w:r>
              <w:t xml:space="preserve"> </w:t>
            </w:r>
            <w:r>
              <w:t xml:space="preserve">y eficiencia de coste se invierten para que el exterior represente en todos los</w:t>
            </w:r>
            <w:r>
              <w:t xml:space="preserve"> </w:t>
            </w:r>
            <w:r>
              <w:t xml:space="preserve">ejes la posición más favorable. Ningún método domina en todos los ejes</w:t>
            </w:r>
            <w:r>
              <w:t xml:space="preserve"> </w:t>
            </w:r>
            <w:r>
              <w:t xml:space="preserve">simultáneamente: SHAP lidera en fidelidad, estabilidad y brecha de fidelidad;</w:t>
            </w:r>
            <w:r>
              <w:t xml:space="preserve"> </w:t>
            </w:r>
            <w:r>
              <w:t xml:space="preserve">LIME en parsimonia y eficiencia de coste; DiCE es intermedio en estabilidad</w:t>
            </w:r>
            <w:r>
              <w:t xml:space="preserve"> </w:t>
            </w:r>
            <w:r>
              <w:t xml:space="preserve">pero muy bajo en fidelidad. Este patrón valida la necesidad del enfoque</w:t>
            </w:r>
            <w:r>
              <w:t xml:space="preserve"> </w:t>
            </w:r>
            <w:r>
              <w:t xml:space="preserve">multi-métrico de FOM-7.</w:t>
            </w:r>
          </w:p>
          <w:bookmarkEnd w:id="154"/>
        </w:tc>
      </w:tr>
    </w:tbl>
    <w:bookmarkEnd w:id="155"/>
    <w:bookmarkStart w:id="159" w:name="sec-discusion"/>
    <w:p>
      <w:pPr>
        <w:pStyle w:val="Ttulo2"/>
        <w:spacing w:line="360" w:lineRule="auto"/>
        <w:jc w:val="both"/>
      </w:pPr>
      <w:r>
        <w:t xml:space="preserve">Discusión</w:t>
      </w:r>
    </w:p>
    <w:bookmarkStart w:id="156" w:name="interpretación-conjunta-de-h1-h2-y-h3"/>
    <w:p>
      <w:pPr>
        <w:pStyle w:val="Ttulo3"/>
        <w:spacing w:line="360" w:lineRule="auto"/>
        <w:jc w:val="both"/>
      </w:pPr>
      <w:r>
        <w:t xml:space="preserve">Interpretación conjunta de H1, H2 y H3</w:t>
      </w:r>
    </w:p>
    <w:p>
      <w:pPr>
        <w:pStyle w:val="FirstParagraph"/>
        <w:spacing w:line="360" w:lineRule="auto"/>
        <w:jc w:val="bot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spacing w:line="360" w:lineRule="auto"/>
        <w:jc w:val="both"/>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spacing w:line="360" w:lineRule="auto"/>
        <w:jc w:val="both"/>
      </w:pPr>
      <w:r>
        <w:t xml:space="preserve">Los tamaños de efecto en las comparaciones SHAP-LIME (</w:t>
      </w:r>
      <ns1:oMath>
        <ns1:sSub>
          <ns1:e>
            <ns1:r>
              <ns1:t>d</ns1:t>
            </ns1:r>
          </ns1:e>
          <ns1:sub>
            <ns1:r>
              <ns1:t>z</ns1:t>
            </ns1:r>
          </ns1:sub>
        </ns1:sSub>
        <ns1:r>
          <ns1:rPr>
            <ns1:sty ns1:val="p"/>
          </ns1:rPr>
          <ns1:t>=</ns1:t>
        </ns1:r>
        <ns1:r>
          <ns1:t>4.820</ns1:t>
        </ns1:r>
      </ns1:oMath>
      <w:r>
        <w:t xml:space="preserve"> </w:t>
      </w:r>
      <w:r>
        <w:t xml:space="preserve">para</w:t>
      </w:r>
      <w:r>
        <w:t xml:space="preserve"> </w:t>
      </w:r>
      <w:r>
        <w:t xml:space="preserve">fidelidad,</w:t>
      </w:r>
      <w:r>
        <w:t xml:space="preserve"> </w:t>
      </w:r>
      <ns1:oMath>
        <ns1:sSub>
          <ns1:e>
            <ns1:r>
              <ns1:t>d</ns1:t>
            </ns1:r>
          </ns1:e>
          <ns1:sub>
            <ns1:r>
              <ns1:t>z</ns1:t>
            </ns1:r>
          </ns1:sub>
        </ns1:sSub>
        <ns1:r>
          <ns1:rPr>
            <ns1:sty ns1:val="p"/>
          </ns1:rPr>
          <ns1:t>=</ns1:t>
        </ns1:r>
        <ns1:r>
          <ns1:t>3.002</ns1:t>
        </ns1:r>
      </ns1:oMath>
      <w:r>
        <w:t xml:space="preserve"> </w:t>
      </w:r>
      <w:r>
        <w:t xml:space="preserve">para estabilidad) son notables en el contexto de</w:t>
      </w:r>
      <w:r>
        <w:t xml:space="preserve"> </w:t>
      </w:r>
      <w:r>
        <w:t xml:space="preserve">experimentos de benchmarking XAI. Trabajos de referencia en el campo</w:t>
      </w:r>
      <w:r>
        <w:t xml:space="preserve"> </w:t>
      </w:r>
      <w:r>
        <w:t xml:space="preserve">(Hedström et al. 2023; Agarwal et al. 2022)</w:t>
      </w:r>
      <w:r>
        <w:t xml:space="preserve"> </w:t>
      </w:r>
      <w:r>
        <w:t xml:space="preserve">reportan diferencias entre métodos, aunque con</w:t>
      </w:r>
      <w:r>
        <w:t xml:space="preserve"> </w:t>
      </w:r>
      <w:r>
        <w:t xml:space="preserve">diseños y métricas que no siempre permiten comparación directa. La consistencia</w:t>
      </w:r>
      <w:r>
        <w:t xml:space="preserve"> </w:t>
      </w:r>
      <w:r>
        <w:t xml:space="preserve">direccional en los 75 pares de fidelidad y estabilidad refuerza la conclusión</w:t>
      </w:r>
      <w:r>
        <w:t xml:space="preserve"> </w:t>
      </w:r>
      <w:r>
        <w:t xml:space="preserve">operacional: bajo este diseño y estas condiciones experimentales, la ventaja</w:t>
      </w:r>
      <w:r>
        <w:t xml:space="preserve"> </w:t>
      </w:r>
      <w:r>
        <w:t xml:space="preserve">de SHAP responde a un patrón sistemático en las celdas pareadas, no a una</w:t>
      </w:r>
      <w:r>
        <w:t xml:space="preserve"> </w:t>
      </w:r>
      <w:r>
        <w:t xml:space="preserve">fluctuación estadística marginal.</w:t>
      </w:r>
    </w:p>
    <w:bookmarkEnd w:id="156"/>
    <w:bookmarkStart w:id="157" w:name="Xbd024e4a7bd7bf8de011157bde8f5cf667c76a0"/>
    <w:p>
      <w:pPr>
        <w:pStyle w:val="Ttulo3"/>
        <w:spacing w:line="360" w:lineRule="auto"/>
        <w:jc w:val="both"/>
      </w:pPr>
      <w:r>
        <w:t xml:space="preserve">Relación calidad-coste y criterios de selección operativa</w:t>
      </w:r>
    </w:p>
    <w:p>
      <w:pPr>
        <w:pStyle w:val="FirstParagraph"/>
        <w:spacing w:line="360" w:lineRule="auto"/>
        <w:jc w:val="bot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spacing w:line="360" w:lineRule="auto"/>
        <w:jc w:val="both"/>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opción con mejor</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spacing w:line="360" w:lineRule="auto"/>
        <w:jc w:val="both"/>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spacing w:line="360" w:lineRule="auto"/>
        <w:jc w:val="both"/>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spacing w:line="360" w:lineRule="auto"/>
        <w:jc w:val="both"/>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57"/>
    <w:bookmarkStart w:id="158" w:name="X99626a17a471bd5fb48825a2c4d4fcdcb69bcee"/>
    <w:p>
      <w:pPr>
        <w:pStyle w:val="Ttulo3"/>
        <w:spacing w:line="360" w:lineRule="auto"/>
        <w:jc w:val="both"/>
      </w:pPr>
      <w:r>
        <w:t xml:space="preserve">Contribuciones, limitaciones y extensiones</w:t>
      </w:r>
    </w:p>
    <w:p>
      <w:pPr>
        <w:pStyle w:val="FirstParagraph"/>
        <w:spacing w:line="360" w:lineRule="auto"/>
        <w:jc w:val="bot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spacing w:line="360" w:lineRule="auto"/>
        <w:jc w:val="both"/>
      </w:pPr>
      <w:r>
        <w:t xml:space="preserve">Las limitaciones principales del estudio son las siguientes. Primero, el</w:t>
      </w:r>
      <w:r>
        <w:t xml:space="preserve"> </w:t>
      </w:r>
      <w:r>
        <w:t xml:space="preserve">universo experimental se acota al conjunto de datos UCI Adult Income y a</w:t>
      </w:r>
      <w:r>
        <w:t xml:space="preserve"> </w:t>
      </w:r>
      <w:r>
        <w:t xml:space="preserve">problemas de clasificación tabular binaria; la extensión a otros dominios</w:t>
      </w:r>
      <w:r>
        <w:t xml:space="preserve"> </w:t>
      </w:r>
      <w:r>
        <w:t xml:space="preserve">(imágenes, texto, series temporales) requiere rediseño de las métricas de</w:t>
      </w:r>
      <w:r>
        <w:t xml:space="preserve"> </w:t>
      </w:r>
      <w:r>
        <w:t xml:space="preserve">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capturable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p>
      <w:pPr>
        <w:pStyle w:val="Textoindependiente"/>
        <w:spacing w:line="360" w:lineRule="auto"/>
        <w:jc w:val="both"/>
      </w:pPr>
      <w:r>
        <w:t xml:space="preserve">Este capítulo ha presentado la evidencia empírica del benchmark con trazabilidad</w:t>
      </w:r>
      <w:r>
        <w:t xml:space="preserve"> </w:t>
      </w:r>
      <w:r>
        <w:t xml:space="preserve">completa de afirmaciones: los resultados de H1, H2 y H3 son estadísticamente</w:t>
      </w:r>
      <w:r>
        <w:t xml:space="preserve"> </w:t>
      </w:r>
      <w:r>
        <w:t xml:space="preserve">robustos con márgenes de seguridad que superan el umbral crítico en más de</w:t>
      </w:r>
      <w:r>
        <w:t xml:space="preserve"> </w:t>
      </w:r>
      <w:r>
        <w:t xml:space="preserve">cuatro veces, y los perfiles de método revelan que ningún método domina en</w:t>
      </w:r>
      <w:r>
        <w:t xml:space="preserve"> </w:t>
      </w:r>
      <w:r>
        <w:t xml:space="preserve">todas las dimensiones simultáneamente. El Capítulo 5 construye sobre esta base</w:t>
      </w:r>
      <w:r>
        <w:t xml:space="preserve"> </w:t>
      </w:r>
      <w:r>
        <w:t xml:space="preserve">en dos planos: desarrolla la taxonomía de cuatro ejes que organiza el espacio de</w:t>
      </w:r>
      <w:r>
        <w:t xml:space="preserve"> </w:t>
      </w:r>
      <w:r>
        <w:t xml:space="preserve">métricas de evaluación XAI y hace explícitos los cuadrantes cubiertos y los</w:t>
      </w:r>
      <w:r>
        <w:t xml:space="preserve"> </w:t>
      </w:r>
      <w:r>
        <w:t xml:space="preserve">que quedan como agenda; e incorpora los resultados del Estudio EXP4 como</w:t>
      </w:r>
      <w:r>
        <w:t xml:space="preserve"> </w:t>
      </w:r>
      <w:r>
        <w:t xml:space="preserve">fundamento empírico de la brecha de evaluación semántica que la taxonomía</w:t>
      </w:r>
      <w:r>
        <w:t xml:space="preserve"> </w:t>
      </w:r>
      <w:r>
        <w:t xml:space="preserve">identifica como la más urgente de resolver.</w:t>
      </w:r>
    </w:p>
    <w:bookmarkEnd w:id="158"/>
    <w:bookmarkEnd w:id="159"/>
    <w:bookmarkEnd w:id="160"/>
    <w:bookmarkStart w:id="171" w:name="Xa967782ce714a135dc69dc69099ccfe835ec70b"/>
    <w:p>
      <w:pPr>
        <w:pStyle w:val="Ttulo1"/>
        <w:spacing w:line="360" w:lineRule="auto"/>
        <w:jc w:val="both"/>
      </w:pPr>
      <w:r>
        <w:t xml:space="preserve">Taxonomía de métricas y síntesis conceptual</w:t>
      </w:r>
    </w:p>
    <w:p>
      <w:pPr>
        <w:pStyle w:val="FirstParagraph"/>
        <w:spacing w:line="360" w:lineRule="auto"/>
        <w:jc w:val="both"/>
      </w:pPr>
      <w:r>
        <w:t xml:space="preserve">El Capítulo 4 produjo un resultado que no era predecible a priori y que tiene</w:t>
      </w:r>
      <w:r>
        <w:t xml:space="preserve"> </w:t>
      </w:r>
      <w:r>
        <w:t xml:space="preserve">consecuencias metodológicas directas sobre cómo debe organizarse el espacio de</w:t>
      </w:r>
      <w:r>
        <w:t xml:space="preserve"> </w:t>
      </w:r>
      <w:r>
        <w:t xml:space="preserve">métricas XAI. LIME obtuvo una fidelidad media de 0.560 —por encima del umbral</w:t>
      </w:r>
      <w:r>
        <w:t xml:space="preserve"> </w:t>
      </w:r>
      <w:r>
        <w:t xml:space="preserve">de uso en producción para muchos equipos de datos— y al mismo tiempo una</w:t>
      </w:r>
      <w:r>
        <w:t xml:space="preserve"> </w:t>
      </w:r>
      <w:r>
        <w:t xml:space="preserve">estabilidad estructural prácticamente nula: similitud coseno media de 0.014 y</w:t>
      </w:r>
      <w:r>
        <w:t xml:space="preserve"> </w:t>
      </w:r>
      <w:r>
        <w:t xml:space="preserve">coeficiente de variación del 86.2% entre explicaciones generadas para la misma</w:t>
      </w:r>
      <w:r>
        <w:t xml:space="preserve"> </w:t>
      </w:r>
      <w:r>
        <w:t xml:space="preserve">instancia con distintas semillas. SHAP, en cambio, mantuvo fidelidad de 0.810</w:t>
      </w:r>
      <w:r>
        <w:t xml:space="preserve"> </w:t>
      </w:r>
      <w:r>
        <w:t xml:space="preserve">y estabilidad de 0.724, con d</w:t>
      </w:r>
      <w:r>
        <w:rPr>
          <w:vertAlign w:val="subscript"/>
        </w:rPr>
        <w:t xml:space="preserve">z</w:t>
      </w:r>
      <w:r>
        <w:t xml:space="preserve">=4.82 y d</w:t>
      </w:r>
      <w:r>
        <w:rPr>
          <w:vertAlign w:val="subscript"/>
        </w:rPr>
        <w:t xml:space="preserve">z</w:t>
      </w:r>
      <w:r>
        <w:t xml:space="preserve">=3.00 respectivamente. La</w:t>
      </w:r>
      <w:r>
        <w:t xml:space="preserve"> </w:t>
      </w:r>
      <w:r>
        <w:t xml:space="preserve">correlación empírica entre fidelidad y estabilidad —visible en la</w:t>
      </w:r>
      <w:r>
        <w:t xml:space="preserve"> </w:t>
      </w:r>
      <w:hyperlink w:anchor="fig-correlacion-metricas">
        <w:r>
          <w:rPr>
            <w:rStyle w:val="Hipervnculo"/>
          </w:rPr>
          <w:t xml:space="preserve">Figure 5.2</w:t>
        </w:r>
      </w:hyperlink>
      <w:r>
        <w:t xml:space="preserve">— es baja, lo que significa que ambas dimensiones</w:t>
      </w:r>
      <w:r>
        <w:t xml:space="preserve"> </w:t>
      </w:r>
      <w:r>
        <w:t xml:space="preserve">aportan información no redundante sobre la calidad de una explicación. Un</w:t>
      </w:r>
      <w:r>
        <w:t xml:space="preserve"> </w:t>
      </w:r>
      <w:r>
        <w:t xml:space="preserve">benchmark que solo reportara fidelidad habría concluido que LIME es aceptable</w:t>
      </w:r>
      <w:r>
        <w:t xml:space="preserve"> </w:t>
      </w:r>
      <w:r>
        <w:t xml:space="preserve">para uso en auditoría. Un benchmark que solo reportara estabilidad habría</w:t>
      </w:r>
      <w:r>
        <w:t xml:space="preserve"> </w:t>
      </w:r>
      <w:r>
        <w:t xml:space="preserve">eliminado LIME sin valorar su ventaja en coste y parsimonia. Ningún escalar</w:t>
      </w:r>
      <w:r>
        <w:t xml:space="preserve"> </w:t>
      </w:r>
      <w:r>
        <w:t xml:space="preserve">único captura el perfil completo.</w:t>
      </w:r>
    </w:p>
    <w:p>
      <w:pPr>
        <w:pStyle w:val="Textoindependiente"/>
        <w:spacing w:line="360" w:lineRule="auto"/>
        <w:jc w:val="both"/>
      </w:pPr>
      <w:r>
        <w:t xml:space="preserve">Esta disociación no es un artefacto del diseño. La parsimonia media de DiCE</w:t>
      </w:r>
      <w:r>
        <w:t xml:space="preserve"> </w:t>
      </w:r>
      <w:r>
        <w:t xml:space="preserve">(0.085 características activas) y su fidelidad baja (0.412) responden a una</w:t>
      </w:r>
      <w:r>
        <w:t xml:space="preserve"> </w:t>
      </w:r>
      <w:r>
        <w:t xml:space="preserve">lógica distinta a la de SHAP o LIME: DiCE minimiza la perturbación del</w:t>
      </w:r>
      <w:r>
        <w:t xml:space="preserve"> </w:t>
      </w:r>
      <w:r>
        <w:t xml:space="preserve">contrafactual, no la aproximación local al modelo. Que DiCE tenga perfil óptimo</w:t>
      </w:r>
      <w:r>
        <w:t xml:space="preserve"> </w:t>
      </w:r>
      <w:r>
        <w:t xml:space="preserve">en parsimonia y eficiencia, pero deficiente en fidelidad técnica, indica que los</w:t>
      </w:r>
      <w:r>
        <w:t xml:space="preserve"> </w:t>
      </w:r>
      <w:r>
        <w:t xml:space="preserve">ejes de calidad no colapsan sobre un único factor latente. La</w:t>
      </w:r>
      <w:r>
        <w:t xml:space="preserve"> </w:t>
      </w:r>
      <w:hyperlink w:anchor="fig-radar-metodos">
        <w:r>
          <w:rPr>
            <w:rStyle w:val="Hipervnculo"/>
          </w:rPr>
          <w:t xml:space="preserve">Figure 5.7</w:t>
        </w:r>
      </w:hyperlink>
      <w:r>
        <w:t xml:space="preserve"> </w:t>
      </w:r>
      <w:r>
        <w:t xml:space="preserve">hace visible esta estructura: ningún método domina simultáneamente en todas las</w:t>
      </w:r>
      <w:r>
        <w:t xml:space="preserve"> </w:t>
      </w:r>
      <w:r>
        <w:t xml:space="preserve">dimensiones, y los cuellos de botella difieren por método. Este patrón solo es</w:t>
      </w:r>
      <w:r>
        <w:t xml:space="preserve"> </w:t>
      </w:r>
      <w:r>
        <w:t xml:space="preserve">observable si las métricas están conceptualmente separadas antes de la medición,</w:t>
      </w:r>
      <w:r>
        <w:t xml:space="preserve"> </w:t>
      </w:r>
      <w:r>
        <w:t xml:space="preserve">no consolidadas post-hoc en un índice compuesto.</w:t>
      </w:r>
    </w:p>
    <w:p>
      <w:pPr>
        <w:pStyle w:val="Textoindependiente"/>
        <w:spacing w:line="360" w:lineRule="auto"/>
        <w:jc w:val="both"/>
      </w:pPr>
      <w:r>
        <w:t xml:space="preserve">La pregunta que emerge de esos resultados no es cuál método gana, sino</w:t>
      </w:r>
      <w:r>
        <w:t xml:space="preserve"> </w:t>
      </w:r>
      <w:r>
        <w:rPr>
          <w:i/>
          <w:iCs/>
        </w:rPr>
        <w:t xml:space="preserve">qué</w:t>
      </w:r>
      <w:r>
        <w:rPr>
          <w:i/>
          <w:iCs/>
        </w:rPr>
        <w:t xml:space="preserve"> </w:t>
      </w:r>
      <w:r>
        <w:rPr>
          <w:i/>
          <w:iCs/>
        </w:rPr>
        <w:t xml:space="preserve">dimensiones de calidad son genuinamente ortogonales, cuál fuente de evidencia</w:t>
      </w:r>
      <w:r>
        <w:rPr>
          <w:i/>
          <w:iCs/>
        </w:rPr>
        <w:t xml:space="preserve"> </w:t>
      </w:r>
      <w:r>
        <w:rPr>
          <w:i/>
          <w:iCs/>
        </w:rPr>
        <w:t xml:space="preserve">mide cada una, y para qué contexto de tarea resulta relevante cada perfil</w:t>
      </w:r>
      <w:r>
        <w:t xml:space="preserve">. Sin</w:t>
      </w:r>
      <w:r>
        <w:t xml:space="preserve"> </w:t>
      </w:r>
      <w:r>
        <w:t xml:space="preserve">un marco conceptual que responda esas tres preguntas de forma articulada, el</w:t>
      </w:r>
      <w:r>
        <w:t xml:space="preserve"> </w:t>
      </w:r>
      <w:r>
        <w:t xml:space="preserve">benchmark produce números correctos pero no produce orientación. Un evaluador</w:t>
      </w:r>
      <w:r>
        <w:t xml:space="preserve"> </w:t>
      </w:r>
      <w:r>
        <w:t xml:space="preserve">que conozca solo los rangos de fidelidad (SHAP: 0.810, LIME: 0.560,</w:t>
      </w:r>
      <w:r>
        <w:t xml:space="preserve"> </w:t>
      </w:r>
      <w:r>
        <w:t xml:space="preserve">Anchors: 0.514, DiCE: 0.412) no sabe si una diferencia de 0.05 puntos en</w:t>
      </w:r>
      <w:r>
        <w:t xml:space="preserve"> </w:t>
      </w:r>
      <w:r>
        <w:t xml:space="preserve">parsimonia es sustantiva o trivial, ni si la brecha de fidelidad justifica el</w:t>
      </w:r>
      <w:r>
        <w:t xml:space="preserve"> </w:t>
      </w:r>
      <w:r>
        <w:t xml:space="preserve">coste adicional de SHAP en un sistema de tiempo real. La taxonomía de este</w:t>
      </w:r>
      <w:r>
        <w:t xml:space="preserve"> </w:t>
      </w:r>
      <w:r>
        <w:t xml:space="preserve">capítulo es, por tanto, una respuesta necesaria a lo que el benchmark demostró</w:t>
      </w:r>
      <w:r>
        <w:t xml:space="preserve"> </w:t>
      </w:r>
      <w:r>
        <w:t xml:space="preserve">empíricamente: que el espacio de métricas es multidimensional, que las</w:t>
      </w:r>
      <w:r>
        <w:t xml:space="preserve"> </w:t>
      </w:r>
      <w:r>
        <w:t xml:space="preserve">dimensiones son operativamente independientes, y que la selección de método</w:t>
      </w:r>
      <w:r>
        <w:t xml:space="preserve"> </w:t>
      </w:r>
      <w:r>
        <w:t xml:space="preserve">requiere un lenguaje conceptual que articule cuál dimensión importa según el</w:t>
      </w:r>
      <w:r>
        <w:t xml:space="preserve"> </w:t>
      </w:r>
      <w:r>
        <w:t xml:space="preserve">contexto de uso.</w:t>
      </w:r>
    </w:p>
    <w:p>
      <w:pPr>
        <w:pStyle w:val="Textoindependiente"/>
        <w:spacing w:line="360" w:lineRule="auto"/>
        <w:jc w:val="both"/>
      </w:pPr>
      <w:r>
        <w:t xml:space="preserve">Este capítulo desarrolla el Estudio C de la tesis: una taxonomía estructurada</w:t>
      </w:r>
      <w:r>
        <w:t xml:space="preserve"> </w:t>
      </w:r>
      <w:r>
        <w:t xml:space="preserve">del espacio de métricas de evaluación XAI. Su función es dar peso conceptual</w:t>
      </w:r>
      <w:r>
        <w:t xml:space="preserve"> </w:t>
      </w:r>
      <w:r>
        <w:t xml:space="preserve">propio a la tercera contribución doctoral. Los capítulos anteriores mostraron</w:t>
      </w:r>
      <w:r>
        <w:t xml:space="preserve"> </w:t>
      </w:r>
      <w:r>
        <w:t xml:space="preserve">que FOM-7 necesita distinguir objetos explicativos, constructos de calidad,</w:t>
      </w:r>
      <w:r>
        <w:t xml:space="preserve"> </w:t>
      </w:r>
      <w:r>
        <w:t xml:space="preserve">fuentes de evidencia y contextos de uso. Este capítulo convierte esa necesidad</w:t>
      </w:r>
      <w:r>
        <w:t xml:space="preserve"> </w:t>
      </w:r>
      <w:r>
        <w:t xml:space="preserve">en una matriz de clasificación que permite interpretar el benchmark y, al mismo</w:t>
      </w:r>
      <w:r>
        <w:t xml:space="preserve"> </w:t>
      </w:r>
      <w:r>
        <w:t xml:space="preserve">tiempo, orientar evaluaciones futuras.</w:t>
      </w:r>
    </w:p>
    <w:p>
      <w:pPr>
        <w:pStyle w:val="Textoindependiente"/>
        <w:spacing w:line="360" w:lineRule="auto"/>
        <w:jc w:val="both"/>
      </w:pPr>
      <w:r>
        <w:t xml:space="preserve">La taxonomía se presenta como una</w:t>
      </w:r>
      <w:r>
        <w:t xml:space="preserve"> </w:t>
      </w:r>
      <w:r>
        <w:rPr>
          <w:b/>
          <w:bCs/>
        </w:rPr>
        <w:t xml:space="preserve">síntesis integradora y operacional</w:t>
      </w:r>
      <w:r>
        <w:t xml:space="preserve">, no</w:t>
      </w:r>
      <w:r>
        <w:t xml:space="preserve"> </w:t>
      </w:r>
      <w:r>
        <w:t xml:space="preserve">como una taxonomía completamente nueva en sentido fuerte. Integra distinciones</w:t>
      </w:r>
      <w:r>
        <w:t xml:space="preserve"> </w:t>
      </w:r>
      <w:r>
        <w:t xml:space="preserve">ya presentes en la literatura —por ejemplo, evaluación functionally-grounded,</w:t>
      </w:r>
      <w:r>
        <w:t xml:space="preserve"> </w:t>
      </w:r>
      <w:r>
        <w:t xml:space="preserve">human-grounded y application-grounded; fidelidad, robustez, plausibilidad,</w:t>
      </w:r>
      <w:r>
        <w:t xml:space="preserve"> </w:t>
      </w:r>
      <w:r>
        <w:t xml:space="preserve">complejidad y utilidad— y las reorganiza en una estructura práctica para</w:t>
      </w:r>
      <w:r>
        <w:t xml:space="preserve"> </w:t>
      </w:r>
      <w:r>
        <w:t xml:space="preserve">benchmarks comparativos de XAI</w:t>
      </w:r>
      <w:r>
        <w:t xml:space="preserve"> </w:t>
      </w:r>
      <w:r>
        <w:t xml:space="preserve">(Doshi-Velez 2017; Schwalbe 2023; Abdul Kadir et al. 2023; Pawlicki et al. 2024; Nauta et al. 2023)</w:t>
      </w:r>
      <w:r>
        <w:t xml:space="preserve">. Su contribución específica es</w:t>
      </w:r>
      <w:r>
        <w:t xml:space="preserve"> </w:t>
      </w:r>
      <w:r>
        <w:t xml:space="preserve">hacer explícita la conexión entre métrica, fuente de evidencia, propiedad de</w:t>
      </w:r>
      <w:r>
        <w:t xml:space="preserve"> </w:t>
      </w:r>
      <w:r>
        <w:t xml:space="preserve">calidad, contexto de tarea y claim admisible dentro del protocolo FOM-7.</w:t>
      </w:r>
    </w:p>
    <w:bookmarkStart w:id="161" w:name="sec-taxonomia-metodo"/>
    <w:p>
      <w:pPr>
        <w:pStyle w:val="Ttulo2"/>
        <w:spacing w:line="360" w:lineRule="auto"/>
        <w:jc w:val="both"/>
      </w:pPr>
      <w:r>
        <w:t xml:space="preserve">Método de construcción de la taxonomía</w:t>
      </w:r>
    </w:p>
    <w:p>
      <w:pPr>
        <w:pStyle w:val="FirstParagraph"/>
        <w:spacing w:line="360" w:lineRule="auto"/>
        <w:jc w:val="both"/>
      </w:pPr>
      <w:r>
        <w:t xml:space="preserve">La construcción siguió una revisión estructurada de alcance narrativo. No se</w:t>
      </w:r>
      <w:r>
        <w:t xml:space="preserve"> </w:t>
      </w:r>
      <w:r>
        <w:t xml:space="preserve">presenta como revisión sistemática PRISMA, porque su objetivo no fue estimar</w:t>
      </w:r>
      <w:r>
        <w:t xml:space="preserve"> </w:t>
      </w:r>
      <w:r>
        <w:t xml:space="preserve">prevalencias bibliométricas ni agotar todo el universo de publicaciones, sino</w:t>
      </w:r>
      <w:r>
        <w:t xml:space="preserve"> </w:t>
      </w:r>
      <w:r>
        <w:t xml:space="preserve">organizar constructos recurrentes que ya estaban documentados en encuestas,</w:t>
      </w:r>
      <w:r>
        <w:t xml:space="preserve"> </w:t>
      </w:r>
      <w:r>
        <w:t xml:space="preserve">toolkits, benchmarks y trabajos metodológicos relevantes para la evaluación</w:t>
      </w:r>
      <w:r>
        <w:t xml:space="preserve"> </w:t>
      </w:r>
      <w:r>
        <w:t xml:space="preserve">XAI. La taxonomía resultante se clasifica como una</w:t>
      </w:r>
      <w:r>
        <w:t xml:space="preserve"> </w:t>
      </w:r>
      <w:r>
        <w:rPr>
          <w:b/>
          <w:bCs/>
        </w:rPr>
        <w:t xml:space="preserve">operacionalización</w:t>
      </w:r>
      <w:r>
        <w:rPr>
          <w:b/>
          <w:bCs/>
        </w:rPr>
        <w:t xml:space="preserve"> </w:t>
      </w:r>
      <w:r>
        <w:rPr>
          <w:b/>
          <w:bCs/>
        </w:rPr>
        <w:t xml:space="preserve">doctoral integradora</w:t>
      </w:r>
      <w:r>
        <w:t xml:space="preserve">: integra y reorganiza distinciones ya presentes en la</w:t>
      </w:r>
      <w:r>
        <w:t xml:space="preserve"> </w:t>
      </w:r>
      <w:r>
        <w:t xml:space="preserve">literatura en una estructura práctica, y añade el eje de contexto de tarea como</w:t>
      </w:r>
      <w:r>
        <w:t xml:space="preserve"> </w:t>
      </w:r>
      <w:r>
        <w:t xml:space="preserve">dimensión operativa no explícita en los marcos previos. No es una taxonomía</w:t>
      </w:r>
      <w:r>
        <w:t xml:space="preserve"> </w:t>
      </w:r>
      <w:r>
        <w:t xml:space="preserve">completamente nueva en sentido fuerte (no propone dimensiones sin antecedentes</w:t>
      </w:r>
      <w:r>
        <w:t xml:space="preserve"> </w:t>
      </w:r>
      <w:r>
        <w:t xml:space="preserve">en la literatura) ni una mera síntesis descriptiva (la estructura de cuatro ejes</w:t>
      </w:r>
      <w:r>
        <w:t xml:space="preserve"> </w:t>
      </w:r>
      <w:r>
        <w:t xml:space="preserve">y su mapeo al benchmark es una contribución propia).</w:t>
      </w:r>
    </w:p>
    <w:p>
      <w:pPr>
        <w:pStyle w:val="Textoindependiente"/>
        <w:spacing w:line="360" w:lineRule="auto"/>
        <w:jc w:val="both"/>
      </w:pPr>
      <w:r>
        <w:t xml:space="preserve">El corpus de apoyo combina cuatro tipos de fuentes, que suman</w:t>
      </w:r>
      <w:r>
        <w:t xml:space="preserve"> </w:t>
      </w:r>
      <w:r>
        <w:rPr>
          <w:b/>
          <w:bCs/>
        </w:rPr>
        <w:t xml:space="preserve">47 referencias</w:t>
      </w:r>
      <w:r>
        <w:rPr>
          <w:b/>
          <w:bCs/>
        </w:rPr>
        <w:t xml:space="preserve"> </w:t>
      </w:r>
      <w:r>
        <w:rPr>
          <w:b/>
          <w:bCs/>
        </w:rPr>
        <w:t xml:space="preserve">directas</w:t>
      </w:r>
      <w:r>
        <w:t xml:space="preserve"> </w:t>
      </w:r>
      <w:r>
        <w:t xml:space="preserve">a la construcción de la taxonomía. Primero, revisiones y</w:t>
      </w:r>
      <w:r>
        <w:t xml:space="preserve"> </w:t>
      </w:r>
      <w:r>
        <w:t xml:space="preserve">taxonomías de interpretabilidad y XAI que establecen el vocabulario conceptual</w:t>
      </w:r>
      <w:r>
        <w:t xml:space="preserve"> </w:t>
      </w:r>
      <w:r>
        <w:t xml:space="preserve">del campo: 11 trabajos, incluyendo las revisiones fundacionales de</w:t>
      </w:r>
      <w:r>
        <w:t xml:space="preserve"> </w:t>
      </w:r>
      <w:r>
        <w:t xml:space="preserve">Arrieta (2019a)</w:t>
      </w:r>
      <w:r>
        <w:t xml:space="preserve">,</w:t>
      </w:r>
      <w:r>
        <w:t xml:space="preserve"> </w:t>
      </w:r>
      <w:r>
        <w:t xml:space="preserve">Lipton (2018)</w:t>
      </w:r>
      <w:r>
        <w:t xml:space="preserve">,</w:t>
      </w:r>
      <w:r>
        <w:t xml:space="preserve"> </w:t>
      </w:r>
      <w:r>
        <w:t xml:space="preserve">Linardatos (2020)</w:t>
      </w:r>
      <w:r>
        <w:t xml:space="preserve"> </w:t>
      </w:r>
      <w:r>
        <w:t xml:space="preserve">y la taxonomía sistemática de</w:t>
      </w:r>
      <w:r>
        <w:t xml:space="preserve"> </w:t>
      </w:r>
      <w:r>
        <w:t xml:space="preserve">Schwalbe (2023)</w:t>
      </w:r>
      <w:r>
        <w:t xml:space="preserve">. Segundo, trabajos sobre evaluación y benchmarking que distinguen</w:t>
      </w:r>
      <w:r>
        <w:t xml:space="preserve"> </w:t>
      </w:r>
      <w:r>
        <w:t xml:space="preserve">niveles de evidencia, métricas functionally-grounded y reproducibilidad:</w:t>
      </w:r>
      <w:r>
        <w:t xml:space="preserve"> </w:t>
      </w:r>
      <w:r>
        <w:t xml:space="preserve">9 trabajos, incluyendo la taxonomía de niveles de</w:t>
      </w:r>
      <w:r>
        <w:t xml:space="preserve"> </w:t>
      </w:r>
      <w:r>
        <w:t xml:space="preserve">Doshi-Velez (2017)</w:t>
      </w:r>
      <w:r>
        <w:t xml:space="preserve">, el toolkit</w:t>
      </w:r>
      <w:r>
        <w:t xml:space="preserve"> </w:t>
      </w:r>
      <w:r>
        <w:t xml:space="preserve">Quantus</w:t>
      </w:r>
      <w:r>
        <w:t xml:space="preserve"> </w:t>
      </w:r>
      <w:r>
        <w:t xml:space="preserve">(Hedström et al. 2023)</w:t>
      </w:r>
      <w:r>
        <w:t xml:space="preserve">, la plataforma OpenXAI</w:t>
      </w:r>
      <w:r>
        <w:t xml:space="preserve"> </w:t>
      </w:r>
      <w:r>
        <w:t xml:space="preserve">(Agarwal et al. 2022)</w:t>
      </w:r>
      <w:r>
        <w:t xml:space="preserve"> </w:t>
      </w:r>
      <w:r>
        <w:t xml:space="preserve">y la revisión de</w:t>
      </w:r>
      <w:r>
        <w:t xml:space="preserve"> </w:t>
      </w:r>
      <w:r>
        <w:t xml:space="preserve">propiedades de evaluación de</w:t>
      </w:r>
      <w:r>
        <w:t xml:space="preserve"> </w:t>
      </w:r>
      <w:r>
        <w:t xml:space="preserve">Nauta et al. (2023)</w:t>
      </w:r>
      <w:r>
        <w:t xml:space="preserve">. Tercero, artículos metodológicos sobre</w:t>
      </w:r>
      <w:r>
        <w:t xml:space="preserve"> </w:t>
      </w:r>
      <w:r>
        <w:t xml:space="preserve">los cuatro explicadores evaluados, necesarios para ubicar qué objeto produce</w:t>
      </w:r>
      <w:r>
        <w:t xml:space="preserve"> </w:t>
      </w:r>
      <w:r>
        <w:t xml:space="preserve">cada método y qué métricas le son adecuadas: 8 trabajos</w:t>
      </w:r>
      <w:r>
        <w:t xml:space="preserve"> </w:t>
      </w:r>
      <w:r>
        <w:t xml:space="preserve">(Ribeiro 2016, 2018; Lundberg 2017; Mothilal 2020; Guidotti et al. 2018; Carvalho et al. 2019; Karimi et al. 2022; Poyiadzi et al. 2020)</w:t>
      </w:r>
      <w:r>
        <w:t xml:space="preserve">. Cuarto, revisiones recientes</w:t>
      </w:r>
      <w:r>
        <w:t xml:space="preserve"> </w:t>
      </w:r>
      <w:r>
        <w:t xml:space="preserve">centradas en métricas, robustez, reproducibilidad y evaluación human-centered:</w:t>
      </w:r>
      <w:r>
        <w:t xml:space="preserve"> </w:t>
      </w:r>
      <w:r>
        <w:t xml:space="preserve">19 trabajos, incluyendo las revisiones de métricas de</w:t>
      </w:r>
      <w:r>
        <w:t xml:space="preserve"> </w:t>
      </w:r>
      <w:r>
        <w:t xml:space="preserve">Abdul Kadir et al. (2023)</w:t>
      </w:r>
      <w:r>
        <w:t xml:space="preserve"> </w:t>
      </w:r>
      <w:r>
        <w:t xml:space="preserve">y</w:t>
      </w:r>
      <w:r>
        <w:t xml:space="preserve"> </w:t>
      </w:r>
      <w:r>
        <w:t xml:space="preserve">Pawlicki et al. (2024)</w:t>
      </w:r>
      <w:r>
        <w:t xml:space="preserve">, el estudio de comprehensibilidad de</w:t>
      </w:r>
      <w:r>
        <w:t xml:space="preserve"> </w:t>
      </w:r>
      <w:r>
        <w:t xml:space="preserve">Bhattacharya and Verbert (2024)</w:t>
      </w:r>
      <w:r>
        <w:t xml:space="preserve"> </w:t>
      </w:r>
      <w:r>
        <w:t xml:space="preserve">y trabajos</w:t>
      </w:r>
      <w:r>
        <w:t xml:space="preserve"> </w:t>
      </w:r>
      <w:r>
        <w:t xml:space="preserve">sobre utilidad y confianza</w:t>
      </w:r>
      <w:r>
        <w:t xml:space="preserve"> </w:t>
      </w:r>
      <w:r>
        <w:t xml:space="preserve">(Rong et al. 2024; Miller 2019; Hoffman et al. 2023; Mohseni et al. 2021)</w:t>
      </w:r>
      <w:r>
        <w:t xml:space="preserve">.</w:t>
      </w:r>
    </w:p>
    <w:p>
      <w:pPr>
        <w:pStyle w:val="Textoindependiente"/>
        <w:spacing w:line="360" w:lineRule="auto"/>
        <w:jc w:val="both"/>
      </w:pPr>
      <w:r>
        <w:t xml:space="preserve">Los criterios de inclusión fueron: (i) fuentes con relación directa con</w:t>
      </w:r>
      <w:r>
        <w:t xml:space="preserve"> </w:t>
      </w:r>
      <w:r>
        <w:t xml:space="preserve">interpretabilidad, explicabilidad o evaluación XAI; (ii) trabajos que definieran</w:t>
      </w:r>
      <w:r>
        <w:t xml:space="preserve"> </w:t>
      </w:r>
      <w:r>
        <w:t xml:space="preserve">o usaran métricas de calidad explicativa; (iii) artículos que permitieran</w:t>
      </w:r>
      <w:r>
        <w:t xml:space="preserve"> </w:t>
      </w:r>
      <w:r>
        <w:t xml:space="preserve">clasificar métricas por fuente de evidencia o contexto de uso; y (iv) fuentes</w:t>
      </w:r>
      <w:r>
        <w:t xml:space="preserve"> </w:t>
      </w:r>
      <w:r>
        <w:t xml:space="preserve">con metadatos bibliográficos verificados en</w:t>
      </w:r>
      <w:r>
        <w:t xml:space="preserve"> </w:t>
      </w:r>
      <w:r>
        <w:rPr>
          <w:rStyle w:val="VerbatimChar"/>
        </w:rPr>
        <w:t xml:space="preserve">references.bib</w:t>
      </w:r>
      <w:r>
        <w:t xml:space="preserve">. Se excluyeron</w:t>
      </w:r>
      <w:r>
        <w:t xml:space="preserve"> </w:t>
      </w:r>
      <w:r>
        <w:t xml:space="preserve">fuentes meramente divulgativas, trabajos sin relación con evaluación de</w:t>
      </w:r>
      <w:r>
        <w:t xml:space="preserve"> </w:t>
      </w:r>
      <w:r>
        <w:t xml:space="preserve">explicaciones y referencias no verificadas.</w:t>
      </w:r>
    </w:p>
    <w:p>
      <w:pPr>
        <w:pStyle w:val="Textoindependiente"/>
        <w:spacing w:line="360" w:lineRule="auto"/>
        <w:jc w:val="both"/>
      </w:pPr>
      <w:r>
        <w:t xml:space="preserve">La codificación se realizó sobre cuatro dimensiones: objetivo de evaluación,</w:t>
      </w:r>
      <w:r>
        <w:t xml:space="preserve"> </w:t>
      </w:r>
      <w:r>
        <w:t xml:space="preserve">fuente de evidencia, propiedad de calidad y contexto de tarea. Cuando una</w:t>
      </w:r>
      <w:r>
        <w:t xml:space="preserve"> </w:t>
      </w:r>
      <w:r>
        <w:t xml:space="preserve">métrica admitía múltiples lecturas, se codificó según su uso dominante en la</w:t>
      </w:r>
      <w:r>
        <w:t xml:space="preserve"> </w:t>
      </w:r>
      <w:r>
        <w:t xml:space="preserve">literatura y se registró la ambigüedad como riesgo de constructo. Por ejemplo,</w:t>
      </w:r>
      <w:r>
        <w:t xml:space="preserve"> </w:t>
      </w:r>
      <w:r>
        <w:rPr>
          <w:i/>
          <w:iCs/>
        </w:rPr>
        <w:t xml:space="preserve">fidelity</w:t>
      </w:r>
      <w:r>
        <w:t xml:space="preserve"> </w:t>
      </w:r>
      <w:r>
        <w:t xml:space="preserve">puede funcionar como acuerdo local entre modelo y sustituto, como</w:t>
      </w:r>
      <w:r>
        <w:t xml:space="preserve"> </w:t>
      </w:r>
      <w:r>
        <w:t xml:space="preserve">cambio de predicción ante enmascaramiento o como proxy de faithfulness; la</w:t>
      </w:r>
      <w:r>
        <w:t xml:space="preserve"> </w:t>
      </w:r>
      <w:r>
        <w:t xml:space="preserve">taxonomía separa esas lecturas para evitar que una misma palabra sostenga claims</w:t>
      </w:r>
      <w:r>
        <w:t xml:space="preserve"> </w:t>
      </w:r>
      <w:r>
        <w:t xml:space="preserve">no equivalentes. Los 15 constructos métricos de la Tabla</w:t>
      </w:r>
      <w:r>
        <w:t xml:space="preserve"> </w:t>
      </w:r>
      <w:hyperlink w:anchor="tbl-taxonomia-ampliada">
        <w:r>
          <w:rPr>
            <w:rStyle w:val="Hipervnculo"/>
          </w:rPr>
          <w:t xml:space="preserve">Table 6.1</w:t>
        </w:r>
      </w:hyperlink>
      <w:r>
        <w:t xml:space="preserve"> </w:t>
      </w:r>
      <w:r>
        <w:t xml:space="preserve">son el resultado de consolidar y desambiguar los constructos identificados en el</w:t>
      </w:r>
      <w:r>
        <w:t xml:space="preserve"> </w:t>
      </w:r>
      <w:r>
        <w:t xml:space="preserve">corpus de 47 referencias; se reportan como una selección representativa, no como</w:t>
      </w:r>
      <w:r>
        <w:t xml:space="preserve"> </w:t>
      </w:r>
      <w:r>
        <w:t xml:space="preserve">un catálogo exhaustivo.</w:t>
      </w:r>
    </w:p>
    <w:bookmarkEnd w:id="161"/>
    <w:bookmarkStart w:id="162" w:name="sec-taxonomia-motivacion"/>
    <w:p>
      <w:pPr>
        <w:pStyle w:val="Ttulo2"/>
        <w:spacing w:line="360" w:lineRule="auto"/>
        <w:jc w:val="both"/>
      </w:pPr>
      <w:r>
        <w:t xml:space="preserve">Motivación y posicionamiento</w:t>
      </w:r>
    </w:p>
    <w:p>
      <w:pPr>
        <w:pStyle w:val="FirstParagraph"/>
        <w:spacing w:line="360" w:lineRule="auto"/>
        <w:jc w:val="bot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un mismo constructo puede</w:t>
      </w:r>
      <w:r>
        <w:t xml:space="preserve"> </w:t>
      </w:r>
      <w:r>
        <w:t xml:space="preserve">aparecer bajo nombres distintos, y un mismo nombre puede aplicarse a</w:t>
      </w:r>
      <w:r>
        <w:t xml:space="preserve"> </w:t>
      </w:r>
      <w:r>
        <w:t xml:space="preserve">operacionalizaciones diferentes.</w:t>
      </w:r>
    </w:p>
    <w:p>
      <w:pPr>
        <w:pStyle w:val="Textoindependiente"/>
        <w:spacing w:line="360" w:lineRule="auto"/>
        <w:jc w:val="both"/>
      </w:pPr>
      <w:r>
        <w:t xml:space="preserve">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distinguir métricas calculadas sin</w:t>
      </w:r>
      <w:r>
        <w:t xml:space="preserve"> </w:t>
      </w:r>
      <w:r>
        <w:t xml:space="preserve">participantes humanos de métricas basadas en estudios de usuario. Esta distinción</w:t>
      </w:r>
      <w:r>
        <w:t xml:space="preserve"> </w:t>
      </w:r>
      <w:r>
        <w:t xml:space="preserve">es central para la tesis porque los Estudios A y B producen evidencia</w:t>
      </w:r>
      <w:r>
        <w:t xml:space="preserve"> </w:t>
      </w:r>
      <w:r>
        <w:t xml:space="preserve">functionally-grounded: cuantifican propiedades computacionales de artefactos</w:t>
      </w:r>
      <w:r>
        <w:t xml:space="preserve"> </w:t>
      </w:r>
      <w:r>
        <w:t xml:space="preserve">explicativos, pero no miden directamente utilidad humana, satisfacción,</w:t>
      </w:r>
      <w:r>
        <w:t xml:space="preserve"> </w:t>
      </w:r>
      <w:r>
        <w:t xml:space="preserve">calibración de confianza o calidad de decisión.</w:t>
      </w:r>
    </w:p>
    <w:p>
      <w:pPr>
        <w:pStyle w:val="Textoindependiente"/>
        <w:spacing w:line="360" w:lineRule="auto"/>
        <w:jc w:val="both"/>
      </w:pPr>
      <w:r>
        <w:t xml:space="preserve">La taxonomía propuesta organiza el espacio en cuatro ejes ortogonales. Los ejes</w:t>
      </w:r>
      <w:r>
        <w:t xml:space="preserve"> </w:t>
      </w:r>
      <w:r>
        <w:t xml:space="preserve">responden a preguntas distintas y complementarias: qué se evalúa, con qué</w:t>
      </w:r>
      <w:r>
        <w:t xml:space="preserve"> </w:t>
      </w:r>
      <w:r>
        <w:t xml:space="preserve">evidencia, qué propiedad de calidad se operacionaliza y para qué tarea es</w:t>
      </w:r>
      <w:r>
        <w:t xml:space="preserve"> </w:t>
      </w:r>
      <w:r>
        <w:t xml:space="preserve">relevante. La ortogonalidad evita que una métrica se interprete como evaluación</w:t>
      </w:r>
      <w:r>
        <w:t xml:space="preserve"> </w:t>
      </w:r>
      <w:r>
        <w:t xml:space="preserve">total de una explicación. Una métrica puede ser válida para medir estabilidad,</w:t>
      </w:r>
      <w:r>
        <w:t xml:space="preserve"> </w:t>
      </w:r>
      <w:r>
        <w:t xml:space="preserve">pero débil para inferir utilidad humana; puede ser adecuada para auditoría</w:t>
      </w:r>
      <w:r>
        <w:t xml:space="preserve"> </w:t>
      </w:r>
      <w:r>
        <w:t xml:space="preserve">técnica, pero insuficiente para soporte a usuario final.</w:t>
      </w:r>
    </w:p>
    <w:bookmarkEnd w:id="162"/>
    <w:bookmarkStart w:id="163" w:name="sec-taxonomia-ejes"/>
    <w:p>
      <w:pPr>
        <w:pStyle w:val="Ttulo2"/>
        <w:spacing w:line="360" w:lineRule="auto"/>
        <w:jc w:val="both"/>
      </w:pPr>
      <w:r>
        <w:t xml:space="preserve">Los cuatro ejes de la taxonomía</w:t>
      </w:r>
    </w:p>
    <w:p>
      <w:pPr>
        <w:pStyle w:val="FirstParagraph"/>
        <w:spacing w:line="360" w:lineRule="auto"/>
        <w:jc w:val="both"/>
      </w:pPr>
      <w:r>
        <w:rPr>
          <w:b/>
          <w:bCs/>
        </w:rPr>
        <w:t xml:space="preserve">Eje 1 — Objetivo de evaluación.</w:t>
      </w:r>
      <w:r>
        <w:t xml:space="preserve"> </w:t>
      </w:r>
      <w:r>
        <w:t xml:space="preserve">Este eje clasifica la dimensión de la</w:t>
      </w:r>
      <w:r>
        <w:t xml:space="preserve"> </w:t>
      </w:r>
      <w:r>
        <w:t xml:space="preserve">explicación que la métrica interroga. Se identifican cinco objetivos primarios:</w:t>
      </w:r>
    </w:p>
    <w:p>
      <w:pPr>
        <w:pStyle w:val="Compact"/>
        <w:numPr>
          <w:ilvl w:val="0"/>
          <w:numId w:val="1014"/>
        </w:numPr>
        <w:spacing w:line="360" w:lineRule="auto"/>
        <w:jc w:val="both"/>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 operan en este objetivo</w:t>
      </w:r>
      <w:r>
        <w:t xml:space="preserve"> </w:t>
      </w:r>
      <w:r>
        <w:t xml:space="preserve">(Abdul Kadir et al. 2023)</w:t>
      </w:r>
      <w:r>
        <w:t xml:space="preserve">.</w:t>
      </w:r>
    </w:p>
    <w:p>
      <w:pPr>
        <w:pStyle w:val="Compact"/>
        <w:numPr>
          <w:ilvl w:val="0"/>
          <w:numId w:val="1014"/>
        </w:numPr>
        <w:spacing w:line="360" w:lineRule="auto"/>
        <w:jc w:val="both"/>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 operan en este objetivo</w:t>
      </w:r>
      <w:r>
        <w:t xml:space="preserve"> </w:t>
      </w:r>
      <w:r>
        <w:t xml:space="preserve">(Schwalbe 2023; Pawlicki et al. 2024)</w:t>
      </w:r>
      <w:r>
        <w:t xml:space="preserve">.</w:t>
      </w:r>
    </w:p>
    <w:p>
      <w:pPr>
        <w:pStyle w:val="Compact"/>
        <w:numPr>
          <w:ilvl w:val="0"/>
          <w:numId w:val="1014"/>
        </w:numPr>
        <w:spacing w:line="360" w:lineRule="auto"/>
        <w:jc w:val="both"/>
      </w:pPr>
      <w:r>
        <w:rPr>
          <w:i/>
          <w:iCs/>
        </w:rPr>
        <w:t xml:space="preserve">Compacidad explicativa</w:t>
      </w:r>
      <w:r>
        <w:t xml:space="preserve">: en qué medida la explicación es concisa y no</w:t>
      </w:r>
      <w:r>
        <w:t xml:space="preserve"> </w:t>
      </w:r>
      <w:r>
        <w:t xml:space="preserve">redundante. Parsimonia, sparsity y complejidad efectiva pertenecen a este</w:t>
      </w:r>
      <w:r>
        <w:t xml:space="preserve"> </w:t>
      </w:r>
      <w:r>
        <w:t xml:space="preserve">objetivo</w:t>
      </w:r>
      <w:r>
        <w:t xml:space="preserve"> </w:t>
      </w:r>
      <w:r>
        <w:t xml:space="preserve">(Pawlicki et al. 2024)</w:t>
      </w:r>
      <w:r>
        <w:t xml:space="preserve">.</w:t>
      </w:r>
    </w:p>
    <w:p>
      <w:pPr>
        <w:pStyle w:val="Compact"/>
        <w:numPr>
          <w:ilvl w:val="0"/>
          <w:numId w:val="1014"/>
        </w:numPr>
        <w:spacing w:line="360" w:lineRule="auto"/>
        <w:jc w:val="both"/>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y métricas de eliminación/perturbación top-k operan aquí</w:t>
      </w:r>
      <w:r>
        <w:t xml:space="preserve"> </w:t>
      </w:r>
      <w:r>
        <w:t xml:space="preserve">(Abdul Kadir et al. 2023; Zheng et al. 2025)</w:t>
      </w:r>
      <w:r>
        <w:t xml:space="preserve">.</w:t>
      </w:r>
    </w:p>
    <w:p>
      <w:pPr>
        <w:pStyle w:val="Compact"/>
        <w:numPr>
          <w:ilvl w:val="0"/>
          <w:numId w:val="1014"/>
        </w:numPr>
        <w:spacing w:line="360" w:lineRule="auto"/>
        <w:jc w:val="both"/>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spacing w:line="360" w:lineRule="auto"/>
        <w:jc w:val="both"/>
      </w:pPr>
      <w:r>
        <w:rPr>
          <w:b/>
          <w:bCs/>
        </w:rPr>
        <w:t xml:space="preserve">Eje 2 — Fuente de evidencia.</w:t>
      </w:r>
      <w:r>
        <w:t xml:space="preserve"> </w:t>
      </w:r>
      <w:r>
        <w:t xml:space="preserve">Las métricas también se diferencian por la</w:t>
      </w:r>
      <w:r>
        <w:t xml:space="preserve"> </w:t>
      </w:r>
      <w:r>
        <w:t xml:space="preserve">operación que genera la señal de evaluación:</w:t>
      </w:r>
    </w:p>
    <w:p>
      <w:pPr>
        <w:pStyle w:val="Compact"/>
        <w:numPr>
          <w:ilvl w:val="0"/>
          <w:numId w:val="1015"/>
        </w:numPr>
        <w:spacing w:line="360" w:lineRule="auto"/>
        <w:jc w:val="both"/>
      </w:pPr>
      <w:r>
        <w:rPr>
          <w:i/>
          <w:iCs/>
        </w:rPr>
        <w:t xml:space="preserve">Enmascaramiento de características</w:t>
      </w:r>
      <w:r>
        <w:t xml:space="preserve">: se eliminan o reemplazan características</w:t>
      </w:r>
      <w:r>
        <w:t xml:space="preserve"> </w:t>
      </w:r>
      <w:r>
        <w:t xml:space="preserve">del input y se mide el cambio en la salida del modelo. Incluye fidelidad por</w:t>
      </w:r>
      <w:r>
        <w:t xml:space="preserve"> </w:t>
      </w:r>
      <w:r>
        <w:t xml:space="preserve">correlación de importancias, faithfulness gap, ROAR o MoRF</w:t>
      </w:r>
      <w:r>
        <w:t xml:space="preserve"> </w:t>
      </w:r>
      <w:r>
        <w:t xml:space="preserve">(Zheng et al. 2025; Abdul Kadir et al. 2023)</w:t>
      </w:r>
      <w:r>
        <w:t xml:space="preserve">.</w:t>
      </w:r>
    </w:p>
    <w:p>
      <w:pPr>
        <w:pStyle w:val="Compact"/>
        <w:numPr>
          <w:ilvl w:val="0"/>
          <w:numId w:val="1015"/>
        </w:numPr>
        <w:spacing w:line="360" w:lineRule="auto"/>
        <w:jc w:val="both"/>
      </w:pPr>
      <w:r>
        <w:rPr>
          <w:i/>
          <w:iCs/>
        </w:rPr>
        <w:t xml:space="preserve">Perturbación del input</w:t>
      </w:r>
      <w:r>
        <w:t xml:space="preserve">: se añade ruido o transformación a la instancia y se</w:t>
      </w:r>
      <w:r>
        <w:t xml:space="preserve"> </w:t>
      </w:r>
      <w:r>
        <w:t xml:space="preserve">mide la similitud entre las explicaciones resultantes. Incluye estabilidad</w:t>
      </w:r>
      <w:r>
        <w:t xml:space="preserve"> </w:t>
      </w:r>
      <w:r>
        <w:t xml:space="preserve">como similitud coseno y estimaciones locales tipo Lipschitz</w:t>
      </w:r>
      <w:r>
        <w:t xml:space="preserve"> </w:t>
      </w:r>
      <w:r>
        <w:t xml:space="preserve">(Pawlicki et al. 2024; Canha et al. 2025)</w:t>
      </w:r>
      <w:r>
        <w:t xml:space="preserve">.</w:t>
      </w:r>
    </w:p>
    <w:p>
      <w:pPr>
        <w:pStyle w:val="Compact"/>
        <w:numPr>
          <w:ilvl w:val="0"/>
          <w:numId w:val="1015"/>
        </w:numPr>
        <w:spacing w:line="360" w:lineRule="auto"/>
        <w:jc w:val="both"/>
      </w:pPr>
      <w:r>
        <w:rPr>
          <w:i/>
          <w:iCs/>
        </w:rPr>
        <w:t xml:space="preserve">Comparación con verdad-terreno</w:t>
      </w:r>
      <w:r>
        <w:t xml:space="preserve">: la explicación se compara con explicaciones</w:t>
      </w:r>
      <w:r>
        <w:t xml:space="preserve"> </w:t>
      </w:r>
      <w:r>
        <w:t xml:space="preserve">de referencia conocidas, disponibles en benchmarks sintéticos o anotaciones</w:t>
      </w:r>
      <w:r>
        <w:t xml:space="preserve"> </w:t>
      </w:r>
      <w:r>
        <w:t xml:space="preserve">especializadas</w:t>
      </w:r>
      <w:r>
        <w:t xml:space="preserve"> </w:t>
      </w:r>
      <w:r>
        <w:t xml:space="preserve">(Pawlicki et al. 2024)</w:t>
      </w:r>
      <w:r>
        <w:t xml:space="preserve">.</w:t>
      </w:r>
    </w:p>
    <w:p>
      <w:pPr>
        <w:pStyle w:val="Compact"/>
        <w:numPr>
          <w:ilvl w:val="0"/>
          <w:numId w:val="1015"/>
        </w:numPr>
        <w:spacing w:line="360" w:lineRule="auto"/>
        <w:jc w:val="both"/>
      </w:pPr>
      <w:r>
        <w:rPr>
          <w:i/>
          <w:iCs/>
        </w:rPr>
        <w:t xml:space="preserve">Estudio con usuario</w:t>
      </w:r>
      <w:r>
        <w:t xml:space="preserve">: la explicación se evalúa mediante comprensión,</w:t>
      </w:r>
      <w:r>
        <w:t xml:space="preserve"> </w:t>
      </w:r>
      <w:r>
        <w:t xml:space="preserve">confianza, satisfacción, utilidad percibida o desempeño humano</w:t>
      </w:r>
      <w:r>
        <w:t xml:space="preserve"> </w:t>
      </w:r>
      <w:r>
        <w:t xml:space="preserve">(Bhattacharya and Verbert 2024; Arrieta 2019a; Rong et al. 2024)</w:t>
      </w:r>
      <w:r>
        <w:t xml:space="preserve">.</w:t>
      </w:r>
    </w:p>
    <w:p>
      <w:pPr>
        <w:pStyle w:val="FirstParagraph"/>
        <w:spacing w:line="360" w:lineRule="auto"/>
        <w:jc w:val="both"/>
      </w:pPr>
      <w:r>
        <w:rPr>
          <w:b/>
          <w:bCs/>
        </w:rPr>
        <w:t xml:space="preserve">Eje 3 — Propiedad de calidad.</w:t>
      </w:r>
      <w:r>
        <w:t xml:space="preserve"> </w:t>
      </w:r>
      <w:r>
        <w:t xml:space="preserve">Siguiendo las sistematizaciones recientes, se</w:t>
      </w:r>
      <w:r>
        <w:t xml:space="preserve"> </w:t>
      </w:r>
      <w:r>
        <w:t xml:space="preserve">identifican seis propiedades primarias:</w:t>
      </w:r>
    </w:p>
    <w:p>
      <w:pPr>
        <w:pStyle w:val="Compact"/>
        <w:numPr>
          <w:ilvl w:val="0"/>
          <w:numId w:val="1016"/>
        </w:numPr>
        <w:spacing w:line="360" w:lineRule="auto"/>
        <w:jc w:val="both"/>
      </w:pPr>
      <w:r>
        <w:rPr>
          <w:i/>
          <w:iCs/>
        </w:rPr>
        <w:t xml:space="preserve">Faithfulness / fidelidad</w:t>
      </w:r>
      <w:r>
        <w:t xml:space="preserve">: correspondencia entre la importancia asignada por</w:t>
      </w:r>
      <w:r>
        <w:t xml:space="preserve"> </w:t>
      </w:r>
      <w:r>
        <w:t xml:space="preserve">el explicador y el efecto real sobre la salida del modelo</w:t>
      </w:r>
      <w:r>
        <w:t xml:space="preserve"> </w:t>
      </w:r>
      <w:r>
        <w:t xml:space="preserve">(Pawlicki et al. 2024)</w:t>
      </w:r>
      <w:r>
        <w:t xml:space="preserve">.</w:t>
      </w:r>
    </w:p>
    <w:p>
      <w:pPr>
        <w:pStyle w:val="Compact"/>
        <w:numPr>
          <w:ilvl w:val="0"/>
          <w:numId w:val="1016"/>
        </w:numPr>
        <w:spacing w:line="360" w:lineRule="auto"/>
        <w:jc w:val="both"/>
      </w:pPr>
      <w:r>
        <w:rPr>
          <w:i/>
          <w:iCs/>
        </w:rPr>
        <w:t xml:space="preserve">Robustness / estabilidad</w:t>
      </w:r>
      <w:r>
        <w:t xml:space="preserve">: consistencia de las explicaciones bajo</w:t>
      </w:r>
      <w:r>
        <w:t xml:space="preserve"> </w:t>
      </w:r>
      <w:r>
        <w:t xml:space="preserve">perturbaciones del input.</w:t>
      </w:r>
    </w:p>
    <w:p>
      <w:pPr>
        <w:pStyle w:val="Compact"/>
        <w:numPr>
          <w:ilvl w:val="0"/>
          <w:numId w:val="1016"/>
        </w:numPr>
        <w:spacing w:line="360" w:lineRule="auto"/>
        <w:jc w:val="both"/>
      </w:pPr>
      <w:r>
        <w:rPr>
          <w:i/>
          <w:iCs/>
        </w:rPr>
        <w:t xml:space="preserve">Simplicity / parsimonia</w:t>
      </w:r>
      <w:r>
        <w:t xml:space="preserve">: compacidad de la representación explicativa,</w:t>
      </w:r>
      <w:r>
        <w:t xml:space="preserve"> </w:t>
      </w:r>
      <w:r>
        <w:t xml:space="preserve">inversamente relacionada con complejidad</w:t>
      </w:r>
      <w:r>
        <w:t xml:space="preserve"> </w:t>
      </w:r>
      <w:r>
        <w:t xml:space="preserve">(Schwalbe 2023)</w:t>
      </w:r>
      <w:r>
        <w:t xml:space="preserve">.</w:t>
      </w:r>
    </w:p>
    <w:p>
      <w:pPr>
        <w:pStyle w:val="Compact"/>
        <w:numPr>
          <w:ilvl w:val="0"/>
          <w:numId w:val="1016"/>
        </w:numPr>
        <w:spacing w:line="360" w:lineRule="auto"/>
        <w:jc w:val="both"/>
      </w:pPr>
      <w:r>
        <w:rPr>
          <w:i/>
          <w:iCs/>
        </w:rPr>
        <w:t xml:space="preserve">Completeness</w:t>
      </w:r>
      <w:r>
        <w:t xml:space="preserve">: cobertura de factores relevantes del modelo por la</w:t>
      </w:r>
      <w:r>
        <w:t xml:space="preserve"> </w:t>
      </w:r>
      <w:r>
        <w:t xml:space="preserve">explicación.</w:t>
      </w:r>
    </w:p>
    <w:p>
      <w:pPr>
        <w:pStyle w:val="Compact"/>
        <w:numPr>
          <w:ilvl w:val="0"/>
          <w:numId w:val="1016"/>
        </w:numPr>
        <w:spacing w:line="360" w:lineRule="auto"/>
        <w:jc w:val="both"/>
      </w:pPr>
      <w:r>
        <w:rPr>
          <w:i/>
          <w:iCs/>
        </w:rPr>
        <w:t xml:space="preserve">Efficiency</w:t>
      </w:r>
      <w:r>
        <w:t xml:space="preserve">: coste computacional de generar la explicación.</w:t>
      </w:r>
    </w:p>
    <w:p>
      <w:pPr>
        <w:pStyle w:val="Compact"/>
        <w:numPr>
          <w:ilvl w:val="0"/>
          <w:numId w:val="1016"/>
        </w:numPr>
        <w:spacing w:line="360" w:lineRule="auto"/>
        <w:jc w:val="both"/>
      </w:pPr>
      <w:r>
        <w:rPr>
          <w:i/>
          <w:iCs/>
        </w:rPr>
        <w:t xml:space="preserve">Fairness</w:t>
      </w:r>
      <w:r>
        <w:t xml:space="preserve">: equidad en la calidad explicativa entre subgrupos, dimensión</w:t>
      </w:r>
      <w:r>
        <w:t xml:space="preserve"> </w:t>
      </w:r>
      <w:r>
        <w:t xml:space="preserve">transversal identificada en benchmarks como OpenXAI</w:t>
      </w:r>
      <w:r>
        <w:t xml:space="preserve"> </w:t>
      </w:r>
      <w:r>
        <w:t xml:space="preserve">(Agarwal et al. 2022)</w:t>
      </w:r>
      <w:r>
        <w:t xml:space="preserve">.</w:t>
      </w:r>
    </w:p>
    <w:p>
      <w:pPr>
        <w:pStyle w:val="FirstParagraph"/>
        <w:spacing w:line="360" w:lineRule="auto"/>
        <w:jc w:val="both"/>
      </w:pPr>
      <w:r>
        <w:rPr>
          <w:b/>
          <w:bCs/>
        </w:rPr>
        <w:t xml:space="preserve">Eje 4 — Contexto de tarea.</w:t>
      </w:r>
      <w:r>
        <w:t xml:space="preserve"> </w:t>
      </w:r>
      <w:r>
        <w:t xml:space="preserve">El contexto determina qué propiedades son</w:t>
      </w:r>
      <w:r>
        <w:t xml:space="preserve"> </w:t>
      </w:r>
      <w:r>
        <w:t xml:space="preserve">prioritarias y qué nivel de coste es aceptable</w:t>
      </w:r>
      <w:r>
        <w:t xml:space="preserve"> </w:t>
      </w:r>
      <w:r>
        <w:t xml:space="preserve">(Arrieta 2019a; Bhattacharya and Verbert 2024)</w:t>
      </w:r>
      <w:r>
        <w:t xml:space="preserve">:</w:t>
      </w:r>
    </w:p>
    <w:p>
      <w:pPr>
        <w:pStyle w:val="Compact"/>
        <w:numPr>
          <w:ilvl w:val="0"/>
          <w:numId w:val="1017"/>
        </w:numPr>
        <w:spacing w:line="360" w:lineRule="auto"/>
        <w:jc w:val="both"/>
      </w:pPr>
      <w:r>
        <w:rPr>
          <w:i/>
          <w:iCs/>
        </w:rPr>
        <w:t xml:space="preserve">Auditoría y cumplimiento regulatorio</w:t>
      </w:r>
      <w:r>
        <w:t xml:space="preserve">: requiere alta fidelidad, estabilidad</w:t>
      </w:r>
      <w:r>
        <w:t xml:space="preserve"> </w:t>
      </w:r>
      <w:r>
        <w:t xml:space="preserve">y trazabilidad; el coste computacional puede ser secundario.</w:t>
      </w:r>
    </w:p>
    <w:p>
      <w:pPr>
        <w:pStyle w:val="Compact"/>
        <w:numPr>
          <w:ilvl w:val="0"/>
          <w:numId w:val="1017"/>
        </w:numPr>
        <w:spacing w:line="360" w:lineRule="auto"/>
        <w:jc w:val="both"/>
      </w:pPr>
      <w:r>
        <w:rPr>
          <w:i/>
          <w:iCs/>
        </w:rPr>
        <w:t xml:space="preserve">Inferencia en tiempo real</w:t>
      </w:r>
      <w:r>
        <w:t xml:space="preserve">: requiere baja latencia; puede aceptar fidelidad</w:t>
      </w:r>
      <w:r>
        <w:t xml:space="preserve"> </w:t>
      </w:r>
      <w:r>
        <w:t xml:space="preserve">moderada si el objetivo es respuesta inmediata.</w:t>
      </w:r>
    </w:p>
    <w:p>
      <w:pPr>
        <w:pStyle w:val="Compact"/>
        <w:numPr>
          <w:ilvl w:val="0"/>
          <w:numId w:val="1017"/>
        </w:numPr>
        <w:spacing w:line="360" w:lineRule="auto"/>
        <w:jc w:val="both"/>
      </w:pPr>
      <w:r>
        <w:rPr>
          <w:i/>
          <w:iCs/>
        </w:rPr>
        <w:t xml:space="preserve">Soporte a usuario final</w:t>
      </w:r>
      <w:r>
        <w:t xml:space="preserve">: requiere parsimonia, comprensibilidad y</w:t>
      </w:r>
      <w:r>
        <w:t xml:space="preserve"> </w:t>
      </w:r>
      <w:r>
        <w:t xml:space="preserve">comunicación; la métrica automática no basta para demostrar utilidad.</w:t>
      </w:r>
    </w:p>
    <w:p>
      <w:pPr>
        <w:pStyle w:val="Compact"/>
        <w:numPr>
          <w:ilvl w:val="0"/>
          <w:numId w:val="1017"/>
        </w:numPr>
        <w:spacing w:line="360" w:lineRule="auto"/>
        <w:jc w:val="both"/>
      </w:pPr>
      <w:r>
        <w:rPr>
          <w:i/>
          <w:iCs/>
        </w:rPr>
        <w:t xml:space="preserve">Diagnóstico de modelos y depuración</w:t>
      </w:r>
      <w:r>
        <w:t xml:space="preserve">: requiere fidelidad local, cobertura y</w:t>
      </w:r>
      <w:r>
        <w:t xml:space="preserve"> </w:t>
      </w:r>
      <w:r>
        <w:t xml:space="preserve">sensibilidad a errores del modelo; la eficiencia es secundaria.</w:t>
      </w:r>
    </w:p>
    <w:bookmarkEnd w:id="163"/>
    <w:bookmarkStart w:id="165" w:name="sec-taxonomia-matriz"/>
    <w:p>
      <w:pPr>
        <w:pStyle w:val="Ttulo2"/>
        <w:spacing w:line="360" w:lineRule="auto"/>
        <w:jc w:val="both"/>
      </w:pPr>
      <w:r>
        <w:t xml:space="preserve">Matriz taxonómica de métricas XAI</w:t>
      </w:r>
    </w:p>
    <w:p>
      <w:pPr>
        <w:pStyle w:val="FirstParagraph"/>
        <w:spacing w:line="360" w:lineRule="auto"/>
        <w:jc w:val="both"/>
      </w:pPr>
      <w:r>
        <w:t xml:space="preserve">La Tabla</w:t>
      </w:r>
      <w:r>
        <w:t xml:space="preserve"> </w:t>
      </w:r>
      <w:hyperlink w:anchor="tbl-taxonomia-ampliada">
        <w:r>
          <w:rPr>
            <w:rStyle w:val="Hipervnculo"/>
          </w:rPr>
          <w:t xml:space="preserve">Table 6.1</w:t>
        </w:r>
      </w:hyperlink>
      <w:r>
        <w:t xml:space="preserve"> </w:t>
      </w:r>
      <w:r>
        <w:t xml:space="preserve">resume métricas frecuentes y su ubicación</w:t>
      </w:r>
      <w:r>
        <w:t xml:space="preserve"> </w:t>
      </w:r>
      <w:r>
        <w:t xml:space="preserve">dentro de la taxonomía. La columna de alcance inferencial indica qué puede</w:t>
      </w:r>
      <w:r>
        <w:t xml:space="preserve"> </w:t>
      </w:r>
      <w:r>
        <w:t xml:space="preserve">sostenerse razonablemente cuando la métrica se usa en un benchmark técnico.</w:t>
      </w:r>
    </w:p>
    <w:tbl>
      <w:tblPr>
        <w:tblStyle w:val="Table"/>
        <w:tblW w:type="pct" w:w="5000"/>
        <w:tblLayout w:type="fixed"/>
        <w:tblLook w:firstRow="0" w:lastRow="0" w:firstColumn="0" w:lastColumn="0" w:noHBand="0" w:noVBand="0" w:val="0000"/>
      </w:tblPr>
      <w:tblGrid>
        <w:gridCol w:w="7920"/>
      </w:tblGrid>
      <w:tr>
        <w:tc>
          <w:tcPr/>
          <w:bookmarkStart w:id="164" w:name="tbl-taxonomia-ampliada"/>
          <w:p>
            <w:pPr>
              <w:jc w:val="both"/>
              <w:spacing w:line="360" w:lineRule="auto"/>
            </w:pPr>
            <w:pPr>
              <w:jc w:val="left"/>
              <w:spacing w:before="200"/>
              <w:pStyle w:val="ImageCaption"/>
            </w:pPr>
            <w:r>
              <w:t xml:space="preserve">Table 6.1: Taxonomía ampliada de métricas y constructos de evaluación XAI.</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t xml:space="preserve">Métrica / constructo</w:t>
                  </w:r>
                </w:p>
              </w:tc>
              <w:tc>
                <w:tcPr/>
                <w:p>
                  <w:pPr>
                    <w:pStyle w:val="Compact"/>
                    <w:jc w:val="both"/>
                    <w:jc w:val="center"/>
                    <w:spacing w:line="360" w:lineRule="auto"/>
                  </w:pPr>
                  <w:r>
                    <w:t xml:space="preserve">Objetivo</w:t>
                  </w:r>
                </w:p>
              </w:tc>
              <w:tc>
                <w:tcPr/>
                <w:p>
                  <w:pPr>
                    <w:pStyle w:val="Compact"/>
                    <w:jc w:val="both"/>
                    <w:jc w:val="center"/>
                    <w:spacing w:line="360" w:lineRule="auto"/>
                  </w:pPr>
                  <w:r>
                    <w:t xml:space="preserve">Fuente de evidencia</w:t>
                  </w:r>
                </w:p>
              </w:tc>
              <w:tc>
                <w:tcPr/>
                <w:p>
                  <w:pPr>
                    <w:pStyle w:val="Compact"/>
                    <w:jc w:val="both"/>
                    <w:jc w:val="center"/>
                    <w:spacing w:line="360" w:lineRule="auto"/>
                  </w:pPr>
                  <w:r>
                    <w:t xml:space="preserve">Propiedad</w:t>
                  </w:r>
                </w:p>
              </w:tc>
              <w:tc>
                <w:tcPr/>
                <w:p>
                  <w:pPr>
                    <w:pStyle w:val="Compact"/>
                    <w:jc w:val="both"/>
                    <w:jc w:val="center"/>
                    <w:spacing w:line="360" w:lineRule="auto"/>
                  </w:pPr>
                  <w:r>
                    <w:t xml:space="preserve">Contexto típico</w:t>
                  </w:r>
                </w:p>
              </w:tc>
              <w:tc>
                <w:tcPr/>
                <w:p>
                  <w:pPr>
                    <w:pStyle w:val="Compact"/>
                    <w:jc w:val="both"/>
                    <w:jc w:val="center"/>
                    <w:spacing w:line="360" w:lineRule="auto"/>
                  </w:pPr>
                  <w:r>
                    <w:t xml:space="preserve">Alcance inferencial</w:t>
                  </w:r>
                </w:p>
              </w:tc>
            </w:tr>
            <w:tr>
              <w:tc>
                <w:tcPr/>
                <w:p>
                  <w:pPr>
                    <w:pStyle w:val="Compact"/>
                    <w:jc w:val="both"/>
                    <w:jc w:val="center"/>
                    <w:spacing w:line="360" w:lineRule="auto"/>
                  </w:pPr>
                  <w:r>
                    <w:t xml:space="preserve">Fidelidad local</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Comparación modelo-explicador</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c>
                <w:tcPr/>
                <w:p>
                  <w:pPr>
                    <w:pStyle w:val="Compact"/>
                    <w:jc w:val="both"/>
                    <w:jc w:val="center"/>
                    <w:spacing w:line="360" w:lineRule="auto"/>
                  </w:pPr>
                  <w:r>
                    <w:t xml:space="preserve">Acuerdo bajo vecindario definido</w:t>
                  </w:r>
                </w:p>
              </w:tc>
            </w:tr>
            <w:tr>
              <w:tc>
                <w:tcPr/>
                <w:p>
                  <w:pPr>
                    <w:pStyle w:val="Compact"/>
                    <w:jc w:val="both"/>
                    <w:jc w:val="center"/>
                    <w:spacing w:line="360" w:lineRule="auto"/>
                  </w:pPr>
                  <w:r>
                    <w:t xml:space="preserve">Infidelity</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Perturbación/enmascaramiento</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Sensibilidad entre explicación y cambio de salida</w:t>
                  </w:r>
                </w:p>
              </w:tc>
            </w:tr>
            <w:tr>
              <w:tc>
                <w:tcPr/>
                <w:p>
                  <w:pPr>
                    <w:pStyle w:val="Compact"/>
                    <w:jc w:val="both"/>
                    <w:jc w:val="center"/>
                    <w:spacing w:line="360" w:lineRule="auto"/>
                  </w:pPr>
                  <w:r>
                    <w:t xml:space="preserve">Faithfulness gap / top-k</w:t>
                  </w:r>
                </w:p>
              </w:tc>
              <w:tc>
                <w:tcPr/>
                <w:p>
                  <w:pPr>
                    <w:pStyle w:val="Compact"/>
                    <w:jc w:val="both"/>
                    <w:jc w:val="center"/>
                    <w:spacing w:line="360" w:lineRule="auto"/>
                  </w:pPr>
                  <w:r>
                    <w:t xml:space="preserve">Relevancia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Diagnóstico</w:t>
                  </w:r>
                </w:p>
              </w:tc>
              <w:tc>
                <w:tcPr/>
                <w:p>
                  <w:pPr>
                    <w:pStyle w:val="Compact"/>
                    <w:jc w:val="both"/>
                    <w:jc w:val="center"/>
                    <w:spacing w:line="360" w:lineRule="auto"/>
                  </w:pPr>
                  <w:r>
                    <w:t xml:space="preserve">Cambio de predicción bajo intervención operacional</w:t>
                  </w:r>
                </w:p>
              </w:tc>
            </w:tr>
            <w:tr>
              <w:tc>
                <w:tcPr/>
                <w:p>
                  <w:pPr>
                    <w:pStyle w:val="Compact"/>
                    <w:jc w:val="both"/>
                    <w:jc w:val="center"/>
                    <w:spacing w:line="360" w:lineRule="auto"/>
                  </w:pPr>
                  <w:r>
                    <w:t xml:space="preserve">Robustez</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o estrés</w:t>
                  </w:r>
                </w:p>
              </w:tc>
              <w:tc>
                <w:tcPr/>
                <w:p>
                  <w:pPr>
                    <w:pStyle w:val="Compact"/>
                    <w:jc w:val="both"/>
                    <w:jc w:val="center"/>
                    <w:spacing w:line="360" w:lineRule="auto"/>
                  </w:pPr>
                  <w:r>
                    <w:t xml:space="preserve">Robustness</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Resistencia bajo condiciones definidas</w:t>
                  </w:r>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Consistencia</w:t>
                  </w:r>
                </w:p>
              </w:tc>
              <w:tc>
                <w:tcPr/>
                <w:p>
                  <w:pPr>
                    <w:pStyle w:val="Compact"/>
                    <w:jc w:val="both"/>
                    <w:jc w:val="center"/>
                    <w:spacing w:line="360" w:lineRule="auto"/>
                  </w:pPr>
                  <w:r>
                    <w:t xml:space="preserve">Perturbación leve</w:t>
                  </w:r>
                </w:p>
              </w:tc>
              <w:tc>
                <w:tcPr/>
                <w:p>
                  <w:pPr>
                    <w:pStyle w:val="Compact"/>
                    <w:jc w:val="both"/>
                    <w:jc w:val="center"/>
                    <w:spacing w:line="360" w:lineRule="auto"/>
                  </w:pPr>
                  <w:r>
                    <w:t xml:space="preserve">Stability</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Consistencia ante variaciones pequeñas</w:t>
                  </w:r>
                </w:p>
              </w:tc>
            </w:tr>
            <w:tr>
              <w:tc>
                <w:tcPr/>
                <w:p>
                  <w:pPr>
                    <w:pStyle w:val="Compact"/>
                    <w:jc w:val="both"/>
                    <w:jc w:val="center"/>
                    <w:spacing w:line="360" w:lineRule="auto"/>
                  </w:pPr>
                  <w:r>
                    <w:t xml:space="preserve">Sparsity / parsimonia</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de características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Interfaces, usuario final</w:t>
                  </w:r>
                </w:p>
              </w:tc>
              <w:tc>
                <w:tcPr/>
                <w:p>
                  <w:pPr>
                    <w:pStyle w:val="Compact"/>
                    <w:jc w:val="both"/>
                    <w:jc w:val="center"/>
                    <w:spacing w:line="360" w:lineRule="auto"/>
                  </w:pPr>
                  <w:r>
                    <w:t xml:space="preserve">Tamaño cognitivo aproximado</w:t>
                  </w:r>
                </w:p>
              </w:tc>
            </w:tr>
            <w:tr>
              <w:tc>
                <w:tcPr/>
                <w:p>
                  <w:pPr>
                    <w:pStyle w:val="Compact"/>
                    <w:jc w:val="both"/>
                    <w:jc w:val="center"/>
                    <w:spacing w:line="360" w:lineRule="auto"/>
                  </w:pPr>
                  <w:r>
                    <w:t xml:space="preserve">Complejidad</w:t>
                  </w:r>
                </w:p>
              </w:tc>
              <w:tc>
                <w:tcPr/>
                <w:p>
                  <w:pPr>
                    <w:pStyle w:val="Compact"/>
                    <w:jc w:val="both"/>
                    <w:jc w:val="center"/>
                    <w:spacing w:line="360" w:lineRule="auto"/>
                  </w:pPr>
                  <w:r>
                    <w:t xml:space="preserve">Compacidad</w:t>
                  </w:r>
                </w:p>
              </w:tc>
              <w:tc>
                <w:tcPr/>
                <w:p>
                  <w:pPr>
                    <w:pStyle w:val="Compact"/>
                    <w:jc w:val="both"/>
                    <w:jc w:val="center"/>
                    <w:spacing w:line="360" w:lineRule="auto"/>
                  </w:pPr>
                  <w:r>
                    <w:t xml:space="preserve">Conteo, longitud, reglas</w:t>
                  </w:r>
                </w:p>
              </w:tc>
              <w:tc>
                <w:tcPr/>
                <w:p>
                  <w:pPr>
                    <w:pStyle w:val="Compact"/>
                    <w:jc w:val="both"/>
                    <w:jc w:val="center"/>
                    <w:spacing w:line="360" w:lineRule="auto"/>
                  </w:pPr>
                  <w:r>
                    <w:t xml:space="preserve">Simplicity/complejidad</w:t>
                  </w:r>
                </w:p>
              </w:tc>
              <w:tc>
                <w:tcPr/>
                <w:p>
                  <w:pPr>
                    <w:pStyle w:val="Compact"/>
                    <w:jc w:val="both"/>
                    <w:jc w:val="center"/>
                    <w:spacing w:line="360" w:lineRule="auto"/>
                  </w:pPr>
                  <w:r>
                    <w:t xml:space="preserve">Comunicación</w:t>
                  </w:r>
                </w:p>
              </w:tc>
              <w:tc>
                <w:tcPr/>
                <w:p>
                  <w:pPr>
                    <w:pStyle w:val="Compact"/>
                    <w:jc w:val="both"/>
                    <w:jc w:val="center"/>
                    <w:spacing w:line="360" w:lineRule="auto"/>
                  </w:pPr>
                  <w:r>
                    <w:t xml:space="preserve">Carga estructural del artefacto</w:t>
                  </w:r>
                </w:p>
              </w:tc>
            </w:tr>
            <w:tr>
              <w:tc>
                <w:tcPr/>
                <w:p>
                  <w:pPr>
                    <w:pStyle w:val="Compact"/>
                    <w:jc w:val="both"/>
                    <w:jc w:val="center"/>
                    <w:spacing w:line="360" w:lineRule="auto"/>
                  </w:pPr>
                  <w:r>
                    <w:t xml:space="preserve">Plausibilidad</w:t>
                  </w:r>
                </w:p>
              </w:tc>
              <w:tc>
                <w:tcPr/>
                <w:p>
                  <w:pPr>
                    <w:pStyle w:val="Compact"/>
                    <w:jc w:val="both"/>
                    <w:jc w:val="center"/>
                    <w:spacing w:line="360" w:lineRule="auto"/>
                  </w:pPr>
                  <w:r>
                    <w:t xml:space="preserve">Aceptabilidad humana</w:t>
                  </w:r>
                </w:p>
              </w:tc>
              <w:tc>
                <w:tcPr/>
                <w:p>
                  <w:pPr>
                    <w:pStyle w:val="Compact"/>
                    <w:jc w:val="both"/>
                    <w:jc w:val="center"/>
                    <w:spacing w:line="360" w:lineRule="auto"/>
                  </w:pPr>
                  <w:r>
                    <w:t xml:space="preserve">Estudio con usuario o experto</w:t>
                  </w:r>
                </w:p>
              </w:tc>
              <w:tc>
                <w:tcPr/>
                <w:p>
                  <w:pPr>
                    <w:pStyle w:val="Compact"/>
                    <w:jc w:val="both"/>
                    <w:jc w:val="center"/>
                    <w:spacing w:line="360" w:lineRule="auto"/>
                  </w:pPr>
                  <w:r>
                    <w:t xml:space="preserve">Plausibility</w:t>
                  </w:r>
                </w:p>
              </w:tc>
              <w:tc>
                <w:tcPr/>
                <w:p>
                  <w:pPr>
                    <w:pStyle w:val="Compact"/>
                    <w:jc w:val="both"/>
                    <w:jc w:val="center"/>
                    <w:spacing w:line="360" w:lineRule="auto"/>
                  </w:pPr>
                  <w:r>
                    <w:t xml:space="preserve">Soporte a usuario</w:t>
                  </w:r>
                </w:p>
              </w:tc>
              <w:tc>
                <w:tcPr/>
                <w:p>
                  <w:pPr>
                    <w:pStyle w:val="Compact"/>
                    <w:jc w:val="both"/>
                    <w:jc w:val="center"/>
                    <w:spacing w:line="360" w:lineRule="auto"/>
                  </w:pPr>
                  <w:r>
                    <w:t xml:space="preserve">Coherencia percibida; no prueba verdad</w:t>
                  </w:r>
                </w:p>
              </w:tc>
            </w:tr>
            <w:tr>
              <w:tc>
                <w:tcPr/>
                <w:p>
                  <w:pPr>
                    <w:pStyle w:val="Compact"/>
                    <w:jc w:val="both"/>
                    <w:jc w:val="center"/>
                    <w:spacing w:line="360" w:lineRule="auto"/>
                  </w:pPr>
                  <w:r>
                    <w:t xml:space="preserve">Comprensibilidad</w:t>
                  </w:r>
                </w:p>
              </w:tc>
              <w:tc>
                <w:tcPr/>
                <w:p>
                  <w:pPr>
                    <w:pStyle w:val="Compact"/>
                    <w:jc w:val="both"/>
                    <w:jc w:val="center"/>
                    <w:spacing w:line="360" w:lineRule="auto"/>
                  </w:pPr>
                  <w:r>
                    <w:t xml:space="preserve">Soporte cognitivo</w:t>
                  </w:r>
                </w:p>
              </w:tc>
              <w:tc>
                <w:tcPr/>
                <w:p>
                  <w:pPr>
                    <w:pStyle w:val="Compact"/>
                    <w:jc w:val="both"/>
                    <w:jc w:val="center"/>
                    <w:spacing w:line="360" w:lineRule="auto"/>
                  </w:pPr>
                  <w:r>
                    <w:t xml:space="preserve">Estudio con usuario</w:t>
                  </w:r>
                </w:p>
              </w:tc>
              <w:tc>
                <w:tcPr/>
                <w:p>
                  <w:pPr>
                    <w:pStyle w:val="Compact"/>
                    <w:jc w:val="both"/>
                    <w:jc w:val="center"/>
                    <w:spacing w:line="360" w:lineRule="auto"/>
                  </w:pPr>
                  <w:r>
                    <w:t xml:space="preserve">Comprehensibility</w:t>
                  </w:r>
                </w:p>
              </w:tc>
              <w:tc>
                <w:tcPr/>
                <w:p>
                  <w:pPr>
                    <w:pStyle w:val="Compact"/>
                    <w:jc w:val="both"/>
                    <w:jc w:val="center"/>
                    <w:spacing w:line="360" w:lineRule="auto"/>
                  </w:pPr>
                  <w:r>
                    <w:t xml:space="preserve">Usuario final</w:t>
                  </w:r>
                </w:p>
              </w:tc>
              <w:tc>
                <w:tcPr/>
                <w:p>
                  <w:pPr>
                    <w:pStyle w:val="Compact"/>
                    <w:jc w:val="both"/>
                    <w:jc w:val="center"/>
                    <w:spacing w:line="360" w:lineRule="auto"/>
                  </w:pPr>
                  <w:r>
                    <w:t xml:space="preserve">Facilidad de comprensión observada</w:t>
                  </w:r>
                </w:p>
              </w:tc>
            </w:tr>
            <w:tr>
              <w:tc>
                <w:tcPr/>
                <w:p>
                  <w:pPr>
                    <w:pStyle w:val="Compact"/>
                    <w:jc w:val="both"/>
                    <w:jc w:val="center"/>
                    <w:spacing w:line="360" w:lineRule="auto"/>
                  </w:pPr>
                  <w:r>
                    <w:t xml:space="preserve">Satisfacción humana</w:t>
                  </w:r>
                </w:p>
              </w:tc>
              <w:tc>
                <w:tcPr/>
                <w:p>
                  <w:pPr>
                    <w:pStyle w:val="Compact"/>
                    <w:jc w:val="both"/>
                    <w:jc w:val="center"/>
                    <w:spacing w:line="360" w:lineRule="auto"/>
                  </w:pPr>
                  <w:r>
                    <w:t xml:space="preserve">Experiencia de uso</w:t>
                  </w:r>
                </w:p>
              </w:tc>
              <w:tc>
                <w:tcPr/>
                <w:p>
                  <w:pPr>
                    <w:pStyle w:val="Compact"/>
                    <w:jc w:val="both"/>
                    <w:jc w:val="center"/>
                    <w:spacing w:line="360" w:lineRule="auto"/>
                  </w:pPr>
                  <w:r>
                    <w:t xml:space="preserve">Encuesta/experimento</w:t>
                  </w:r>
                </w:p>
              </w:tc>
              <w:tc>
                <w:tcPr/>
                <w:p>
                  <w:pPr>
                    <w:pStyle w:val="Compact"/>
                    <w:jc w:val="both"/>
                    <w:jc w:val="center"/>
                    <w:spacing w:line="360" w:lineRule="auto"/>
                  </w:pPr>
                  <w:r>
                    <w:t xml:space="preserve">Usefulness</w:t>
                  </w:r>
                </w:p>
              </w:tc>
              <w:tc>
                <w:tcPr/>
                <w:p>
                  <w:pPr>
                    <w:pStyle w:val="Compact"/>
                    <w:jc w:val="both"/>
                    <w:jc w:val="center"/>
                    <w:spacing w:line="360" w:lineRule="auto"/>
                  </w:pPr>
                  <w:r>
                    <w:t xml:space="preserve">Aplicación</w:t>
                  </w:r>
                </w:p>
              </w:tc>
              <w:tc>
                <w:tcPr/>
                <w:p>
                  <w:pPr>
                    <w:pStyle w:val="Compact"/>
                    <w:jc w:val="both"/>
                    <w:jc w:val="center"/>
                    <w:spacing w:line="360" w:lineRule="auto"/>
                  </w:pPr>
                  <w:r>
                    <w:t xml:space="preserve">Preferencia o utilidad percibida</w:t>
                  </w:r>
                </w:p>
              </w:tc>
            </w:tr>
            <w:tr>
              <w:tc>
                <w:tcPr/>
                <w:p>
                  <w:pPr>
                    <w:pStyle w:val="Compact"/>
                    <w:jc w:val="both"/>
                    <w:jc w:val="center"/>
                    <w:spacing w:line="360" w:lineRule="auto"/>
                  </w:pPr>
                  <w:r>
                    <w:t xml:space="preserve">Validez contrafactual</w:t>
                  </w:r>
                </w:p>
              </w:tc>
              <w:tc>
                <w:tcPr/>
                <w:p>
                  <w:pPr>
                    <w:pStyle w:val="Compact"/>
                    <w:jc w:val="both"/>
                    <w:jc w:val="center"/>
                    <w:spacing w:line="360" w:lineRule="auto"/>
                  </w:pPr>
                  <w:r>
                    <w:t xml:space="preserve">Cambio de resultado</w:t>
                  </w:r>
                </w:p>
              </w:tc>
              <w:tc>
                <w:tcPr/>
                <w:p>
                  <w:pPr>
                    <w:pStyle w:val="Compact"/>
                    <w:jc w:val="both"/>
                    <w:jc w:val="center"/>
                    <w:spacing w:line="360" w:lineRule="auto"/>
                  </w:pPr>
                  <w:r>
                    <w:t xml:space="preserve">Evaluación de contrafactual</w:t>
                  </w:r>
                </w:p>
              </w:tc>
              <w:tc>
                <w:tcPr/>
                <w:p>
                  <w:pPr>
                    <w:pStyle w:val="Compact"/>
                    <w:jc w:val="both"/>
                    <w:jc w:val="center"/>
                    <w:spacing w:line="360" w:lineRule="auto"/>
                  </w:pPr>
                  <w:r>
                    <w:t xml:space="preserve">Validity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La alternativa cambia la predicción</w:t>
                  </w:r>
                </w:p>
              </w:tc>
            </w:tr>
            <w:tr>
              <w:tc>
                <w:tcPr/>
                <w:p>
                  <w:pPr>
                    <w:pStyle w:val="Compact"/>
                    <w:jc w:val="both"/>
                    <w:jc w:val="center"/>
                    <w:spacing w:line="360" w:lineRule="auto"/>
                  </w:pPr>
                  <w:r>
                    <w:t xml:space="preserve">Actionability</w:t>
                  </w:r>
                </w:p>
              </w:tc>
              <w:tc>
                <w:tcPr/>
                <w:p>
                  <w:pPr>
                    <w:pStyle w:val="Compact"/>
                    <w:jc w:val="both"/>
                    <w:jc w:val="center"/>
                    <w:spacing w:line="360" w:lineRule="auto"/>
                  </w:pPr>
                  <w:r>
                    <w:t xml:space="preserve">Factibilidad de cambio</w:t>
                  </w:r>
                </w:p>
              </w:tc>
              <w:tc>
                <w:tcPr/>
                <w:p>
                  <w:pPr>
                    <w:pStyle w:val="Compact"/>
                    <w:jc w:val="both"/>
                    <w:jc w:val="center"/>
                    <w:spacing w:line="360" w:lineRule="auto"/>
                  </w:pPr>
                  <w:r>
                    <w:t xml:space="preserve">Reglas de dominio/usuario</w:t>
                  </w:r>
                </w:p>
              </w:tc>
              <w:tc>
                <w:tcPr/>
                <w:p>
                  <w:pPr>
                    <w:pStyle w:val="Compact"/>
                    <w:jc w:val="both"/>
                    <w:jc w:val="center"/>
                    <w:spacing w:line="360" w:lineRule="auto"/>
                  </w:pPr>
                  <w:r>
                    <w:t xml:space="preserve">Actionability</w:t>
                  </w:r>
                </w:p>
              </w:tc>
              <w:tc>
                <w:tcPr/>
                <w:p>
                  <w:pPr>
                    <w:pStyle w:val="Compact"/>
                    <w:jc w:val="both"/>
                    <w:jc w:val="center"/>
                    <w:spacing w:line="360" w:lineRule="auto"/>
                  </w:pPr>
                  <w:r>
                    <w:t xml:space="preserve">Recourse</w:t>
                  </w:r>
                </w:p>
              </w:tc>
              <w:tc>
                <w:tcPr/>
                <w:p>
                  <w:pPr>
                    <w:pStyle w:val="Compact"/>
                    <w:jc w:val="both"/>
                    <w:jc w:val="center"/>
                    <w:spacing w:line="360" w:lineRule="auto"/>
                  </w:pPr>
                  <w:r>
                    <w:t xml:space="preserve">El cambio es ejecutable bajo restricciones</w:t>
                  </w:r>
                </w:p>
              </w:tc>
            </w:tr>
            <w:tr>
              <w:tc>
                <w:tcPr/>
                <w:p>
                  <w:pPr>
                    <w:pStyle w:val="Compact"/>
                    <w:jc w:val="both"/>
                    <w:jc w:val="center"/>
                    <w:spacing w:line="360" w:lineRule="auto"/>
                  </w:pPr>
                  <w:r>
                    <w:t xml:space="preserve">Alineamiento causal</w:t>
                  </w:r>
                </w:p>
              </w:tc>
              <w:tc>
                <w:tcPr/>
                <w:p>
                  <w:pPr>
                    <w:pStyle w:val="Compact"/>
                    <w:jc w:val="both"/>
                    <w:jc w:val="center"/>
                    <w:spacing w:line="360" w:lineRule="auto"/>
                  </w:pPr>
                  <w:r>
                    <w:t xml:space="preserve">Relación explicación-dominio</w:t>
                  </w:r>
                </w:p>
              </w:tc>
              <w:tc>
                <w:tcPr/>
                <w:p>
                  <w:pPr>
                    <w:pStyle w:val="Compact"/>
                    <w:jc w:val="both"/>
                    <w:jc w:val="center"/>
                    <w:spacing w:line="360" w:lineRule="auto"/>
                  </w:pPr>
                  <w:r>
                    <w:t xml:space="preserve">Modelo causal/experto</w:t>
                  </w:r>
                </w:p>
              </w:tc>
              <w:tc>
                <w:tcPr/>
                <w:p>
                  <w:pPr>
                    <w:pStyle w:val="Compact"/>
                    <w:jc w:val="both"/>
                    <w:jc w:val="center"/>
                    <w:spacing w:line="360" w:lineRule="auto"/>
                  </w:pPr>
                  <w:r>
                    <w:t xml:space="preserve">Causal alignment</w:t>
                  </w:r>
                </w:p>
              </w:tc>
              <w:tc>
                <w:tcPr/>
                <w:p>
                  <w:pPr>
                    <w:pStyle w:val="Compact"/>
                    <w:jc w:val="both"/>
                    <w:jc w:val="center"/>
                    <w:spacing w:line="360" w:lineRule="auto"/>
                  </w:pPr>
                  <w:r>
                    <w:t xml:space="preserve">Alto riesgo</w:t>
                  </w:r>
                </w:p>
              </w:tc>
              <w:tc>
                <w:tcPr/>
                <w:p>
                  <w:pPr>
                    <w:pStyle w:val="Compact"/>
                    <w:jc w:val="both"/>
                    <w:jc w:val="center"/>
                    <w:spacing w:line="360" w:lineRule="auto"/>
                  </w:pPr>
                  <w:r>
                    <w:t xml:space="preserve">Requiere evidencia causal externa</w:t>
                  </w:r>
                </w:p>
              </w:tc>
            </w:tr>
            <w:tr>
              <w:tc>
                <w:tcPr/>
                <w:p>
                  <w:pPr>
                    <w:pStyle w:val="Compact"/>
                    <w:jc w:val="both"/>
                    <w:jc w:val="center"/>
                    <w:spacing w:line="360" w:lineRule="auto"/>
                  </w:pPr>
                  <w:r>
                    <w:t xml:space="preserve">Coste computacional</w:t>
                  </w:r>
                </w:p>
              </w:tc>
              <w:tc>
                <w:tcPr/>
                <w:p>
                  <w:pPr>
                    <w:pStyle w:val="Compact"/>
                    <w:jc w:val="both"/>
                    <w:jc w:val="center"/>
                    <w:spacing w:line="360" w:lineRule="auto"/>
                  </w:pPr>
                  <w:r>
                    <w:t xml:space="preserve">Eficiencia</w:t>
                  </w:r>
                </w:p>
              </w:tc>
              <w:tc>
                <w:tcPr/>
                <w:p>
                  <w:pPr>
                    <w:pStyle w:val="Compact"/>
                    <w:jc w:val="both"/>
                    <w:jc w:val="center"/>
                    <w:spacing w:line="360" w:lineRule="auto"/>
                  </w:pPr>
                  <w:r>
                    <w:t xml:space="preserve">Tiempo/recurso</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Producción</w:t>
                  </w:r>
                </w:p>
              </w:tc>
              <w:tc>
                <w:tcPr/>
                <w:p>
                  <w:pPr>
                    <w:pStyle w:val="Compact"/>
                    <w:jc w:val="both"/>
                    <w:jc w:val="center"/>
                    <w:spacing w:line="360" w:lineRule="auto"/>
                  </w:pPr>
                  <w:r>
                    <w:t xml:space="preserve">Factibilidad operacional</w:t>
                  </w:r>
                </w:p>
              </w:tc>
            </w:tr>
            <w:tr>
              <w:tc>
                <w:tcPr/>
                <w:p>
                  <w:pPr>
                    <w:pStyle w:val="Compact"/>
                    <w:jc w:val="both"/>
                    <w:jc w:val="center"/>
                    <w:spacing w:line="360" w:lineRule="auto"/>
                  </w:pPr>
                  <w:r>
                    <w:t xml:space="preserve">Equidad explicativa</w:t>
                  </w:r>
                </w:p>
              </w:tc>
              <w:tc>
                <w:tcPr/>
                <w:p>
                  <w:pPr>
                    <w:pStyle w:val="Compact"/>
                    <w:jc w:val="both"/>
                    <w:jc w:val="center"/>
                    <w:spacing w:line="360" w:lineRule="auto"/>
                  </w:pPr>
                  <w:r>
                    <w:t xml:space="preserve">Comparación entre subgrupos</w:t>
                  </w:r>
                </w:p>
              </w:tc>
              <w:tc>
                <w:tcPr/>
                <w:p>
                  <w:pPr>
                    <w:pStyle w:val="Compact"/>
                    <w:jc w:val="both"/>
                    <w:jc w:val="center"/>
                    <w:spacing w:line="360" w:lineRule="auto"/>
                  </w:pPr>
                  <w:r>
                    <w:t xml:space="preserve">Métrica estratificada</w:t>
                  </w:r>
                </w:p>
              </w:tc>
              <w:tc>
                <w:tcPr/>
                <w:p>
                  <w:pPr>
                    <w:pStyle w:val="Compact"/>
                    <w:jc w:val="both"/>
                    <w:jc w:val="center"/>
                    <w:spacing w:line="360" w:lineRule="auto"/>
                  </w:pPr>
                  <w:r>
                    <w:t xml:space="preserve">Fairness</w:t>
                  </w:r>
                </w:p>
              </w:tc>
              <w:tc>
                <w:tcPr/>
                <w:p>
                  <w:pPr>
                    <w:pStyle w:val="Compact"/>
                    <w:jc w:val="both"/>
                    <w:jc w:val="center"/>
                    <w:spacing w:line="360" w:lineRule="auto"/>
                  </w:pPr>
                  <w:r>
                    <w:t xml:space="preserve">Auditoría</w:t>
                  </w:r>
                </w:p>
              </w:tc>
              <w:tc>
                <w:tcPr/>
                <w:p>
                  <w:pPr>
                    <w:pStyle w:val="Compact"/>
                    <w:jc w:val="both"/>
                    <w:jc w:val="center"/>
                    <w:spacing w:line="360" w:lineRule="auto"/>
                  </w:pPr>
                  <w:r>
                    <w:t xml:space="preserve">Diferencias de calidad explicativa por grupo</w:t>
                  </w:r>
                </w:p>
              </w:tc>
            </w:tr>
          </w:tbl>
          <w:bookmarkEnd w:id="164"/>
          <w:p>
            <w:pPr>
              <w:spacing w:line="360" w:lineRule="auto"/>
              <w:jc w:val="both"/>
            </w:pPr>
          </w:p>
        </w:tc>
      </w:tr>
    </w:tbl>
    <w:bookmarkEnd w:id="165"/>
    <w:bookmarkStart w:id="167" w:name="sec-taxonomia-benchmark"/>
    <w:p>
      <w:pPr>
        <w:pStyle w:val="Ttulo2"/>
        <w:spacing w:line="360" w:lineRule="auto"/>
        <w:jc w:val="both"/>
      </w:pPr>
      <w:r>
        <w:t xml:space="preserve">Mapeo del benchmark a la taxonomía</w:t>
      </w:r>
    </w:p>
    <w:p>
      <w:pPr>
        <w:pStyle w:val="FirstParagraph"/>
        <w:spacing w:line="360" w:lineRule="auto"/>
        <w:jc w:val="bot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66" w:name="tbl-taxonomia-benchmark"/>
          <w:p>
            <w:pPr>
              <w:jc w:val="both"/>
              <w:spacing w:line="360" w:lineRule="auto"/>
            </w:pPr>
            <w:pPr>
              <w:jc w:val="left"/>
              <w:spacing w:before="200"/>
              <w:pStyle w:val="ImageCaption"/>
            </w:pPr>
            <w:r>
              <w:t xml:space="preserve">Table 6.2: Mapeo de las métricas del benchmark a los cuatro ejes de la taxonomía.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w:r>
                    <w:t xml:space="preserve">Eje 1: objetivo</w:t>
                  </w:r>
                </w:p>
              </w:tc>
              <w:tc>
                <w:tcPr/>
                <w:p>
                  <w:pPr>
                    <w:pStyle w:val="Compact"/>
                    <w:jc w:val="both"/>
                    <w:jc w:val="center"/>
                    <w:spacing w:line="360" w:lineRule="auto"/>
                  </w:pPr>
                  <w:r>
                    <w:t xml:space="preserve">Eje 2: fuente de evidencia</w:t>
                  </w:r>
                </w:p>
              </w:tc>
              <w:tc>
                <w:tcPr/>
                <w:p>
                  <w:pPr>
                    <w:pStyle w:val="Compact"/>
                    <w:jc w:val="both"/>
                    <w:jc w:val="center"/>
                    <w:spacing w:line="360" w:lineRule="auto"/>
                  </w:pPr>
                  <w:r>
                    <w:t xml:space="preserve">Eje 3: propiedad</w:t>
                  </w:r>
                </w:p>
              </w:tc>
              <w:tc>
                <w:tcPr/>
                <w:p>
                  <w:pPr>
                    <w:pStyle w:val="Compact"/>
                    <w:jc w:val="both"/>
                    <w:jc w:val="center"/>
                    <w:spacing w:line="360" w:lineRule="auto"/>
                  </w:pPr>
                  <w:r>
                    <w:t xml:space="preserve">Eje 4: contexto prioritario</w:t>
                  </w:r>
                </w:p>
              </w:tc>
            </w:tr>
            <w:tr>
              <w:tc>
                <w:tcPr/>
                <w:p>
                  <w:pPr>
                    <w:pStyle w:val="Compact"/>
                    <w:jc w:val="both"/>
                    <w:jc w:val="center"/>
                    <w:spacing w:line="360" w:lineRule="auto"/>
                  </w:pPr>
                  <w:r>
                    <w:t xml:space="preserve">Fidelidad (</w:t>
                  </w:r>
                  <ns1:oMath>
                    <ns1:r>
                      <ns1:t>F</ns1:t>
                    </ns1:r>
                  </ns1:oMath>
                  <w:r>
                    <w:t xml:space="preserve">)</w:t>
                  </w:r>
                </w:p>
              </w:tc>
              <w:tc>
                <w:tcPr/>
                <w:p>
                  <w:pPr>
                    <w:pStyle w:val="Compact"/>
                    <w:jc w:val="both"/>
                    <w:jc w:val="center"/>
                    <w:spacing w:line="360" w:lineRule="auto"/>
                  </w:pPr>
                  <w:r>
                    <w:t xml:space="preserve">Representatividad local</w:t>
                  </w:r>
                </w:p>
              </w:tc>
              <w:tc>
                <w:tcPr/>
                <w:p>
                  <w:pPr>
                    <w:pStyle w:val="Compact"/>
                    <w:jc w:val="both"/>
                    <w:jc w:val="center"/>
                    <w:spacing w:line="360" w:lineRule="auto"/>
                  </w:pPr>
                  <w:r>
                    <w:t xml:space="preserve">Enmascaramiento de características</w:t>
                  </w:r>
                </w:p>
              </w:tc>
              <w:tc>
                <w:tcPr/>
                <w:p>
                  <w:pPr>
                    <w:pStyle w:val="Compact"/>
                    <w:jc w:val="both"/>
                    <w:jc w:val="center"/>
                    <w:spacing w:line="360" w:lineRule="auto"/>
                  </w:pPr>
                  <w:r>
                    <w:t xml:space="preserve">Faithfulness proxy</w:t>
                  </w:r>
                </w:p>
              </w:tc>
              <w:tc>
                <w:tcPr/>
                <w:p>
                  <w:pPr>
                    <w:pStyle w:val="Compact"/>
                    <w:jc w:val="both"/>
                    <w:jc w:val="center"/>
                    <w:spacing w:line="360" w:lineRule="auto"/>
                  </w:pPr>
                  <w:r>
                    <w:t xml:space="preserve">Auditoría, diagnóstico</w:t>
                  </w:r>
                </w:p>
              </w:tc>
            </w:tr>
            <w:tr>
              <w:tc>
                <w:tcPr/>
                <w:p>
                  <w:pPr>
                    <w:pStyle w:val="Compact"/>
                    <w:jc w:val="both"/>
                    <w:jc w:val="center"/>
                    <w:spacing w:line="360" w:lineRule="auto"/>
                  </w:pPr>
                  <w:r>
                    <w:t xml:space="preserve">Estabilidad (</w:t>
                  </w:r>
                  <ns1:oMath>
                    <ns1:r>
                      <ns1:t>S</ns1:t>
                    </ns1:r>
                  </ns1:oMath>
                  <w:r>
                    <w:t xml:space="preserve">)</w:t>
                  </w:r>
                </w:p>
              </w:tc>
              <w:tc>
                <w:tcPr/>
                <w:p>
                  <w:pPr>
                    <w:pStyle w:val="Compact"/>
                    <w:jc w:val="both"/>
                    <w:jc w:val="center"/>
                    <w:spacing w:line="360" w:lineRule="auto"/>
                  </w:pPr>
                  <w:r>
                    <w:t xml:space="preserve">Consistencia bajo perturbación</w:t>
                  </w:r>
                </w:p>
              </w:tc>
              <w:tc>
                <w:tcPr/>
                <w:p>
                  <w:pPr>
                    <w:pStyle w:val="Compact"/>
                    <w:jc w:val="both"/>
                    <w:jc w:val="center"/>
                    <w:spacing w:line="360" w:lineRule="auto"/>
                  </w:pPr>
                  <w:r>
                    <w:t xml:space="preserve">Perturbación gaussiana del input</w:t>
                  </w:r>
                </w:p>
              </w:tc>
              <w:tc>
                <w:tcPr/>
                <w:p>
                  <w:pPr>
                    <w:pStyle w:val="Compact"/>
                    <w:jc w:val="both"/>
                    <w:jc w:val="center"/>
                    <w:spacing w:line="360" w:lineRule="auto"/>
                  </w:pPr>
                  <w:r>
                    <w:t xml:space="preserve">Stability / robustness</w:t>
                  </w:r>
                </w:p>
              </w:tc>
              <w:tc>
                <w:tcPr/>
                <w:p>
                  <w:pPr>
                    <w:pStyle w:val="Compact"/>
                    <w:jc w:val="both"/>
                    <w:jc w:val="center"/>
                    <w:spacing w:line="360" w:lineRule="auto"/>
                  </w:pPr>
                  <w:r>
                    <w:t xml:space="preserve">Auditoría, alto riesgo</w:t>
                  </w:r>
                </w:p>
              </w:tc>
            </w:tr>
            <w:tr>
              <w:tc>
                <w:tcPr/>
                <w:p>
                  <w:pPr>
                    <w:pStyle w:val="Compact"/>
                    <w:jc w:val="both"/>
                    <w:jc w:val="center"/>
                    <w:spacing w:line="360" w:lineRule="auto"/>
                  </w:pPr>
                  <w:r>
                    <w:t xml:space="preserve">Parsimonia (</w:t>
                  </w:r>
                  <ns1:oMath>
                    <ns1:r>
                      <ns1:t>P</ns1:t>
                    </ns1:r>
                  </ns1:oMath>
                  <w:r>
                    <w:t xml:space="preserve">)</w:t>
                  </w:r>
                </w:p>
              </w:tc>
              <w:tc>
                <w:tcPr/>
                <w:p>
                  <w:pPr>
                    <w:pStyle w:val="Compact"/>
                    <w:jc w:val="both"/>
                    <w:jc w:val="center"/>
                    <w:spacing w:line="360" w:lineRule="auto"/>
                  </w:pPr>
                  <w:r>
                    <w:t xml:space="preserve">Compacidad explicativa</w:t>
                  </w:r>
                </w:p>
              </w:tc>
              <w:tc>
                <w:tcPr/>
                <w:p>
                  <w:pPr>
                    <w:pStyle w:val="Compact"/>
                    <w:jc w:val="both"/>
                    <w:jc w:val="center"/>
                    <w:spacing w:line="360" w:lineRule="auto"/>
                  </w:pPr>
                  <w:r>
                    <w:t xml:space="preserve">Conteo de atribuciones activas</w:t>
                  </w:r>
                </w:p>
              </w:tc>
              <w:tc>
                <w:tcPr/>
                <w:p>
                  <w:pPr>
                    <w:pStyle w:val="Compact"/>
                    <w:jc w:val="both"/>
                    <w:jc w:val="center"/>
                    <w:spacing w:line="360" w:lineRule="auto"/>
                  </w:pPr>
                  <w:r>
                    <w:t xml:space="preserve">Simplicity</w:t>
                  </w:r>
                </w:p>
              </w:tc>
              <w:tc>
                <w:tcPr/>
                <w:p>
                  <w:pPr>
                    <w:pStyle w:val="Compact"/>
                    <w:jc w:val="both"/>
                    <w:jc w:val="center"/>
                    <w:spacing w:line="360" w:lineRule="auto"/>
                  </w:pPr>
                  <w:r>
                    <w:t xml:space="preserve">Usuario final, interfaces</w:t>
                  </w:r>
                </w:p>
              </w:tc>
            </w:tr>
            <w:tr>
              <w:tc>
                <w:tcPr/>
                <w:p>
                  <w:pPr>
                    <w:pStyle w:val="Compact"/>
                    <w:jc w:val="both"/>
                    <w:jc w:val="center"/>
                    <w:spacing w:line="360" w:lineRule="auto"/>
                  </w:pPr>
                  <w:r>
                    <w:t xml:space="preserve">Brecha de fidelidad (</w:t>
                  </w:r>
                  <ns1:oMath>
                    <ns1:sSub>
                      <ns1:e>
                        <ns1:r>
                          <ns1:rPr>
                            <ns1:sty ns1:val="p"/>
                          </ns1:rPr>
                          <ns1:t>Δ</ns1:t>
                        </ns1:r>
                      </ns1:e>
                      <ns1:sub>
                        <ns1:r>
                          <ns1:t>k</ns1:t>
                        </ns1:r>
                      </ns1:sub>
                    </ns1:sSub>
                  </ns1:oMath>
                  <w:r>
                    <w:t xml:space="preserve">)</w:t>
                  </w:r>
                </w:p>
              </w:tc>
              <w:tc>
                <w:tcPr/>
                <w:p>
                  <w:pPr>
                    <w:pStyle w:val="Compact"/>
                    <w:jc w:val="both"/>
                    <w:jc w:val="center"/>
                    <w:spacing w:line="360" w:lineRule="auto"/>
                  </w:pPr>
                  <w:r>
                    <w:t xml:space="preserve">Relevancia causal local</w:t>
                  </w:r>
                </w:p>
              </w:tc>
              <w:tc>
                <w:tcPr/>
                <w:p>
                  <w:pPr>
                    <w:pStyle w:val="Compact"/>
                    <w:jc w:val="both"/>
                    <w:jc w:val="center"/>
                    <w:spacing w:line="360" w:lineRule="auto"/>
                  </w:pPr>
                  <w:r>
                    <w:t xml:space="preserve">Enmascaramiento top-k</w:t>
                  </w:r>
                </w:p>
              </w:tc>
              <w:tc>
                <w:tcPr/>
                <w:p>
                  <w:pPr>
                    <w:pStyle w:val="Compact"/>
                    <w:jc w:val="both"/>
                    <w:jc w:val="center"/>
                    <w:spacing w:line="360" w:lineRule="auto"/>
                  </w:pPr>
                  <w:r>
                    <w:t xml:space="preserve">Faithfulness operacional</w:t>
                  </w:r>
                </w:p>
              </w:tc>
              <w:tc>
                <w:tcPr/>
                <w:p>
                  <w:pPr>
                    <w:pStyle w:val="Compact"/>
                    <w:jc w:val="both"/>
                    <w:jc w:val="center"/>
                    <w:spacing w:line="360" w:lineRule="auto"/>
                  </w:pPr>
                  <w:r>
                    <w:t xml:space="preserve">Diagnóstico, responsabilidad</w:t>
                  </w:r>
                </w:p>
              </w:tc>
            </w:tr>
            <w:tr>
              <w:tc>
                <w:tcPr/>
                <w:p>
                  <w:pPr>
                    <w:pStyle w:val="Compact"/>
                    <w:jc w:val="both"/>
                    <w:jc w:val="center"/>
                    <w:spacing w:line="360" w:lineRule="auto"/>
                  </w:pPr>
                  <w:r>
                    <w:t xml:space="preserve">Coste (</w:t>
                  </w:r>
                  <ns1:oMath>
                    <ns1:r>
                      <ns1:t>C</ns1:t>
                    </ns1:r>
                  </ns1:oMath>
                  <w:r>
                    <w:t xml:space="preserve">)</w:t>
                  </w:r>
                </w:p>
              </w:tc>
              <w:tc>
                <w:tcPr/>
                <w:p>
                  <w:pPr>
                    <w:pStyle w:val="Compact"/>
                    <w:jc w:val="both"/>
                    <w:jc w:val="center"/>
                    <w:spacing w:line="360" w:lineRule="auto"/>
                  </w:pPr>
                  <w:r>
                    <w:t xml:space="preserve">Eficiencia operativa</w:t>
                  </w:r>
                </w:p>
              </w:tc>
              <w:tc>
                <w:tcPr/>
                <w:p>
                  <w:pPr>
                    <w:pStyle w:val="Compact"/>
                    <w:jc w:val="both"/>
                    <w:jc w:val="center"/>
                    <w:spacing w:line="360" w:lineRule="auto"/>
                  </w:pPr>
                  <w:r>
                    <w:t xml:space="preserve">Tiempo de pared por instancia</w:t>
                  </w:r>
                </w:p>
              </w:tc>
              <w:tc>
                <w:tcPr/>
                <w:p>
                  <w:pPr>
                    <w:pStyle w:val="Compact"/>
                    <w:jc w:val="both"/>
                    <w:jc w:val="center"/>
                    <w:spacing w:line="360" w:lineRule="auto"/>
                  </w:pPr>
                  <w:r>
                    <w:t xml:space="preserve">Efficiency</w:t>
                  </w:r>
                </w:p>
              </w:tc>
              <w:tc>
                <w:tcPr/>
                <w:p>
                  <w:pPr>
                    <w:pStyle w:val="Compact"/>
                    <w:jc w:val="both"/>
                    <w:jc w:val="center"/>
                    <w:spacing w:line="360" w:lineRule="auto"/>
                  </w:pPr>
                  <w:r>
                    <w:t xml:space="preserve">Despliegue en tiempo real</w:t>
                  </w:r>
                </w:p>
              </w:tc>
            </w:tr>
          </w:tbl>
          <w:bookmarkEnd w:id="166"/>
          <w:p>
            <w:pPr>
              <w:spacing w:line="360" w:lineRule="auto"/>
              <w:jc w:val="both"/>
            </w:pPr>
          </w:p>
        </w:tc>
      </w:tr>
    </w:tbl>
    <w:p>
      <w:pPr>
        <w:pStyle w:val="Textoindependiente"/>
        <w:spacing w:line="360" w:lineRule="auto"/>
        <w:jc w:val="both"/>
      </w:pPr>
      <w:r>
        <w:t xml:space="preserve">Este mapeo muestra que el benchmark cubre de forma fuerte la evaluación</w:t>
      </w:r>
      <w:r>
        <w:t xml:space="preserve"> </w:t>
      </w:r>
      <w:r>
        <w:t xml:space="preserve">functionally-grounded, pero no cubre directamente los cuadrantes human-centered:</w:t>
      </w:r>
      <w:r>
        <w:t xml:space="preserve"> </w:t>
      </w:r>
      <w:r>
        <w:t xml:space="preserve">plausibilidad, satisfacción, comprehensibilidad y utilidad en tarea humana. Esa</w:t>
      </w:r>
      <w:r>
        <w:t xml:space="preserve"> </w:t>
      </w:r>
      <w:r>
        <w:t xml:space="preserve">ausencia no es una falla del estudio; es una delimitación. La taxonomía permite</w:t>
      </w:r>
      <w:r>
        <w:t xml:space="preserve"> </w:t>
      </w:r>
      <w:r>
        <w:t xml:space="preserve">nombrar el límite con precisión y evita que el resultado estadístico se use para</w:t>
      </w:r>
      <w:r>
        <w:t xml:space="preserve"> </w:t>
      </w:r>
      <w:r>
        <w:t xml:space="preserve">claimar propiedades no medidas.</w:t>
      </w:r>
    </w:p>
    <w:bookmarkEnd w:id="167"/>
    <w:bookmarkStart w:id="168" w:name="sec-taxonomia-contribucion"/>
    <w:p>
      <w:pPr>
        <w:pStyle w:val="Ttulo2"/>
        <w:spacing w:line="360" w:lineRule="auto"/>
        <w:jc w:val="both"/>
      </w:pPr>
      <w:r>
        <w:t xml:space="preserve">Contribución teórica de la taxonomía</w:t>
      </w:r>
    </w:p>
    <w:p>
      <w:pPr>
        <w:pStyle w:val="FirstParagraph"/>
        <w:spacing w:line="360" w:lineRule="auto"/>
        <w:jc w:val="bot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spacing w:line="360" w:lineRule="auto"/>
        <w:jc w:val="both"/>
      </w:pPr>
      <w:r>
        <w:t xml:space="preserve">Primero, las propiedades del eje de calidad no son redundantes. La evidencia</w:t>
      </w:r>
      <w:r>
        <w:t xml:space="preserve"> </w:t>
      </w:r>
      <w:r>
        <w:t xml:space="preserve">empírica de esta tesis muestra que fidelidad y estabilidad son disociables:</w:t>
      </w:r>
      <w:r>
        <w:t xml:space="preserve"> </w:t>
      </w:r>
      <w:r>
        <w:t xml:space="preserve">LIME obtiene una fidelidad media moderada y una estabilidad prácticamente nula.</w:t>
      </w:r>
      <w:r>
        <w:t xml:space="preserve"> </w:t>
      </w:r>
      <w:r>
        <w:t xml:space="preserve">Esta disociación habría sido invisible en un benchmark mono-métrico de</w:t>
      </w:r>
      <w:r>
        <w:t xml:space="preserve"> </w:t>
      </w:r>
      <w:r>
        <w:t xml:space="preserve">fidelidad, lo que confirma que la evaluación multi-métrica organizada por</w:t>
      </w:r>
      <w:r>
        <w:t xml:space="preserve"> </w:t>
      </w:r>
      <w:r>
        <w:t xml:space="preserve">constructos es necesaria para detectar perfiles de riesgo ocultos</w:t>
      </w:r>
      <w:r>
        <w:t xml:space="preserve"> </w:t>
      </w:r>
      <w:r>
        <w:t xml:space="preserve">(Bhattacharya and Verbert 2024; Pawlicki et al. 2024)</w:t>
      </w:r>
      <w:r>
        <w:t xml:space="preserve">.</w:t>
      </w:r>
    </w:p>
    <w:p>
      <w:pPr>
        <w:pStyle w:val="Textoindependiente"/>
        <w:spacing w:line="360" w:lineRule="auto"/>
        <w:jc w:val="both"/>
      </w:pPr>
      <w:r>
        <w:t xml:space="preserve">Segundo, la taxonomía convierte las limitaciones en información científica. Al</w:t>
      </w:r>
      <w:r>
        <w:t xml:space="preserve"> </w:t>
      </w:r>
      <w:r>
        <w:t xml:space="preserve">mostrar que el benchmark no incluye estudios con usuario ni validación causal</w:t>
      </w:r>
      <w:r>
        <w:t xml:space="preserve"> </w:t>
      </w:r>
      <w:r>
        <w:t xml:space="preserve">externa, evita sobreinterpretar los resultados y define qué evidencia sería</w:t>
      </w:r>
      <w:r>
        <w:t xml:space="preserve"> </w:t>
      </w:r>
      <w:r>
        <w:t xml:space="preserve">necesaria para ampliar los claims. Así, FOM-7 y la taxonomía se refuerzan</w:t>
      </w:r>
      <w:r>
        <w:t xml:space="preserve"> </w:t>
      </w:r>
      <w:r>
        <w:t xml:space="preserve">mutuamente: FOM-7 gobierna el flujo de evidencia; la taxonomía gobierna el</w:t>
      </w:r>
      <w:r>
        <w:t xml:space="preserve"> </w:t>
      </w:r>
      <w:r>
        <w:t xml:space="preserve">significado de esa evidencia.</w:t>
      </w:r>
    </w:p>
    <w:p>
      <w:pPr>
        <w:pStyle w:val="Textoindependiente"/>
        <w:spacing w:line="360" w:lineRule="auto"/>
        <w:jc w:val="both"/>
      </w:pPr>
      <w:r>
        <w:t xml:space="preserve">En consecuencia, la taxonomía debe entenderse como una operacionalización</w:t>
      </w:r>
      <w:r>
        <w:t xml:space="preserve"> </w:t>
      </w:r>
      <w:r>
        <w:t xml:space="preserve">doctoral del espacio de evaluación XAI. No reemplaza los marcos existentes; los</w:t>
      </w:r>
      <w:r>
        <w:t xml:space="preserve"> </w:t>
      </w:r>
      <w:r>
        <w:t xml:space="preserve">integra para que cada métrica usada en la tesis tenga una ubicación conceptual,</w:t>
      </w:r>
      <w:r>
        <w:t xml:space="preserve"> </w:t>
      </w:r>
      <w:r>
        <w:t xml:space="preserve">un alcance inferencial y una relación explícita con los resultados empíricos.</w:t>
      </w:r>
    </w:p>
    <w:bookmarkEnd w:id="168"/>
    <w:bookmarkStart w:id="170" w:name="sec-exp4-fiabilidad"/>
    <w:p>
      <w:pPr>
        <w:pStyle w:val="Ttulo2"/>
        <w:spacing w:line="360" w:lineRule="auto"/>
        <w:jc w:val="both"/>
      </w:pPr>
      <w:r>
        <w:t xml:space="preserve">Estudio de fiabilidad de evaluadores semánticos (EXP4)</w:t>
      </w:r>
    </w:p>
    <w:p>
      <w:pPr>
        <w:pStyle w:val="FirstParagraph"/>
        <w:spacing w:line="360" w:lineRule="auto"/>
        <w:jc w:val="both"/>
      </w:pPr>
      <w:r>
        <w:t xml:space="preserve">La Brecha 3 identifica que la evaluación semántica crece más rápido que su base</w:t>
      </w:r>
      <w:r>
        <w:t xml:space="preserve"> </w:t>
      </w:r>
      <w:r>
        <w:t xml:space="preserve">de validación empírica. EXP4 (diseñado en §sec-exp4-diseno, Capítulo 3)</w:t>
      </w:r>
      <w:r>
        <w:t xml:space="preserve"> </w:t>
      </w:r>
      <w:r>
        <w:t xml:space="preserve">cuantifica directamente esa brecha: mide si los jueces LLM actuales alcanzan la</w:t>
      </w:r>
      <w:r>
        <w:t xml:space="preserve"> </w:t>
      </w:r>
      <w:r>
        <w:t xml:space="preserve">convergencia inter-juez necesaria para operar como evidencia confirmativa.</w:t>
      </w:r>
    </w:p>
    <w:p>
      <w:pPr>
        <w:pStyle w:val="Textoindependiente"/>
        <w:spacing w:line="360" w:lineRule="auto"/>
        <w:jc w:val="both"/>
      </w:pPr>
      <w:r>
        <w:rPr>
          <w:b/>
          <w:bCs/>
        </w:rPr>
        <w:t xml:space="preserve">Resultados.</w:t>
      </w:r>
      <w:r>
        <w:t xml:space="preserve"> </w:t>
      </w:r>
      <w:r>
        <w:t xml:space="preserve">La Tabla</w:t>
      </w:r>
      <w:r>
        <w:t xml:space="preserve"> </w:t>
      </w:r>
      <w:hyperlink w:anchor="tbl-exp4-icc">
        <w:r>
          <w:rPr>
            <w:rStyle w:val="Hipervnculo"/>
          </w:rPr>
          <w:t xml:space="preserve">Table 6.3</w:t>
        </w:r>
      </w:hyperlink>
      <w:r>
        <w:t xml:space="preserve"> </w:t>
      </w:r>
      <w:r>
        <w:t xml:space="preserve">reporta ICC(2,1) y</w:t>
      </w:r>
      <w:r>
        <w:t xml:space="preserve"> </w:t>
      </w:r>
      <ns1:oMath>
        <ns1:r>
          <ns1:t>α</ns1:t>
        </ns1:r>
      </ns1:oMath>
      <w:r>
        <w:t xml:space="preserve"> </w:t>
      </w:r>
      <w:r>
        <w:t xml:space="preserve">de</w:t>
      </w:r>
      <w:r>
        <w:t xml:space="preserve"> </w:t>
      </w:r>
      <w:r>
        <w:t xml:space="preserve">Krippendorff por dimensión para los tres jueces LLM sobre</w:t>
      </w:r>
      <w:r>
        <w:t xml:space="preserve"> </w:t>
      </w:r>
      <ns1:oMath>
        <ns1:r>
          <ns1:t>n</ns1:t>
        </ns1:r>
        <ns1:r>
          <ns1:rPr>
            <ns1:sty ns1:val="p"/>
          </ns1:rPr>
          <ns1:t>=</ns1:t>
        </ns1:r>
        <ns1:r>
          <ns1:t>147</ns1:t>
        </ns1:r>
      </ns1:oMath>
      <w:r>
        <w:t xml:space="preserve"> </w:t>
      </w:r>
      <w:r>
        <w:t xml:space="preserve">pares.</w:t>
      </w:r>
      <w:r>
        <w:t xml:space="preserve"> </w:t>
      </w:r>
      <w:r>
        <w:t xml:space="preserve">Ninguna dimensión alcanza el umbral de fiabilidad aceptable (</w:t>
      </w:r>
      <ns1:oMath>
        <ns1:r>
          <ns1:rPr>
            <ns1:sty ns1:val="p"/>
          </ns1:rPr>
          <ns1:t>≥</ns1:t>
        </ns1:r>
        <ns1:r>
          <ns1:t>0.75</ns1:t>
        </ns1:r>
      </ns1:oMath>
      <w:r>
        <w:t xml:space="preserve">)</w:t>
      </w:r>
      <w:r>
        <w:t xml:space="preserve"> </w:t>
      </w:r>
      <w:r>
        <w:t xml:space="preserve">(Koo and Li 2016)</w:t>
      </w:r>
      <w:r>
        <w:t xml:space="preserve">.</w:t>
      </w:r>
    </w:p>
    <w:tbl>
      <w:tblPr>
        <w:tblStyle w:val="Table"/>
        <w:tblW w:type="pct" w:w="5000"/>
        <w:tblLayout w:type="fixed"/>
        <w:tblLook w:firstRow="0" w:lastRow="0" w:firstColumn="0" w:lastColumn="0" w:noHBand="0" w:noVBand="0" w:val="0000"/>
      </w:tblPr>
      <w:tblGrid>
        <w:gridCol w:w="7920"/>
      </w:tblGrid>
      <w:tr>
        <w:tc>
          <w:tcPr/>
          <w:bookmarkStart w:id="169" w:name="tbl-exp4-icc"/>
          <w:p>
            <w:pPr>
              <w:jc w:val="both"/>
              <w:spacing w:line="360" w:lineRule="auto"/>
            </w:pPr>
            <w:pPr>
              <w:jc w:val="left"/>
              <w:spacing w:before="200"/>
              <w:pStyle w:val="ImageCaption"/>
            </w:pPr>
            <w:r>
              <w:t xml:space="preserve">Table 6.3: Fiabilidad inter-juez LLM en siete dimensiones semánticas (EXP4;</w:t>
            </w:r>
            <w:r>
              <w:t xml:space="preserve"> </w:t>
            </w:r>
            <ns1:oMath>
              <ns1:r>
                <ns1:t>n</ns1:t>
              </ns1:r>
              <ns1:r>
                <ns1:rPr>
                  <ns1:sty ns1:val="p"/>
                </ns1:rPr>
                <ns1:t>=</ns1:t>
              </ns1:r>
              <ns1:r>
                <ns1:t>147</ns1:t>
              </ns1:r>
            </ns1:oMath>
            <w:r>
              <w:t xml:space="preserve"> </w:t>
            </w:r>
            <w:r>
              <w:t xml:space="preserve">pares, 3 jueces LLM). ICC(2,1): modelo bidireccional de efectos</w:t>
            </w:r>
            <w:r>
              <w:t xml:space="preserve"> </w:t>
            </w:r>
            <w:r>
              <w:t xml:space="preserve">aleatorios, concordancia absoluta. Ninguna dimensión alcanza el umbral</w:t>
            </w:r>
            <w:r>
              <w:t xml:space="preserve"> </w:t>
            </w:r>
            <w:r>
              <w:t xml:space="preserve">aceptable</w:t>
            </w:r>
            <w:r>
              <w:t xml:space="preserve"> </w:t>
            </w:r>
            <ns1:oMath>
              <ns1:r>
                <ns1:rPr>
                  <ns1:sty ns1:val="p"/>
                </ns1:rPr>
                <ns1:t>≥</ns1:t>
              </ns1:r>
              <ns1:r>
                <ns1:t>0.75</ns1:t>
              </ns1:r>
            </ns1:oMath>
            <w:r>
              <w:t xml:space="preserve"> </w:t>
            </w:r>
            <w:r>
              <w:t xml:space="preserve">(Koo and Li 2016)</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Dimensión</w:t>
                  </w:r>
                </w:p>
              </w:tc>
              <w:tc>
                <w:tcPr/>
                <w:p>
                  <w:pPr>
                    <w:pStyle w:val="Compact"/>
                    <w:jc w:val="both"/>
                    <w:jc w:val="center"/>
                    <w:spacing w:line="360" w:lineRule="auto"/>
                  </w:pPr>
                  <w:r>
                    <w:t xml:space="preserve">ICC(2,1)</w:t>
                  </w:r>
                </w:p>
              </w:tc>
              <w:tc>
                <w:tcPr/>
                <w:p>
                  <w:pPr>
                    <w:pStyle w:val="Compact"/>
                    <w:jc w:val="both"/>
                    <w:jc w:val="center"/>
                    <w:spacing w:line="360" w:lineRule="auto"/>
                  </w:pPr>
                  <w:r>
                    <w:t xml:space="preserve">Krippendorff</w:t>
                  </w:r>
                  <w:r>
                    <w:t xml:space="preserve"> </w:t>
                  </w:r>
                  <ns1:oMath>
                    <ns1:r>
                      <ns1:t>α</ns1:t>
                    </ns1:r>
                  </ns1:oMath>
                </w:p>
              </w:tc>
            </w:tr>
            <w:tr>
              <w:tc>
                <w:tcPr/>
                <w:p>
                  <w:pPr>
                    <w:pStyle w:val="Compact"/>
                    <w:jc w:val="both"/>
                    <w:jc w:val="center"/>
                    <w:spacing w:line="360" w:lineRule="auto"/>
                  </w:pPr>
                  <w:r>
                    <w:t xml:space="preserve">Claridad</w:t>
                  </w:r>
                </w:p>
              </w:tc>
              <w:tc>
                <w:tcPr/>
                <w:p>
                  <w:pPr>
                    <w:pStyle w:val="Compact"/>
                    <w:jc w:val="both"/>
                    <w:jc w:val="center"/>
                    <w:spacing w:line="360" w:lineRule="auto"/>
                  </w:pPr>
                  <w:r>
                    <w:t xml:space="preserve">0.321</w:t>
                  </w:r>
                </w:p>
              </w:tc>
              <w:tc>
                <w:tcPr/>
                <w:p>
                  <w:pPr>
                    <w:pStyle w:val="Compact"/>
                    <w:jc w:val="both"/>
                    <w:jc w:val="center"/>
                    <w:spacing w:line="360" w:lineRule="auto"/>
                  </w:pPr>
                  <w:r>
                    <w:t xml:space="preserve">0.278</w:t>
                  </w:r>
                </w:p>
              </w:tc>
            </w:tr>
            <w:tr>
              <w:tc>
                <w:tcPr/>
                <w:p>
                  <w:pPr>
                    <w:pStyle w:val="Compact"/>
                    <w:jc w:val="both"/>
                    <w:jc w:val="center"/>
                    <w:spacing w:line="360" w:lineRule="auto"/>
                  </w:pPr>
                  <w:r>
                    <w:t xml:space="preserve">Concisión</w:t>
                  </w:r>
                </w:p>
              </w:tc>
              <w:tc>
                <w:tcPr/>
                <w:p>
                  <w:pPr>
                    <w:pStyle w:val="Compact"/>
                    <w:jc w:val="both"/>
                    <w:jc w:val="center"/>
                    <w:spacing w:line="360" w:lineRule="auto"/>
                  </w:pPr>
                  <w:r>
                    <w:t xml:space="preserve">0.453</w:t>
                  </w:r>
                </w:p>
              </w:tc>
              <w:tc>
                <w:tcPr/>
                <w:p>
                  <w:pPr>
                    <w:pStyle w:val="Compact"/>
                    <w:jc w:val="both"/>
                    <w:jc w:val="center"/>
                    <w:spacing w:line="360" w:lineRule="auto"/>
                  </w:pPr>
                  <w:r>
                    <w:t xml:space="preserve">0.409</w:t>
                  </w:r>
                </w:p>
              </w:tc>
            </w:tr>
            <w:tr>
              <w:tc>
                <w:tcPr/>
                <w:p>
                  <w:pPr>
                    <w:pStyle w:val="Compact"/>
                    <w:jc w:val="both"/>
                    <w:jc w:val="center"/>
                    <w:spacing w:line="360" w:lineRule="auto"/>
                  </w:pPr>
                  <w:r>
                    <w:t xml:space="preserve">Accionabilidad</w:t>
                  </w:r>
                </w:p>
              </w:tc>
              <w:tc>
                <w:tcPr/>
                <w:p>
                  <w:pPr>
                    <w:pStyle w:val="Compact"/>
                    <w:jc w:val="both"/>
                    <w:jc w:val="center"/>
                    <w:spacing w:line="360" w:lineRule="auto"/>
                  </w:pPr>
                  <w:r>
                    <w:t xml:space="preserve">0.400</w:t>
                  </w:r>
                </w:p>
              </w:tc>
              <w:tc>
                <w:tcPr/>
                <w:p>
                  <w:pPr>
                    <w:pStyle w:val="Compact"/>
                    <w:jc w:val="both"/>
                    <w:jc w:val="center"/>
                    <w:spacing w:line="360" w:lineRule="auto"/>
                  </w:pPr>
                  <w:r>
                    <w:t xml:space="preserve">0.362</w:t>
                  </w:r>
                </w:p>
              </w:tc>
            </w:tr>
            <w:tr>
              <w:tc>
                <w:tcPr/>
                <w:p>
                  <w:pPr>
                    <w:pStyle w:val="Compact"/>
                    <w:jc w:val="both"/>
                    <w:jc w:val="center"/>
                    <w:spacing w:line="360" w:lineRule="auto"/>
                  </w:pPr>
                  <w:r>
                    <w:t xml:space="preserve">Utilidad para auditoría</w:t>
                  </w:r>
                </w:p>
              </w:tc>
              <w:tc>
                <w:tcPr/>
                <w:p>
                  <w:pPr>
                    <w:pStyle w:val="Compact"/>
                    <w:jc w:val="both"/>
                    <w:jc w:val="center"/>
                    <w:spacing w:line="360" w:lineRule="auto"/>
                  </w:pPr>
                  <w:r>
                    <w:t xml:space="preserve">0.376</w:t>
                  </w:r>
                </w:p>
              </w:tc>
              <w:tc>
                <w:tcPr/>
                <w:p>
                  <w:pPr>
                    <w:pStyle w:val="Compact"/>
                    <w:jc w:val="both"/>
                    <w:jc w:val="center"/>
                    <w:spacing w:line="360" w:lineRule="auto"/>
                  </w:pPr>
                  <w:r>
                    <w:t xml:space="preserve">0.340</w:t>
                  </w:r>
                </w:p>
              </w:tc>
            </w:tr>
            <w:tr>
              <w:tc>
                <w:tcPr/>
                <w:p>
                  <w:pPr>
                    <w:pStyle w:val="Compact"/>
                    <w:jc w:val="both"/>
                    <w:jc w:val="center"/>
                    <w:spacing w:line="360" w:lineRule="auto"/>
                  </w:pPr>
                  <w:r>
                    <w:t xml:space="preserve">Completitud</w:t>
                  </w:r>
                </w:p>
              </w:tc>
              <w:tc>
                <w:tcPr/>
                <w:p>
                  <w:pPr>
                    <w:pStyle w:val="Compact"/>
                    <w:jc w:val="both"/>
                    <w:jc w:val="center"/>
                    <w:spacing w:line="360" w:lineRule="auto"/>
                  </w:pPr>
                  <w:r>
                    <w:t xml:space="preserve">0.585</w:t>
                  </w:r>
                </w:p>
              </w:tc>
              <w:tc>
                <w:tcPr/>
                <w:p>
                  <w:pPr>
                    <w:pStyle w:val="Compact"/>
                    <w:jc w:val="both"/>
                    <w:jc w:val="center"/>
                    <w:spacing w:line="360" w:lineRule="auto"/>
                  </w:pPr>
                  <w:r>
                    <w:t xml:space="preserve">0.566</w:t>
                  </w:r>
                </w:p>
              </w:tc>
            </w:tr>
            <w:tr>
              <w:tc>
                <w:tcPr/>
                <w:p>
                  <w:pPr>
                    <w:pStyle w:val="Compact"/>
                    <w:jc w:val="both"/>
                    <w:jc w:val="center"/>
                    <w:spacing w:line="360" w:lineRule="auto"/>
                  </w:pPr>
                  <w:r>
                    <w:t xml:space="preserve">Plausibilidad semántica</w:t>
                  </w:r>
                </w:p>
              </w:tc>
              <w:tc>
                <w:tcPr/>
                <w:p>
                  <w:pPr>
                    <w:pStyle w:val="Compact"/>
                    <w:jc w:val="both"/>
                    <w:jc w:val="center"/>
                    <w:spacing w:line="360" w:lineRule="auto"/>
                  </w:pPr>
                  <w:r>
                    <w:t xml:space="preserve">0.601</w:t>
                  </w:r>
                </w:p>
              </w:tc>
              <w:tc>
                <w:tcPr/>
                <w:p>
                  <w:pPr>
                    <w:pStyle w:val="Compact"/>
                    <w:jc w:val="both"/>
                    <w:jc w:val="center"/>
                    <w:spacing w:line="360" w:lineRule="auto"/>
                  </w:pPr>
                  <w:r>
                    <w:t xml:space="preserve">0.573</w:t>
                  </w:r>
                </w:p>
              </w:tc>
            </w:tr>
            <w:tr>
              <w:tc>
                <w:tcPr/>
                <w:p>
                  <w:pPr>
                    <w:pStyle w:val="Compact"/>
                    <w:jc w:val="both"/>
                    <w:jc w:val="center"/>
                    <w:spacing w:line="360" w:lineRule="auto"/>
                  </w:pPr>
                  <w:r>
                    <w:t xml:space="preserve">Calidad global</w:t>
                  </w:r>
                </w:p>
              </w:tc>
              <w:tc>
                <w:tcPr/>
                <w:p>
                  <w:pPr>
                    <w:pStyle w:val="Compact"/>
                    <w:jc w:val="both"/>
                    <w:jc w:val="center"/>
                    <w:spacing w:line="360" w:lineRule="auto"/>
                  </w:pPr>
                  <w:r>
                    <w:t xml:space="preserve">0.431</w:t>
                  </w:r>
                </w:p>
              </w:tc>
              <w:tc>
                <w:tcPr/>
                <w:p>
                  <w:pPr>
                    <w:pStyle w:val="Compact"/>
                    <w:jc w:val="both"/>
                    <w:jc w:val="center"/>
                    <w:spacing w:line="360" w:lineRule="auto"/>
                  </w:pPr>
                  <w:r>
                    <w:t xml:space="preserve">0.394</w:t>
                  </w:r>
                </w:p>
              </w:tc>
            </w:tr>
          </w:tbl>
          <w:bookmarkEnd w:id="169"/>
          <w:p>
            <w:pPr>
              <w:spacing w:line="360" w:lineRule="auto"/>
              <w:jc w:val="both"/>
            </w:pPr>
          </w:p>
        </w:tc>
      </w:tr>
    </w:tbl>
    <w:p>
      <w:pPr>
        <w:pStyle w:val="Textoindependiente"/>
        <w:spacing w:line="360" w:lineRule="auto"/>
        <w:jc w:val="both"/>
      </w:pPr>
      <w:r>
        <w:t xml:space="preserve">Las dimensiones con mayor consistencia relativa son Completitud</w:t>
      </w:r>
      <w:r>
        <w:t xml:space="preserve"> </w:t>
      </w:r>
      <w:r>
        <w:t xml:space="preserve">(</w:t>
      </w:r>
      <ns1:oMath>
        <ns1:r>
          <ns1:t>α</ns1:t>
        </ns1:r>
        <ns1:r>
          <ns1:rPr>
            <ns1:sty ns1:val="p"/>
          </ns1:rPr>
          <ns1:t>=</ns1:t>
        </ns1:r>
        <ns1:r>
          <ns1:t>0.566</ns1:t>
        </ns1:r>
      </ns1:oMath>
      <w:r>
        <w:t xml:space="preserve">) y Plausibilidad Semántica (</w:t>
      </w:r>
      <ns1:oMath>
        <ns1:r>
          <ns1:t>α</ns1:t>
        </ns1:r>
        <ns1:r>
          <ns1:rPr>
            <ns1:sty ns1:val="p"/>
          </ns1:rPr>
          <ns1:t>=</ns1:t>
        </ns1:r>
        <ns1:r>
          <ns1:t>0.573</ns1:t>
        </ns1:r>
      </ns1:oMath>
      <w:r>
        <w:t xml:space="preserve">); las de</w:t>
      </w:r>
      <w:r>
        <w:t xml:space="preserve"> </w:t>
      </w:r>
      <w:r>
        <w:t xml:space="preserve">menor consistencia son Claridad (</w:t>
      </w:r>
      <ns1:oMath>
        <ns1:r>
          <ns1:t>α</ns1:t>
        </ns1:r>
        <ns1:r>
          <ns1:rPr>
            <ns1:sty ns1:val="p"/>
          </ns1:rPr>
          <ns1:t>=</ns1:t>
        </ns1:r>
        <ns1:r>
          <ns1:t>0.278</ns1:t>
        </ns1:r>
      </ns1:oMath>
      <w:r>
        <w:t xml:space="preserve">) y Utilidad para auditoría</w:t>
      </w:r>
      <w:r>
        <w:t xml:space="preserve"> </w:t>
      </w:r>
      <w:r>
        <w:t xml:space="preserve">(</w:t>
      </w:r>
      <ns1:oMath>
        <ns1:r>
          <ns1:t>α</ns1:t>
        </ns1:r>
        <ns1:r>
          <ns1:rPr>
            <ns1:sty ns1:val="p"/>
          </ns1:rPr>
          <ns1:t>=</ns1:t>
        </ns1:r>
        <ns1:r>
          <ns1:t>0.340</ns1:t>
        </ns1:r>
      </ns1:oMath>
      <w:r>
        <w:t xml:space="preserve">). Los valores ICC(2,1) entre 0.321 y 0.601 se clasifican</w:t>
      </w:r>
      <w:r>
        <w:t xml:space="preserve"> </w:t>
      </w:r>
      <w:r>
        <w:t xml:space="preserve">como fiabilidad</w:t>
      </w:r>
      <w:r>
        <w:t xml:space="preserve"> </w:t>
      </w:r>
      <w:r>
        <w:rPr>
          <w:i/>
          <w:iCs/>
        </w:rPr>
        <w:t xml:space="preserve">poor</w:t>
      </w:r>
      <w:r>
        <w:t xml:space="preserve"> </w:t>
      </w:r>
      <w:r>
        <w:t xml:space="preserve">a</w:t>
      </w:r>
      <w:r>
        <w:t xml:space="preserve"> </w:t>
      </w:r>
      <w:r>
        <w:rPr>
          <w:i/>
          <w:iCs/>
        </w:rPr>
        <w:t xml:space="preserve">moderate</w:t>
      </w:r>
      <w:r>
        <w:t xml:space="preserve"> </w:t>
      </w:r>
      <w:r>
        <w:t xml:space="preserve">según</w:t>
      </w:r>
      <w:r>
        <w:t xml:space="preserve"> </w:t>
      </w:r>
      <w:r>
        <w:t xml:space="preserve">Koo and Li (2016)</w:t>
      </w:r>
      <w:r>
        <w:t xml:space="preserve">, situándose en todos los</w:t>
      </w:r>
      <w:r>
        <w:t xml:space="preserve"> </w:t>
      </w:r>
      <w:r>
        <w:t xml:space="preserve">casos por debajo de la categoría</w:t>
      </w:r>
      <w:r>
        <w:t xml:space="preserve"> </w:t>
      </w:r>
      <w:r>
        <w:rPr>
          <w:i/>
          <w:iCs/>
        </w:rPr>
        <w:t xml:space="preserve">good</w:t>
      </w:r>
      <w:r>
        <w:t xml:space="preserve">.</w:t>
      </w:r>
    </w:p>
    <w:p>
      <w:pPr>
        <w:pStyle w:val="Textoindependiente"/>
        <w:spacing w:line="360" w:lineRule="auto"/>
        <w:jc w:val="both"/>
      </w:pPr>
      <w:r>
        <w:rPr>
          <w:b/>
          <w:bCs/>
        </w:rPr>
        <w:t xml:space="preserve">Interpretación.</w:t>
      </w:r>
      <w:r>
        <w:t xml:space="preserve"> </w:t>
      </w:r>
      <w:r>
        <w:t xml:space="preserve">La diferencia entre dimensiones de alta y baja consistencia</w:t>
      </w:r>
      <w:r>
        <w:t xml:space="preserve"> </w:t>
      </w:r>
      <w:r>
        <w:t xml:space="preserve">es interpretable: Completitud y Plausibilidad Semántica tienen referentes</w:t>
      </w:r>
      <w:r>
        <w:t xml:space="preserve"> </w:t>
      </w:r>
      <w:r>
        <w:t xml:space="preserve">relativamente objetivos (¿cubre los factores relevantes?, ¿es coherente con el</w:t>
      </w:r>
      <w:r>
        <w:t xml:space="preserve"> </w:t>
      </w:r>
      <w:r>
        <w:t xml:space="preserve">dominio?), mientras que Claridad y Utilidad para auditoría dependen del perfil</w:t>
      </w:r>
      <w:r>
        <w:t xml:space="preserve"> </w:t>
      </w:r>
      <w:r>
        <w:t xml:space="preserve">del destinatario y el contexto de uso, que la rúbrica no especificó. Esto</w:t>
      </w:r>
      <w:r>
        <w:t xml:space="preserve"> </w:t>
      </w:r>
      <w:r>
        <w:t xml:space="preserve">señala un déficit de formalización: el juez no tiene acceso al stakeholder ni</w:t>
      </w:r>
      <w:r>
        <w:t xml:space="preserve"> </w:t>
      </w:r>
      <w:r>
        <w:t xml:space="preserve">al contexto de tarea al calificar, lo que introduce varianza inter-juez evitable.</w:t>
      </w:r>
    </w:p>
    <w:p>
      <w:pPr>
        <w:pStyle w:val="Textoindependiente"/>
        <w:spacing w:line="360" w:lineRule="auto"/>
        <w:jc w:val="both"/>
      </w:pPr>
      <w:r>
        <w:rPr>
          <w:b/>
          <w:bCs/>
        </w:rPr>
        <w:t xml:space="preserve">Consecuencias para el diseño de evaluación semántica.</w:t>
      </w:r>
      <w:r>
        <w:t xml:space="preserve"> </w:t>
      </w:r>
      <w:r>
        <w:t xml:space="preserve">EXP4 confirma</w:t>
      </w:r>
      <w:r>
        <w:t xml:space="preserve"> </w:t>
      </w:r>
      <w:r>
        <w:t xml:space="preserve">cuantitativamente la Brecha 3: los jueces LLM actuales, bajo rúbricas sin</w:t>
      </w:r>
      <w:r>
        <w:t xml:space="preserve"> </w:t>
      </w:r>
      <w:r>
        <w:t xml:space="preserve">especificación de stakeholder ni criterio de corrección explícito, no alcanzan</w:t>
      </w:r>
      <w:r>
        <w:t xml:space="preserve"> </w:t>
      </w:r>
      <w:r>
        <w:t xml:space="preserve">la convergencia necesaria para afirmaciones confirmativas. Esto no clausura la</w:t>
      </w:r>
      <w:r>
        <w:t xml:space="preserve"> </w:t>
      </w:r>
      <w:r>
        <w:t xml:space="preserve">evaluación semántica; establece los requisitos que las rúbricas deben satisfacer:</w:t>
      </w:r>
      <w:r>
        <w:t xml:space="preserve"> </w:t>
      </w:r>
      <w:r>
        <w:t xml:space="preserve">(i) especificación de la necesidad informativa del stakeholder, (ii) definición</w:t>
      </w:r>
      <w:r>
        <w:t xml:space="preserve"> </w:t>
      </w:r>
      <w:r>
        <w:t xml:space="preserve">de un criterio de corrección o referencia verificable, (iii) separación de</w:t>
      </w:r>
      <w:r>
        <w:t xml:space="preserve"> </w:t>
      </w:r>
      <w:r>
        <w:t xml:space="preserve">desiderata secundarios de la dimensión central, y (iv) calibración contra juicios</w:t>
      </w:r>
      <w:r>
        <w:t xml:space="preserve"> </w:t>
      </w:r>
      <w:r>
        <w:t xml:space="preserve">humanos expertos antes del uso confirmativo. Estos requisitos son la</w:t>
      </w:r>
      <w:r>
        <w:t xml:space="preserve"> </w:t>
      </w:r>
      <w:r>
        <w:t xml:space="preserve">operacionalización doctoral de la Brecha 3 y constituyen la agenda de</w:t>
      </w:r>
      <w:r>
        <w:t xml:space="preserve"> </w:t>
      </w:r>
      <w:r>
        <w:t xml:space="preserve">investigación directamente derivada de esta taxonomía.</w:t>
      </w:r>
    </w:p>
    <w:p>
      <w:pPr>
        <w:pStyle w:val="Textoindependiente"/>
        <w:spacing w:line="360" w:lineRule="auto"/>
        <w:jc w:val="both"/>
      </w:pPr>
      <w:r>
        <w:t xml:space="preserve">Este capítulo ha establecido la tercera contribución doctoral: una taxonomía de</w:t>
      </w:r>
      <w:r>
        <w:t xml:space="preserve"> </w:t>
      </w:r>
      <w:r>
        <w:t xml:space="preserve">cuatro ejes que organiza el espacio de métricas XAI, localiza las cinco métricas</w:t>
      </w:r>
      <w:r>
        <w:t xml:space="preserve"> </w:t>
      </w:r>
      <w:r>
        <w:t xml:space="preserve">del benchmark en su cuadrante correspondiente y hace explícito el alcance</w:t>
      </w:r>
      <w:r>
        <w:t xml:space="preserve"> </w:t>
      </w:r>
      <w:r>
        <w:t xml:space="preserve">inferencial de cada una. La consecuencia teórica de esta revisión es que la</w:t>
      </w:r>
      <w:r>
        <w:t xml:space="preserve"> </w:t>
      </w:r>
      <w:r>
        <w:t xml:space="preserve">evaluación XAI no puede reducirse a un único criterio ni generalizarse a</w:t>
      </w:r>
      <w:r>
        <w:t xml:space="preserve"> </w:t>
      </w:r>
      <w:r>
        <w:t xml:space="preserve">dominios de usuario sin evidencia adicional: cada métrica responde a una</w:t>
      </w:r>
      <w:r>
        <w:t xml:space="preserve"> </w:t>
      </w:r>
      <w:r>
        <w:t xml:space="preserve">pregunta específica sobre un tipo de objeto explicativo en un contexto de uso</w:t>
      </w:r>
      <w:r>
        <w:t xml:space="preserve"> </w:t>
      </w:r>
      <w:r>
        <w:t xml:space="preserve">determinado. El Capítulo 6 cierra la tesis sintetizando las tres contribuciones,</w:t>
      </w:r>
      <w:r>
        <w:t xml:space="preserve"> </w:t>
      </w:r>
      <w:r>
        <w:t xml:space="preserve">posicionándolas respecto a la literatura más cercana, reconociendo las</w:t>
      </w:r>
      <w:r>
        <w:t xml:space="preserve"> </w:t>
      </w:r>
      <w:r>
        <w:t xml:space="preserve">limitaciones con precisión y trazando las líneas de investigación futura que</w:t>
      </w:r>
      <w:r>
        <w:t xml:space="preserve"> </w:t>
      </w:r>
      <w:r>
        <w:t xml:space="preserve">emergen directamente de los hallazgos y las fronteras de la taxonomía.</w:t>
      </w:r>
    </w:p>
    <w:bookmarkEnd w:id="170"/>
    <w:bookmarkEnd w:id="171"/>
    <w:bookmarkStart w:id="187" w:name="conclusiones"/>
    <w:p>
      <w:pPr>
        <w:pStyle w:val="Ttulo1"/>
        <w:spacing w:line="360" w:lineRule="auto"/>
        <w:jc w:val="both"/>
      </w:pPr>
      <w:r>
        <w:t xml:space="preserve">Conclusiones</w:t>
      </w:r>
    </w:p>
    <w:p>
      <w:pPr>
        <w:pStyle w:val="FirstParagraph"/>
        <w:spacing w:line="360" w:lineRule="auto"/>
        <w:jc w:val="both"/>
      </w:pPr>
      <w:r>
        <w:t xml:space="preserve">Esta tesis parte de una constatación empírica recurrente en la literatura: el</w:t>
      </w:r>
      <w:r>
        <w:t xml:space="preserve"> </w:t>
      </w:r>
      <w:r>
        <w:t xml:space="preserve">campo de la evaluación de métodos XAI carece de marcos operativos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vinculación</w:t>
      </w:r>
      <w:r>
        <w:t xml:space="preserve"> </w:t>
      </w:r>
      <w:r>
        <w:t xml:space="preserve">auditable entre diseño experimental, artefactos de resultado y afirmaciones</w:t>
      </w:r>
      <w:r>
        <w:t xml:space="preserve"> </w:t>
      </w:r>
      <w:r>
        <w:t xml:space="preserve">inferenciales. Esta tesis responde a ese problema con tres contribuciones</w:t>
      </w:r>
      <w:r>
        <w:t xml:space="preserve"> </w:t>
      </w:r>
      <w:r>
        <w:t xml:space="preserve">articuladas: la secuencia operativa FOM-7, un benchmark multi-métrico sobre</w:t>
      </w:r>
      <w:r>
        <w:t xml:space="preserve"> </w:t>
      </w:r>
      <w:r>
        <w:t xml:space="preserve">datos tabulares reales y una taxonomía del espacio de métricas de evaluación XAI.</w:t>
      </w:r>
    </w:p>
    <w:bookmarkStart w:id="174" w:name="sec-respuesta"/>
    <w:p>
      <w:pPr>
        <w:pStyle w:val="Ttulo2"/>
        <w:spacing w:line="360" w:lineRule="auto"/>
        <w:jc w:val="both"/>
      </w:pPr>
      <w:r>
        <w:t xml:space="preserve">Respuesta al problema de investigación e hipótesis</w:t>
      </w:r>
    </w:p>
    <w:p>
      <w:pPr>
        <w:pStyle w:val="FirstParagraph"/>
        <w:spacing w:line="360" w:lineRule="auto"/>
        <w:jc w:val="bot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spacing w:line="360" w:lineRule="auto"/>
        <w:jc w:val="both"/>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robustas bajo el protocolo FOM-7. La respuesta directa es:</w:t>
      </w:r>
      <w:r>
        <w:t xml:space="preserve"> </w:t>
      </w:r>
      <w:r>
        <w:rPr>
          <w:b/>
          <w:bCs/>
        </w:rPr>
        <w:t xml:space="preserve">SHAP presenta el mejor perfil de fidelidad y estabilidad en los contextos</w:t>
      </w:r>
      <w:r>
        <w:rPr>
          <w:b/>
          <w:bCs/>
        </w:rPr>
        <w:t xml:space="preserve"> </w:t>
      </w:r>
      <w:r>
        <w:rPr>
          <w:b/>
          <w:bCs/>
        </w:rPr>
        <w:t xml:space="preserve">modelo-muestra evaluados; LIME es una alternativa cuando el coste computacional</w:t>
      </w:r>
      <w:r>
        <w:rPr>
          <w:b/>
          <w:bCs/>
        </w:rPr>
        <w:t xml:space="preserve"> </w:t>
      </w:r>
      <w:r>
        <w:rPr>
          <w:b/>
          <w:bCs/>
        </w:rPr>
        <w:t xml:space="preserve">es crítico, con la condición de aceptar explicaciones inestables; Anchors y</w:t>
      </w:r>
      <w:r>
        <w:rPr>
          <w:b/>
          <w:bCs/>
        </w:rPr>
        <w:t xml:space="preserve"> </w:t>
      </w:r>
      <w:r>
        <w:rPr>
          <w:b/>
          <w:bCs/>
        </w:rPr>
        <w:t xml:space="preserve">DiCE atienden objetivos explicativos cualitativamente distintos que las métricas</w:t>
      </w:r>
      <w:r>
        <w:rPr>
          <w:b/>
          <w:bCs/>
        </w:rPr>
        <w:t xml:space="preserve"> </w:t>
      </w:r>
      <w:r>
        <w:rPr>
          <w:b/>
          <w:bCs/>
        </w:rPr>
        <w:t xml:space="preserve">de atribución no capturan plenamente.</w:t>
      </w:r>
      <w:r>
        <w:t xml:space="preserve"> </w:t>
      </w:r>
      <w:r>
        <w:t xml:space="preserve">Esta orientación es robusta: emerge de</w:t>
      </w:r>
      <w:r>
        <w:t xml:space="preserve"> </w:t>
      </w:r>
      <w:r>
        <w:t xml:space="preserve">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spacing w:line="360" w:lineRule="auto"/>
        <w:jc w:val="both"/>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72" w:name="tbl-hipotesis"/>
          <w:p>
            <w:pPr>
              <w:jc w:val="both"/>
              <w:spacing w:line="360" w:lineRule="auto"/>
            </w:pPr>
            <w:pPr>
              <w:jc w:val="left"/>
              <w:spacing w:before="200"/>
              <w:pStyle w:val="ImageCaption"/>
            </w:pPr>
            <w:r>
              <w:t xml:space="preserve">Table 7.1: Síntesis de hipótesis y proposiciones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both"/>
                    <w:spacing w:line="360" w:lineRule="auto"/>
                  </w:pPr>
                  <w:r>
                    <w:t xml:space="preserve">Hipótesis / Proposición</w:t>
                  </w:r>
                </w:p>
              </w:tc>
              <w:tc>
                <w:tcPr/>
                <w:p>
                  <w:pPr>
                    <w:pStyle w:val="Compact"/>
                    <w:jc w:val="both"/>
                    <w:spacing w:line="360" w:lineRule="auto"/>
                  </w:pPr>
                  <w:r>
                    <w:t xml:space="preserve">Resultado</w:t>
                  </w:r>
                </w:p>
              </w:tc>
              <w:tc>
                <w:tcPr/>
                <w:p>
                  <w:pPr>
                    <w:pStyle w:val="Compact"/>
                    <w:jc w:val="both"/>
                    <w:spacing w:line="360" w:lineRule="auto"/>
                  </w:pPr>
                  <w:r>
                    <w:t xml:space="preserve">Estadístico clave</w:t>
                  </w:r>
                </w:p>
              </w:tc>
            </w:tr>
            <w:tr>
              <w:tc>
                <w:tcPr/>
                <w:p>
                  <w:pPr>
                    <w:pStyle w:val="Compact"/>
                    <w:jc w:val="both"/>
                    <w:spacing w:line="360" w:lineRule="auto"/>
                  </w:pPr>
                  <w:r>
                    <w:t xml:space="preserve">H1: diferencias en fidelidad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42.12</ns1:t>
                    </ns1:r>
                  </ns1:oMath>
                  <w:r>
                    <w:t xml:space="preserve">; margen 439%</w:t>
                  </w:r>
                </w:p>
              </w:tc>
            </w:tr>
            <w:tr>
              <w:tc>
                <w:tcPr/>
                <w:p>
                  <w:pPr>
                    <w:pStyle w:val="Compact"/>
                    <w:jc w:val="both"/>
                    <w:spacing w:line="360" w:lineRule="auto"/>
                  </w:pPr>
                  <w:r>
                    <w:t xml:space="preserve">H2: diferencias en estabilidad</w:t>
                  </w:r>
                </w:p>
              </w:tc>
              <w:tc>
                <w:tcPr/>
                <w:p>
                  <w:pPr>
                    <w:pStyle w:val="Compact"/>
                    <w:jc w:val="both"/>
                    <w:spacing w:line="360" w:lineRule="auto"/>
                  </w:pPr>
                  <w:r>
                    <w:rPr>
                      <w:b/>
                      <w:bCs/>
                    </w:rPr>
                    <w:t xml:space="preserve">Confirmada</w:t>
                  </w:r>
                </w:p>
              </w:tc>
              <w:tc>
                <w:tcPr/>
                <w:p>
                  <w:pPr>
                    <w:pStyle w:val="Compact"/>
                    <w:jc w:val="both"/>
                    <w:spacing w:line="360" w:lineRule="auto"/>
                  </w:pPr>
                  <ns1:oMath>
                    <ns1:sSubSup>
                      <ns1:e>
                        <ns1:r>
                          <ns1:t>χ</ns1:t>
                        </ns1:r>
                      </ns1:e>
                      <ns1:sub>
                        <ns1:r>
                          <ns1:t>F</ns1:t>
                        </ns1:r>
                      </ns1:sub>
                      <ns1:sup>
                        <ns1:r>
                          <ns1:t>2</ns1:t>
                        </ns1:r>
                      </ns1:sup>
                    </ns1:sSubSup>
                    <ns1:r>
                      <ns1:rPr>
                        <ns1:sty ns1:val="p"/>
                      </ns1:rPr>
                      <ns1:t>=</ns1:t>
                    </ns1:r>
                    <ns1:r>
                      <ns1:t>40.68</ns1:t>
                    </ns1:r>
                  </ns1:oMath>
                  <w:r>
                    <w:t xml:space="preserve">; margen 421%</w:t>
                  </w:r>
                </w:p>
              </w:tc>
            </w:tr>
            <w:tr>
              <w:tc>
                <w:tcPr/>
                <w:p>
                  <w:pPr>
                    <w:pStyle w:val="Compact"/>
                    <w:jc w:val="both"/>
                    <w:spacing w:line="360" w:lineRule="auto"/>
                  </w:pPr>
                  <w:r>
                    <w:t xml:space="preserve">H3: SHAP-LIME difieren en calidad y coste</w:t>
                  </w:r>
                </w:p>
              </w:tc>
              <w:tc>
                <w:tcPr/>
                <w:p>
                  <w:pPr>
                    <w:pStyle w:val="Compact"/>
                    <w:jc w:val="both"/>
                    <w:spacing w:line="360" w:lineRule="auto"/>
                  </w:pPr>
                  <w:r>
                    <w:rPr>
                      <w:b/>
                      <w:bCs/>
                    </w:rPr>
                    <w:t xml:space="preserve">Confirmada</w:t>
                  </w:r>
                </w:p>
              </w:tc>
              <w:tc>
                <w:tcPr/>
                <w:p>
                  <w:pPr>
                    <w:pStyle w:val="Compact"/>
                    <w:jc w:val="both"/>
                    <w:spacing w:line="360" w:lineRule="auto"/>
                  </w:pPr>
                  <ns1:oMath>
                    <ns1:sSub>
                      <ns1:e>
                        <ns1:r>
                          <ns1:t>d</ns1:t>
                        </ns1:r>
                      </ns1:e>
                      <ns1:sub>
                        <ns1:r>
                          <ns1:t>z</ns1:t>
                        </ns1:r>
                      </ns1:sub>
                    </ns1:sSub>
                    <ns1:r>
                      <ns1:rPr>
                        <ns1:sty ns1:val="p"/>
                      </ns1:rPr>
                      <ns1:t>=</ns1:t>
                    </ns1:r>
                    <ns1:r>
                      <ns1:rPr>
                        <ns1:sty ns1:val="p"/>
                      </ns1:rPr>
                      <ns1:t>+</ns1:t>
                    </ns1:r>
                    <ns1:r>
                      <ns1:t>4.82</ns1:t>
                    </ns1:r>
                  </ns1:oMath>
                  <w:r>
                    <w:t xml:space="preserve"> </w:t>
                  </w:r>
                  <w:r>
                    <w:t xml:space="preserve">(fidelidad);</w:t>
                  </w:r>
                  <w:r>
                    <w:t xml:space="preserve"> </w:t>
                  </w:r>
                  <ns1:oMath>
                    <ns1:sSub>
                      <ns1:e>
                        <ns1:r>
                          <ns1:t>d</ns1:t>
                        </ns1:r>
                      </ns1:e>
                      <ns1:sub>
                        <ns1:r>
                          <ns1:t>z</ns1:t>
                        </ns1:r>
                      </ns1:sub>
                    </ns1:sSub>
                    <ns1:r>
                      <ns1:rPr>
                        <ns1:sty ns1:val="p"/>
                      </ns1:rPr>
                      <ns1:t>=</ns1:t>
                    </ns1:r>
                    <ns1:r>
                      <ns1:rPr>
                        <ns1:sty ns1:val="p"/>
                      </ns1:rPr>
                      <ns1:t>+</ns1:t>
                    </ns1:r>
                    <ns1:r>
                      <ns1:t>3.00</ns1:t>
                    </ns1:r>
                  </ns1:oMath>
                  <w:r>
                    <w:t xml:space="preserve"> </w:t>
                  </w:r>
                  <w:r>
                    <w:t xml:space="preserve">(estabilidad); 75/75 positivas</w:t>
                  </w:r>
                </w:p>
              </w:tc>
            </w:tr>
            <w:tr>
              <w:tc>
                <w:tcPr/>
                <w:p>
                  <w:pPr>
                    <w:pStyle w:val="Compact"/>
                    <w:jc w:val="both"/>
                    <w:spacing w:line="360" w:lineRule="auto"/>
                  </w:pPr>
                  <w:r>
                    <w:t xml:space="preserve">P1: CV &lt; 15% en métricas primarias</w:t>
                  </w:r>
                </w:p>
              </w:tc>
              <w:tc>
                <w:tcPr/>
                <w:p>
                  <w:pPr>
                    <w:pStyle w:val="Compact"/>
                    <w:jc w:val="both"/>
                    <w:spacing w:line="360" w:lineRule="auto"/>
                  </w:pPr>
                  <w:r>
                    <w:rPr>
                      <w:b/>
                      <w:bCs/>
                    </w:rPr>
                    <w:t xml:space="preserve">Parcialmente confirmada</w:t>
                  </w:r>
                </w:p>
              </w:tc>
              <w:tc>
                <w:tcPr/>
                <w:p>
                  <w:pPr>
                    <w:pStyle w:val="Compact"/>
                    <w:jc w:val="both"/>
                    <w:spacing w:line="360" w:lineRule="auto"/>
                  </w:pPr>
                  <w:r>
                    <w:t xml:space="preserve">SHAP-fidelidad: CV=0.8%; LIME-estabilidad: CV=86.2% (incoherencia estructural, no ruido del protocolo)</w:t>
                  </w:r>
                </w:p>
              </w:tc>
            </w:tr>
            <w:tr>
              <w:tc>
                <w:tcPr/>
                <w:p>
                  <w:pPr>
                    <w:pStyle w:val="Compact"/>
                    <w:jc w:val="both"/>
                    <w:spacing w:line="360" w:lineRule="auto"/>
                  </w:pPr>
                  <w:r>
                    <w:t xml:space="preserve">P2: Jueces LLM alcanzan fiabilidad aceptable en evaluación semántica XAI</w:t>
                  </w:r>
                </w:p>
              </w:tc>
              <w:tc>
                <w:tcPr/>
                <w:p>
                  <w:pPr>
                    <w:pStyle w:val="Compact"/>
                    <w:jc w:val="both"/>
                    <w:spacing w:line="360" w:lineRule="auto"/>
                  </w:pPr>
                  <w:r>
                    <w:rPr>
                      <w:b/>
                      <w:bCs/>
                    </w:rPr>
                    <w:t xml:space="preserve">No confirmada (resultado negativo)</w:t>
                  </w:r>
                </w:p>
              </w:tc>
              <w:tc>
                <w:tcPr/>
                <w:p>
                  <w:pPr>
                    <w:pStyle w:val="Compact"/>
                    <w:jc w:val="both"/>
                    <w:spacing w:line="360" w:lineRule="auto"/>
                  </w:pPr>
                  <w:r>
                    <w:t xml:space="preserve">ICC(2,1) entre 0.321 y 0.601; ninguna dimensión alcanza umbral</w:t>
                  </w:r>
                  <w:r>
                    <w:t xml:space="preserve"> </w:t>
                  </w:r>
                  <ns1:oMath>
                    <ns1:r>
                      <ns1:rPr>
                        <ns1:sty ns1:val="p"/>
                      </ns1:rPr>
                      <ns1:t>≥</ns1:t>
                    </ns1:r>
                    <ns1:r>
                      <ns1:t>0.75</ns1:t>
                    </ns1:r>
                  </ns1:oMath>
                  <w:r>
                    <w:t xml:space="preserve"> </w:t>
                  </w:r>
                  <w:r>
                    <w:t xml:space="preserve">(EXP4,</w:t>
                  </w:r>
                  <w:r>
                    <w:t xml:space="preserve"> </w:t>
                  </w:r>
                  <ns1:oMath>
                    <ns1:r>
                      <ns1:t>n</ns1:t>
                    </ns1:r>
                    <ns1:r>
                      <ns1:rPr>
                        <ns1:sty ns1:val="p"/>
                      </ns1:rPr>
                      <ns1:t>=</ns1:t>
                    </ns1:r>
                    <ns1:r>
                      <ns1:t>147</ns1:t>
                    </ns1:r>
                  </ns1:oMath>
                  <w:r>
                    <w:t xml:space="preserve">, 3 jueces)</w:t>
                  </w:r>
                </w:p>
              </w:tc>
            </w:tr>
          </w:tbl>
          <w:bookmarkEnd w:id="172"/>
          <w:p>
            <w:pPr>
              <w:spacing w:line="360" w:lineRule="auto"/>
              <w:jc w:val="both"/>
            </w:pPr>
          </w:p>
        </w:tc>
      </w:tr>
    </w:tbl>
    <w:p>
      <w:pPr>
        <w:pStyle w:val="Textoindependiente"/>
        <w:spacing w:line="360" w:lineRule="auto"/>
        <w:jc w:val="both"/>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tbl-objetivos"/>
          <w:p>
            <w:pPr>
              <w:jc w:val="both"/>
              <w:spacing w:line="360" w:lineRule="auto"/>
            </w:pPr>
            <w:pPr>
              <w:jc w:val="left"/>
              <w:spacing w:before="200"/>
              <w:pStyle w:val="ImageCaption"/>
            </w:pPr>
            <w:r>
              <w:t xml:space="preserve">Table 7.2: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both"/>
                    <w:spacing w:line="360" w:lineRule="auto"/>
                  </w:pPr>
                  <w:r>
                    <w:t xml:space="preserve">Objetivo específico</w:t>
                  </w:r>
                </w:p>
              </w:tc>
              <w:tc>
                <w:tcPr/>
                <w:p>
                  <w:pPr>
                    <w:pStyle w:val="Compact"/>
                    <w:jc w:val="both"/>
                    <w:spacing w:line="360" w:lineRule="auto"/>
                  </w:pPr>
                  <w:r>
                    <w:t xml:space="preserve">Estado</w:t>
                  </w:r>
                </w:p>
              </w:tc>
            </w:tr>
            <w:tr>
              <w:tc>
                <w:tcPr/>
                <w:p>
                  <w:pPr>
                    <w:pStyle w:val="Compact"/>
                    <w:jc w:val="both"/>
                    <w:spacing w:line="360" w:lineRule="auto"/>
                  </w:pPr>
                  <w:r>
                    <w:t xml:space="preserve">OE1 — Formalizar protocolo FOM-7</w:t>
                  </w:r>
                </w:p>
              </w:tc>
              <w:tc>
                <w:tcPr/>
                <w:p>
                  <w:pPr>
                    <w:pStyle w:val="Compact"/>
                    <w:jc w:val="both"/>
                    <w:spacing w:line="360" w:lineRule="auto"/>
                  </w:pPr>
                  <w:r>
                    <w:t xml:space="preserve">Completado. El protocolo opera como secuencia de 7 puertas y produjo 275 artefactos calificados con trazabilidad completa.</w:t>
                  </w:r>
                </w:p>
              </w:tc>
            </w:tr>
            <w:tr>
              <w:tc>
                <w:tcPr/>
                <w:p>
                  <w:pPr>
                    <w:pStyle w:val="Compact"/>
                    <w:jc w:val="both"/>
                    <w:spacing w:line="360" w:lineRule="auto"/>
                  </w:pPr>
                  <w:r>
                    <w:t xml:space="preserve">OE2 — Evaluar SHAP, LIME, Anchors, DiCE sobre 5 modelos</w:t>
                  </w:r>
                </w:p>
              </w:tc>
              <w:tc>
                <w:tcPr/>
                <w:p>
                  <w:pPr>
                    <w:pStyle w:val="Compact"/>
                    <w:jc w:val="both"/>
                    <w:spacing w:line="360" w:lineRule="auto"/>
                  </w:pPr>
                  <w:r>
                    <w:t xml:space="preserve">Completado. Benchmark multi-métrico sobre UCI Adult Income con 5 métricas primarias.</w:t>
                  </w:r>
                </w:p>
              </w:tc>
            </w:tr>
            <w:tr>
              <w:tc>
                <w:tcPr/>
                <w:p>
                  <w:pPr>
                    <w:pStyle w:val="Compact"/>
                    <w:jc w:val="both"/>
                    <w:spacing w:line="360" w:lineRule="auto"/>
                  </w:pPr>
                  <w:r>
                    <w:t xml:space="preserve">OE3 — Cuantificar la relación calidad-coste SHAP-LIME</w:t>
                  </w:r>
                </w:p>
              </w:tc>
              <w:tc>
                <w:tcPr/>
                <w:p>
                  <w:pPr>
                    <w:pStyle w:val="Compact"/>
                    <w:jc w:val="both"/>
                    <w:spacing w:line="360" w:lineRule="auto"/>
                  </w:pPr>
                  <w:r>
                    <w:t xml:space="preserve">Completado. Análisis pareado sobre 75 celdas coincidentes con corrección de multiplicidad Holm-Bonferroni.</w:t>
                  </w:r>
                </w:p>
              </w:tc>
            </w:tr>
            <w:tr>
              <w:tc>
                <w:tcPr/>
                <w:p>
                  <w:pPr>
                    <w:pStyle w:val="Compact"/>
                    <w:jc w:val="both"/>
                    <w:spacing w:line="360" w:lineRule="auto"/>
                  </w:pPr>
                  <w:r>
                    <w:t xml:space="preserve">OE4 — Caracterizar reproducibilidad del protocolo</w:t>
                  </w:r>
                </w:p>
              </w:tc>
              <w:tc>
                <w:tcPr/>
                <w:p>
                  <w:pPr>
                    <w:pStyle w:val="Compact"/>
                    <w:jc w:val="both"/>
                    <w:spacing w:line="360" w:lineRule="auto"/>
                  </w:pPr>
                  <w:r>
                    <w:t xml:space="preserve">Completado. CV &lt; 3% para fidelidad; variabilidad del coste inherente a la heterogeneidad del hardware.</w:t>
                  </w:r>
                </w:p>
              </w:tc>
            </w:tr>
            <w:tr>
              <w:tc>
                <w:tcPr/>
                <w:p>
                  <w:pPr>
                    <w:pStyle w:val="Compact"/>
                    <w:jc w:val="both"/>
                    <w:spacing w:line="360" w:lineRule="auto"/>
                  </w:pPr>
                  <w:r>
                    <w:t xml:space="preserve">OE5 — Construir taxonomía estructurada</w:t>
                  </w:r>
                </w:p>
              </w:tc>
              <w:tc>
                <w:tcPr/>
                <w:p>
                  <w:pPr>
                    <w:pStyle w:val="Compact"/>
                    <w:jc w:val="both"/>
                    <w:spacing w:line="360" w:lineRule="auto"/>
                  </w:pPr>
                  <w:r>
                    <w:t xml:space="preserve">Completado. Véase el Capítulo 5.</w:t>
                  </w:r>
                </w:p>
              </w:tc>
            </w:tr>
            <w:tr>
              <w:tc>
                <w:tcPr/>
                <w:p>
                  <w:pPr>
                    <w:pStyle w:val="Compact"/>
                    <w:jc w:val="both"/>
                    <w:spacing w:line="360" w:lineRule="auto"/>
                  </w:pPr>
                  <w:r>
                    <w:t xml:space="preserve">OE6 — Cuantificar fiabilidad de evaluadores semánticos LLM</w:t>
                  </w:r>
                </w:p>
              </w:tc>
              <w:tc>
                <w:tcPr/>
                <w:p>
                  <w:pPr>
                    <w:pStyle w:val="Compact"/>
                    <w:jc w:val="both"/>
                    <w:spacing w:line="360" w:lineRule="auto"/>
                  </w:pPr>
                  <w:r>
                    <w:t xml:space="preserve">Completado (resultado negativo). EXP4: ICC(2,1) entre 0.321 y 0.601 en 7 dimensiones; ninguna alcanza umbral</w:t>
                  </w:r>
                  <w:r>
                    <w:t xml:space="preserve"> </w:t>
                  </w:r>
                  <ns1:oMath>
                    <ns1:r>
                      <ns1:rPr>
                        <ns1:sty ns1:val="p"/>
                      </ns1:rPr>
                      <ns1:t>≥</ns1:t>
                    </ns1:r>
                    <ns1:r>
                      <ns1:t>0.75</ns1:t>
                    </ns1:r>
                  </ns1:oMath>
                  <w:r>
                    <w:t xml:space="preserve">. Véase §sec-exp4-fiabilidad.</w:t>
                  </w:r>
                </w:p>
              </w:tc>
            </w:tr>
          </w:tbl>
          <w:bookmarkEnd w:id="173"/>
          <w:p>
            <w:pPr>
              <w:spacing w:line="360" w:lineRule="auto"/>
              <w:jc w:val="both"/>
            </w:pPr>
          </w:p>
        </w:tc>
      </w:tr>
    </w:tbl>
    <w:bookmarkEnd w:id="174"/>
    <w:bookmarkStart w:id="178" w:name="sec-contribuciones"/>
    <w:p>
      <w:pPr>
        <w:pStyle w:val="Ttulo2"/>
        <w:spacing w:line="360" w:lineRule="auto"/>
        <w:jc w:val="both"/>
      </w:pPr>
      <w:r>
        <w:t xml:space="preserve">Contribuciones científicas</w:t>
      </w:r>
    </w:p>
    <w:bookmarkStart w:id="175" w:name="X2e7af289f3df14f7e31f2445fc83a79cfc8b431"/>
    <w:p>
      <w:pPr>
        <w:pStyle w:val="Ttulo3"/>
        <w:spacing w:line="360" w:lineRule="auto"/>
        <w:jc w:val="both"/>
      </w:pPr>
      <w:r>
        <w:t xml:space="preserve">Contribución metodológica: protocolo FOM-7</w:t>
      </w:r>
    </w:p>
    <w:p>
      <w:pPr>
        <w:pStyle w:val="FirstParagraph"/>
        <w:spacing w:line="360" w:lineRule="auto"/>
        <w:jc w:val="bot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spacing w:line="360" w:lineRule="auto"/>
        <w:jc w:val="both"/>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spacing w:line="360" w:lineRule="auto"/>
        <w:jc w:val="both"/>
      </w:pPr>
      <w:r>
        <w:t xml:space="preserve">FOM-7 está disponible como código fuente verificable con rastreabilidad completa</w:t>
      </w:r>
      <w:r>
        <w:t xml:space="preserve"> </w:t>
      </w:r>
      <w:r>
        <w:t xml:space="preserve">de artefactos, satisfaciendo los criterios 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75"/>
    <w:bookmarkStart w:id="176" w:name="X93d1d918ce055ba24ba9e9f0b305f424c9a5ca8"/>
    <w:p>
      <w:pPr>
        <w:pStyle w:val="Ttulo3"/>
        <w:spacing w:line="360" w:lineRule="auto"/>
        <w:jc w:val="both"/>
      </w:pPr>
      <w:r>
        <w:t xml:space="preserve">Contribución teórica: disociación fidelidad-estabilidad y taxonomía de métricas</w:t>
      </w:r>
    </w:p>
    <w:p>
      <w:pPr>
        <w:pStyle w:val="FirstParagraph"/>
        <w:spacing w:line="360" w:lineRule="auto"/>
        <w:jc w:val="both"/>
      </w:pPr>
      <w:r>
        <w:t xml:space="preserve">La disociación empírica entre fidelidad y estabilidad, documentada con</w:t>
      </w:r>
      <w:r>
        <w:t xml:space="preserve"> </w:t>
      </w:r>
      <w:r>
        <w:t xml:space="preserve">tamaños de efecto de magnitud muy grande (</w:t>
      </w:r>
      <ns1:oMath>
        <ns1:sSub>
          <ns1:e>
            <ns1:r>
              <ns1:t>d</ns1:t>
            </ns1:r>
          </ns1:e>
          <ns1:sub>
            <ns1:r>
              <ns1:t>z</ns1:t>
            </ns1:r>
          </ns1:sub>
        </ns1:sSub>
        <ns1:r>
          <ns1:rPr>
            <ns1:sty ns1:val="p"/>
          </ns1:rPr>
          <ns1:t>&gt;</ns1:t>
        </ns1:r>
        <ns1:r>
          <ns1:t>2.8</ns1:t>
        </ns1:r>
      </ns1: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(Pawlicki et al. 2024; Bhattacharya and Verbert 2024; Burger et al. 2023)</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spacing w:line="360" w:lineRule="auto"/>
        <w:jc w:val="both"/>
      </w:pPr>
      <w:r>
        <w:t xml:space="preserve">La taxonomía desarrollada en el Capítulo 5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76"/>
    <w:bookmarkStart w:id="177" w:name="X6583905c1b1630bf3acfdae91528ca52ef61481"/>
    <w:p>
      <w:pPr>
        <w:pStyle w:val="Ttulo3"/>
        <w:spacing w:line="360" w:lineRule="auto"/>
        <w:jc w:val="both"/>
      </w:pPr>
      <w:r>
        <w:t xml:space="preserve">Contribución aplicada: criterios prescriptivos de selección de métodos XAI</w:t>
      </w:r>
    </w:p>
    <w:p>
      <w:pPr>
        <w:pStyle w:val="FirstParagraph"/>
        <w:spacing w:line="360" w:lineRule="auto"/>
        <w:jc w:val="bot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spacing w:line="360" w:lineRule="auto"/>
        <w:jc w:val="both"/>
      </w:pPr>
      <w:r>
        <w:rPr>
          <w:b/>
          <w:bCs/>
        </w:rPr>
        <w:t xml:space="preserve">SHAP debe seleccionarse</w:t>
      </w:r>
      <w:r>
        <w:t xml:space="preserve"> </w:t>
      </w:r>
      <w:r>
        <w:t xml:space="preserve">como método primario en cualquier aplicación que</w:t>
      </w:r>
      <w:r>
        <w:t xml:space="preserve"> </w:t>
      </w:r>
      <w:r>
        <w:t xml:space="preserve">requiera fidelidad verificable (</w:t>
      </w:r>
      <ns1:oMath>
        <ns1:acc>
          <ns1:accPr>
            <ns1:chr ns1:val="‾"/>
          </ns1:accPr>
          <ns1:e>
            <ns1:r>
              <ns1:t>F</ns1:t>
            </ns1:r>
          </ns1:e>
        </ns1:acc>
        <ns1:r>
          <ns1:rPr>
            <ns1:sty ns1:val="p"/>
          </ns1:rPr>
          <ns1:t>≥</ns1:t>
        </ns1:r>
        <ns1:r>
          <ns1:t>0.80</ns1:t>
        </ns1:r>
      </ns1:oMath>
      <w:r>
        <w:t xml:space="preserve">) o consistencia</w:t>
      </w:r>
      <w:r>
        <w:t xml:space="preserve"> </w:t>
      </w:r>
      <w:r>
        <w:t xml:space="preserve">explicativa (</w:t>
      </w:r>
      <ns1:oMath>
        <ns1:acc>
          <ns1:accPr>
            <ns1:chr ns1:val="‾"/>
          </ns1:accPr>
          <ns1:e>
            <ns1:r>
              <ns1:t>S</ns1:t>
            </ns1:r>
          </ns1:e>
        </ns1:acc>
        <ns1:r>
          <ns1:rPr>
            <ns1:sty ns1:val="p"/>
          </ns1:rPr>
          <ns1:t>≥</ns1:t>
        </ns1:r>
        <ns1:r>
          <ns1:t>0.70</ns1:t>
        </ns1:r>
      </ns1: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spacing w:line="360" w:lineRule="auto"/>
        <w:jc w:val="both"/>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spacing w:line="360" w:lineRule="auto"/>
        <w:jc w:val="both"/>
      </w:pPr>
      <w:r>
        <w:rPr>
          <w:b/>
          <w:bCs/>
        </w:rPr>
        <w:t xml:space="preserve">Anchors debe usarse con cautela</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spacing w:line="360" w:lineRule="auto"/>
        <w:jc w:val="both"/>
      </w:pPr>
      <w:r>
        <w:rPr>
          <w:b/>
          <w:bCs/>
        </w:rPr>
        <w:t xml:space="preserve">DiCE es la opción de esta comparación orientada a acciones correctivas</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77"/>
    <w:bookmarkEnd w:id="178"/>
    <w:bookmarkStart w:id="180" w:name="sec-posicionamiento"/>
    <w:p>
      <w:pPr>
        <w:pStyle w:val="Ttulo2"/>
        <w:spacing w:line="360" w:lineRule="auto"/>
        <w:jc w:val="both"/>
      </w:pPr>
      <w:r>
        <w:t xml:space="preserve">Posicionamiento respecto a la literatura y separación de contribuciones</w:t>
      </w:r>
    </w:p>
    <w:p>
      <w:pPr>
        <w:pStyle w:val="FirstParagraph"/>
        <w:spacing w:line="360" w:lineRule="auto"/>
        <w:jc w:val="both"/>
      </w:pPr>
      <w:r>
        <w:t xml:space="preserve">Las tres contribuciones de esta tesis deben separarse con precisión de los</w:t>
      </w:r>
      <w:r>
        <w:t xml:space="preserve"> </w:t>
      </w:r>
      <w:r>
        <w:t xml:space="preserve">trabajos más cercanos para que su originalidad sea evaluable. La Tabla</w:t>
      </w:r>
      <w:r>
        <w:t xml:space="preserve"> </w:t>
      </w:r>
      <w:hyperlink w:anchor="tbl-contribucion-separacion">
        <w:r>
          <w:rPr>
            <w:rStyle w:val="Hipervnculo"/>
          </w:rPr>
          <w:t xml:space="preserve">Table 7.3</w:t>
        </w:r>
      </w:hyperlink>
      <w:r>
        <w:t xml:space="preserve"> </w:t>
      </w:r>
      <w:r>
        <w:t xml:space="preserve">realiza esta separación de forma explícita.</w:t>
      </w:r>
    </w:p>
    <w:tbl>
      <w:tblPr>
        <w:tblStyle w:val="Table"/>
        <w:tblW w:type="pct" w:w="5000"/>
        <w:tblLayout w:type="fixed"/>
        <w:tblLook w:firstRow="0" w:lastRow="0" w:firstColumn="0" w:lastColumn="0" w:noHBand="0" w:noVBand="0" w:val="0000"/>
      </w:tblPr>
      <w:tblGrid>
        <w:gridCol w:w="7920"/>
      </w:tblGrid>
      <w:tr>
        <w:tc>
          <w:tcPr/>
          <w:bookmarkStart w:id="179" w:name="tbl-contribucion-separacion"/>
          <w:p>
            <w:pPr>
              <w:jc w:val="both"/>
              <w:spacing w:line="360" w:lineRule="auto"/>
            </w:pPr>
            <w:pPr>
              <w:jc w:val="left"/>
              <w:spacing w:before="200"/>
              <w:pStyle w:val="ImageCaption"/>
            </w:pPr>
            <w:r>
              <w:t xml:space="preserve">Table 7.3: Separación de contribuciones respecto a los trabajos más cercanos.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Contribución</w:t>
                  </w:r>
                </w:p>
              </w:tc>
              <w:tc>
                <w:tcPr/>
                <w:p>
                  <w:pPr>
                    <w:pStyle w:val="Compact"/>
                    <w:jc w:val="both"/>
                    <w:jc w:val="center"/>
                    <w:spacing w:line="360" w:lineRule="auto"/>
                  </w:pPr>
                  <w:r>
                    <w:t xml:space="preserve">Trabajos más cercanos</w:t>
                  </w:r>
                </w:p>
              </w:tc>
              <w:tc>
                <w:tcPr/>
                <w:p>
                  <w:pPr>
                    <w:pStyle w:val="Compact"/>
                    <w:jc w:val="both"/>
                    <w:jc w:val="center"/>
                    <w:spacing w:line="360" w:lineRule="auto"/>
                  </w:pPr>
                  <w:r>
                    <w:t xml:space="preserve">En qué se solapa</w:t>
                  </w:r>
                </w:p>
              </w:tc>
              <w:tc>
                <w:tcPr/>
                <w:p>
                  <w:pPr>
                    <w:pStyle w:val="Compact"/>
                    <w:jc w:val="both"/>
                    <w:jc w:val="center"/>
                    <w:spacing w:line="360" w:lineRule="auto"/>
                  </w:pPr>
                  <w:r>
                    <w:t xml:space="preserve">En qué difiere esta tesis</w:t>
                  </w:r>
                </w:p>
              </w:tc>
            </w:tr>
            <w:tr>
              <w:tc>
                <w:tcPr/>
                <w:p>
                  <w:pPr>
                    <w:pStyle w:val="Compact"/>
                    <w:jc w:val="both"/>
                    <w:jc w:val="center"/>
                    <w:spacing w:line="360" w:lineRule="auto"/>
                  </w:pPr>
                  <w:r>
                    <w:rPr>
                      <w:b/>
                      <w:bCs/>
                    </w:rPr>
                    <w:t xml:space="preserve">FOM-7 — protocolo de benchmarking reproducible</w:t>
                  </w:r>
                </w:p>
              </w:tc>
              <w:tc>
                <w:tcPr/>
                <w:p>
                  <w:pPr>
                    <w:pStyle w:val="Compact"/>
                    <w:jc w:val="both"/>
                    <w:jc w:val="center"/>
                    <w:spacing w:line="360" w:lineRule="auto"/>
                  </w:pPr>
                  <w:r>
                    <w:t xml:space="preserve">OpenXAI</w:t>
                  </w:r>
                  <w:r>
                    <w:t xml:space="preserve"> </w:t>
                  </w:r>
                  <w:r>
                    <w:t xml:space="preserve">(Agarwal et al. 2022)</w:t>
                  </w:r>
                  <w:r>
                    <w:t xml:space="preserve">; Quantus</w:t>
                  </w:r>
                  <w:r>
                    <w:t xml:space="preserve"> </w:t>
                  </w:r>
                  <w:r>
                    <w:t xml:space="preserve">(Hedström et al. 2023)</w:t>
                  </w:r>
                  <w:r>
                    <w:t xml:space="preserve">; Canha et al.</w:t>
                  </w:r>
                  <w:r>
                    <w:t xml:space="preserve"> </w:t>
                  </w:r>
                  <w:r>
                    <w:t xml:space="preserve">(2025)</w:t>
                  </w:r>
                </w:p>
              </w:tc>
              <w:tc>
                <w:tcPr/>
                <w:p>
                  <w:pPr>
                    <w:pStyle w:val="Compact"/>
                    <w:jc w:val="both"/>
                    <w:jc w:val="center"/>
                    <w:spacing w:line="360" w:lineRule="auto"/>
                  </w:pPr>
                  <w:r>
                    <w:t xml:space="preserve">Objetivo de estandarización, uso de métricas functionally-grounded, énfasis en reproducibilidad</w:t>
                  </w:r>
                </w:p>
              </w:tc>
              <w:tc>
                <w:tcPr/>
                <w:p>
                  <w:pPr>
                    <w:pStyle w:val="Compact"/>
                    <w:jc w:val="both"/>
                    <w:jc w:val="center"/>
                    <w:spacing w:line="360" w:lineRule="auto"/>
                  </w:pPr>
                  <w:r>
                    <w:t xml:space="preserve">FOM-7 añade siete puertas secuenciales con criterios de admisibilidad y falla explícitos; OpenXAI y Quantus no regulan la cadena diseño-artefacto-inferencia-claim; Canha et al. proponen principios sin implementación operativa completa</w:t>
                  </w:r>
                </w:p>
              </w:tc>
            </w:tr>
            <w:tr>
              <w:tc>
                <w:tcPr/>
                <w:p>
                  <w:pPr>
                    <w:pStyle w:val="Compact"/>
                    <w:jc w:val="both"/>
                    <w:jc w:val="center"/>
                    <w:spacing w:line="360" w:lineRule="auto"/>
                  </w:pPr>
                  <w:r>
                    <w:rPr>
                      <w:b/>
                      <w:bCs/>
                    </w:rPr>
                    <w:t xml:space="preserve">Benchmark multi-métrico SHAP-LIME-Anchors-DiCE</w:t>
                  </w:r>
                </w:p>
              </w:tc>
              <w:tc>
                <w:tcPr/>
                <w:p>
                  <w:pPr>
                    <w:pStyle w:val="Compact"/>
                    <w:jc w:val="both"/>
                    <w:jc w:val="center"/>
                    <w:spacing w:line="360" w:lineRule="auto"/>
                  </w:pPr>
                  <w:r>
                    <w:t xml:space="preserve">Nauta et al.</w:t>
                  </w:r>
                  <w:r>
                    <w:t xml:space="preserve"> </w:t>
                  </w:r>
                  <w:r>
                    <w:t xml:space="preserve">(2023)</w:t>
                  </w:r>
                  <w:r>
                    <w:t xml:space="preserve"> </w:t>
                  </w:r>
                  <w:r>
                    <w:t xml:space="preserve">(revisión de 30 propiedades); Altukhi et al.</w:t>
                  </w:r>
                  <w:r>
                    <w:t xml:space="preserve"> </w:t>
                  </w:r>
                  <w:r>
                    <w:t xml:space="preserve">(2025)</w:t>
                  </w:r>
                  <w:r>
                    <w:t xml:space="preserve"> </w:t>
                  </w:r>
                  <w:r>
                    <w:t xml:space="preserve">(comparación de explicadores); Hedström et al.</w:t>
                  </w:r>
                  <w:r>
                    <w:t xml:space="preserve"> </w:t>
                  </w:r>
                  <w:r>
                    <w:t xml:space="preserve">(2023)</w:t>
                  </w:r>
                  <w:r>
                    <w:t xml:space="preserve"> </w:t>
                  </w:r>
                  <w:r>
                    <w:t xml:space="preserve">(Quantus evaluation)</w:t>
                  </w:r>
                </w:p>
              </w:tc>
              <w:tc>
                <w:tcPr/>
                <w:p>
                  <w:pPr>
                    <w:pStyle w:val="Compact"/>
                    <w:jc w:val="both"/>
                    <w:jc w:val="center"/>
                    <w:spacing w:line="360" w:lineRule="auto"/>
                  </w:pPr>
                  <w:r>
                    <w:t xml:space="preserve">Comparación de métodos agnósticos; uso de fidelidad y estabilidad como métricas primarias</w:t>
                  </w:r>
                </w:p>
              </w:tc>
              <w:tc>
                <w:tcPr/>
                <w:p>
                  <w:pPr>
                    <w:pStyle w:val="Compact"/>
                    <w:jc w:val="both"/>
                    <w:jc w:val="center"/>
                    <w:spacing w:line="360" w:lineRule="auto"/>
                  </w:pPr>
                  <w:r>
                    <w:t xml:space="preserve">Esta tesis usa diseño factorial con cinco modelos, cinco semillas y tres tamaños de muestra; reporta tamaños de efecto (</w:t>
                  </w:r>
                  <ns1:oMath>
                    <ns1:sSub>
                      <ns1:e>
                        <ns1:r>
                          <ns1:t>d</ns1:t>
                        </ns1:r>
                      </ns1:e>
                      <ns1:sub>
                        <ns1:r>
                          <ns1:t>z</ns1:t>
                        </ns1:r>
                      </ns1:sub>
                    </ns1:sSub>
                  </ns1:oMath>
                  <w:r>
                    <w:t xml:space="preserve">) y control de multiplicidad Holm-Bonferroni; cuantifica la disociación fidelidad-estabilidad con evidencia pareada en 75 celdas</w:t>
                  </w:r>
                </w:p>
              </w:tc>
            </w:tr>
            <w:tr>
              <w:tc>
                <w:tcPr/>
                <w:p>
                  <w:pPr>
                    <w:pStyle w:val="Compact"/>
                    <w:jc w:val="both"/>
                    <w:jc w:val="center"/>
                    <w:spacing w:line="360" w:lineRule="auto"/>
                  </w:pPr>
                  <w:r>
                    <w:rPr>
                      <w:b/>
                      <w:bCs/>
                    </w:rPr>
                    <w:t xml:space="preserve">Taxonomía de cuatro ejes</w:t>
                  </w:r>
                </w:p>
              </w:tc>
              <w:tc>
                <w:tcPr/>
                <w:p>
                  <w:pPr>
                    <w:pStyle w:val="Compact"/>
                    <w:jc w:val="both"/>
                    <w:jc w:val="center"/>
                    <w:spacing w:line="360" w:lineRule="auto"/>
                  </w:pPr>
                  <w:r>
                    <w:t xml:space="preserve">Schwalbe y Finzel</w:t>
                  </w:r>
                  <w:r>
                    <w:t xml:space="preserve"> </w:t>
                  </w:r>
                  <w:r>
                    <w:t xml:space="preserve">(2023)</w:t>
                  </w:r>
                  <w:r>
                    <w:t xml:space="preserve"> </w:t>
                  </w:r>
                  <w:r>
                    <w:t xml:space="preserve">(taxonomía de conceptos XAI); Abdulkadir et al.</w:t>
                  </w:r>
                  <w:r>
                    <w:t xml:space="preserve"> </w:t>
                  </w:r>
                  <w:r>
                    <w:t xml:space="preserve">(2023)</w:t>
                  </w:r>
                  <w:r>
                    <w:t xml:space="preserve"> </w:t>
                  </w:r>
                  <w:r>
                    <w:t xml:space="preserve">(revisión de métricas); Doshi-Velez y Kim</w:t>
                  </w:r>
                  <w:r>
                    <w:t xml:space="preserve"> </w:t>
                  </w:r>
                  <w:r>
                    <w:t xml:space="preserve">(2017)</w:t>
                  </w:r>
                  <w:r>
                    <w:t xml:space="preserve"> </w:t>
                  </w:r>
                  <w:r>
                    <w:t xml:space="preserve">(tres tipos de evaluación)</w:t>
                  </w:r>
                </w:p>
              </w:tc>
              <w:tc>
                <w:tcPr/>
                <w:p>
                  <w:pPr>
                    <w:pStyle w:val="Compact"/>
                    <w:jc w:val="both"/>
                    <w:jc w:val="center"/>
                    <w:spacing w:line="360" w:lineRule="auto"/>
                  </w:pPr>
                  <w:r>
                    <w:t xml:space="preserve">Uso de dimensiones de calidad (fidelidad, robustez, complejidad); distinción entre evaluación humana y computacional</w:t>
                  </w:r>
                </w:p>
              </w:tc>
              <w:tc>
                <w:tcPr/>
                <w:p>
                  <w:pPr>
                    <w:pStyle w:val="Compact"/>
                    <w:jc w:val="both"/>
                    <w:jc w:val="center"/>
                    <w:spacing w:line="360" w:lineRule="auto"/>
                  </w:pPr>
                  <w:r>
                    <w:t xml:space="preserve">La taxonomía de esta tesis añade el eje de contexto de tarea como dimensión operativa; la ubica explícitamente en relación con el benchmark empírico; y proporciona el alcance inferencial admisible para cada cuadrante</w:t>
                  </w:r>
                </w:p>
              </w:tc>
            </w:tr>
          </w:tbl>
          <w:bookmarkEnd w:id="179"/>
          <w:p>
            <w:pPr>
              <w:spacing w:line="360" w:lineRule="auto"/>
              <w:jc w:val="both"/>
            </w:pPr>
          </w:p>
        </w:tc>
      </w:tr>
    </w:tbl>
    <w:p>
      <w:pPr>
        <w:pStyle w:val="Textoindependiente"/>
        <w:spacing w:line="360" w:lineRule="auto"/>
        <w:jc w:val="both"/>
      </w:pPr>
      <w:r>
        <w:t xml:space="preserve">El posicionamiento más informativo se obtiene comparando la tesis con los dos</w:t>
      </w:r>
      <w:r>
        <w:t xml:space="preserve"> </w:t>
      </w:r>
      <w:r>
        <w:t xml:space="preserve">trabajos más cercanos en alcance. OpenXAI</w:t>
      </w:r>
      <w:r>
        <w:t xml:space="preserve"> </w:t>
      </w:r>
      <w:r>
        <w:t xml:space="preserve">(Agarwal et al. 2022)</w:t>
      </w:r>
      <w:r>
        <w:t xml:space="preserve"> </w:t>
      </w:r>
      <w:r>
        <w:t xml:space="preserve">proporciona una</w:t>
      </w:r>
      <w:r>
        <w:t xml:space="preserve"> </w:t>
      </w:r>
      <w:r>
        <w:t xml:space="preserve">plataforma con ground-truth sintético y permite comparar métodos bajo</w:t>
      </w:r>
      <w:r>
        <w:t xml:space="preserve"> </w:t>
      </w:r>
      <w:r>
        <w:t xml:space="preserve">condiciones estandarizadas; sin embargo, no ofrece un protocolo de calificación</w:t>
      </w:r>
      <w:r>
        <w:t xml:space="preserve"> </w:t>
      </w:r>
      <w:r>
        <w:t xml:space="preserve">de artefactos, no requiere separación EXP1/EXP2, y no contempla control de</w:t>
      </w:r>
      <w:r>
        <w:t xml:space="preserve"> </w:t>
      </w:r>
      <w:r>
        <w:t xml:space="preserve">multiplicidad sobre familias de hipótesis. Nauta et al.</w:t>
      </w:r>
      <w:r>
        <w:t xml:space="preserve"> </w:t>
      </w:r>
      <w:r>
        <w:t xml:space="preserve">(2023)</w:t>
      </w:r>
      <w:r>
        <w:t xml:space="preserve"> </w:t>
      </w:r>
      <w:r>
        <w:t xml:space="preserve">proporcionan la revisión más amplia disponible de propiedades de evaluación XAI</w:t>
      </w:r>
      <w:r>
        <w:t xml:space="preserve"> </w:t>
      </w:r>
      <w:r>
        <w:t xml:space="preserve">(30 propiedades, taxonomía propia), pero su contribución es conceptual: no</w:t>
      </w:r>
      <w:r>
        <w:t xml:space="preserve"> </w:t>
      </w:r>
      <w:r>
        <w:t xml:space="preserve">producen un benchmark experimental con análisis inferencial. Esta tesis ocupa</w:t>
      </w:r>
      <w:r>
        <w:t xml:space="preserve"> </w:t>
      </w:r>
      <w:r>
        <w:t xml:space="preserve">el espacio entre ambas obras: implementa un pipeline experimental completo con</w:t>
      </w:r>
      <w:r>
        <w:t xml:space="preserve"> </w:t>
      </w:r>
      <w:r>
        <w:t xml:space="preserve">gobernanza de protocolo (FOM-7), produce evidencia empírica con análisis</w:t>
      </w:r>
      <w:r>
        <w:t xml:space="preserve"> </w:t>
      </w:r>
      <w:r>
        <w:t xml:space="preserve">estadístico riguroso, y contribuye una taxonomía que integra esas propiedades</w:t>
      </w:r>
      <w:r>
        <w:t xml:space="preserve"> </w:t>
      </w:r>
      <w:r>
        <w:t xml:space="preserve">con su alcance inferencial operacional.</w:t>
      </w:r>
    </w:p>
    <w:p>
      <w:pPr>
        <w:pStyle w:val="Textoindependiente"/>
        <w:spacing w:line="360" w:lineRule="auto"/>
        <w:jc w:val="both"/>
      </w:pPr>
      <w:r>
        <w:t xml:space="preserve">El aporte de FOM-7 respecto a Canha et al.</w:t>
      </w:r>
      <w:r>
        <w:t xml:space="preserve"> </w:t>
      </w:r>
      <w:r>
        <w:t xml:space="preserve">(2025)</w:t>
      </w:r>
      <w:r>
        <w:t xml:space="preserve"> </w:t>
      </w:r>
      <w:r>
        <w:t xml:space="preserve">es también</w:t>
      </w:r>
      <w:r>
        <w:t xml:space="preserve"> </w:t>
      </w:r>
      <w:r>
        <w:t xml:space="preserve">diferenciable. Canha et al. articulan principios de reproducibilidad para XAI</w:t>
      </w:r>
      <w:r>
        <w:t xml:space="preserve"> </w:t>
      </w:r>
      <w:r>
        <w:t xml:space="preserve">(declaración de semillas, versionado, separación de conjuntos), pero sin una</w:t>
      </w:r>
      <w:r>
        <w:t xml:space="preserve"> </w:t>
      </w:r>
      <w:r>
        <w:t xml:space="preserve">secuencia de puertas con criterios explícitos de falla y admisibilidad. FOM-7</w:t>
      </w:r>
      <w:r>
        <w:t xml:space="preserve"> </w:t>
      </w:r>
      <w:r>
        <w:t xml:space="preserve">convierte esos principios en un protocolo ejecutable cuya puerta 3 (auditoría de</w:t>
      </w:r>
      <w:r>
        <w:t xml:space="preserve"> </w:t>
      </w:r>
      <w:r>
        <w:t xml:space="preserve">integridad de artefactos) controla la contaminación antes de la inferencia, y</w:t>
      </w:r>
      <w:r>
        <w:t xml:space="preserve"> </w:t>
      </w:r>
      <w:r>
        <w:t xml:space="preserve">cuya puerta 7 (trazabilidad de claims) garantiza que cada afirmación publicada</w:t>
      </w:r>
      <w:r>
        <w:t xml:space="preserve"> </w:t>
      </w:r>
      <w:r>
        <w:t xml:space="preserve">puede rastrearse hasta una celda del diseño factorial.</w:t>
      </w:r>
    </w:p>
    <w:bookmarkEnd w:id="180"/>
    <w:bookmarkStart w:id="181" w:name="sec-limitaciones"/>
    <w:p>
      <w:pPr>
        <w:pStyle w:val="Ttulo2"/>
        <w:spacing w:line="360" w:lineRule="auto"/>
        <w:jc w:val="both"/>
      </w:pPr>
      <w:r>
        <w:t xml:space="preserve">Limitaciones del estudio</w:t>
      </w:r>
    </w:p>
    <w:p>
      <w:pPr>
        <w:pStyle w:val="FirstParagraph"/>
        <w:spacing w:line="360" w:lineRule="auto"/>
        <w:jc w:val="both"/>
      </w:pPr>
      <w:r>
        <w:t xml:space="preserve">Cuatro limitaciones deben tenerse en cuenta al interpretar los resultados y</w:t>
      </w:r>
      <w:r>
        <w:t xml:space="preserve"> </w:t>
      </w:r>
      <w:r>
        <w:t xml:space="preserve">generalizar los criterios de selección.</w:t>
      </w:r>
    </w:p>
    <w:p>
      <w:pPr>
        <w:pStyle w:val="Textoindependiente"/>
        <w:spacing w:line="360" w:lineRule="auto"/>
        <w:jc w:val="both"/>
      </w:pPr>
      <w:r>
        <w:rPr>
          <w:b/>
          <w:bCs/>
        </w:rPr>
        <w:t xml:space="preserve">Universo experimental acotado.</w:t>
      </w:r>
      <w:r>
        <w:t xml:space="preserve"> </w:t>
      </w:r>
      <w:r>
        <w:t xml:space="preserve">El benchmark opera sobre el conjunto de</w:t>
      </w:r>
      <w:r>
        <w:t xml:space="preserve"> </w:t>
      </w:r>
      <w:r>
        <w:t xml:space="preserve">datos UCI Adult Income, que es tabular, binario y de tamaño moderado (48,842</w:t>
      </w:r>
      <w:r>
        <w:t xml:space="preserve"> </w:t>
      </w:r>
      <w:r>
        <w:t xml:space="preserve">instancias). La extensión de los hallazgos a datos de imagen, texto o series</w:t>
      </w:r>
      <w:r>
        <w:t xml:space="preserve"> </w:t>
      </w:r>
      <w:r>
        <w:t xml:space="preserve">temporales requiere redefinir las operacionalizaciones de fidelidad y</w:t>
      </w:r>
      <w:r>
        <w:t xml:space="preserve"> </w:t>
      </w:r>
      <w:r>
        <w:t xml:space="preserve">estabilidad, que en este benchmark son específicas de la estructura de</w:t>
      </w:r>
      <w:r>
        <w:t xml:space="preserve"> </w:t>
      </w:r>
      <w:r>
        <w:t xml:space="preserve">características tabulares.</w:t>
      </w:r>
    </w:p>
    <w:p>
      <w:pPr>
        <w:pStyle w:val="Textoindependiente"/>
        <w:spacing w:line="360" w:lineRule="auto"/>
        <w:jc w:val="both"/>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spacing w:line="360" w:lineRule="auto"/>
        <w:jc w:val="both"/>
      </w:pPr>
      <w:r>
        <w:rPr>
          <w:b/>
          <w:bCs/>
        </w:rPr>
        <w:t xml:space="preserve">Ausencia de evaluación human-centered.</w:t>
      </w:r>
      <w:r>
        <w:t xml:space="preserve"> </w:t>
      </w:r>
      <w:r>
        <w:t xml:space="preserve">El benchmark es exclusivamente</w:t>
      </w:r>
      <w:r>
        <w:t xml:space="preserve"> </w:t>
      </w:r>
      <w:r>
        <w:t xml:space="preserve">funcionally-grounded. La dimensión de comprehensibilidad percibida, utilidad</w:t>
      </w:r>
      <w:r>
        <w:t xml:space="preserve"> </w:t>
      </w:r>
      <w:r>
        <w:t xml:space="preserve">para la toma de decisiones y confianza del usuario</w:t>
      </w:r>
      <w:r>
        <w:t xml:space="preserve"> </w:t>
      </w:r>
      <w:r>
        <w:t xml:space="preserve">(Bhattacharya and Verbert 2024)</w:t>
      </w:r>
      <w:r>
        <w:t xml:space="preserve"> </w:t>
      </w:r>
      <w:r>
        <w:t xml:space="preserve">no está</w:t>
      </w:r>
      <w:r>
        <w:t xml:space="preserve"> </w:t>
      </w:r>
      <w:r>
        <w:t xml:space="preserve">cubierta. La taxonomía del Capítulo 5 hace explícita esta limitación y la</w:t>
      </w:r>
      <w:r>
        <w:t xml:space="preserve"> </w:t>
      </w:r>
      <w:r>
        <w:t xml:space="preserve">localiza en los ejes de fuente de evidencia y contexto de tarea, pero los</w:t>
      </w:r>
      <w:r>
        <w:t xml:space="preserve"> </w:t>
      </w:r>
      <w:r>
        <w:t xml:space="preserve">criterios de selección prescriptivos derivados no incorporan preferencias de</w:t>
      </w:r>
      <w:r>
        <w:t xml:space="preserve"> </w:t>
      </w:r>
      <w:r>
        <w:t xml:space="preserve">usuarios finales.</w:t>
      </w:r>
    </w:p>
    <w:p>
      <w:pPr>
        <w:pStyle w:val="Textoindependiente"/>
        <w:spacing w:line="360" w:lineRule="auto"/>
        <w:jc w:val="both"/>
      </w:pPr>
      <w:r>
        <w:rPr>
          <w:b/>
          <w:bCs/>
        </w:rPr>
        <w:t xml:space="preserve">Configuraciones de referencia y artefactos de diseño.</w:t>
      </w:r>
      <w:r>
        <w:t xml:space="preserve"> </w:t>
      </w:r>
      <w:r>
        <w:t xml:space="preserve">Los resultados son válidos bajo las configuraciones de referencia de cada método. Tres caveats específicos deben tenerse en cuenta al interpretar las métricas de LIME.</w:t>
      </w:r>
    </w:p>
    <w:p>
      <w:pPr>
        <w:pStyle w:val="Textoindependiente"/>
        <w:spacing w:line="360" w:lineRule="auto"/>
        <w:jc w:val="both"/>
      </w:pPr>
      <w:r>
        <w:rPr>
          <w:i/>
          <w:iCs/>
        </w:rPr>
        <w:t xml:space="preserve">Artefacto de parsimonia.</w:t>
      </w:r>
      <w:r>
        <w:t xml:space="preserve"> </w:t>
      </w:r>
      <w:r>
        <w:t xml:space="preserve">El parámetro</w:t>
      </w:r>
      <w:r>
        <w:t xml:space="preserve"> </w:t>
      </w:r>
      <w:r>
        <w:rPr>
          <w:rStyle w:val="VerbatimChar"/>
        </w:rPr>
        <w:t xml:space="preserve">num_features = 10</w:t>
      </w:r>
      <w:r>
        <w:t xml:space="preserve"> </w:t>
      </w:r>
      <w:r>
        <w:t xml:space="preserve">de LIME actúa como techo rígido sobre el número de características activas devueltas. La parsimonia de LIME es, por tanto, un artefacto de configuración, no una propiedad emergente del modelo sustituto local. Las comparaciones de parsimonia con métodos sin restricción explícita deben interpretarse en este contexto.</w:t>
      </w:r>
    </w:p>
    <w:p>
      <w:pPr>
        <w:pStyle w:val="Textoindependiente"/>
        <w:spacing w:line="360" w:lineRule="auto"/>
        <w:jc w:val="both"/>
      </w:pPr>
      <w:r>
        <w:rPr>
          <w:i/>
          <w:iCs/>
        </w:rPr>
        <w:t xml:space="preserve">Inestabilidad estructural de LIME.</w:t>
      </w:r>
      <w:r>
        <w:t xml:space="preserve"> </w:t>
      </w:r>
      <w:r>
        <w:t xml:space="preserve">La inestabilidad de LIME (CV = 86.2%, similitud coseno media ≈ 0.014) fue examinada sistemáticamente variando</w:t>
      </w:r>
      <w:r>
        <w:t xml:space="preserve"> </w:t>
      </w:r>
      <w:r>
        <w:rPr>
          <w:rStyle w:val="VerbatimChar"/>
        </w:rPr>
        <w:t xml:space="preserve">num_samples</w:t>
      </w:r>
      <w:r>
        <w:t xml:space="preserve"> </w:t>
      </w:r>
      <w:r>
        <w:t xml:space="preserve">∈ {500, 1000, 2000}: la estabilidad permanece cercana a cero en todos los niveles, descartando que el resultado sea un artefacto de convergencia. Un análisis adicional de sensibilidad a</w:t>
      </w:r>
      <w:r>
        <w:t xml:space="preserve"> </w:t>
      </w:r>
      <w:r>
        <w:rPr>
          <w:rStyle w:val="VerbatimChar"/>
        </w:rPr>
        <w:t xml:space="preserve">kernel_width</w:t>
      </w:r>
      <w:r>
        <w:t xml:space="preserve"> </w:t>
      </w:r>
      <w:r>
        <w:t xml:space="preserve">∈ {0.25, 0.75, 3.0, 10.0} muestra que los valores inferiores a 3.0 producen pesos degenerados (cero) en el espacio de características preprocesado de 103 dimensiones, confirmando que la referencia es el mínimo viable y que la inestabilidad es estructural, no dependiente de la configuración del kernel (Apéndice C).</w:t>
      </w:r>
    </w:p>
    <w:p>
      <w:pPr>
        <w:pStyle w:val="Textoindependiente"/>
        <w:spacing w:line="360" w:lineRule="auto"/>
        <w:jc w:val="both"/>
      </w:pPr>
      <w:r>
        <w:rPr>
          <w:i/>
          <w:iCs/>
        </w:rPr>
        <w:t xml:space="preserve">Sesgo de enmascaramiento y correlaciones de características.</w:t>
      </w:r>
      <w:r>
        <w:t xml:space="preserve"> </w:t>
      </w:r>
      <w:r>
        <w:t xml:space="preserve">La métrica de fidelidad enmascara características individualmente sustituyéndolas por valores de referencia medios. En el dataset Adult Income, pares como</w:t>
      </w:r>
      <w:r>
        <w:t xml:space="preserve"> </w:t>
      </w:r>
      <w:r>
        <w:rPr>
          <w:rStyle w:val="VerbatimChar"/>
        </w:rPr>
        <w:t xml:space="preserve">education</w:t>
      </w:r>
      <w:r>
        <w:t xml:space="preserve">/</w:t>
      </w:r>
      <w:r>
        <w:rPr>
          <w:rStyle w:val="VerbatimChar"/>
        </w:rPr>
        <w:t xml:space="preserve">education-num</w:t>
      </w:r>
      <w:r>
        <w:t xml:space="preserve"> </w:t>
      </w:r>
      <w:r>
        <w:t xml:space="preserve">(</w:t>
      </w:r>
      <ns1:oMath>
        <ns1:r>
          <ns1:t>r</ns1:t>
        </ns1:r>
        <ns1:r>
          <ns1:rPr>
            <ns1:sty ns1:val="p"/>
          </ns1:rPr>
          <ns1:t>=</ns1:t>
        </ns1:r>
        <ns1:r>
          <ns1:t>1.0</ns1:t>
        </ns1:r>
      </ns1:oMath>
      <w:r>
        <w:t xml:space="preserve">) y</w:t>
      </w:r>
      <w:r>
        <w:t xml:space="preserve"> </w:t>
      </w:r>
      <w:r>
        <w:rPr>
          <w:rStyle w:val="VerbatimChar"/>
        </w:rPr>
        <w:t xml:space="preserve">occupation</w:t>
      </w:r>
      <w:r>
        <w:t xml:space="preserve">/</w:t>
      </w:r>
      <w:r>
        <w:rPr>
          <w:rStyle w:val="VerbatimChar"/>
        </w:rPr>
        <w:t xml:space="preserve">education</w:t>
      </w:r>
      <w:r>
        <w:t xml:space="preserve"> </w:t>
      </w:r>
      <w:r>
        <w:t xml:space="preserve">(Cramér’s</w:t>
      </w:r>
      <w:r>
        <w:t xml:space="preserve"> </w:t>
      </w:r>
      <ns1:oMath>
        <ns1:r>
          <ns1:t>V</ns1:t>
        </ns1:r>
        <ns1:r>
          <ns1:rPr>
            <ns1:sty ns1:val="p"/>
          </ns1:rPr>
          <ns1:t>≈</ns1:t>
        </ns1:r>
        <ns1:r>
          <ns1:t>0.34</ns1:t>
        </ns1:r>
      </ns1:oMath>
      <w:r>
        <w:t xml:space="preserve">) están moderadamente correlacionados. El enmascaramiento independiente de características correlacionadas genera instancias fuera de la distribución de entrenamiento, lo que puede sesgar la estimación de la importancia de características al hacer que el modelo reciba combinaciones de valores implausibles. No puede descartarse que parte de la brecha de fidelidad SHAP-LIME refleje sensibilidad diferencial a este sesgo en lugar de diferencias puras de calidad de atribución.</w:t>
      </w:r>
    </w:p>
    <w:bookmarkEnd w:id="181"/>
    <w:bookmarkStart w:id="184" w:name="sec-fronteras"/>
    <w:p>
      <w:pPr>
        <w:pStyle w:val="Ttulo2"/>
        <w:spacing w:line="360" w:lineRule="auto"/>
        <w:jc w:val="both"/>
      </w:pPr>
      <w:r>
        <w:t xml:space="preserve">Fronteras de generalización</w:t>
      </w:r>
    </w:p>
    <w:p>
      <w:pPr>
        <w:pStyle w:val="FirstParagraph"/>
        <w:spacing w:line="360" w:lineRule="auto"/>
        <w:jc w:val="both"/>
      </w:pPr>
      <w:r>
        <w:t xml:space="preserve">La claridad sobre los límites de las afirmaciones es un requisito de integridad</w:t>
      </w:r>
      <w:r>
        <w:t xml:space="preserve"> </w:t>
      </w:r>
      <w:r>
        <w:t xml:space="preserve">científica. La Tabla</w:t>
      </w:r>
      <w:r>
        <w:t xml:space="preserve"> </w:t>
      </w:r>
      <w:hyperlink w:anchor="tbl-fronteras-generalizacion">
        <w:r>
          <w:rPr>
            <w:rStyle w:val="Hipervnculo"/>
          </w:rPr>
          <w:t xml:space="preserve">Table 7.4</w:t>
        </w:r>
      </w:hyperlink>
      <w:r>
        <w:t xml:space="preserve"> </w:t>
      </w:r>
      <w:r>
        <w:t xml:space="preserve">especifica el alcance</w:t>
      </w:r>
      <w:r>
        <w:t xml:space="preserve"> </w:t>
      </w:r>
      <w:r>
        <w:t xml:space="preserve">soportado y el alcance no soportado de los hallazgos principales, junto con la</w:t>
      </w:r>
      <w:r>
        <w:t xml:space="preserve"> </w:t>
      </w:r>
      <w:r>
        <w:t xml:space="preserve">evidencia que sería necesaria para extender las conclusiones.</w:t>
      </w:r>
    </w:p>
    <w:tbl>
      <w:tblPr>
        <w:tblStyle w:val="Table"/>
        <w:tblW w:type="pct" w:w="5000"/>
        <w:tblLayout w:type="fixed"/>
        <w:tblLook w:firstRow="0" w:lastRow="0" w:firstColumn="0" w:lastColumn="0" w:noHBand="0" w:noVBand="0" w:val="0000"/>
      </w:tblPr>
      <w:tblGrid>
        <w:gridCol w:w="7920"/>
      </w:tblGrid>
      <w:tr>
        <w:tc>
          <w:tcPr/>
          <w:bookmarkStart w:id="182" w:name="tbl-fronteras-generalizacion"/>
          <w:p>
            <w:pPr>
              <w:jc w:val="both"/>
              <w:spacing w:line="360" w:lineRule="auto"/>
            </w:pPr>
            <w:pPr>
              <w:jc w:val="left"/>
              <w:spacing w:before="200"/>
              <w:pStyle w:val="ImageCaption"/>
            </w:pPr>
            <w:r>
              <w:t xml:space="preserve">Table 7.4: Fronteras de generalización de los hallazgos principales.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Afirmación</w:t>
                  </w:r>
                </w:p>
              </w:tc>
              <w:tc>
                <w:tcPr/>
                <w:p>
                  <w:pPr>
                    <w:pStyle w:val="Compact"/>
                    <w:jc w:val="both"/>
                    <w:jc w:val="center"/>
                    <w:spacing w:line="360" w:lineRule="auto"/>
                  </w:pPr>
                  <w:r>
                    <w:t xml:space="preserve">Soportada para</w:t>
                  </w:r>
                </w:p>
              </w:tc>
              <w:tc>
                <w:tcPr/>
                <w:p>
                  <w:pPr>
                    <w:pStyle w:val="Compact"/>
                    <w:jc w:val="both"/>
                    <w:jc w:val="center"/>
                    <w:spacing w:line="360" w:lineRule="auto"/>
                  </w:pPr>
                  <w:r>
                    <w:t xml:space="preserve">No soportada para</w:t>
                  </w:r>
                </w:p>
              </w:tc>
              <w:tc>
                <w:tcPr/>
                <w:p>
                  <w:pPr>
                    <w:pStyle w:val="Compact"/>
                    <w:jc w:val="both"/>
                    <w:jc w:val="center"/>
                    <w:spacing w:line="360" w:lineRule="auto"/>
                  </w:pPr>
                  <w:r>
                    <w:t xml:space="preserve">Validación futura requerida</w:t>
                  </w:r>
                </w:p>
              </w:tc>
            </w:tr>
            <w:tr>
              <w:tc>
                <w:tcPr/>
                <w:p>
                  <w:pPr>
                    <w:pStyle w:val="Compact"/>
                    <w:jc w:val="both"/>
                    <w:jc w:val="center"/>
                    <w:spacing w:line="360" w:lineRule="auto"/>
                  </w:pPr>
                  <w:r>
                    <w:t xml:space="preserve">SHAP supera a LIME en fidelidad (efecto muy grande,</w:t>
                  </w:r>
                  <w:r>
                    <w:t xml:space="preserve"> </w:t>
                  </w:r>
                  <ns1:oMath>
                    <ns1:sSub>
                      <ns1:e>
                        <ns1:r>
                          <ns1:t>d</ns1:t>
                        </ns1:r>
                      </ns1:e>
                      <ns1:sub>
                        <ns1:r>
                          <ns1:t>z</ns1:t>
                        </ns1:r>
                      </ns1:sub>
                    </ns1:sSub>
                    <ns1:r>
                      <ns1:rPr>
                        <ns1:sty ns1:val="p"/>
                      </ns1:rPr>
                      <ns1:t>=</ns1:t>
                    </ns1:r>
                    <ns1:r>
                      <ns1:t>4.82</ns1:t>
                    </ns1:r>
                  </ns1:oMath>
                  <w:r>
                    <w:t xml:space="preserve">)</w:t>
                  </w:r>
                </w:p>
              </w:tc>
              <w:tc>
                <w:tcPr/>
                <w:p>
                  <w:pPr>
                    <w:pStyle w:val="Compact"/>
                    <w:jc w:val="both"/>
                    <w:jc w:val="center"/>
                    <w:spacing w:line="360" w:lineRule="auto"/>
                  </w:pPr>
                  <w:r>
                    <w:t xml:space="preserve">UCI Adult Income; clasificación tabular binaria; cinco modelos ML convencionales; métricas de fidelidad por enmascaramiento de características</w:t>
                  </w:r>
                </w:p>
              </w:tc>
              <w:tc>
                <w:tcPr/>
                <w:p>
                  <w:pPr>
                    <w:pStyle w:val="Compact"/>
                    <w:jc w:val="both"/>
                    <w:jc w:val="center"/>
                    <w:spacing w:line="360" w:lineRule="auto"/>
                  </w:pPr>
                  <w:r>
                    <w:t xml:space="preserve">Dominios de imagen, texto, series temporales; datasets tabulares adicionales para la comparación específica SHAP-LIME; otras operacionalizaciones de fidelidad (ROAR, pixel-flipping)</w:t>
                  </w:r>
                </w:p>
              </w:tc>
              <w:tc>
                <w:tcPr/>
                <w:p>
                  <w:pPr>
                    <w:pStyle w:val="Compact"/>
                    <w:jc w:val="both"/>
                    <w:jc w:val="center"/>
                    <w:spacing w:line="360" w:lineRule="auto"/>
                  </w:pPr>
                  <w:r>
                    <w:rPr>
                      <w:b/>
                      <w:bCs/>
                    </w:rPr>
                    <w:t xml:space="preserve">Validación parcial completada (EXP3):</w:t>
                  </w:r>
                  <w:r>
                    <w:t xml:space="preserve"> </w:t>
                  </w:r>
                  <w:r>
                    <w:t xml:space="preserve">el ordenamiento SHAP</w:t>
                  </w:r>
                  <w:r>
                    <w:t xml:space="preserve"> </w:t>
                  </w:r>
                  <ns1:oMath>
                    <ns1:r>
                      <ns1:rPr>
                        <ns1:sty ns1:val="p"/>
                      </ns1:rPr>
                      <ns1:t>&gt;</ns1:t>
                    </ns1:r>
                  </ns1:oMath>
                  <w:r>
                    <w:t xml:space="preserve"> </w:t>
                  </w:r>
                  <w:r>
                    <w:t xml:space="preserve">Anchors en fidelidad fue replicado en Breast Cancer Wisconsin y German Credit (12/12 combinaciones pareadas; véase §sec-exp3-nota). Pendiente: replicación del contraste SHAP-LIME en datasets adicionales.</w:t>
                  </w:r>
                </w:p>
              </w:tc>
            </w:tr>
            <w:tr>
              <w:tc>
                <w:tcPr/>
                <w:p>
                  <w:pPr>
                    <w:pStyle w:val="Compact"/>
                    <w:jc w:val="both"/>
                    <w:jc w:val="center"/>
                    <w:spacing w:line="360" w:lineRule="auto"/>
                  </w:pPr>
                  <w:r>
                    <w:t xml:space="preserve">La inestabilidad de LIME es estructural (CV=86%, media≈0.014)</w:t>
                  </w:r>
                </w:p>
              </w:tc>
              <w:tc>
                <w:tcPr/>
                <w:p>
                  <w:pPr>
                    <w:pStyle w:val="Compact"/>
                    <w:jc w:val="both"/>
                    <w:jc w:val="center"/>
                    <w:spacing w:line="360" w:lineRule="auto"/>
                  </w:pPr>
                  <w:r>
                    <w:t xml:space="preserve">UCI Adult Income; estabilidad definida como similitud coseno bajo perturbación gaussiana; configuración</w:t>
                  </w:r>
                  <w:r>
                    <w:t xml:space="preserve"> </w:t>
                  </w:r>
                  <w:r>
                    <w:rPr>
                      <w:rStyle w:val="VerbatimChar"/>
                    </w:rPr>
                    <w:t xml:space="preserve">num_samples=1000</w:t>
                  </w:r>
                  <w:r>
                    <w:t xml:space="preserve">,</w:t>
                  </w:r>
                  <w:r>
                    <w:t xml:space="preserve"> </w:t>
                  </w:r>
                  <w:r>
                    <w:rPr>
                      <w:rStyle w:val="VerbatimChar"/>
                    </w:rPr>
                    <w:t xml:space="preserve">kernel_width=3.0</w:t>
                  </w:r>
                </w:p>
              </w:tc>
              <w:tc>
                <w:tcPr/>
                <w:p>
                  <w:pPr>
                    <w:pStyle w:val="Compact"/>
                    <w:jc w:val="both"/>
                    <w:jc w:val="center"/>
                    <w:spacing w:line="360" w:lineRule="auto"/>
                  </w:pPr>
                  <w:r>
                    <w:t xml:space="preserve">Otras configuraciones de LIME; otras definiciones de estabilidad (distancia Lipschitz local, varianza de pesos)</w:t>
                  </w:r>
                </w:p>
              </w:tc>
              <w:tc>
                <w:tcPr/>
                <w:p>
                  <w:pPr>
                    <w:pStyle w:val="Compact"/>
                    <w:jc w:val="both"/>
                    <w:jc w:val="center"/>
                    <w:spacing w:line="360" w:lineRule="auto"/>
                  </w:pPr>
                  <w:r>
                    <w:t xml:space="preserve">Análisis de sensibilidad de hiperparámetros con variación sistemática de</w:t>
                  </w:r>
                  <w:r>
                    <w:t xml:space="preserve"> </w:t>
                  </w:r>
                  <w:r>
                    <w:rPr>
                      <w:rStyle w:val="VerbatimChar"/>
                    </w:rPr>
                    <w:t xml:space="preserve">num_samples</w:t>
                  </w:r>
                  <w:r>
                    <w:t xml:space="preserve">,</w:t>
                  </w:r>
                  <w:r>
                    <w:t xml:space="preserve"> </w:t>
                  </w:r>
                  <w:r>
                    <w:rPr>
                      <w:rStyle w:val="VerbatimChar"/>
                    </w:rPr>
                    <w:t xml:space="preserve">kernel_width</w:t>
                  </w:r>
                  <w:r>
                    <w:t xml:space="preserve"> </w:t>
                  </w:r>
                  <w:r>
                    <w:t xml:space="preserve">y estrategia de perturbación</w:t>
                  </w:r>
                </w:p>
              </w:tc>
            </w:tr>
            <w:tr>
              <w:tc>
                <w:tcPr/>
                <w:p>
                  <w:pPr>
                    <w:pStyle w:val="Compact"/>
                    <w:jc w:val="both"/>
                    <w:jc w:val="center"/>
                    <w:spacing w:line="360" w:lineRule="auto"/>
                  </w:pPr>
                  <w:r>
                    <w:t xml:space="preserve">FOM-7 produce resultados reproducibles (CV&lt;3% en fidelidad primaria)</w:t>
                  </w:r>
                </w:p>
              </w:tc>
              <w:tc>
                <w:tcPr/>
                <w:p>
                  <w:pPr>
                    <w:pStyle w:val="Compact"/>
                    <w:jc w:val="both"/>
                    <w:jc w:val="center"/>
                    <w:spacing w:line="360" w:lineRule="auto"/>
                  </w:pPr>
                  <w:r>
                    <w:t xml:space="preserve">Entorno controlado; cinco semillas definidas; modelos congelados en EXP1</w:t>
                  </w:r>
                </w:p>
              </w:tc>
              <w:tc>
                <w:tcPr/>
                <w:p>
                  <w:pPr>
                    <w:pStyle w:val="Compact"/>
                    <w:jc w:val="both"/>
                    <w:jc w:val="center"/>
                    <w:spacing w:line="360" w:lineRule="auto"/>
                  </w:pPr>
                  <w:r>
                    <w:t xml:space="preserve">Otros entornos computacionales sin control de recursos; modelos re-entrenados entre ejecuciones; datasets con alta varianza de instancias</w:t>
                  </w:r>
                </w:p>
              </w:tc>
              <w:tc>
                <w:tcPr/>
                <w:p>
                  <w:pPr>
                    <w:pStyle w:val="Compact"/>
                    <w:jc w:val="both"/>
                    <w:jc w:val="center"/>
                    <w:spacing w:line="360" w:lineRule="auto"/>
                  </w:pPr>
                  <w:r>
                    <w:t xml:space="preserve">Replicación independiente con infraestructura distinta; publicación de resultados en Zenodo con instrucciones verificadas</w:t>
                  </w:r>
                </w:p>
              </w:tc>
            </w:tr>
            <w:tr>
              <w:tc>
                <w:tcPr/>
                <w:p>
                  <w:pPr>
                    <w:pStyle w:val="Compact"/>
                    <w:jc w:val="both"/>
                    <w:jc w:val="center"/>
                    <w:spacing w:line="360" w:lineRule="auto"/>
                  </w:pPr>
                  <w:r>
                    <w:t xml:space="preserve">Los criterios prescriptivos de selección son válidos (Contextos A-D)</w:t>
                  </w:r>
                </w:p>
              </w:tc>
              <w:tc>
                <w:tcPr/>
                <w:p>
                  <w:pPr>
                    <w:pStyle w:val="Compact"/>
                    <w:jc w:val="both"/>
                    <w:jc w:val="center"/>
                    <w:spacing w:line="360" w:lineRule="auto"/>
                  </w:pPr>
                  <w:r>
                    <w:t xml:space="preserve">Condiciones del benchmark descritas; modelos y métricas definidas</w:t>
                  </w:r>
                </w:p>
              </w:tc>
              <w:tc>
                <w:tcPr/>
                <w:p>
                  <w:pPr>
                    <w:pStyle w:val="Compact"/>
                    <w:jc w:val="both"/>
                    <w:jc w:val="center"/>
                    <w:spacing w:line="360" w:lineRule="auto"/>
                  </w:pPr>
                  <w:r>
                    <w:t xml:space="preserve">Dominios regulados con restricciones normativas propias; preferencias de usuarios finales; criterios de comprehensibilidad</w:t>
                  </w:r>
                </w:p>
              </w:tc>
              <w:tc>
                <w:tcPr/>
                <w:p>
                  <w:pPr>
                    <w:pStyle w:val="Compact"/>
                    <w:jc w:val="both"/>
                    <w:jc w:val="center"/>
                    <w:spacing w:line="360" w:lineRule="auto"/>
                  </w:pPr>
                  <w:r>
                    <w:t xml:space="preserve">Estudios human-centered en dominios específicos (crédito, salud, justicia) con usuarios expertos</w:t>
                  </w:r>
                </w:p>
              </w:tc>
            </w:tr>
            <w:tr>
              <w:tc>
                <w:tcPr/>
                <w:p>
                  <w:pPr>
                    <w:pStyle w:val="Compact"/>
                    <w:jc w:val="both"/>
                    <w:jc w:val="center"/>
                    <w:spacing w:line="360" w:lineRule="auto"/>
                  </w:pPr>
                  <w:r>
                    <w:t xml:space="preserve">DiCE es preferible para recourse sobre otros métodos</w:t>
                  </w:r>
                </w:p>
              </w:tc>
              <w:tc>
                <w:tcPr/>
                <w:p>
                  <w:pPr>
                    <w:pStyle w:val="Compact"/>
                    <w:jc w:val="both"/>
                    <w:jc w:val="center"/>
                    <w:spacing w:line="360" w:lineRule="auto"/>
                  </w:pPr>
                  <w:r>
                    <w:t xml:space="preserve">Objetivo de cambio de predicción; dataset Adult Income</w:t>
                  </w:r>
                </w:p>
              </w:tc>
              <w:tc>
                <w:tcPr/>
                <w:p>
                  <w:pPr>
                    <w:pStyle w:val="Compact"/>
                    <w:jc w:val="both"/>
                    <w:jc w:val="center"/>
                    <w:spacing w:line="360" w:lineRule="auto"/>
                  </w:pPr>
                  <w:r>
                    <w:t xml:space="preserve">Entornos con restricciones de factibilidad semántica; dominios donde la accionabilidad requiere validación causal</w:t>
                  </w:r>
                </w:p>
              </w:tc>
              <w:tc>
                <w:tcPr/>
                <w:p>
                  <w:pPr>
                    <w:pStyle w:val="Compact"/>
                    <w:jc w:val="both"/>
                    <w:jc w:val="center"/>
                    <w:spacing w:line="360" w:lineRule="auto"/>
                  </w:pPr>
                  <w:r>
                    <w:t xml:space="preserve">Evaluación de contrafactuales bajo restricciones de dominio reales con expertos</w:t>
                  </w:r>
                </w:p>
              </w:tc>
            </w:tr>
            <w:tr>
              <w:tc>
                <w:tcPr/>
                <w:p>
                  <w:pPr>
                    <w:pStyle w:val="Compact"/>
                    <w:jc w:val="both"/>
                    <w:jc w:val="center"/>
                    <w:spacing w:line="360" w:lineRule="auto"/>
                  </w:pPr>
                  <w:r>
                    <w:t xml:space="preserve">La taxonomía de cuatro ejes organiza el espacio de métricas XAI</w:t>
                  </w:r>
                </w:p>
              </w:tc>
              <w:tc>
                <w:tcPr/>
                <w:p>
                  <w:pPr>
                    <w:pStyle w:val="Compact"/>
                    <w:jc w:val="both"/>
                    <w:jc w:val="center"/>
                    <w:spacing w:line="360" w:lineRule="auto"/>
                  </w:pPr>
                  <w:r>
                    <w:t xml:space="preserve">Las 15 métricas catalogadas en la matriz taxonómica; literatura revisada en el corpus de construcción</w:t>
                  </w:r>
                </w:p>
              </w:tc>
              <w:tc>
                <w:tcPr/>
                <w:p>
                  <w:pPr>
                    <w:pStyle w:val="Compact"/>
                    <w:jc w:val="both"/>
                    <w:jc w:val="center"/>
                    <w:spacing w:line="360" w:lineRule="auto"/>
                  </w:pPr>
                  <w:r>
                    <w:t xml:space="preserve">Métricas emergentes no revisadas; métricas específicas de dominio (XAI médica, XAI legal) con propiedades propias</w:t>
                  </w:r>
                </w:p>
              </w:tc>
              <w:tc>
                <w:tcPr/>
                <w:p>
                  <w:pPr>
                    <w:pStyle w:val="Compact"/>
                    <w:jc w:val="both"/>
                    <w:jc w:val="center"/>
                    <w:spacing w:line="360" w:lineRule="auto"/>
                  </w:pPr>
                  <w:r>
                    <w:t xml:space="preserve">Extensión del corpus de revisión; validación por expertos de dominio</w:t>
                  </w:r>
                </w:p>
              </w:tc>
            </w:tr>
          </w:tbl>
          <w:bookmarkEnd w:id="182"/>
          <w:p>
            <w:pPr>
              <w:spacing w:line="360" w:lineRule="auto"/>
              <w:jc w:val="both"/>
            </w:pPr>
          </w:p>
        </w:tc>
      </w:tr>
    </w:tbl>
    <w:p>
      <w:pPr>
        <w:pStyle w:val="Textoindependiente"/>
        <w:spacing w:line="360" w:lineRule="auto"/>
        <w:jc w:val="both"/>
      </w:pPr>
      <w:r>
        <w:t xml:space="preserve">Esta tabla cumple la función de convertir las limitaciones del estudio en</w:t>
      </w:r>
      <w:r>
        <w:t xml:space="preserve"> </w:t>
      </w:r>
      <w:r>
        <w:t xml:space="preserve">información científica estructurada. Al especificar qué evidencia sería</w:t>
      </w:r>
      <w:r>
        <w:t xml:space="preserve"> </w:t>
      </w:r>
      <w:r>
        <w:t xml:space="preserve">necesaria para extender cada afirmación, la tesis no solo reconoce sus límites</w:t>
      </w:r>
      <w:r>
        <w:t xml:space="preserve"> </w:t>
      </w:r>
      <w:r>
        <w:t xml:space="preserve">sino que define la agenda de investigación de la manera más útil para</w:t>
      </w:r>
      <w:r>
        <w:t xml:space="preserve"> </w:t>
      </w:r>
      <w:r>
        <w:t xml:space="preserve">investigadores que deseen construir sobre estos resultados.</w:t>
      </w:r>
    </w:p>
    <w:bookmarkStart w:id="183" w:name="sec-exp3-nota"/>
    <w:p>
      <w:pPr>
        <w:pStyle w:val="Ttulo3"/>
        <w:spacing w:line="360" w:lineRule="auto"/>
        <w:jc w:val="both"/>
      </w:pPr>
      <w:r>
        <w:t xml:space="preserve">Nota sobre la validación externa parcial: EXP3</w:t>
      </w:r>
    </w:p>
    <w:p>
      <w:pPr>
        <w:pStyle w:val="FirstParagraph"/>
        <w:spacing w:line="360" w:lineRule="auto"/>
        <w:jc w:val="both"/>
      </w:pPr>
      <w:r>
        <w:t xml:space="preserve">Durante el desarrollo de esta línea de investigación se completó una validación</w:t>
      </w:r>
      <w:r>
        <w:t xml:space="preserve"> </w:t>
      </w:r>
      <w:r>
        <w:t xml:space="preserve">externa parcial del ordenamiento de fidelidad (EXP3). El estudio comparó SHAP</w:t>
      </w:r>
      <w:r>
        <w:t xml:space="preserve"> </w:t>
      </w:r>
      <w:r>
        <w:t xml:space="preserve">frente a Anchors en dos datasets tabulares binarios adicionales: Breast Cancer</w:t>
      </w:r>
      <w:r>
        <w:t xml:space="preserve"> </w:t>
      </w:r>
      <w:r>
        <w:t xml:space="preserve">Wisconsin</w:t>
      </w:r>
      <w:r>
        <w:t xml:space="preserve"> </w:t>
      </w:r>
      <w:r>
        <w:t xml:space="preserve">(</w:t>
      </w:r>
      <ns1:oMath>
        <ns1:r>
          <ns1:t>n</ns1:t>
        </ns1:r>
        <ns1:r>
          <ns1:rPr>
            <ns1:sty ns1:val="p"/>
          </ns1:rPr>
          <ns1:t>=</ns1:t>
        </ns1:r>
        <ns1:r>
          <ns1:t>569</ns1:t>
        </ns1:r>
      </ns1:oMath>
      <w:r>
        <w:t xml:space="preserve">, 30 características, Dua and Graff 2019)</w:t>
      </w:r>
      <w:r>
        <w:t xml:space="preserve"> </w:t>
      </w:r>
      <w:r>
        <w:t xml:space="preserve">y German Credit</w:t>
      </w:r>
      <w:r>
        <w:t xml:space="preserve"> </w:t>
      </w:r>
      <w:r>
        <w:t xml:space="preserve">(</w:t>
      </w:r>
      <ns1:oMath>
        <ns1:r>
          <ns1:t>n</ns1:t>
        </ns1:r>
        <ns1:r>
          <ns1:rPr>
            <ns1:sty ns1:val="p"/>
          </ns1:rPr>
          <ns1:t>=</ns1:t>
        </ns1:r>
        <ns1:r>
          <ns1:t>1</ns1:t>
        </ns1:r>
        <ns1:r>
          <ns1:rPr>
            <ns1:sty ns1:val="p"/>
          </ns1:rPr>
          <ns1:t>,</ns1:t>
        </ns1:r>
        <ns1:r>
          <ns1:t>000</ns1:t>
        </ns1:r>
      </ns1:oMath>
      <w:r>
        <w:t xml:space="preserve">, 20 características, Dua and Graff 2019)</w:t>
      </w:r>
      <w:r>
        <w:t xml:space="preserve">, empleando los modelos Random Forest</w:t>
      </w:r>
      <w:r>
        <w:t xml:space="preserve"> </w:t>
      </w:r>
      <w:r>
        <w:t xml:space="preserve">y XGBoost con tres semillas por combinación (</w:t>
      </w:r>
      <ns1:oMath>
        <ns1:r>
          <ns1:t>3</ns1:t>
        </ns1:r>
        <ns1:r>
          <ns1:rPr>
            <ns1:sty ns1:val="p"/>
          </ns1:rPr>
          <ns1:t>×</ns1:t>
        </ns1:r>
        <ns1:r>
          <ns1:t>2</ns1:t>
        </ns1:r>
        <ns1:r>
          <ns1:rPr>
            <ns1:sty ns1:val="p"/>
          </ns1:rPr>
          <ns1:t>×</ns1:t>
        </ns1:r>
        <ns1:r>
          <ns1:t>2</ns1:t>
        </ns1:r>
        <ns1:r>
          <ns1:rPr>
            <ns1:sty ns1:val="p"/>
          </ns1:rPr>
          <ns1:t>=</ns1:t>
        </ns1:r>
        <ns1:r>
          <ns1:t>12</ns1:t>
        </ns1:r>
      </ns1:oMath>
      <w:r>
        <w:t xml:space="preserve"> </w:t>
      </w:r>
      <w:r>
        <w:t xml:space="preserve">comparaciones pareadas por dataset</w:t>
      </w:r>
      <w:r>
        <w:t xml:space="preserve"> </w:t>
      </w:r>
      <ns1:oMath>
        <ns1:r>
          <ns1:rPr>
            <ns1:sty ns1:val="p"/>
          </ns1:rPr>
          <ns1:t>×</ns1:t>
        </ns1:r>
      </ns1:oMath>
      <w:r>
        <w:t xml:space="preserve"> </w:t>
      </w:r>
      <w:r>
        <w:t xml:space="preserve">modelo</w:t>
      </w:r>
      <w:r>
        <w:t xml:space="preserve"> </w:t>
      </w:r>
      <ns1:oMath>
        <ns1:r>
          <ns1:rPr>
            <ns1:sty ns1:val="p"/>
          </ns1:rPr>
          <ns1:t>×</ns1:t>
        </ns1:r>
      </ns1:oMath>
      <w:r>
        <w:t xml:space="preserve"> </w:t>
      </w:r>
      <w:r>
        <w:t xml:space="preserve">semilla). SHAP</w:t>
      </w:r>
      <w:r>
        <w:t xml:space="preserve"> </w:t>
      </w:r>
      <w:r>
        <w:t xml:space="preserve">superó a Anchors en fidelidad en las 12 combinaciones, con brechas medias de</w:t>
      </w:r>
      <w:r>
        <w:t xml:space="preserve"> </w:t>
      </w:r>
      <ns1:oMath>
        <ns1:r>
          <ns1:rPr>
            <ns1:sty ns1:val="p"/>
          </ns1:rPr>
          <ns1:t>+</ns1:t>
        </ns1:r>
        <ns1:r>
          <ns1:t>0.26</ns1:t>
        </ns1:r>
      </ns1:oMath>
      <w:r>
        <w:t xml:space="preserve"> </w:t>
      </w:r>
      <w:r>
        <w:t xml:space="preserve">(German Credit, RF) a</w:t>
      </w:r>
      <w:r>
        <w:t xml:space="preserve"> </w:t>
      </w:r>
      <ns1:oMath>
        <ns1:r>
          <ns1:rPr>
            <ns1:sty ns1:val="p"/>
          </ns1:rPr>
          <ns1:t>+</ns1:t>
        </ns1:r>
        <ns1:r>
          <ns1:t>0.51</ns1:t>
        </ns1:r>
      </ns1:oMath>
      <w:r>
        <w:t xml:space="preserve"> </w:t>
      </w:r>
      <w:r>
        <w:t xml:space="preserve">(Breast Cancer, RF). Estos resultados</w:t>
      </w:r>
      <w:r>
        <w:t xml:space="preserve"> </w:t>
      </w:r>
      <w:r>
        <w:t xml:space="preserve">replican el ordenamiento observado en EXP2 en espacios de características con</w:t>
      </w:r>
      <w:r>
        <w:t xml:space="preserve"> </w:t>
      </w:r>
      <w:r>
        <w:t xml:space="preserve">dimensionalidad y distribución distintas al dataset primario.</w:t>
      </w:r>
    </w:p>
    <w:p>
      <w:pPr>
        <w:pStyle w:val="Textoindependiente"/>
        <w:spacing w:line="360" w:lineRule="auto"/>
        <w:jc w:val="both"/>
      </w:pPr>
      <w:r>
        <w:t xml:space="preserve">Adicionalmente, se completó una extensión de EXP3 que incluye LIME en los</w:t>
      </w:r>
      <w:r>
        <w:t xml:space="preserve"> </w:t>
      </w:r>
      <w:r>
        <w:t xml:space="preserve">mismos dos datasets, utilizando el protocolo de fidelidad y estabilidad del</w:t>
      </w:r>
      <w:r>
        <w:t xml:space="preserve"> </w:t>
      </w:r>
      <w:r>
        <w:t xml:space="preserve">diseño EXP2 (</w:t>
      </w:r>
      <ns1:oMath>
        <ns1:r>
          <ns1:t>N</ns1:t>
        </ns1:r>
        <ns1:r>
          <ns1:rPr>
            <ns1:sty ns1:val="p"/>
          </ns1:rPr>
          <ns1:t>=</ns1:t>
        </ns1:r>
        <ns1:r>
          <ns1:t>100</ns1:t>
        </ns1:r>
      </ns1:oMath>
      <w:r>
        <w:t xml:space="preserve">, 50 por clase; estabilidad:</w:t>
      </w:r>
      <w:r>
        <w:t xml:space="preserve"> </w:t>
      </w:r>
      <ns1:oMath>
        <ns1:r>
          <ns1:t>T</ns1:t>
        </ns1:r>
        <ns1:r>
          <ns1:rPr>
            <ns1:sty ns1:val="p"/>
          </ns1:rPr>
          <ns1:t>=</ns1:t>
        </ns1:r>
        <ns1:r>
          <ns1:t>15</ns1:t>
        </ns1:r>
      </ns1:oMath>
      <w:r>
        <w:t xml:space="preserve"> </w:t>
      </w:r>
      <w:r>
        <w:t xml:space="preserve">perturbaciones</w:t>
      </w:r>
      <w:r>
        <w:t xml:space="preserve"> </w:t>
      </w:r>
      <w:r>
        <w:t xml:space="preserve">gaussianas,</w:t>
      </w:r>
      <w:r>
        <w:t xml:space="preserve"> </w:t>
      </w:r>
      <ns1:oMath>
        <ns1:r>
          <ns1:t>σ</ns1:t>
        </ns1:r>
        <ns1:r>
          <ns1:rPr>
            <ns1:sty ns1:val="p"/>
          </ns1:rPr>
          <ns1:t>=</ns1:t>
        </ns1:r>
        <ns1:r>
          <ns1:t>0.1</ns1:t>
        </ns1:r>
      </ns1:oMath>
      <w:r>
        <w:t xml:space="preserve">). Los resultados principales son los siguientes.</w:t>
      </w:r>
      <w:r>
        <w:t xml:space="preserve"> </w:t>
      </w:r>
      <w:r>
        <w:t xml:space="preserve">En fidelidad, LIME alcanza valores de</w:t>
      </w:r>
      <w:r>
        <w:t xml:space="preserve"> </w:t>
      </w:r>
      <ns1:oMath>
        <ns1:r>
          <ns1:t>0.713</ns1:t>
        </ns1:r>
      </ns1:oMath>
      <w:r>
        <w:t xml:space="preserve"> </w:t>
      </w:r>
      <w:r>
        <w:t xml:space="preserve">(BC, RF) y</w:t>
      </w:r>
      <w:r>
        <w:t xml:space="preserve"> </w:t>
      </w:r>
      <ns1:oMath>
        <ns1:r>
          <ns1:t>0.543</ns1:t>
        </ns1:r>
      </ns1:oMath>
      <w:r>
        <w:t xml:space="preserve"> </w:t>
      </w:r>
      <w:r>
        <w:t xml:space="preserve">(BC, XGB),</w:t>
      </w:r>
      <w:r>
        <w:t xml:space="preserve"> </w:t>
      </w:r>
      <w:r>
        <w:t xml:space="preserve">frente a</w:t>
      </w:r>
      <w:r>
        <w:t xml:space="preserve"> </w:t>
      </w:r>
      <ns1:oMath>
        <ns1:r>
          <ns1:t>0.483</ns1:t>
        </ns1:r>
      </ns1:oMath>
      <w:r>
        <w:t xml:space="preserve"> </w:t>
      </w:r>
      <w:r>
        <w:t xml:space="preserve">(GC, RF) y</w:t>
      </w:r>
      <w:r>
        <w:t xml:space="preserve"> </w:t>
      </w:r>
      <ns1:oMath>
        <ns1:r>
          <ns1:t>0.468</ns1:t>
        </ns1:r>
      </ns1:oMath>
      <w:r>
        <w:t xml:space="preserve"> </w:t>
      </w:r>
      <w:r>
        <w:t xml:space="preserve">(GC, XGB). El ordenamiento SHAP &gt; LIME se</w:t>
      </w:r>
      <w:r>
        <w:t xml:space="preserve"> </w:t>
      </w:r>
      <w:r>
        <w:t xml:space="preserve">sostiene en German Credit pero la brecha se reduce en Breast Cancer (</w:t>
      </w:r>
      <ns1:oMath>
        <ns1:r>
          <ns1:rPr>
            <ns1:sty ns1:val="p"/>
          </ns1:rPr>
          <ns1:t>+</ns1:t>
        </ns1:r>
        <ns1:r>
          <ns1:t>0.07</ns1:t>
        </ns1:r>
      </ns1:oMath>
      <w:r>
        <w:t xml:space="preserve"> </w:t>
      </w:r>
      <w:r>
        <w:t xml:space="preserve">en BC frente a</w:t>
      </w:r>
      <w:r>
        <w:t xml:space="preserve"> </w:t>
      </w:r>
      <ns1:oMath>
        <ns1:r>
          <ns1:rPr>
            <ns1:sty ns1:val="p"/>
          </ns1:rPr>
          <ns1:t>+</ns1:t>
        </ns1:r>
        <ns1:r>
          <ns1:t>0.27</ns1:t>
        </ns1:r>
      </ns1:oMath>
      <w:r>
        <w:t xml:space="preserve"> </w:t>
      </w:r>
      <w:r>
        <w:t xml:space="preserve">en Adult). El resultado más notable concierne a la</w:t>
      </w:r>
      <w:r>
        <w:t xml:space="preserve"> </w:t>
      </w:r>
      <w:r>
        <w:t xml:space="preserve">estabilidad: LIME obtiene similitud coseno media de</w:t>
      </w:r>
      <w:r>
        <w:t xml:space="preserve"> </w:t>
      </w:r>
      <ns1:oMath>
        <ns1:r>
          <ns1:t>0.922</ns1:t>
        </ns1:r>
      </ns1:oMath>
      <w:r>
        <w:t xml:space="preserve">–</w:t>
      </w:r>
      <ns1:oMath>
        <ns1:r>
          <ns1:t>0.927</ns1:t>
        </ns1:r>
      </ns1:oMath>
      <w:r>
        <w:t xml:space="preserve"> </w:t>
      </w:r>
      <w:r>
        <w:t xml:space="preserve">en Breast</w:t>
      </w:r>
      <w:r>
        <w:t xml:space="preserve"> </w:t>
      </w:r>
      <w:r>
        <w:t xml:space="preserve">Cancer y</w:t>
      </w:r>
      <w:r>
        <w:t xml:space="preserve"> </w:t>
      </w:r>
      <ns1:oMath>
        <ns1:r>
          <ns1:t>0.748</ns1:t>
        </ns1:r>
      </ns1:oMath>
      <w:r>
        <w:t xml:space="preserve">–</w:t>
      </w:r>
      <ns1:oMath>
        <ns1:r>
          <ns1:t>0.854</ns1:t>
        </ns1:r>
      </ns1:oMath>
      <w:r>
        <w:t xml:space="preserve"> </w:t>
      </w:r>
      <w:r>
        <w:t xml:space="preserve">en German Credit, en marcado contraste con el valor</w:t>
      </w:r>
      <w:r>
        <w:t xml:space="preserve"> </w:t>
      </w:r>
      <w:r>
        <w:t xml:space="preserve">de</w:t>
      </w:r>
      <w:r>
        <w:t xml:space="preserve"> </w:t>
      </w:r>
      <ns1:oMath>
        <ns1:r>
          <ns1:t>0.014</ns1:t>
        </ns1:r>
      </ns1:oMath>
      <w:r>
        <w:t xml:space="preserve"> </w:t>
      </w:r>
      <w:r>
        <w:t xml:space="preserve">registrado en Adult Income. Esta disparidad apunta al espacio de</w:t>
      </w:r>
      <w:r>
        <w:t xml:space="preserve"> </w:t>
      </w:r>
      <w:r>
        <w:t xml:space="preserve">características como factor mediador: Adult Income fue preprocesado mediante</w:t>
      </w:r>
      <w:r>
        <w:t xml:space="preserve"> </w:t>
      </w:r>
      <w:r>
        <w:t xml:space="preserve">codificación one-hot de 13 variables categóricas, produciendo un espacio de</w:t>
      </w:r>
      <w:r>
        <w:t xml:space="preserve"> </w:t>
      </w:r>
      <w:r>
        <w:t xml:space="preserve">103 dimensiones predominantemente binario; Breast Cancer (30 características</w:t>
      </w:r>
      <w:r>
        <w:t xml:space="preserve"> </w:t>
      </w:r>
      <w:r>
        <w:t xml:space="preserve">continuas) y German Credit (61 dimensiones tras preprocesamiento, mezcla de</w:t>
      </w:r>
      <w:r>
        <w:t xml:space="preserve"> </w:t>
      </w:r>
      <w:r>
        <w:t xml:space="preserve">continuas y binarias) presentan estructuras de vecindad más densas y regulares</w:t>
      </w:r>
      <w:r>
        <w:t xml:space="preserve"> </w:t>
      </w:r>
      <w:r>
        <w:t xml:space="preserve">para el kernel de LIME. La inestabilidad estructural de LIME documentada en</w:t>
      </w:r>
      <w:r>
        <w:t xml:space="preserve"> </w:t>
      </w:r>
      <w:r>
        <w:t xml:space="preserve">EXP2 es, por tanto, dependiente del espacio de características, no una</w:t>
      </w:r>
      <w:r>
        <w:t xml:space="preserve"> </w:t>
      </w:r>
      <w:r>
        <w:t xml:space="preserve">propiedad universal del método.</w:t>
      </w:r>
    </w:p>
    <w:p>
      <w:pPr>
        <w:pStyle w:val="Textoindependiente"/>
        <w:spacing w:line="360" w:lineRule="auto"/>
        <w:jc w:val="both"/>
      </w:pPr>
      <w:r>
        <w:t xml:space="preserve">El alcance de EXP3 permanece acotado en dos sentidos relevantes. Primero, la</w:t>
      </w:r>
      <w:r>
        <w:t xml:space="preserve"> </w:t>
      </w:r>
      <w:r>
        <w:t xml:space="preserve">estabilidad de SHAP no fue instrumentada en los datasets adicionales (la sonda</w:t>
      </w:r>
      <w:r>
        <w:t xml:space="preserve"> </w:t>
      </w:r>
      <w:r>
        <w:t xml:space="preserve">se diseñó para LIME), por lo que no es posible calcular diferencias pareadas</w:t>
      </w:r>
      <w:r>
        <w:t xml:space="preserve"> </w:t>
      </w:r>
      <w:r>
        <w:t xml:space="preserve">SHAP-LIME de estabilidad en BC ni GC. Segundo, los modelos SVM y MLP no están</w:t>
      </w:r>
      <w:r>
        <w:t xml:space="preserve"> </w:t>
      </w:r>
      <w:r>
        <w:t xml:space="preserve">cubiertos. En consecuencia, la afirmación principal de esta tesis —SHAP supera</w:t>
      </w:r>
      <w:r>
        <w:t xml:space="preserve"> </w:t>
      </w:r>
      <w:r>
        <w:t xml:space="preserve">a LIME en fidelidad (</w:t>
      </w:r>
      <ns1:oMath>
        <ns1:sSub>
          <ns1:e>
            <ns1:r>
              <ns1:t>d</ns1:t>
            </ns1:r>
          </ns1:e>
          <ns1:sub>
            <ns1:r>
              <ns1:t>z</ns1:t>
            </ns1:r>
          </ns1:sub>
        </ns1:sSub>
        <ns1:r>
          <ns1:rPr>
            <ns1:sty ns1:val="p"/>
          </ns1:rPr>
          <ns1:t>=</ns1:t>
        </ns1:r>
        <ns1:r>
          <ns1:t>4.82</ns1:t>
        </ns1:r>
      </ns1:oMath>
      <w:r>
        <w:t xml:space="preserve">) y en estabilidad (</w:t>
      </w:r>
      <ns1:oMath>
        <ns1:sSub>
          <ns1:e>
            <ns1:r>
              <ns1:t>d</ns1:t>
            </ns1:r>
          </ns1:e>
          <ns1:sub>
            <ns1:r>
              <ns1:t>z</ns1:t>
            </ns1:r>
          </ns1:sub>
        </ns1:sSub>
        <ns1:r>
          <ns1:rPr>
            <ns1:sty ns1:val="p"/>
          </ns1:rPr>
          <ns1:t>=</ns1:t>
        </ns1:r>
        <ns1:r>
          <ns1:t>3.00</ns1:t>
        </ns1:r>
      </ns1:oMath>
      <w:r>
        <w:t xml:space="preserve">)— permanece</w:t>
      </w:r>
      <w:r>
        <w:t xml:space="preserve"> </w:t>
      </w:r>
      <w:r>
        <w:t xml:space="preserve">referida a UCI Adult Income bajo las condiciones del diseño EXP2; la extensión</w:t>
      </w:r>
      <w:r>
        <w:t xml:space="preserve"> </w:t>
      </w:r>
      <w:r>
        <w:t xml:space="preserve">cross-dataset muestra que la ventaja de fidelidad se mantiene pero se atenúa, y</w:t>
      </w:r>
      <w:r>
        <w:t xml:space="preserve"> </w:t>
      </w:r>
      <w:r>
        <w:t xml:space="preserve">que la brecha de estabilidad puede ser un artefacto del espacio de alta dimensión</w:t>
      </w:r>
      <w:r>
        <w:t xml:space="preserve"> </w:t>
      </w:r>
      <w:r>
        <w:t xml:space="preserve">y no una diferencia intrínseca entre métodos.</w:t>
      </w:r>
    </w:p>
    <w:bookmarkEnd w:id="183"/>
    <w:bookmarkEnd w:id="184"/>
    <w:bookmarkStart w:id="185" w:name="sec-futuro"/>
    <w:p>
      <w:pPr>
        <w:pStyle w:val="Ttulo2"/>
        <w:spacing w:line="360" w:lineRule="auto"/>
        <w:jc w:val="both"/>
      </w:pPr>
      <w:r>
        <w:t xml:space="preserve">Líneas de investigación futura</w:t>
      </w:r>
    </w:p>
    <w:p>
      <w:pPr>
        <w:pStyle w:val="FirstParagraph"/>
        <w:spacing w:line="360" w:lineRule="auto"/>
        <w:jc w:val="both"/>
      </w:pPr>
      <w:r>
        <w:t xml:space="preserve">Los resultados, las limitaciones y la taxonomía del Capítulo 5 convergen en</w:t>
      </w:r>
      <w:r>
        <w:t xml:space="preserve"> </w:t>
      </w:r>
      <w:r>
        <w:t xml:space="preserve">señalar cinco extensiones de investigación con fundamento empírico:</w:t>
      </w:r>
    </w:p>
    <w:p>
      <w:pPr>
        <w:pStyle w:val="Textoindependiente"/>
        <w:spacing w:line="360" w:lineRule="auto"/>
        <w:jc w:val="both"/>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spacing w:line="360" w:lineRule="auto"/>
        <w:jc w:val="both"/>
      </w:pPr>
      <w:r>
        <w:rPr>
          <w:b/>
          <w:bCs/>
        </w:rPr>
        <w:t xml:space="preserve">2. Validación de evaluadores semánticos e incorporación de evaluación</w:t>
      </w:r>
      <w:r>
        <w:rPr>
          <w:b/>
          <w:bCs/>
        </w:rPr>
        <w:t xml:space="preserve"> </w:t>
      </w:r>
      <w:r>
        <w:rPr>
          <w:b/>
          <w:bCs/>
        </w:rPr>
        <w:t xml:space="preserve">human-centered.</w:t>
      </w:r>
      <w:r>
        <w:t xml:space="preserve"> </w:t>
      </w:r>
      <w:r>
        <w:t xml:space="preserve">EXP4 (§sec-exp4-fiabilidad) estableció que los jueces LLM</w:t>
      </w:r>
      <w:r>
        <w:t xml:space="preserve"> </w:t>
      </w:r>
      <w:r>
        <w:t xml:space="preserve">actuales no alcanzan la convergencia inter-juez necesaria bajo rúbricas sin</w:t>
      </w:r>
      <w:r>
        <w:t xml:space="preserve"> </w:t>
      </w:r>
      <w:r>
        <w:t xml:space="preserve">especificación de stakeholder. La continuación directa de este resultado son dos</w:t>
      </w:r>
      <w:r>
        <w:t xml:space="preserve"> </w:t>
      </w:r>
      <w:r>
        <w:t xml:space="preserve">líneas: primera, rediseñar las rúbricas con los cuatro criterios de formalización</w:t>
      </w:r>
      <w:r>
        <w:t xml:space="preserve"> </w:t>
      </w:r>
      <w:r>
        <w:t xml:space="preserve">identificados en §sec-exp4-fiabilidad (especificación de stakeholder, criterio</w:t>
      </w:r>
      <w:r>
        <w:t xml:space="preserve"> </w:t>
      </w:r>
      <w:r>
        <w:t xml:space="preserve">de corrección verificable, separación de desiderata secundarios, calibración</w:t>
      </w:r>
      <w:r>
        <w:t xml:space="preserve"> </w:t>
      </w:r>
      <w:r>
        <w:t xml:space="preserve">contra expertos humanos) y replicar EXP4 con las rúbricas revisadas para</w:t>
      </w:r>
      <w:r>
        <w:t xml:space="preserve"> </w:t>
      </w:r>
      <w:r>
        <w:t xml:space="preserve">determinar si la brecha de fiabilidad se cierra con mayor formalización o</w:t>
      </w:r>
      <w:r>
        <w:t xml:space="preserve"> </w:t>
      </w:r>
      <w:r>
        <w:t xml:space="preserve">refleja límites del paradigma LLM-as-a-judge. Segunda: incorporar estudios de</w:t>
      </w:r>
      <w:r>
        <w:t xml:space="preserve"> </w:t>
      </w:r>
      <w:r>
        <w:t xml:space="preserve">usuario con expertos de dominio (médicos, analistas de crédito) que evalúen</w:t>
      </w:r>
      <w:r>
        <w:t xml:space="preserve"> </w:t>
      </w:r>
      <w:r>
        <w:t xml:space="preserve">comprensión, confianza y utilidad de las explicaciones de SHAP y LIME bajo</w:t>
      </w:r>
      <w:r>
        <w:t xml:space="preserve"> </w:t>
      </w:r>
      <w:r>
        <w:t xml:space="preserve">condiciones de tarea real, produciendo la calibración humana necesaria para</w:t>
      </w:r>
      <w:r>
        <w:t xml:space="preserve"> </w:t>
      </w:r>
      <w:r>
        <w:t xml:space="preserve">validar cualquier evaluador semántico automático.</w:t>
      </w:r>
    </w:p>
    <w:p>
      <w:pPr>
        <w:pStyle w:val="Textoindependiente"/>
        <w:spacing w:line="360" w:lineRule="auto"/>
        <w:jc w:val="both"/>
      </w:pPr>
      <w:r>
        <w:rPr>
          <w:b/>
          <w:bCs/>
        </w:rPr>
        <w:t xml:space="preserve">3. Extensión del análisis de sensibilidad a hiperparámetros.</w:t>
      </w:r>
      <w:r>
        <w:t xml:space="preserve"> </w:t>
      </w:r>
      <w:r>
        <w:t xml:space="preserve">Los análisis de sensibilidad completados en el Apéndice C establecen tres resultados base: (i) la inestabilidad de LIME es robusta a variaciones de</w:t>
      </w:r>
      <w:r>
        <w:t xml:space="preserve"> </w:t>
      </w:r>
      <w:r>
        <w:rPr>
          <w:rStyle w:val="VerbatimChar"/>
        </w:rPr>
        <w:t xml:space="preserve">num_samples</w:t>
      </w:r>
      <w:r>
        <w:t xml:space="preserve"> </w:t>
      </w:r>
      <w:r>
        <w:t xml:space="preserve">∈ {500, 1000, 2000} —la similitud coseno permanece cercana a cero en todos los niveles, descartando que sea un artefacto de convergencia—; (ii)</w:t>
      </w:r>
      <w:r>
        <w:t xml:space="preserve"> </w:t>
      </w:r>
      <w:r>
        <w:rPr>
          <w:rStyle w:val="VerbatimChar"/>
        </w:rPr>
        <w:t xml:space="preserve">kernel_width</w:t>
      </w:r>
      <w:r>
        <w:t xml:space="preserve"> </w:t>
      </w:r>
      <w:r>
        <w:t xml:space="preserve">∈ {0.25, 0.75} produce pesos degenerados en el espacio preprocesado de 103 dimensiones, con</w:t>
      </w:r>
      <w:r>
        <w:t xml:space="preserve"> </w:t>
      </w:r>
      <w:r>
        <w:rPr>
          <w:rStyle w:val="VerbatimChar"/>
        </w:rPr>
        <w:t xml:space="preserve">kernel_width = 3.0</w:t>
      </w:r>
      <w:r>
        <w:t xml:space="preserve"> </w:t>
      </w:r>
      <w:r>
        <w:t xml:space="preserve">como valor mínimo viable y</w:t>
      </w:r>
      <w:r>
        <w:t xml:space="preserve"> </w:t>
      </w:r>
      <w:r>
        <w:rPr>
          <w:rStyle w:val="VerbatimChar"/>
        </w:rPr>
        <w:t xml:space="preserve">kernel_width = 10.0</w:t>
      </w:r>
      <w:r>
        <w:t xml:space="preserve"> </w:t>
      </w:r>
      <w:r>
        <w:t xml:space="preserve">como alternativa más estable a costa de localidad; y (iii) la cobertura de Anchors es extremadamente sensible al umbral de precisión</w:t>
      </w:r>
      <w:r>
        <w:t xml:space="preserve"> </w:t>
      </w:r>
      <ns1:oMath>
        <ns1:r>
          <ns1:t>τ</ns1:t>
        </ns1:r>
      </ns1:oMath>
      <w:r>
        <w:t xml:space="preserve">. Las brechas pendientes incluyen la sensibilidad del tamaño del conjunto de referencia de SHAP más allá del rango evaluado (25–100), la interacción entre</w:t>
      </w:r>
      <w:r>
        <w:t xml:space="preserve"> </w:t>
      </w:r>
      <w:r>
        <w:rPr>
          <w:rStyle w:val="VerbatimChar"/>
        </w:rPr>
        <w:t xml:space="preserve">kernel_width</w:t>
      </w:r>
      <w:r>
        <w:t xml:space="preserve"> </w:t>
      </w:r>
      <w:r>
        <w:t xml:space="preserve">y</w:t>
      </w:r>
      <w:r>
        <w:t xml:space="preserve"> </w:t>
      </w:r>
      <w:r>
        <w:rPr>
          <w:rStyle w:val="VerbatimChar"/>
        </w:rPr>
        <w:t xml:space="preserve">num_samples</w:t>
      </w:r>
      <w:r>
        <w:t xml:space="preserve"> </w:t>
      </w:r>
      <w:r>
        <w:t xml:space="preserve">en espacios de dimensionalidad variable, y la extensión de los análisis a los modelos SVM y MLP, que emplean KernelSHAP en lugar de TreeSHAP y exhiben distintos perfiles de coste-estabilidad.</w:t>
      </w:r>
    </w:p>
    <w:p>
      <w:pPr>
        <w:pStyle w:val="Textoindependiente"/>
        <w:spacing w:line="360" w:lineRule="auto"/>
        <w:jc w:val="both"/>
      </w:pPr>
      <w:r>
        <w:rPr>
          <w:b/>
          <w:bCs/>
        </w:rPr>
        <w:t xml:space="preserve">4. Extensión cross-dataset del contraste SHAP-LIME y replicación en dominios</w:t>
      </w:r>
      <w:r>
        <w:rPr>
          <w:b/>
          <w:bCs/>
        </w:rPr>
        <w:t xml:space="preserve"> </w:t>
      </w:r>
      <w:r>
        <w:rPr>
          <w:b/>
          <w:bCs/>
        </w:rPr>
        <w:t xml:space="preserve">de alto riesgo.</w:t>
      </w:r>
      <w:r>
        <w:t xml:space="preserve"> </w:t>
      </w:r>
      <w:r>
        <w:t xml:space="preserve">EXP3 replicó el ordenamiento de fidelidad SHAP-Anchors en</w:t>
      </w:r>
      <w:r>
        <w:t xml:space="preserve"> </w:t>
      </w:r>
      <w:r>
        <w:t xml:space="preserve">Breast Cancer Wisconsin y German Credit, pero excluyó a LIME y las métricas de</w:t>
      </w:r>
      <w:r>
        <w:t xml:space="preserve"> </w:t>
      </w:r>
      <w:r>
        <w:t xml:space="preserve">estabilidad. La extensión prioritaria es, por tanto, incorporar LIME y la métrica</w:t>
      </w:r>
      <w:r>
        <w:t xml:space="preserve"> </w:t>
      </w:r>
      <w:r>
        <w:t xml:space="preserve">de similitud coseno al protocolo cross-dataset, de modo que los hallazgos</w:t>
      </w:r>
      <w:r>
        <w:t xml:space="preserve"> </w:t>
      </w:r>
      <w:r>
        <w:t xml:space="preserve">centrales de esta tesis —</w:t>
      </w:r>
      <ns1:oMath>
        <ns1:sSub>
          <ns1:e>
            <ns1:r>
              <ns1:t>d</ns1:t>
            </ns1:r>
          </ns1:e>
          <ns1:sub>
            <ns1:r>
              <ns1:t>z</ns1:t>
            </ns1:r>
          </ns1:sub>
        </ns1:sSub>
        <ns1:r>
          <ns1:rPr>
            <ns1:sty ns1:val="p"/>
          </ns1:rPr>
          <ns1:t>=</ns1:t>
        </ns1:r>
        <ns1:r>
          <ns1:t>4.82</ns1:t>
        </ns1:r>
      </ns1:oMath>
      <w:r>
        <w:t xml:space="preserve"> </w:t>
      </w:r>
      <w:r>
        <w:t xml:space="preserve">en fidelidad y</w:t>
      </w:r>
      <w:r>
        <w:t xml:space="preserve"> </w:t>
      </w:r>
      <ns1:oMath>
        <ns1:sSub>
          <ns1:e>
            <ns1:r>
              <ns1:t>d</ns1:t>
            </ns1:r>
          </ns1:e>
          <ns1:sub>
            <ns1:r>
              <ns1:t>z</ns1:t>
            </ns1:r>
          </ns1:sub>
        </ns1:sSub>
        <ns1:r>
          <ns1:rPr>
            <ns1:sty ns1:val="p"/>
          </ns1:rPr>
          <ns1:t>=</ns1:t>
        </ns1:r>
        <ns1:r>
          <ns1:t>3.00</ns1:t>
        </ns1:r>
      </ns1:oMath>
      <w:r>
        <w:t xml:space="preserve"> </w:t>
      </w:r>
      <w:r>
        <w:t xml:space="preserve">en</w:t>
      </w:r>
      <w:r>
        <w:t xml:space="preserve"> </w:t>
      </w:r>
      <w:r>
        <w:t xml:space="preserve">estabilidad— sean verificables fuera del contexto UCI Adult Income. Una segunda</w:t>
      </w:r>
      <w:r>
        <w:t xml:space="preserve"> </w:t>
      </w:r>
      <w:r>
        <w:t xml:space="preserve">dirección es la validación en dominios regulados (crédito, salud, justicia) con</w:t>
      </w:r>
      <w:r>
        <w:t xml:space="preserve"> </w:t>
      </w:r>
      <w:r>
        <w:t xml:space="preserve">restricciones normativas explícitas (EU AI Act, GDPR Art. 22), donde la</w:t>
      </w:r>
      <w:r>
        <w:t xml:space="preserve"> </w:t>
      </w:r>
      <w:r>
        <w:t xml:space="preserve">elección del método explicador tiene consecuencias legales directas.</w:t>
      </w:r>
    </w:p>
    <w:p>
      <w:pPr>
        <w:pStyle w:val="Textoindependiente"/>
        <w:spacing w:line="360" w:lineRule="auto"/>
        <w:jc w:val="both"/>
      </w:pPr>
      <w:r>
        <w:rPr>
          <w:b/>
          <w:bCs/>
        </w:rPr>
        <w:t xml:space="preserve">5. Formalización del eje de comprehensibilidad en la taxonomía.</w:t>
      </w:r>
      <w:r>
        <w:t xml:space="preserve"> </w:t>
      </w:r>
      <w:r>
        <w:t xml:space="preserve">El eje de</w:t>
      </w:r>
      <w:r>
        <w:t xml:space="preserve"> </w:t>
      </w:r>
      <w:r>
        <w:t xml:space="preserve">contexto de tarea de la taxonomía incluye el contexto</w:t>
      </w:r>
      <w:r>
        <w:t xml:space="preserve"> </w:t>
      </w:r>
      <w:r>
        <w:rPr>
          <w:i/>
          <w:iCs/>
        </w:rPr>
        <w:t xml:space="preserve">usuario final</w:t>
      </w:r>
      <w:r>
        <w:t xml:space="preserve"> </w:t>
      </w:r>
      <w:r>
        <w:t xml:space="preserve">pero no</w:t>
      </w:r>
      <w:r>
        <w:t xml:space="preserve"> </w:t>
      </w:r>
      <w:r>
        <w:t xml:space="preserve">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85"/>
    <w:bookmarkStart w:id="186" w:name="sec-sintesis"/>
    <w:p>
      <w:pPr>
        <w:pStyle w:val="Ttulo2"/>
        <w:spacing w:line="360" w:lineRule="auto"/>
        <w:jc w:val="both"/>
      </w:pPr>
      <w:r>
        <w:t xml:space="preserve">Síntesis final</w:t>
      </w:r>
    </w:p>
    <w:p>
      <w:pPr>
        <w:pStyle w:val="FirstParagraph"/>
        <w:spacing w:line="360" w:lineRule="auto"/>
        <w:jc w:val="bot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con amplia holgura, los resultados ofrecen una</w:t>
      </w:r>
      <w:r>
        <w:t xml:space="preserve"> </w:t>
      </w:r>
      <w:r>
        <w:t xml:space="preserve">base sólida para la interpretación principal: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spacing w:line="360" w:lineRule="auto"/>
        <w:jc w:val="both"/>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p>
      <w:pPr>
        <w:pStyle w:val="Textoindependiente"/>
        <w:spacing w:line="360" w:lineRule="auto"/>
        <w:jc w:val="both"/>
      </w:pPr>
      <w:r>
        <w:t xml:space="preserve">La implicación más amplia de esta tesis trasciende el contexto experimental.</w:t>
      </w:r>
      <w:r>
        <w:t xml:space="preserve"> </w:t>
      </w:r>
      <w:r>
        <w:t xml:space="preserve">El hallazgo de que LIME exhibe inestabilidad estructural —no marginal, sino</w:t>
      </w:r>
      <w:r>
        <w:t xml:space="preserve"> </w:t>
      </w:r>
      <w:r>
        <w:t xml:space="preserve">sistemática, con CV=86.2% y similitud coseno media de 0.014— es relevante para</w:t>
      </w:r>
      <w:r>
        <w:t xml:space="preserve"> </w:t>
      </w:r>
      <w:r>
        <w:t xml:space="preserve">cualquier sistema de apoyo a la decisión que emplee LIME en entornos de</w:t>
      </w:r>
      <w:r>
        <w:t xml:space="preserve"> </w:t>
      </w:r>
      <w:r>
        <w:t xml:space="preserve">auditoría, regulación o alto riesgo. El contexto normativo actual (EU AI Act,</w:t>
      </w:r>
      <w:r>
        <w:t xml:space="preserve"> </w:t>
      </w:r>
      <w:r>
        <w:t xml:space="preserve">GDPR Art. 22) demanda explicaciones verificables y consistentes; un método que</w:t>
      </w:r>
      <w:r>
        <w:t xml:space="preserve"> </w:t>
      </w:r>
      <w:r>
        <w:t xml:space="preserve">produce explicaciones casi ortogonales entre dos ejecuciones de la misma</w:t>
      </w:r>
      <w:r>
        <w:t xml:space="preserve"> </w:t>
      </w:r>
      <w:r>
        <w:t xml:space="preserve">instancia no satisface ese requisito. Esta conclusión, sostenida por 75 pares</w:t>
      </w:r>
      <w:r>
        <w:t xml:space="preserve"> </w:t>
      </w:r>
      <w:r>
        <w:t xml:space="preserve">de contraste con efecto</w:t>
      </w:r>
      <w:r>
        <w:t xml:space="preserve"> </w:t>
      </w:r>
      <ns1:oMath>
        <ns1:sSub>
          <ns1:e>
            <ns1:r>
              <ns1:t>d</ns1:t>
            </ns1:r>
          </ns1:e>
          <ns1:sub>
            <ns1:r>
              <ns1:t>z</ns1:t>
            </ns1:r>
          </ns1:sub>
        </ns1:sSub>
        <ns1:r>
          <ns1:rPr>
            <ns1:sty ns1:val="p"/>
          </ns1:rPr>
          <ns1:t>=</ns1:t>
        </ns1:r>
        <ns1:r>
          <ns1:t>3.002</ns1:t>
        </ns1:r>
      </ns1:oMath>
      <w:r>
        <w:t xml:space="preserve">, es la afirmación de mayor impacto</w:t>
      </w:r>
      <w:r>
        <w:t xml:space="preserve"> </w:t>
      </w:r>
      <w:r>
        <w:t xml:space="preserve">práctico de la tesis: no es un argumento teórico contra LIME, sino una</w:t>
      </w:r>
      <w:r>
        <w:t xml:space="preserve"> </w:t>
      </w:r>
      <w:r>
        <w:t xml:space="preserve">cuantificación empírica de su riesgo en el tipo de despliegue que la regulación</w:t>
      </w:r>
      <w:r>
        <w:t xml:space="preserve"> </w:t>
      </w:r>
      <w:r>
        <w:t xml:space="preserve">exige evaluar.</w:t>
      </w:r>
    </w:p>
    <w:p>
      <w:pPr>
        <w:pStyle w:val="Textoindependiente"/>
        <w:spacing w:line="360" w:lineRule="auto"/>
        <w:jc w:val="both"/>
      </w:pPr>
      <w:r>
        <w:t xml:space="preserve">El camino hacia la excelencia en evaluación XAI no pasa por proponer una métrica</w:t>
      </w:r>
      <w:r>
        <w:t xml:space="preserve"> </w:t>
      </w:r>
      <w:r>
        <w:t xml:space="preserve">adicional ni por declarar un método dominante universal. Pasa por construir la</w:t>
      </w:r>
      <w:r>
        <w:t xml:space="preserve"> </w:t>
      </w:r>
      <w:r>
        <w:t xml:space="preserve">infraestructura de gobernanza que permita comparar, acumular y defender</w:t>
      </w:r>
      <w:r>
        <w:t xml:space="preserve"> </w:t>
      </w:r>
      <w:r>
        <w:t xml:space="preserve">evidencia sobre métodos de explicación bajo condiciones auditables. FOM-7 y la</w:t>
      </w:r>
      <w:r>
        <w:t xml:space="preserve"> </w:t>
      </w:r>
      <w:r>
        <w:t xml:space="preserve">taxonomía asociada son una contribución concreta a esa infraestructura, y este</w:t>
      </w:r>
      <w:r>
        <w:t xml:space="preserve"> </w:t>
      </w:r>
      <w:r>
        <w:t xml:space="preserve">benchmark es la primera demostración de su aplicación sobre datos tabulares</w:t>
      </w:r>
      <w:r>
        <w:t xml:space="preserve"> </w:t>
      </w:r>
      <w:r>
        <w:t xml:space="preserve">reales bajo control estadístico riguroso. La agenda de investigación señalada</w:t>
      </w:r>
      <w:r>
        <w:t xml:space="preserve"> </w:t>
      </w:r>
      <w:r>
        <w:t xml:space="preserve">en la Sección</w:t>
      </w:r>
      <w:r>
        <w:t xml:space="preserve"> </w:t>
      </w:r>
      <w:hyperlink w:anchor="sec-futuro">
        <w:r>
          <w:rPr>
            <w:rStyle w:val="Hipervnculo"/>
          </w:rPr>
          <w:t xml:space="preserve">Section 7.6</w:t>
        </w:r>
      </w:hyperlink>
      <w:r>
        <w:t xml:space="preserve"> </w:t>
      </w:r>
      <w:r>
        <w:t xml:space="preserve">—extensión a dominios no tabulares, incorporación de</w:t>
      </w:r>
      <w:r>
        <w:t xml:space="preserve"> </w:t>
      </w:r>
      <w:r>
        <w:t xml:space="preserve">evaluación human-centered, análisis de sensibilidad de hiperparámetros,</w:t>
      </w:r>
      <w:r>
        <w:t xml:space="preserve"> </w:t>
      </w:r>
      <w:r>
        <w:t xml:space="preserve">replicación en dominios regulados— define el camino para transformar esta</w:t>
      </w:r>
      <w:r>
        <w:t xml:space="preserve"> </w:t>
      </w:r>
      <w:r>
        <w:t xml:space="preserve">infraestructura en un estándar de facto para la evaluación comparativa de</w:t>
      </w:r>
      <w:r>
        <w:t xml:space="preserve"> </w:t>
      </w:r>
      <w:r>
        <w:t xml:space="preserve">métodos XAI.</w:t>
      </w:r>
    </w:p>
    <w:bookmarkEnd w:id="186"/>
    <w:bookmarkEnd w:id="187"/>
    <w:bookmarkStart w:id="322" w:name="referencias"/>
    <w:p>
      <w:pPr>
        <w:pStyle w:val="Ttulo1"/>
        <w:spacing w:line="360" w:lineRule="auto"/>
        <w:jc w:val="both"/>
      </w:pPr>
      <w:r>
        <w:t xml:space="preserve">Referencias</w:t>
      </w:r>
    </w:p>
    <w:bookmarkStart w:id="321" w:name="refs"/>
    <w:bookmarkStart w:id="189" w:name="ref-abdul2018"/>
    <w:p>
      <w:pPr>
        <w:pStyle w:val="Bibliography"/>
        <w:spacing w:line="360" w:lineRule="auto"/>
        <w:jc w:val="both"/>
      </w:pPr>
      <w:r>
        <w:t xml:space="preserve">Abdul, Ashraf, Jo Vermeulen, Danding Wang, Brian Y. Lim, and Mohan Kankanhalli. 2018.</w:t>
      </w:r>
      <w:r>
        <w:t xml:space="preserve"> </w:t>
      </w:r>
      <w:r>
        <w:t xml:space="preserve">“Trends and Trajectories for Explainable, Accountable and Intelligible Systems: An HCI Research Agenda.”</w:t>
      </w:r>
      <w:r>
        <w:t xml:space="preserve"> </w:t>
      </w:r>
      <w:r>
        <w:rPr>
          <w:i/>
          <w:iCs/>
        </w:rPr>
        <w:t xml:space="preserve">Proceedings of the 2018 CHI Conference on Human Factors in Computing Systems</w:t>
      </w:r>
      <w:r>
        <w:t xml:space="preserve">, 1–18.</w:t>
      </w:r>
      <w:r>
        <w:t xml:space="preserve"> </w:t>
      </w:r>
      <w:hyperlink ns5:id="rId188">
        <w:r>
          <w:rPr>
            <w:rStyle w:val="Hipervnculo"/>
          </w:rPr>
          <w:t xml:space="preserve">https://doi.org/10.1145/3173574.3174156</w:t>
        </w:r>
      </w:hyperlink>
      <w:r>
        <w:t xml:space="preserve">.</w:t>
      </w:r>
    </w:p>
    <w:bookmarkEnd w:id="189"/>
    <w:bookmarkStart w:id="191" w:name="ref-abdulkadir2023"/>
    <w:p>
      <w:pPr>
        <w:pStyle w:val="Bibliography"/>
        <w:spacing w:line="360" w:lineRule="auto"/>
        <w:jc w:val="both"/>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ns5:id="rId190">
        <w:r>
          <w:rPr>
            <w:rStyle w:val="Hipervnculo"/>
          </w:rPr>
          <w:t xml:space="preserve">https://doi.org/10.1109/INES59045.2023.1030000</w:t>
        </w:r>
      </w:hyperlink>
      <w:r>
        <w:t xml:space="preserve">.</w:t>
      </w:r>
    </w:p>
    <w:bookmarkEnd w:id="191"/>
    <w:bookmarkStart w:id="193" w:name="ref-adadi2018"/>
    <w:p>
      <w:pPr>
        <w:pStyle w:val="Bibliography"/>
        <w:spacing w:line="360" w:lineRule="auto"/>
        <w:jc w:val="both"/>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ns5:id="rId192">
        <w:r>
          <w:rPr>
            <w:rStyle w:val="Hipervnculo"/>
          </w:rPr>
          <w:t xml:space="preserve">https://doi.org/10.1109/access.2018.2870052</w:t>
        </w:r>
      </w:hyperlink>
      <w:r>
        <w:t xml:space="preserve">.</w:t>
      </w:r>
    </w:p>
    <w:bookmarkEnd w:id="193"/>
    <w:bookmarkStart w:id="194" w:name="ref-agarwal2022"/>
    <w:p>
      <w:pPr>
        <w:pStyle w:val="Bibliography"/>
        <w:spacing w:line="360" w:lineRule="auto"/>
        <w:jc w:val="both"/>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94"/>
    <w:bookmarkStart w:id="196" w:name="ref-ali2023"/>
    <w:p>
      <w:pPr>
        <w:pStyle w:val="Bibliography"/>
        <w:spacing w:line="360" w:lineRule="auto"/>
        <w:jc w:val="both"/>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ns5:id="rId195">
        <w:r>
          <w:rPr>
            <w:rStyle w:val="Hipervnculo"/>
          </w:rPr>
          <w:t xml:space="preserve">https://doi.org/10.1016/j.inffus.2023.101805</w:t>
        </w:r>
      </w:hyperlink>
      <w:r>
        <w:t xml:space="preserve">.</w:t>
      </w:r>
    </w:p>
    <w:bookmarkEnd w:id="196"/>
    <w:bookmarkStart w:id="198" w:name="ref-allen2024"/>
    <w:p>
      <w:pPr>
        <w:pStyle w:val="Bibliography"/>
        <w:spacing w:line="360" w:lineRule="auto"/>
        <w:jc w:val="both"/>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ns5:id="rId197">
        <w:r>
          <w:rPr>
            <w:rStyle w:val="Hipervnculo"/>
          </w:rPr>
          <w:t xml:space="preserve">https://doi.org/10.1146/annurev-statistics-040120-030919</w:t>
        </w:r>
      </w:hyperlink>
      <w:r>
        <w:t xml:space="preserve">.</w:t>
      </w:r>
    </w:p>
    <w:bookmarkEnd w:id="198"/>
    <w:bookmarkStart w:id="200" w:name="ref-altukhi2025"/>
    <w:p>
      <w:pPr>
        <w:pStyle w:val="Bibliography"/>
        <w:spacing w:line="360" w:lineRule="auto"/>
        <w:jc w:val="both"/>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ns5:id="rId199">
        <w:r>
          <w:rPr>
            <w:rStyle w:val="Hipervnculo"/>
          </w:rPr>
          <w:t xml:space="preserve">https://doi.org/10.3390/technologies13030093</w:t>
        </w:r>
      </w:hyperlink>
      <w:r>
        <w:t xml:space="preserve">.</w:t>
      </w:r>
    </w:p>
    <w:bookmarkEnd w:id="200"/>
    <w:bookmarkStart w:id="202" w:name="ref-alvarezmelis2018"/>
    <w:p>
      <w:pPr>
        <w:pStyle w:val="Bibliography"/>
        <w:spacing w:line="360" w:lineRule="auto"/>
        <w:jc w:val="both"/>
      </w:pPr>
      <w:r>
        <w:t xml:space="preserve">Alvarez-Melis, David, and Tommi S. Jaakkola. 2018.</w:t>
      </w:r>
      <w:r>
        <w:t xml:space="preserve"> </w:t>
      </w:r>
      <w:r>
        <w:rPr>
          <w:i/>
          <w:iCs/>
        </w:rPr>
        <w:t xml:space="preserve">On the Robustness of Interpretability Methods</w:t>
      </w:r>
      <w:r>
        <w:t xml:space="preserve">.</w:t>
      </w:r>
      <w:r>
        <w:t xml:space="preserve"> </w:t>
      </w:r>
      <w:hyperlink ns5:id="rId201">
        <w:r>
          <w:rPr>
            <w:rStyle w:val="Hipervnculo"/>
          </w:rPr>
          <w:t xml:space="preserve">https://arxiv.org/abs/1806.08049</w:t>
        </w:r>
      </w:hyperlink>
      <w:r>
        <w:t xml:space="preserve">.</w:t>
      </w:r>
    </w:p>
    <w:bookmarkEnd w:id="202"/>
    <w:bookmarkStart w:id="204" w:name="ref-angelov2021"/>
    <w:p>
      <w:pPr>
        <w:pStyle w:val="Bibliography"/>
        <w:spacing w:line="360" w:lineRule="auto"/>
        <w:jc w:val="both"/>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ns5:id="rId203">
        <w:r>
          <w:rPr>
            <w:rStyle w:val="Hipervnculo"/>
          </w:rPr>
          <w:t xml:space="preserve">https://doi.org/10.1002/widm.1424</w:t>
        </w:r>
      </w:hyperlink>
      <w:r>
        <w:t xml:space="preserve">.</w:t>
      </w:r>
    </w:p>
    <w:bookmarkEnd w:id="204"/>
    <w:bookmarkStart w:id="206" w:name="ref-arrieta2019a"/>
    <w:p>
      <w:pPr>
        <w:pStyle w:val="Bibliography"/>
        <w:spacing w:line="360" w:lineRule="auto"/>
        <w:jc w:val="both"/>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ns5:id="rId205">
        <w:r>
          <w:rPr>
            <w:rStyle w:val="Hipervnculo"/>
          </w:rPr>
          <w:t xml:space="preserve">https://doi.org/10.1016/j.inffus.2019.12.012</w:t>
        </w:r>
      </w:hyperlink>
      <w:r>
        <w:t xml:space="preserve">.</w:t>
      </w:r>
    </w:p>
    <w:bookmarkEnd w:id="206"/>
    <w:bookmarkStart w:id="208" w:name="ref-belle2021"/>
    <w:p>
      <w:pPr>
        <w:pStyle w:val="Bibliography"/>
        <w:spacing w:line="360" w:lineRule="auto"/>
        <w:jc w:val="both"/>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ns5:id="rId207">
        <w:r>
          <w:rPr>
            <w:rStyle w:val="Hipervnculo"/>
          </w:rPr>
          <w:t xml:space="preserve">https://doi.org/10.3389/fdata.2021.688969</w:t>
        </w:r>
      </w:hyperlink>
      <w:r>
        <w:t xml:space="preserve">.</w:t>
      </w:r>
    </w:p>
    <w:bookmarkEnd w:id="208"/>
    <w:bookmarkStart w:id="210" w:name="ref-bhattacharya2024"/>
    <w:p>
      <w:pPr>
        <w:pStyle w:val="Bibliography"/>
        <w:spacing w:line="360" w:lineRule="auto"/>
        <w:jc w:val="both"/>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ns5:id="rId209">
        <w:r>
          <w:rPr>
            <w:rStyle w:val="Hipervnculo"/>
          </w:rPr>
          <w:t xml:space="preserve">https://doi.org/10.1145/3631700.3664911</w:t>
        </w:r>
      </w:hyperlink>
      <w:r>
        <w:t xml:space="preserve">.</w:t>
      </w:r>
    </w:p>
    <w:bookmarkEnd w:id="210"/>
    <w:bookmarkStart w:id="212" w:name="ref-breiman2001"/>
    <w:p>
      <w:pPr>
        <w:pStyle w:val="Bibliography"/>
        <w:spacing w:line="360" w:lineRule="auto"/>
        <w:jc w:val="both"/>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ns5:id="rId211">
        <w:r>
          <w:rPr>
            <w:rStyle w:val="Hipervnculo"/>
          </w:rPr>
          <w:t xml:space="preserve">https://doi.org/10.1023/a:1010933404324</w:t>
        </w:r>
      </w:hyperlink>
      <w:r>
        <w:t xml:space="preserve">.</w:t>
      </w:r>
    </w:p>
    <w:bookmarkEnd w:id="212"/>
    <w:bookmarkStart w:id="214" w:name="ref-burger2023"/>
    <w:p>
      <w:pPr>
        <w:pStyle w:val="Bibliography"/>
        <w:spacing w:line="360" w:lineRule="auto"/>
        <w:jc w:val="both"/>
      </w:pPr>
      <w:r>
        <w:t xml:space="preserve">Burger, Christopher, Lingwei Chen, and Thai Le. 2023.</w:t>
      </w:r>
      <w:r>
        <w:t xml:space="preserve"> </w:t>
      </w:r>
      <w:r>
        <w:t xml:space="preserve">“Are Your Explanations Reliable? Investigating the Stability of LIME in Explaining Text Classifiers by Marrying XAI and Adversarial Attack.”</w:t>
      </w:r>
      <w:r>
        <w:t xml:space="preserve"> </w:t>
      </w:r>
      <w:r>
        <w:rPr>
          <w:i/>
          <w:iCs/>
        </w:rPr>
        <w:t xml:space="preserve">Proceedings of the 2023 Conference on Empirical Methods in Natural Language Processing</w:t>
      </w:r>
      <w:r>
        <w:t xml:space="preserve">, 12931–44.</w:t>
      </w:r>
      <w:r>
        <w:t xml:space="preserve"> </w:t>
      </w:r>
      <w:hyperlink ns5:id="rId213">
        <w:r>
          <w:rPr>
            <w:rStyle w:val="Hipervnculo"/>
          </w:rPr>
          <w:t xml:space="preserve">https://doi.org/10.18653/v1/2023.emnlp-main.792</w:t>
        </w:r>
      </w:hyperlink>
      <w:r>
        <w:t xml:space="preserve">.</w:t>
      </w:r>
    </w:p>
    <w:bookmarkEnd w:id="214"/>
    <w:bookmarkStart w:id="216" w:name="ref-canha2025"/>
    <w:p>
      <w:pPr>
        <w:pStyle w:val="Bibliography"/>
        <w:spacing w:line="360" w:lineRule="auto"/>
        <w:jc w:val="both"/>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ns5:id="rId215">
        <w:r>
          <w:rPr>
            <w:rStyle w:val="Hipervnculo"/>
          </w:rPr>
          <w:t xml:space="preserve">https://doi.org/10.1145/3737445</w:t>
        </w:r>
      </w:hyperlink>
      <w:r>
        <w:t xml:space="preserve">.</w:t>
      </w:r>
    </w:p>
    <w:bookmarkEnd w:id="216"/>
    <w:bookmarkStart w:id="218" w:name="ref-carvalho2019"/>
    <w:p>
      <w:pPr>
        <w:pStyle w:val="Bibliography"/>
        <w:spacing w:line="360" w:lineRule="auto"/>
        <w:jc w:val="both"/>
      </w:pPr>
      <w:r>
        <w:t xml:space="preserve">Carvalho, Diogo V., Eduardo M. Pereira, and Jaime S. Cardoso. 2019.</w:t>
      </w:r>
      <w:r>
        <w:t xml:space="preserve"> </w:t>
      </w:r>
      <w:r>
        <w:t xml:space="preserve">“Machine Learning Interpretability: A Survey on Methods and Metrics.”</w:t>
      </w:r>
      <w:r>
        <w:t xml:space="preserve"> </w:t>
      </w:r>
      <w:r>
        <w:rPr>
          <w:i/>
          <w:iCs/>
        </w:rPr>
        <w:t xml:space="preserve">Electronics</w:t>
      </w:r>
      <w:r>
        <w:t xml:space="preserve"> </w:t>
      </w:r>
      <w:r>
        <w:t xml:space="preserve">8 (8): 832.</w:t>
      </w:r>
      <w:r>
        <w:t xml:space="preserve"> </w:t>
      </w:r>
      <w:hyperlink ns5:id="rId217">
        <w:r>
          <w:rPr>
            <w:rStyle w:val="Hipervnculo"/>
          </w:rPr>
          <w:t xml:space="preserve">https://doi.org/10.3390/electronics8080832</w:t>
        </w:r>
      </w:hyperlink>
      <w:r>
        <w:t xml:space="preserve">.</w:t>
      </w:r>
    </w:p>
    <w:bookmarkEnd w:id="218"/>
    <w:bookmarkStart w:id="220" w:name="ref-demsar2006"/>
    <w:p>
      <w:pPr>
        <w:pStyle w:val="Bibliography"/>
        <w:spacing w:line="360" w:lineRule="auto"/>
        <w:jc w:val="both"/>
      </w:pPr>
      <w:r>
        <w:t xml:space="preserve">Demšar, Janez. 2006.</w:t>
      </w:r>
      <w:r>
        <w:t xml:space="preserve"> </w:t>
      </w:r>
      <w:r>
        <w:t xml:space="preserve">“Statistical Comparisons of Classifiers over Multiple Data Sets.”</w:t>
      </w:r>
      <w:r>
        <w:t xml:space="preserve"> </w:t>
      </w:r>
      <w:r>
        <w:rPr>
          <w:i/>
          <w:iCs/>
        </w:rPr>
        <w:t xml:space="preserve">Journal of Machine Learning Research</w:t>
      </w:r>
      <w:r>
        <w:t xml:space="preserve"> </w:t>
      </w:r>
      <w:r>
        <w:t xml:space="preserve">7: 1–30.</w:t>
      </w:r>
      <w:r>
        <w:t xml:space="preserve"> </w:t>
      </w:r>
      <w:hyperlink ns5:id="rId219">
        <w:r>
          <w:rPr>
            <w:rStyle w:val="Hipervnculo"/>
          </w:rPr>
          <w:t xml:space="preserve">https://www.jmlr.org/papers/v7/demsar06a.html</w:t>
        </w:r>
      </w:hyperlink>
      <w:r>
        <w:t xml:space="preserve">.</w:t>
      </w:r>
    </w:p>
    <w:bookmarkEnd w:id="220"/>
    <w:bookmarkStart w:id="222" w:name="ref-doshi-velez2017"/>
    <w:p>
      <w:pPr>
        <w:pStyle w:val="Bibliography"/>
        <w:spacing w:line="360" w:lineRule="auto"/>
        <w:jc w:val="both"/>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ns5:id="rId221">
        <w:r>
          <w:rPr>
            <w:rStyle w:val="Hipervnculo"/>
          </w:rPr>
          <w:t xml:space="preserve">https://doi.org/10.48550/arxiv.1702.08608</w:t>
        </w:r>
      </w:hyperlink>
      <w:r>
        <w:t xml:space="preserve">.</w:t>
      </w:r>
    </w:p>
    <w:bookmarkEnd w:id="222"/>
    <w:bookmarkStart w:id="224" w:name="ref-dua2019uci"/>
    <w:p>
      <w:pPr>
        <w:pStyle w:val="Bibliography"/>
        <w:spacing w:line="360" w:lineRule="auto"/>
        <w:jc w:val="both"/>
      </w:pPr>
      <w:r>
        <w:t xml:space="preserve">Dua, Dheeru, and Casey Graff. 2019.</w:t>
      </w:r>
      <w:r>
        <w:t xml:space="preserve"> </w:t>
      </w:r>
      <w:r>
        <w:rPr>
          <w:i/>
          <w:iCs/>
        </w:rPr>
        <w:t xml:space="preserve">UCI</w:t>
      </w:r>
      <w:r>
        <w:rPr>
          <w:i/>
          <w:iCs/>
        </w:rPr>
        <w:t xml:space="preserve"> </w:t>
      </w:r>
      <w:r>
        <w:rPr>
          <w:i/>
          <w:iCs/>
        </w:rPr>
        <w:t xml:space="preserve">Machine Learning Repository</w:t>
      </w:r>
      <w:r>
        <w:t xml:space="preserve">. University of California, Irvine, School of Information and Computer Sciences.</w:t>
      </w:r>
      <w:r>
        <w:t xml:space="preserve"> </w:t>
      </w:r>
      <w:hyperlink ns5:id="rId223">
        <w:r>
          <w:rPr>
            <w:rStyle w:val="Hipervnculo"/>
          </w:rPr>
          <w:t xml:space="preserve">http://archive.ics.uci.edu/ml</w:t>
        </w:r>
      </w:hyperlink>
      <w:r>
        <w:t xml:space="preserve">.</w:t>
      </w:r>
    </w:p>
    <w:bookmarkEnd w:id="224"/>
    <w:bookmarkStart w:id="226" w:name="ref-floridi2018"/>
    <w:p>
      <w:pPr>
        <w:pStyle w:val="Bibliography"/>
        <w:spacing w:line="360" w:lineRule="auto"/>
        <w:jc w:val="both"/>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ns5:id="rId225">
        <w:r>
          <w:rPr>
            <w:rStyle w:val="Hipervnculo"/>
          </w:rPr>
          <w:t xml:space="preserve">https://doi.org/10.1007/s11023-018-9482-5</w:t>
        </w:r>
      </w:hyperlink>
      <w:r>
        <w:t xml:space="preserve">.</w:t>
      </w:r>
    </w:p>
    <w:bookmarkEnd w:id="226"/>
    <w:bookmarkStart w:id="228" w:name="ref-friedman1937"/>
    <w:p>
      <w:pPr>
        <w:pStyle w:val="Bibliography"/>
        <w:spacing w:line="360" w:lineRule="auto"/>
        <w:jc w:val="both"/>
      </w:pPr>
      <w:r>
        <w:t xml:space="preserve">Friedman, Milton. 1937.</w:t>
      </w:r>
      <w:r>
        <w:t xml:space="preserve"> </w:t>
      </w:r>
      <w:r>
        <w:t xml:space="preserve">“The Use of Ranks to Avoid the Assumption of Normality Implicit in the Analysis of Variance.”</w:t>
      </w:r>
      <w:r>
        <w:t xml:space="preserve"> </w:t>
      </w:r>
      <w:r>
        <w:rPr>
          <w:i/>
          <w:iCs/>
        </w:rPr>
        <w:t xml:space="preserve">Journal of the American Statistical Association</w:t>
      </w:r>
      <w:r>
        <w:t xml:space="preserve"> </w:t>
      </w:r>
      <w:r>
        <w:t xml:space="preserve">32 (200): 675–701.</w:t>
      </w:r>
      <w:r>
        <w:t xml:space="preserve"> </w:t>
      </w:r>
      <w:hyperlink ns5:id="rId227">
        <w:r>
          <w:rPr>
            <w:rStyle w:val="Hipervnculo"/>
          </w:rPr>
          <w:t xml:space="preserve">https://doi.org/10.1080/01621459.1937.10503522</w:t>
        </w:r>
      </w:hyperlink>
      <w:r>
        <w:t xml:space="preserve">.</w:t>
      </w:r>
    </w:p>
    <w:bookmarkEnd w:id="228"/>
    <w:bookmarkStart w:id="230" w:name="ref-gilpin2018"/>
    <w:p>
      <w:pPr>
        <w:pStyle w:val="Bibliography"/>
        <w:spacing w:line="360" w:lineRule="auto"/>
        <w:jc w:val="both"/>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ns5:id="rId229">
        <w:r>
          <w:rPr>
            <w:rStyle w:val="Hipervnculo"/>
          </w:rPr>
          <w:t xml:space="preserve">https://doi.org/10.1109/dsaa.2018.00018</w:t>
        </w:r>
      </w:hyperlink>
      <w:r>
        <w:t xml:space="preserve">.</w:t>
      </w:r>
    </w:p>
    <w:bookmarkEnd w:id="230"/>
    <w:bookmarkStart w:id="232" w:name="ref-guidotti2018"/>
    <w:p>
      <w:pPr>
        <w:pStyle w:val="Bibliography"/>
        <w:spacing w:line="360" w:lineRule="auto"/>
        <w:jc w:val="both"/>
      </w:pPr>
      <w:r>
        <w:t xml:space="preserve">Guidotti, Riccardo, Anna Monreale, Salvatore Ruggieri, Franco Turini, Fosca Giannotti, and Dino Pedreschi. 2018.</w:t>
      </w:r>
      <w:r>
        <w:t xml:space="preserve"> </w:t>
      </w:r>
      <w:r>
        <w:t xml:space="preserve">“A Survey of Methods for Explaining Black Box Models.”</w:t>
      </w:r>
      <w:r>
        <w:t xml:space="preserve"> </w:t>
      </w:r>
      <w:r>
        <w:rPr>
          <w:i/>
          <w:iCs/>
        </w:rPr>
        <w:t xml:space="preserve">ACM Computing Surveys</w:t>
      </w:r>
      <w:r>
        <w:t xml:space="preserve"> </w:t>
      </w:r>
      <w:r>
        <w:t xml:space="preserve">51 (5): 1–42.</w:t>
      </w:r>
      <w:r>
        <w:t xml:space="preserve"> </w:t>
      </w:r>
      <w:hyperlink ns5:id="rId231">
        <w:r>
          <w:rPr>
            <w:rStyle w:val="Hipervnculo"/>
          </w:rPr>
          <w:t xml:space="preserve">https://doi.org/10.1145/3236009</w:t>
        </w:r>
      </w:hyperlink>
      <w:r>
        <w:t xml:space="preserve">.</w:t>
      </w:r>
    </w:p>
    <w:bookmarkEnd w:id="232"/>
    <w:bookmarkStart w:id="234" w:name="ref-hase2020"/>
    <w:p>
      <w:pPr>
        <w:pStyle w:val="Bibliography"/>
        <w:spacing w:line="360" w:lineRule="auto"/>
        <w:jc w:val="both"/>
      </w:pPr>
      <w:r>
        <w:t xml:space="preserve">Hase, Peter, and Mohit Bansal. 2020.</w:t>
      </w:r>
      <w:r>
        <w:t xml:space="preserve"> </w:t>
      </w:r>
      <w:r>
        <w:t xml:space="preserve">“Evaluating Explainable AI: Which Algorithmic Explanations Help Users Predict Model Behavior?”</w:t>
      </w:r>
      <w:r>
        <w:t xml:space="preserve"> </w:t>
      </w:r>
      <w:r>
        <w:rPr>
          <w:i/>
          <w:iCs/>
        </w:rPr>
        <w:t xml:space="preserve">Proceedings of the 58th Annual Meeting of the Association for Computational Linguistics</w:t>
      </w:r>
      <w:r>
        <w:t xml:space="preserve">, 5540–52.</w:t>
      </w:r>
      <w:r>
        <w:t xml:space="preserve"> </w:t>
      </w:r>
      <w:hyperlink ns5:id="rId233">
        <w:r>
          <w:rPr>
            <w:rStyle w:val="Hipervnculo"/>
          </w:rPr>
          <w:t xml:space="preserve">https://doi.org/10.18653/v1/2020.acl-main.491</w:t>
        </w:r>
      </w:hyperlink>
      <w:r>
        <w:t xml:space="preserve">.</w:t>
      </w:r>
    </w:p>
    <w:bookmarkEnd w:id="234"/>
    <w:bookmarkStart w:id="236" w:name="ref-hassija2023"/>
    <w:p>
      <w:pPr>
        <w:pStyle w:val="Bibliography"/>
        <w:spacing w:line="360" w:lineRule="auto"/>
        <w:jc w:val="both"/>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ns5:id="rId235">
        <w:r>
          <w:rPr>
            <w:rStyle w:val="Hipervnculo"/>
          </w:rPr>
          <w:t xml:space="preserve">https://doi.org/10.1007/s12559-023-10179-8</w:t>
        </w:r>
      </w:hyperlink>
      <w:r>
        <w:t xml:space="preserve">.</w:t>
      </w:r>
    </w:p>
    <w:bookmarkEnd w:id="236"/>
    <w:bookmarkStart w:id="237" w:name="ref-hedstrom2023"/>
    <w:p>
      <w:pPr>
        <w:pStyle w:val="Bibliography"/>
        <w:spacing w:line="360" w:lineRule="auto"/>
        <w:jc w:val="both"/>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237"/>
    <w:bookmarkStart w:id="239" w:name="ref-hoffman2023"/>
    <w:p>
      <w:pPr>
        <w:pStyle w:val="Bibliography"/>
        <w:spacing w:line="360" w:lineRule="auto"/>
        <w:jc w:val="both"/>
      </w:pPr>
      <w:r>
        <w:t xml:space="preserve">Hoffman, Robert R., Timothy Miller, Gary Klein, Shane T. Mueller, and William J. Clancey. 2023.</w:t>
      </w:r>
      <w:r>
        <w:t xml:space="preserve"> </w:t>
      </w:r>
      <w:r>
        <w:t xml:space="preserve">“Increasing the Value of XAI for Users: A Psychological Perspective.”</w:t>
      </w:r>
      <w:r>
        <w:t xml:space="preserve"> </w:t>
      </w:r>
      <w:r>
        <w:rPr>
          <w:i/>
          <w:iCs/>
        </w:rPr>
        <w:t xml:space="preserve">KI - K</w:t>
      </w:r>
      <w:r>
        <w:rPr>
          <w:i/>
          <w:iCs/>
        </w:rPr>
        <w:t xml:space="preserve">ü</w:t>
      </w:r>
      <w:r>
        <w:rPr>
          <w:i/>
          <w:iCs/>
        </w:rPr>
        <w:t xml:space="preserve">nstliche Intelligenz</w:t>
      </w:r>
      <w:r>
        <w:t xml:space="preserve"> </w:t>
      </w:r>
      <w:r>
        <w:t xml:space="preserve">37: 145–59.</w:t>
      </w:r>
      <w:r>
        <w:t xml:space="preserve"> </w:t>
      </w:r>
      <w:hyperlink ns5:id="rId238">
        <w:r>
          <w:rPr>
            <w:rStyle w:val="Hipervnculo"/>
          </w:rPr>
          <w:t xml:space="preserve">https://doi.org/10.1007/s13218-023-00806-9</w:t>
        </w:r>
      </w:hyperlink>
      <w:r>
        <w:t xml:space="preserve">.</w:t>
      </w:r>
    </w:p>
    <w:bookmarkEnd w:id="239"/>
    <w:bookmarkStart w:id="241" w:name="ref-hutson2018"/>
    <w:p>
      <w:pPr>
        <w:pStyle w:val="Bibliography"/>
        <w:spacing w:line="360" w:lineRule="auto"/>
        <w:jc w:val="both"/>
      </w:pPr>
      <w:r>
        <w:t xml:space="preserve">Hutson, Matthew. 2018.</w:t>
      </w:r>
      <w:r>
        <w:t xml:space="preserve"> </w:t>
      </w:r>
      <w:r>
        <w:t xml:space="preserve">“Artificial Intelligence Faces Reproducibility Crisis.”</w:t>
      </w:r>
      <w:r>
        <w:t xml:space="preserve"> </w:t>
      </w:r>
      <w:r>
        <w:rPr>
          <w:i/>
          <w:iCs/>
        </w:rPr>
        <w:t xml:space="preserve">Science</w:t>
      </w:r>
      <w:r>
        <w:t xml:space="preserve"> </w:t>
      </w:r>
      <w:r>
        <w:t xml:space="preserve">359 (6377): 725–26.</w:t>
      </w:r>
      <w:r>
        <w:t xml:space="preserve"> </w:t>
      </w:r>
      <w:hyperlink ns5:id="rId240">
        <w:r>
          <w:rPr>
            <w:rStyle w:val="Hipervnculo"/>
          </w:rPr>
          <w:t xml:space="preserve">https://doi.org/10.1126/science.359.6377.725</w:t>
        </w:r>
      </w:hyperlink>
      <w:r>
        <w:t xml:space="preserve">.</w:t>
      </w:r>
    </w:p>
    <w:bookmarkEnd w:id="241"/>
    <w:bookmarkStart w:id="243" w:name="ref-karimi2022"/>
    <w:p>
      <w:pPr>
        <w:pStyle w:val="Bibliography"/>
        <w:spacing w:line="360" w:lineRule="auto"/>
        <w:jc w:val="both"/>
      </w:pPr>
      <w:r>
        <w:t xml:space="preserve">Karimi, Amir-Hossein, Gilles Barthe, Bernhard Schölkopf, and Isabel Valera. 2022.</w:t>
      </w:r>
      <w:r>
        <w:t xml:space="preserve"> </w:t>
      </w:r>
      <w:r>
        <w:t xml:space="preserve">“A Survey of Algorithmic Recourse: Contrastive Explanations and Consequential Recommendations.”</w:t>
      </w:r>
      <w:r>
        <w:t xml:space="preserve"> </w:t>
      </w:r>
      <w:r>
        <w:rPr>
          <w:i/>
          <w:iCs/>
        </w:rPr>
        <w:t xml:space="preserve">ACM Computing Surveys</w:t>
      </w:r>
      <w:r>
        <w:t xml:space="preserve"> </w:t>
      </w:r>
      <w:r>
        <w:t xml:space="preserve">55 (5): 1–29.</w:t>
      </w:r>
      <w:r>
        <w:t xml:space="preserve"> </w:t>
      </w:r>
      <w:hyperlink ns5:id="rId242">
        <w:r>
          <w:rPr>
            <w:rStyle w:val="Hipervnculo"/>
          </w:rPr>
          <w:t xml:space="preserve">https://doi.org/10.1145/3527848</w:t>
        </w:r>
      </w:hyperlink>
      <w:r>
        <w:t xml:space="preserve">.</w:t>
      </w:r>
    </w:p>
    <w:bookmarkEnd w:id="243"/>
    <w:bookmarkStart w:id="245" w:name="ref-kaur2020"/>
    <w:p>
      <w:pPr>
        <w:pStyle w:val="Bibliography"/>
        <w:spacing w:line="360" w:lineRule="auto"/>
        <w:jc w:val="both"/>
      </w:pPr>
      <w:r>
        <w:t xml:space="preserve">Kaur, Harmanpreet, Harsha Nori, Samuel Jenkins, Rich Caruana, Hanna Wallach, and Jennifer Wortman Vaughan. 2020.</w:t>
      </w:r>
      <w:r>
        <w:t xml:space="preserve"> </w:t>
      </w:r>
      <w:r>
        <w:t xml:space="preserve">“Interpreting Interpretability: Understanding Data Scientists’ Use of Interpretability Tools for Machine Learning.”</w:t>
      </w:r>
      <w:r>
        <w:t xml:space="preserve"> </w:t>
      </w:r>
      <w:r>
        <w:rPr>
          <w:i/>
          <w:iCs/>
        </w:rPr>
        <w:t xml:space="preserve">Proceedings of the 2020 CHI Conference on Human Factors in Computing Systems</w:t>
      </w:r>
      <w:r>
        <w:t xml:space="preserve">, 1–14.</w:t>
      </w:r>
      <w:r>
        <w:t xml:space="preserve"> </w:t>
      </w:r>
      <w:hyperlink ns5:id="rId244">
        <w:r>
          <w:rPr>
            <w:rStyle w:val="Hipervnculo"/>
          </w:rPr>
          <w:t xml:space="preserve">https://doi.org/10.1145/3313831.3376219</w:t>
        </w:r>
      </w:hyperlink>
      <w:r>
        <w:t xml:space="preserve">.</w:t>
      </w:r>
    </w:p>
    <w:bookmarkEnd w:id="245"/>
    <w:bookmarkStart w:id="247" w:name="ref-kohavi1996"/>
    <w:p>
      <w:pPr>
        <w:pStyle w:val="Bibliography"/>
        <w:spacing w:line="360" w:lineRule="auto"/>
        <w:jc w:val="both"/>
      </w:pPr>
      <w:r>
        <w:t xml:space="preserve">Kohavi, Ron, and Barry Becker. 1996.</w:t>
      </w:r>
      <w:r>
        <w:t xml:space="preserve"> </w:t>
      </w:r>
      <w:r>
        <w:rPr>
          <w:i/>
          <w:iCs/>
        </w:rPr>
        <w:t xml:space="preserve">Adult Data Set</w:t>
      </w:r>
      <w:r>
        <w:t xml:space="preserve">. UCI Machine Learning Repository.</w:t>
      </w:r>
      <w:r>
        <w:t xml:space="preserve"> </w:t>
      </w:r>
      <w:hyperlink ns5:id="rId246">
        <w:r>
          <w:rPr>
            <w:rStyle w:val="Hipervnculo"/>
          </w:rPr>
          <w:t xml:space="preserve">https://archive.ics.uci.edu/dataset/2/adult</w:t>
        </w:r>
      </w:hyperlink>
      <w:r>
        <w:t xml:space="preserve">.</w:t>
      </w:r>
    </w:p>
    <w:bookmarkEnd w:id="247"/>
    <w:bookmarkStart w:id="249" w:name="ref-koo2016"/>
    <w:p>
      <w:pPr>
        <w:pStyle w:val="Bibliography"/>
        <w:spacing w:line="360" w:lineRule="auto"/>
        <w:jc w:val="both"/>
      </w:pPr>
      <w:r>
        <w:t xml:space="preserve">Koo, Terry K., and Mae Y. Li. 2016.</w:t>
      </w:r>
      <w:r>
        <w:t xml:space="preserve"> </w:t>
      </w:r>
      <w:r>
        <w:t xml:space="preserve">“A Guideline of Selecting and Reporting Intraclass Correlation Coefficients for Reliability Research.”</w:t>
      </w:r>
      <w:r>
        <w:t xml:space="preserve"> </w:t>
      </w:r>
      <w:r>
        <w:rPr>
          <w:i/>
          <w:iCs/>
        </w:rPr>
        <w:t xml:space="preserve">Journal of Chiropractic Medicine</w:t>
      </w:r>
      <w:r>
        <w:t xml:space="preserve"> </w:t>
      </w:r>
      <w:r>
        <w:t xml:space="preserve">15 (2): 155–63.</w:t>
      </w:r>
      <w:r>
        <w:t xml:space="preserve"> </w:t>
      </w:r>
      <w:hyperlink ns5:id="rId248">
        <w:r>
          <w:rPr>
            <w:rStyle w:val="Hipervnculo"/>
          </w:rPr>
          <w:t xml:space="preserve">https://doi.org/10.1016/j.jcm.2016.02.012</w:t>
        </w:r>
      </w:hyperlink>
      <w:r>
        <w:t xml:space="preserve">.</w:t>
      </w:r>
    </w:p>
    <w:bookmarkEnd w:id="249"/>
    <w:bookmarkStart w:id="251" w:name="ref-lakens2013"/>
    <w:p>
      <w:pPr>
        <w:pStyle w:val="Bibliography"/>
        <w:spacing w:line="360" w:lineRule="auto"/>
        <w:jc w:val="both"/>
      </w:pPr>
      <w:r>
        <w:t xml:space="preserve">Lakens, Daniël. 2013.</w:t>
      </w:r>
      <w:r>
        <w:t xml:space="preserve"> </w:t>
      </w:r>
      <w:r>
        <w:t xml:space="preserve">“Calculating and Reporting Effect Sizes to Facilitate Cumulative Science: A Practical Primer for t-Tests and ANOVAs.”</w:t>
      </w:r>
      <w:r>
        <w:t xml:space="preserve"> </w:t>
      </w:r>
      <w:r>
        <w:rPr>
          <w:i/>
          <w:iCs/>
        </w:rPr>
        <w:t xml:space="preserve">Frontiers in Psychology</w:t>
      </w:r>
      <w:r>
        <w:t xml:space="preserve"> </w:t>
      </w:r>
      <w:r>
        <w:t xml:space="preserve">4: 863.</w:t>
      </w:r>
      <w:r>
        <w:t xml:space="preserve"> </w:t>
      </w:r>
      <w:hyperlink ns5:id="rId250">
        <w:r>
          <w:rPr>
            <w:rStyle w:val="Hipervnculo"/>
          </w:rPr>
          <w:t xml:space="preserve">https://doi.org/10.3389/fpsyg.2013.00863</w:t>
        </w:r>
      </w:hyperlink>
      <w:r>
        <w:t xml:space="preserve">.</w:t>
      </w:r>
    </w:p>
    <w:bookmarkEnd w:id="251"/>
    <w:bookmarkStart w:id="253" w:name="ref-langer2021"/>
    <w:p>
      <w:pPr>
        <w:pStyle w:val="Bibliography"/>
        <w:spacing w:line="360" w:lineRule="auto"/>
        <w:jc w:val="both"/>
      </w:pPr>
      <w:r>
        <w:t xml:space="preserve">Langer, Markus, Daniel Oster, Timo Speith, et al. 2021.</w:t>
      </w:r>
      <w:r>
        <w:t xml:space="preserve"> </w:t>
      </w:r>
      <w:r>
        <w:t xml:space="preserve">“What Do We Want from Explainable Artificial Intelligence (XAI)? A Stakeholder Perspective on XAI and a Conceptual Model Guiding Interdisciplinary XAI Research.”</w:t>
      </w:r>
      <w:r>
        <w:t xml:space="preserve"> </w:t>
      </w:r>
      <w:r>
        <w:rPr>
          <w:i/>
          <w:iCs/>
        </w:rPr>
        <w:t xml:space="preserve">Artificial Intelligence</w:t>
      </w:r>
      <w:r>
        <w:t xml:space="preserve"> </w:t>
      </w:r>
      <w:r>
        <w:t xml:space="preserve">296: 103473.</w:t>
      </w:r>
      <w:r>
        <w:t xml:space="preserve"> </w:t>
      </w:r>
      <w:hyperlink ns5:id="rId252">
        <w:r>
          <w:rPr>
            <w:rStyle w:val="Hipervnculo"/>
          </w:rPr>
          <w:t xml:space="preserve">https://doi.org/10.1016/j.artint.2021.103473</w:t>
        </w:r>
      </w:hyperlink>
      <w:r>
        <w:t xml:space="preserve">.</w:t>
      </w:r>
    </w:p>
    <w:bookmarkEnd w:id="253"/>
    <w:bookmarkStart w:id="255" w:name="ref-laugel2019"/>
    <w:p>
      <w:pPr>
        <w:pStyle w:val="Bibliography"/>
        <w:spacing w:line="360" w:lineRule="auto"/>
        <w:jc w:val="both"/>
      </w:pPr>
      <w:r>
        <w:t xml:space="preserve">Laugel, Thibault, Marie-Jeanne Lesot, Christophe Marsala, Xavier Renard, and Marcin Detyniecki. 2019.</w:t>
      </w:r>
      <w:r>
        <w:t xml:space="preserve"> </w:t>
      </w:r>
      <w:r>
        <w:t xml:space="preserve">“The Dangers of Post-Hoc Interpretability: Unjustified Counterfactual Explanations.”</w:t>
      </w:r>
      <w:r>
        <w:t xml:space="preserve"> </w:t>
      </w:r>
      <w:r>
        <w:rPr>
          <w:i/>
          <w:iCs/>
        </w:rPr>
        <w:t xml:space="preserve">Proceedings of the Twenty-Eighth International Joint Conference on Artificial Intelligence</w:t>
      </w:r>
      <w:r>
        <w:t xml:space="preserve">, 2801–7.</w:t>
      </w:r>
      <w:r>
        <w:t xml:space="preserve"> </w:t>
      </w:r>
      <w:hyperlink ns5:id="rId254">
        <w:r>
          <w:rPr>
            <w:rStyle w:val="Hipervnculo"/>
          </w:rPr>
          <w:t xml:space="preserve">https://doi.org/10.24963/ijcai.2019/388</w:t>
        </w:r>
      </w:hyperlink>
      <w:r>
        <w:t xml:space="preserve">.</w:t>
      </w:r>
    </w:p>
    <w:bookmarkEnd w:id="255"/>
    <w:bookmarkStart w:id="257" w:name="ref-linardatos2020"/>
    <w:p>
      <w:pPr>
        <w:pStyle w:val="Bibliography"/>
        <w:spacing w:line="360" w:lineRule="auto"/>
        <w:jc w:val="both"/>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ns5:id="rId256">
        <w:r>
          <w:rPr>
            <w:rStyle w:val="Hipervnculo"/>
          </w:rPr>
          <w:t xml:space="preserve">https://doi.org/10.3390/e23010018</w:t>
        </w:r>
      </w:hyperlink>
      <w:r>
        <w:t xml:space="preserve">.</w:t>
      </w:r>
    </w:p>
    <w:bookmarkEnd w:id="257"/>
    <w:bookmarkStart w:id="259" w:name="ref-lipton2018"/>
    <w:p>
      <w:pPr>
        <w:pStyle w:val="Bibliography"/>
        <w:spacing w:line="360" w:lineRule="auto"/>
        <w:jc w:val="both"/>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ns5:id="rId258">
        <w:r>
          <w:rPr>
            <w:rStyle w:val="Hipervnculo"/>
          </w:rPr>
          <w:t xml:space="preserve">https://doi.org/10.1145/3236386.3241340</w:t>
        </w:r>
      </w:hyperlink>
      <w:r>
        <w:t xml:space="preserve">.</w:t>
      </w:r>
    </w:p>
    <w:bookmarkEnd w:id="259"/>
    <w:bookmarkStart w:id="261" w:name="ref-lundberg2017"/>
    <w:p>
      <w:pPr>
        <w:pStyle w:val="Bibliography"/>
        <w:spacing w:line="360" w:lineRule="auto"/>
        <w:jc w:val="both"/>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ns5:id="rId260">
        <w:r>
          <w:rPr>
            <w:rStyle w:val="Hipervnculo"/>
          </w:rPr>
          <w:t xml:space="preserve">https://doi.org/10.48550/arxiv.1705.07874</w:t>
        </w:r>
      </w:hyperlink>
      <w:r>
        <w:t xml:space="preserve">.</w:t>
      </w:r>
    </w:p>
    <w:bookmarkEnd w:id="261"/>
    <w:bookmarkStart w:id="263" w:name="ref-malwade2023"/>
    <w:p>
      <w:pPr>
        <w:pStyle w:val="Bibliography"/>
        <w:spacing w:line="360" w:lineRule="auto"/>
        <w:jc w:val="both"/>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ns5:id="rId262">
        <w:r>
          <w:rPr>
            <w:rStyle w:val="Hipervnculo"/>
          </w:rPr>
          <w:t xml:space="preserve">https://doi.org/10.1145/3647444.3647912</w:t>
        </w:r>
      </w:hyperlink>
      <w:r>
        <w:t xml:space="preserve">.</w:t>
      </w:r>
    </w:p>
    <w:bookmarkEnd w:id="263"/>
    <w:bookmarkStart w:id="265" w:name="ref-marcinkevics2023"/>
    <w:p>
      <w:pPr>
        <w:pStyle w:val="Bibliography"/>
        <w:spacing w:line="360" w:lineRule="auto"/>
        <w:jc w:val="both"/>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ns5:id="rId264">
        <w:r>
          <w:rPr>
            <w:rStyle w:val="Hipervnculo"/>
          </w:rPr>
          <w:t xml:space="preserve">https://doi.org/10.1002/widm.1493</w:t>
        </w:r>
      </w:hyperlink>
      <w:r>
        <w:t xml:space="preserve">.</w:t>
      </w:r>
    </w:p>
    <w:bookmarkEnd w:id="265"/>
    <w:bookmarkStart w:id="267" w:name="ref-miller2019"/>
    <w:p>
      <w:pPr>
        <w:pStyle w:val="Bibliography"/>
        <w:spacing w:line="360" w:lineRule="auto"/>
        <w:jc w:val="both"/>
      </w:pPr>
      <w:r>
        <w:t xml:space="preserve">Miller, Tim. 2019.</w:t>
      </w:r>
      <w:r>
        <w:t xml:space="preserve"> </w:t>
      </w:r>
      <w:r>
        <w:t xml:space="preserve">“Explanation in Artificial Intelligence: Insights from the Social Sciences.”</w:t>
      </w:r>
      <w:r>
        <w:t xml:space="preserve"> </w:t>
      </w:r>
      <w:r>
        <w:rPr>
          <w:i/>
          <w:iCs/>
        </w:rPr>
        <w:t xml:space="preserve">Artificial Intelligence</w:t>
      </w:r>
      <w:r>
        <w:t xml:space="preserve"> </w:t>
      </w:r>
      <w:r>
        <w:t xml:space="preserve">267: 1–38.</w:t>
      </w:r>
      <w:r>
        <w:t xml:space="preserve"> </w:t>
      </w:r>
      <w:hyperlink ns5:id="rId266">
        <w:r>
          <w:rPr>
            <w:rStyle w:val="Hipervnculo"/>
          </w:rPr>
          <w:t xml:space="preserve">https://doi.org/10.1016/j.artint.2018.07.007</w:t>
        </w:r>
      </w:hyperlink>
      <w:r>
        <w:t xml:space="preserve">.</w:t>
      </w:r>
    </w:p>
    <w:bookmarkEnd w:id="267"/>
    <w:bookmarkStart w:id="269" w:name="ref-mittelstadt2019"/>
    <w:p>
      <w:pPr>
        <w:pStyle w:val="Bibliography"/>
        <w:spacing w:line="360" w:lineRule="auto"/>
        <w:jc w:val="both"/>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ns5:id="rId268">
        <w:r>
          <w:rPr>
            <w:rStyle w:val="Hipervnculo"/>
          </w:rPr>
          <w:t xml:space="preserve">https://doi.org/10.1145/3287560.3287574</w:t>
        </w:r>
      </w:hyperlink>
      <w:r>
        <w:t xml:space="preserve">.</w:t>
      </w:r>
    </w:p>
    <w:bookmarkEnd w:id="269"/>
    <w:bookmarkStart w:id="271" w:name="ref-mohseni2021"/>
    <w:p>
      <w:pPr>
        <w:pStyle w:val="Bibliography"/>
        <w:spacing w:line="360" w:lineRule="auto"/>
        <w:jc w:val="both"/>
      </w:pPr>
      <w:r>
        <w:t xml:space="preserve">Mohseni, Sina, Niloofar Zarei, and Eric D. Ragan. 2021.</w:t>
      </w:r>
      <w:r>
        <w:t xml:space="preserve"> </w:t>
      </w:r>
      <w:r>
        <w:t xml:space="preserve">“A Multidisciplinary Survey and Framework for Design and Evaluation of Explainable AI Systems.”</w:t>
      </w:r>
      <w:r>
        <w:t xml:space="preserve"> </w:t>
      </w:r>
      <w:r>
        <w:rPr>
          <w:i/>
          <w:iCs/>
        </w:rPr>
        <w:t xml:space="preserve">ACM Transactions on Interactive Intelligent Systems</w:t>
      </w:r>
      <w:r>
        <w:t xml:space="preserve"> </w:t>
      </w:r>
      <w:r>
        <w:t xml:space="preserve">11 (3-4): 1–45.</w:t>
      </w:r>
      <w:r>
        <w:t xml:space="preserve"> </w:t>
      </w:r>
      <w:hyperlink ns5:id="rId270">
        <w:r>
          <w:rPr>
            <w:rStyle w:val="Hipervnculo"/>
          </w:rPr>
          <w:t xml:space="preserve">https://doi.org/10.1145/3387166</w:t>
        </w:r>
      </w:hyperlink>
      <w:r>
        <w:t xml:space="preserve">.</w:t>
      </w:r>
    </w:p>
    <w:bookmarkEnd w:id="271"/>
    <w:bookmarkStart w:id="273" w:name="ref-mothilal2020"/>
    <w:p>
      <w:pPr>
        <w:pStyle w:val="Bibliography"/>
        <w:spacing w:line="360" w:lineRule="auto"/>
        <w:jc w:val="both"/>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ns5:id="rId272">
        <w:r>
          <w:rPr>
            <w:rStyle w:val="Hipervnculo"/>
          </w:rPr>
          <w:t xml:space="preserve">https://doi.org/10.1145/3351095.3372850</w:t>
        </w:r>
      </w:hyperlink>
      <w:r>
        <w:t xml:space="preserve">.</w:t>
      </w:r>
    </w:p>
    <w:bookmarkEnd w:id="273"/>
    <w:bookmarkStart w:id="275" w:name="ref-murdoch2019"/>
    <w:p>
      <w:pPr>
        <w:pStyle w:val="Bibliography"/>
        <w:spacing w:line="360" w:lineRule="auto"/>
        <w:jc w:val="both"/>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ns5:id="rId274">
        <w:r>
          <w:rPr>
            <w:rStyle w:val="Hipervnculo"/>
          </w:rPr>
          <w:t xml:space="preserve">https://doi.org/10.1073/pnas.1900654116</w:t>
        </w:r>
      </w:hyperlink>
      <w:r>
        <w:t xml:space="preserve">.</w:t>
      </w:r>
    </w:p>
    <w:bookmarkEnd w:id="275"/>
    <w:bookmarkStart w:id="277" w:name="ref-nauta2023"/>
    <w:p>
      <w:pPr>
        <w:pStyle w:val="Bibliography"/>
        <w:spacing w:line="360" w:lineRule="auto"/>
        <w:jc w:val="both"/>
      </w:pPr>
      <w:r>
        <w:t xml:space="preserve">Nauta, Meike, Jan Trienes, Shreyasi Pathak, et al. 2023.</w:t>
      </w:r>
      <w:r>
        <w:t xml:space="preserve"> </w:t>
      </w:r>
      <w:r>
        <w:t xml:space="preserve">“From Anecdotal Evidence to Quantitative Evaluation Methods: A Systematic Review on Evaluating Explainable AI.”</w:t>
      </w:r>
      <w:r>
        <w:t xml:space="preserve"> </w:t>
      </w:r>
      <w:r>
        <w:rPr>
          <w:i/>
          <w:iCs/>
        </w:rPr>
        <w:t xml:space="preserve">ACM Computing Surveys</w:t>
      </w:r>
      <w:r>
        <w:t xml:space="preserve"> </w:t>
      </w:r>
      <w:r>
        <w:t xml:space="preserve">55 (13s): 1–42.</w:t>
      </w:r>
      <w:r>
        <w:t xml:space="preserve"> </w:t>
      </w:r>
      <w:hyperlink ns5:id="rId276">
        <w:r>
          <w:rPr>
            <w:rStyle w:val="Hipervnculo"/>
          </w:rPr>
          <w:t xml:space="preserve">https://doi.org/10.1145/3583558</w:t>
        </w:r>
      </w:hyperlink>
      <w:r>
        <w:t xml:space="preserve">.</w:t>
      </w:r>
    </w:p>
    <w:bookmarkEnd w:id="277"/>
    <w:bookmarkStart w:id="279" w:name="ref-nemenyi1963"/>
    <w:p>
      <w:pPr>
        <w:pStyle w:val="Bibliography"/>
        <w:spacing w:line="360" w:lineRule="auto"/>
        <w:jc w:val="both"/>
      </w:pPr>
      <w:r>
        <w:t xml:space="preserve">Nemenyi, Peter Bjorn. 1963.</w:t>
      </w:r>
      <w:r>
        <w:t xml:space="preserve"> </w:t>
      </w:r>
      <w:r>
        <w:t xml:space="preserve">“Distribution-Free Multiple Comparisons.”</w:t>
      </w:r>
      <w:r>
        <w:t xml:space="preserve"> </w:t>
      </w:r>
      <w:r>
        <w:t xml:space="preserve">PhD thesis, Princeton University.</w:t>
      </w:r>
      <w:r>
        <w:t xml:space="preserve"> </w:t>
      </w:r>
      <w:hyperlink ns5:id="rId278">
        <w:r>
          <w:rPr>
            <w:rStyle w:val="Hipervnculo"/>
          </w:rPr>
          <w:t xml:space="preserve">https://catalog.princeton.edu/catalog/2081365</w:t>
        </w:r>
      </w:hyperlink>
      <w:r>
        <w:t xml:space="preserve">.</w:t>
      </w:r>
    </w:p>
    <w:bookmarkEnd w:id="279"/>
    <w:bookmarkStart w:id="280" w:name="ref-nizam2023"/>
    <w:p>
      <w:pPr>
        <w:pStyle w:val="Bibliography"/>
        <w:spacing w:line="360" w:lineRule="auto"/>
        <w:jc w:val="both"/>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280"/>
    <w:bookmarkStart w:id="282" w:name="ref-nussberger2022"/>
    <w:p>
      <w:pPr>
        <w:pStyle w:val="Bibliography"/>
        <w:spacing w:line="360" w:lineRule="auto"/>
        <w:jc w:val="both"/>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ns5:id="rId281">
        <w:r>
          <w:rPr>
            <w:rStyle w:val="Hipervnculo"/>
          </w:rPr>
          <w:t xml:space="preserve">https://doi.org/10.1038/s41467-022-33417-3</w:t>
        </w:r>
      </w:hyperlink>
      <w:r>
        <w:t xml:space="preserve">.</w:t>
      </w:r>
    </w:p>
    <w:bookmarkEnd w:id="282"/>
    <w:bookmarkStart w:id="284" w:name="ref-pawlicki2024"/>
    <w:p>
      <w:pPr>
        <w:pStyle w:val="Bibliography"/>
        <w:spacing w:line="360" w:lineRule="auto"/>
        <w:jc w:val="both"/>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ns5:id="rId283">
        <w:r>
          <w:rPr>
            <w:rStyle w:val="Hipervnculo"/>
          </w:rPr>
          <w:t xml:space="preserve">https://doi.org/10.1016/j.neucom.2024.128282</w:t>
        </w:r>
      </w:hyperlink>
      <w:r>
        <w:t xml:space="preserve">.</w:t>
      </w:r>
    </w:p>
    <w:bookmarkEnd w:id="284"/>
    <w:bookmarkStart w:id="286" w:name="ref-poyiadzi2020"/>
    <w:p>
      <w:pPr>
        <w:pStyle w:val="Bibliography"/>
        <w:spacing w:line="360" w:lineRule="auto"/>
        <w:jc w:val="both"/>
      </w:pPr>
      <w:r>
        <w:t xml:space="preserve">Poyiadzi, Rafael, Kacper Sokol, Raul Santos-Rodriguez, Tijl De Bie, and Peter Flach. 2020.</w:t>
      </w:r>
      <w:r>
        <w:t xml:space="preserve"> </w:t>
      </w:r>
      <w:r>
        <w:t xml:space="preserve">“FACE: Feasible and Actionable Counterfactual Explanations.”</w:t>
      </w:r>
      <w:r>
        <w:t xml:space="preserve"> </w:t>
      </w:r>
      <w:r>
        <w:rPr>
          <w:i/>
          <w:iCs/>
        </w:rPr>
        <w:t xml:space="preserve">Proceedings of the AAAI/ACM Conference on AI, Ethics, and Society</w:t>
      </w:r>
      <w:r>
        <w:t xml:space="preserve">, 344–50.</w:t>
      </w:r>
      <w:r>
        <w:t xml:space="preserve"> </w:t>
      </w:r>
      <w:hyperlink ns5:id="rId285">
        <w:r>
          <w:rPr>
            <w:rStyle w:val="Hipervnculo"/>
          </w:rPr>
          <w:t xml:space="preserve">https://doi.org/10.1145/3375627.3375850</w:t>
        </w:r>
      </w:hyperlink>
      <w:r>
        <w:t xml:space="preserve">.</w:t>
      </w:r>
    </w:p>
    <w:bookmarkEnd w:id="286"/>
    <w:bookmarkStart w:id="288" w:name="ref-ribeiro2016"/>
    <w:p>
      <w:pPr>
        <w:pStyle w:val="Bibliography"/>
        <w:spacing w:line="360" w:lineRule="auto"/>
        <w:jc w:val="both"/>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ns5:id="rId287">
        <w:r>
          <w:rPr>
            <w:rStyle w:val="Hipervnculo"/>
          </w:rPr>
          <w:t xml:space="preserve">https://doi.org/10.1145/2939672.2939778</w:t>
        </w:r>
      </w:hyperlink>
      <w:r>
        <w:t xml:space="preserve">.</w:t>
      </w:r>
    </w:p>
    <w:bookmarkEnd w:id="288"/>
    <w:bookmarkStart w:id="290" w:name="ref-ribeiro2018"/>
    <w:p>
      <w:pPr>
        <w:pStyle w:val="Bibliography"/>
        <w:spacing w:line="360" w:lineRule="auto"/>
        <w:jc w:val="both"/>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ns5:id="rId289">
        <w:r>
          <w:rPr>
            <w:rStyle w:val="Hipervnculo"/>
          </w:rPr>
          <w:t xml:space="preserve">https://doi.org/10.1609/aaai.v32i1.11491</w:t>
        </w:r>
      </w:hyperlink>
      <w:r>
        <w:t xml:space="preserve">.</w:t>
      </w:r>
    </w:p>
    <w:bookmarkEnd w:id="290"/>
    <w:bookmarkStart w:id="292" w:name="ref-zhang2024"/>
    <w:p>
      <w:pPr>
        <w:pStyle w:val="Bibliography"/>
        <w:spacing w:line="360" w:lineRule="auto"/>
        <w:jc w:val="both"/>
      </w:pPr>
      <w:r>
        <w:t xml:space="preserve">Rong, Yao, Tobias Leemann, Thai-Trang Nguyen, et al. 2024.</w:t>
      </w:r>
      <w:r>
        <w:t xml:space="preserve"> </w:t>
      </w:r>
      <w:r>
        <w:t xml:space="preserve">“Towards Human-Centered Explainable AI: A Survey of User Studies for Model Explanations.”</w:t>
      </w:r>
      <w:r>
        <w:t xml:space="preserve"> </w:t>
      </w:r>
      <w:r>
        <w:rPr>
          <w:i/>
          <w:iCs/>
        </w:rPr>
        <w:t xml:space="preserve">IEEE Transactions on Pattern Analysis and Machine Intelligence</w:t>
      </w:r>
      <w:r>
        <w:t xml:space="preserve"> </w:t>
      </w:r>
      <w:r>
        <w:t xml:space="preserve">46 (4): 2104–22.</w:t>
      </w:r>
      <w:r>
        <w:t xml:space="preserve"> </w:t>
      </w:r>
      <w:hyperlink ns5:id="rId291">
        <w:r>
          <w:rPr>
            <w:rStyle w:val="Hipervnculo"/>
          </w:rPr>
          <w:t xml:space="preserve">https://doi.org/10.1109/TPAMI.2023.3331846</w:t>
        </w:r>
      </w:hyperlink>
      <w:r>
        <w:t xml:space="preserve">.</w:t>
      </w:r>
    </w:p>
    <w:bookmarkEnd w:id="292"/>
    <w:bookmarkStart w:id="294" w:name="ref-rudin2022"/>
    <w:p>
      <w:pPr>
        <w:pStyle w:val="Bibliography"/>
        <w:spacing w:line="360" w:lineRule="auto"/>
        <w:jc w:val="both"/>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ns5:id="rId293">
        <w:r>
          <w:rPr>
            <w:rStyle w:val="Hipervnculo"/>
          </w:rPr>
          <w:t xml:space="preserve">https://doi.org/10.1214/21-ss133</w:t>
        </w:r>
      </w:hyperlink>
      <w:r>
        <w:t xml:space="preserve">.</w:t>
      </w:r>
    </w:p>
    <w:bookmarkEnd w:id="294"/>
    <w:bookmarkStart w:id="296" w:name="ref-saarela2024"/>
    <w:p>
      <w:pPr>
        <w:pStyle w:val="Bibliography"/>
        <w:spacing w:line="360" w:lineRule="auto"/>
        <w:jc w:val="both"/>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ns5:id="rId295">
        <w:r>
          <w:rPr>
            <w:rStyle w:val="Hipervnculo"/>
          </w:rPr>
          <w:t xml:space="preserve">https://doi.org/10.3390/app14198884</w:t>
        </w:r>
      </w:hyperlink>
      <w:r>
        <w:t xml:space="preserve">.</w:t>
      </w:r>
    </w:p>
    <w:bookmarkEnd w:id="296"/>
    <w:bookmarkStart w:id="298" w:name="ref-samek2019"/>
    <w:p>
      <w:pPr>
        <w:pStyle w:val="Bibliography"/>
        <w:spacing w:line="360" w:lineRule="auto"/>
        <w:jc w:val="both"/>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ns5:id="rId297">
        <w:r>
          <w:rPr>
            <w:rStyle w:val="Hipervnculo"/>
          </w:rPr>
          <w:t xml:space="preserve">https://doi.org/10.1007/978-3-030-28954-6</w:t>
        </w:r>
      </w:hyperlink>
      <w:r>
        <w:t xml:space="preserve">.</w:t>
      </w:r>
    </w:p>
    <w:bookmarkEnd w:id="298"/>
    <w:bookmarkStart w:id="300" w:name="ref-schwalbe2023"/>
    <w:p>
      <w:pPr>
        <w:pStyle w:val="Bibliography"/>
        <w:spacing w:line="360" w:lineRule="auto"/>
        <w:jc w:val="both"/>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ns5:id="rId299">
        <w:r>
          <w:rPr>
            <w:rStyle w:val="Hipervnculo"/>
          </w:rPr>
          <w:t xml:space="preserve">https://doi.org/10.1007/s10618-022-00867-8</w:t>
        </w:r>
      </w:hyperlink>
      <w:r>
        <w:t xml:space="preserve">.</w:t>
      </w:r>
    </w:p>
    <w:bookmarkEnd w:id="300"/>
    <w:bookmarkStart w:id="302" w:name="ref-slack2020"/>
    <w:p>
      <w:pPr>
        <w:pStyle w:val="Bibliography"/>
        <w:spacing w:line="360" w:lineRule="auto"/>
        <w:jc w:val="both"/>
      </w:pPr>
      <w:r>
        <w:t xml:space="preserve">Slack, Dylan, Sophie Hilgard, Emily Jia, Sameer Singh, and Himabindu Lakkaraju. 2020.</w:t>
      </w:r>
      <w:r>
        <w:t xml:space="preserve"> </w:t>
      </w:r>
      <w:r>
        <w:t xml:space="preserve">“Fooling LIME and SHAP: Adversarial Attacks on Post Hoc Explanation Methods.”</w:t>
      </w:r>
      <w:r>
        <w:t xml:space="preserve"> </w:t>
      </w:r>
      <w:r>
        <w:rPr>
          <w:i/>
          <w:iCs/>
        </w:rPr>
        <w:t xml:space="preserve">Proceedings of the AAAI/ACM Conference on AI, Ethics, and Society</w:t>
      </w:r>
      <w:r>
        <w:t xml:space="preserve">, 180–86.</w:t>
      </w:r>
      <w:r>
        <w:t xml:space="preserve"> </w:t>
      </w:r>
      <w:hyperlink ns5:id="rId301">
        <w:r>
          <w:rPr>
            <w:rStyle w:val="Hipervnculo"/>
          </w:rPr>
          <w:t xml:space="preserve">https://doi.org/10.1145/3375627.3375830</w:t>
        </w:r>
      </w:hyperlink>
      <w:r>
        <w:t xml:space="preserve">.</w:t>
      </w:r>
    </w:p>
    <w:bookmarkEnd w:id="302"/>
    <w:bookmarkStart w:id="304" w:name="ref-sokol2020"/>
    <w:p>
      <w:pPr>
        <w:pStyle w:val="Bibliography"/>
        <w:spacing w:line="360" w:lineRule="auto"/>
        <w:jc w:val="both"/>
      </w:pPr>
      <w:r>
        <w:t xml:space="preserve">Sokol, Kacper, and Peter Flach. 2020.</w:t>
      </w:r>
      <w:r>
        <w:t xml:space="preserve"> </w:t>
      </w:r>
      <w:r>
        <w:t xml:space="preserve">“One Explanation Does Not Fit All: The Promise of Interactive Explanations for Machine Learning Transparency.”</w:t>
      </w:r>
      <w:r>
        <w:t xml:space="preserve"> </w:t>
      </w:r>
      <w:r>
        <w:rPr>
          <w:i/>
          <w:iCs/>
        </w:rPr>
        <w:t xml:space="preserve">KI - K</w:t>
      </w:r>
      <w:r>
        <w:rPr>
          <w:i/>
          <w:iCs/>
        </w:rPr>
        <w:t xml:space="preserve">ü</w:t>
      </w:r>
      <w:r>
        <w:rPr>
          <w:i/>
          <w:iCs/>
        </w:rPr>
        <w:t xml:space="preserve">nstliche Intelligenz</w:t>
      </w:r>
      <w:r>
        <w:t xml:space="preserve"> </w:t>
      </w:r>
      <w:r>
        <w:t xml:space="preserve">34 (2): 235–50.</w:t>
      </w:r>
      <w:r>
        <w:t xml:space="preserve"> </w:t>
      </w:r>
      <w:hyperlink ns5:id="rId303">
        <w:r>
          <w:rPr>
            <w:rStyle w:val="Hipervnculo"/>
          </w:rPr>
          <w:t xml:space="preserve">https://doi.org/10.1007/s13218-020-00637-y</w:t>
        </w:r>
      </w:hyperlink>
      <w:r>
        <w:t xml:space="preserve">.</w:t>
      </w:r>
    </w:p>
    <w:bookmarkEnd w:id="304"/>
    <w:bookmarkStart w:id="306" w:name="ref-tjoa2020"/>
    <w:p>
      <w:pPr>
        <w:pStyle w:val="Bibliography"/>
        <w:spacing w:line="360" w:lineRule="auto"/>
        <w:jc w:val="both"/>
      </w:pPr>
      <w:r>
        <w:t xml:space="preserve">Tjoa, Erico, and Cuntai Guan. 2021.</w:t>
      </w:r>
      <w:r>
        <w:t xml:space="preserve"> </w:t>
      </w:r>
      <w:r>
        <w:t xml:space="preserve">“A Survey on Explainable Artificial Intelligence (XAI): Toward Medical XAI.”</w:t>
      </w:r>
      <w:r>
        <w:t xml:space="preserve"> </w:t>
      </w:r>
      <w:r>
        <w:rPr>
          <w:i/>
          <w:iCs/>
        </w:rPr>
        <w:t xml:space="preserve">IEEE Transactions on Neural Networks and Learning Systems</w:t>
      </w:r>
      <w:r>
        <w:t xml:space="preserve"> </w:t>
      </w:r>
      <w:r>
        <w:t xml:space="preserve">32 (11): 4793–813.</w:t>
      </w:r>
      <w:r>
        <w:t xml:space="preserve"> </w:t>
      </w:r>
      <w:hyperlink ns5:id="rId305">
        <w:r>
          <w:rPr>
            <w:rStyle w:val="Hipervnculo"/>
          </w:rPr>
          <w:t xml:space="preserve">https://doi.org/10.1109/TNNLS.2020.3027314</w:t>
        </w:r>
      </w:hyperlink>
      <w:r>
        <w:t xml:space="preserve">.</w:t>
      </w:r>
    </w:p>
    <w:bookmarkEnd w:id="306"/>
    <w:bookmarkStart w:id="308" w:name="ref-tomsett2020"/>
    <w:p>
      <w:pPr>
        <w:pStyle w:val="Bibliography"/>
        <w:spacing w:line="360" w:lineRule="auto"/>
        <w:jc w:val="both"/>
      </w:pPr>
      <w:r>
        <w:t xml:space="preserve">Tomsett, Richard, Dan Harborne, Supriyo Chakraborty, Prudhvi Gurram, and Alun Preece. 2020.</w:t>
      </w:r>
      <w:r>
        <w:t xml:space="preserve"> </w:t>
      </w:r>
      <w:r>
        <w:t xml:space="preserve">“Sanity Checks for Saliency Metrics.”</w:t>
      </w:r>
      <w:r>
        <w:t xml:space="preserve"> </w:t>
      </w:r>
      <w:r>
        <w:rPr>
          <w:i/>
          <w:iCs/>
        </w:rPr>
        <w:t xml:space="preserve">Proceedings of the AAAI Conference on Artificial Intelligence</w:t>
      </w:r>
      <w:r>
        <w:t xml:space="preserve"> </w:t>
      </w:r>
      <w:r>
        <w:t xml:space="preserve">34 (04): 6021–29.</w:t>
      </w:r>
      <w:r>
        <w:t xml:space="preserve"> </w:t>
      </w:r>
      <w:hyperlink ns5:id="rId307">
        <w:r>
          <w:rPr>
            <w:rStyle w:val="Hipervnculo"/>
          </w:rPr>
          <w:t xml:space="preserve">https://doi.org/10.1609/aaai.v34i04.6064</w:t>
        </w:r>
      </w:hyperlink>
      <w:r>
        <w:t xml:space="preserve">.</w:t>
      </w:r>
    </w:p>
    <w:bookmarkEnd w:id="308"/>
    <w:bookmarkStart w:id="310" w:name="ref-tripathy2024"/>
    <w:p>
      <w:pPr>
        <w:pStyle w:val="Bibliography"/>
        <w:spacing w:line="360" w:lineRule="auto"/>
        <w:jc w:val="both"/>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ns5:id="rId309">
        <w:r>
          <w:rPr>
            <w:rStyle w:val="Hipervnculo"/>
          </w:rPr>
          <w:t xml:space="preserve">https://doi.org/10.1201/9781003442509</w:t>
        </w:r>
      </w:hyperlink>
      <w:r>
        <w:t xml:space="preserve">.</w:t>
      </w:r>
    </w:p>
    <w:bookmarkEnd w:id="310"/>
    <w:bookmarkStart w:id="312" w:name="ref-vandenbroeck2022"/>
    <w:p>
      <w:pPr>
        <w:pStyle w:val="Bibliography"/>
        <w:spacing w:line="360" w:lineRule="auto"/>
        <w:jc w:val="both"/>
      </w:pPr>
      <w:r>
        <w:t xml:space="preserve">Van den Broeck, Guy, Anton Lykov, Maximilian Schleich, and Dan Suciu. 2022.</w:t>
      </w:r>
      <w:r>
        <w:t xml:space="preserve"> </w:t>
      </w:r>
      <w:r>
        <w:t xml:space="preserve">“On the Tractability of SHAP Explanations.”</w:t>
      </w:r>
      <w:r>
        <w:t xml:space="preserve"> </w:t>
      </w:r>
      <w:r>
        <w:rPr>
          <w:i/>
          <w:iCs/>
        </w:rPr>
        <w:t xml:space="preserve">Journal of Artificial Intelligence Research</w:t>
      </w:r>
      <w:r>
        <w:t xml:space="preserve"> </w:t>
      </w:r>
      <w:r>
        <w:t xml:space="preserve">74: 851–86.</w:t>
      </w:r>
      <w:r>
        <w:t xml:space="preserve"> </w:t>
      </w:r>
      <w:hyperlink ns5:id="rId311">
        <w:r>
          <w:rPr>
            <w:rStyle w:val="Hipervnculo"/>
          </w:rPr>
          <w:t xml:space="preserve">https://doi.org/10.1613/jair.1.13283</w:t>
        </w:r>
      </w:hyperlink>
      <w:r>
        <w:t xml:space="preserve">.</w:t>
      </w:r>
    </w:p>
    <w:bookmarkEnd w:id="312"/>
    <w:bookmarkStart w:id="314" w:name="ref-voigt2017"/>
    <w:p>
      <w:pPr>
        <w:pStyle w:val="Bibliography"/>
        <w:spacing w:line="360" w:lineRule="auto"/>
        <w:jc w:val="both"/>
      </w:pPr>
      <w:r>
        <w:t xml:space="preserve">Voigt, Paul, and Axel von dem Bussche. 2017.</w:t>
      </w:r>
      <w:r>
        <w:t xml:space="preserve"> </w:t>
      </w:r>
      <w:r>
        <w:rPr>
          <w:i/>
          <w:iCs/>
        </w:rPr>
        <w:t xml:space="preserve">The EU General Data Protection Regulation (GDPR): A Practical Guide</w:t>
      </w:r>
      <w:r>
        <w:t xml:space="preserve">. Springer.</w:t>
      </w:r>
      <w:r>
        <w:t xml:space="preserve"> </w:t>
      </w:r>
      <w:hyperlink ns5:id="rId313">
        <w:r>
          <w:rPr>
            <w:rStyle w:val="Hipervnculo"/>
          </w:rPr>
          <w:t xml:space="preserve">https://doi.org/10.1007/978-3-319-57959-7</w:t>
        </w:r>
      </w:hyperlink>
      <w:r>
        <w:t xml:space="preserve">.</w:t>
      </w:r>
    </w:p>
    <w:bookmarkEnd w:id="314"/>
    <w:bookmarkStart w:id="316" w:name="ref-wachter2017"/>
    <w:p>
      <w:pPr>
        <w:pStyle w:val="Bibliography"/>
        <w:spacing w:line="360" w:lineRule="auto"/>
        <w:jc w:val="both"/>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ns5:id="rId315">
        <w:r>
          <w:rPr>
            <w:rStyle w:val="Hipervnculo"/>
          </w:rPr>
          <w:t xml:space="preserve">https://doi.org/10.2139/ssrn.3063289</w:t>
        </w:r>
      </w:hyperlink>
      <w:r>
        <w:t xml:space="preserve">.</w:t>
      </w:r>
    </w:p>
    <w:bookmarkEnd w:id="316"/>
    <w:bookmarkStart w:id="318" w:name="ref-wilcoxon1945"/>
    <w:p>
      <w:pPr>
        <w:pStyle w:val="Bibliography"/>
        <w:spacing w:line="360" w:lineRule="auto"/>
        <w:jc w:val="both"/>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ns5:id="rId317">
        <w:r>
          <w:rPr>
            <w:rStyle w:val="Hipervnculo"/>
          </w:rPr>
          <w:t xml:space="preserve">https://doi.org/10.2307/3001968</w:t>
        </w:r>
      </w:hyperlink>
      <w:r>
        <w:t xml:space="preserve">.</w:t>
      </w:r>
    </w:p>
    <w:bookmarkEnd w:id="318"/>
    <w:bookmarkStart w:id="320" w:name="ref-zheng2025"/>
    <w:p>
      <w:pPr>
        <w:pStyle w:val="Bibliography"/>
        <w:spacing w:line="360" w:lineRule="auto"/>
        <w:jc w:val="both"/>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ns5:id="rId319">
        <w:r>
          <w:rPr>
            <w:rStyle w:val="Hipervnculo"/>
          </w:rPr>
          <w:t xml:space="preserve">https://trustai4s-lab.github.io/ffidelity</w:t>
        </w:r>
      </w:hyperlink>
      <w:r>
        <w:t xml:space="preserve">.</w:t>
      </w:r>
    </w:p>
    <w:bookmarkEnd w:id="320"/>
    <w:bookmarkEnd w:id="321"/>
    <w:bookmarkEnd w:id="322"/>
    <w:bookmarkStart w:id="346" w:name="apéndices"/>
    <w:p>
      <w:pPr>
        <w:pStyle w:val="Ttulo1"/>
        <w:spacing w:line="360" w:lineRule="auto"/>
        <w:jc w:val="both"/>
      </w:pPr>
      <w:r>
        <w:t xml:space="preserve">Apéndices</w:t>
      </w:r>
    </w:p>
    <w:bookmarkStart w:id="324" w:name="Xee799cefc3e174a13188f506c487e1fa0a452e0"/>
    <w:p>
      <w:pPr>
        <w:pStyle w:val="Ttulo2"/>
        <w:spacing w:line="360" w:lineRule="auto"/>
        <w:jc w:val="both"/>
      </w:pPr>
      <w:r>
        <w:t xml:space="preserve">Apéndice A: Corpus de datos, partición y preprocesamiento</w:t>
      </w:r>
    </w:p>
    <w:p>
      <w:pPr>
        <w:pStyle w:val="FirstParagraph"/>
        <w:spacing w:line="360" w:lineRule="auto"/>
        <w:jc w:val="both"/>
      </w:pPr>
      <w:r>
        <w:t xml:space="preserve">El conjunto Adult Income se carga desde</w:t>
      </w:r>
      <w:r>
        <w:t xml:space="preserve"> </w:t>
      </w:r>
      <w:r>
        <w:rPr>
          <w:rStyle w:val="VerbatimChar"/>
        </w:rPr>
        <w:t xml:space="preserve">src/data_loading/adult.py</w:t>
      </w:r>
      <w:r>
        <w:t xml:space="preserve">, usando</w:t>
      </w:r>
      <w:r>
        <w:t xml:space="preserve"> </w:t>
      </w:r>
      <w:r>
        <w:t xml:space="preserve">OpenML como fuente primaria y UCI como respaldo. La versión experimental usada</w:t>
      </w:r>
      <w:r>
        <w:t xml:space="preserve"> </w:t>
      </w:r>
      <w:r>
        <w:t xml:space="preserve">en la tesis contiene 48,842 instancias, 14 características originales y una</w:t>
      </w:r>
      <w:r>
        <w:t xml:space="preserve"> </w:t>
      </w:r>
      <w:r>
        <w:t xml:space="preserve">variable binaria de predicción (</w:t>
      </w:r>
      <w:r>
        <w:rPr>
          <w:rStyle w:val="VerbatimChar"/>
        </w:rPr>
        <w:t xml:space="preserve">&gt;50K</w:t>
      </w:r>
      <w:r>
        <w:t xml:space="preserve"> </w:t>
      </w:r>
      <w:r>
        <w:t xml:space="preserve">frente a</w:t>
      </w:r>
      <w:r>
        <w:t xml:space="preserve"> </w:t>
      </w:r>
      <w:r>
        <w:rPr>
          <w:rStyle w:val="VerbatimChar"/>
        </w:rPr>
        <w:t xml:space="preserve">&lt;=50K</w:t>
      </w:r>
      <w:r>
        <w:t xml:space="preserve">). La partición canónica</w:t>
      </w:r>
      <w:r>
        <w:t xml:space="preserve"> </w:t>
      </w:r>
      <w:r>
        <w:t xml:space="preserve">usa</w:t>
      </w:r>
      <w:r>
        <w:t xml:space="preserve"> </w:t>
      </w:r>
      <w:r>
        <w:rPr>
          <w:rStyle w:val="VerbatimChar"/>
        </w:rPr>
        <w:t xml:space="preserve">test_size = 0.20</w:t>
      </w:r>
      <w:r>
        <w:t xml:space="preserve">, estratificación por etiqueta y</w:t>
      </w:r>
      <w:r>
        <w:t xml:space="preserve"> </w:t>
      </w:r>
      <w:r>
        <w:rPr>
          <w:rStyle w:val="VerbatimChar"/>
        </w:rPr>
        <w:t xml:space="preserve">random_state = 42</w:t>
      </w:r>
      <w:r>
        <w:t xml:space="preserve">,</w:t>
      </w:r>
      <w:r>
        <w:t xml:space="preserve"> </w:t>
      </w:r>
      <w:r>
        <w:t xml:space="preserve">produciendo 39,032 instancias de entrenamiento y 9,758 de prueba.</w:t>
      </w:r>
    </w:p>
    <w:tbl>
      <w:tblPr>
        <w:tblStyle w:val="Table"/>
        <w:tblW w:type="pct" w:w="5000"/>
        <w:tblLayout w:type="fixed"/>
        <w:tblLook w:firstRow="0" w:lastRow="0" w:firstColumn="0" w:lastColumn="0" w:noHBand="0" w:noVBand="0" w:val="0000"/>
      </w:tblPr>
      <w:tblGrid>
        <w:gridCol w:w="7920"/>
      </w:tblGrid>
      <w:tr>
        <w:tc>
          <w:tcPr/>
          <w:bookmarkStart w:id="323" w:name="tbl-appendix-dataset-schema"/>
          <w:p>
            <w:pPr>
              <w:jc w:val="both"/>
              <w:spacing w:line="360" w:lineRule="auto"/>
            </w:pPr>
            <w:pPr>
              <w:jc w:val="left"/>
              <w:spacing w:before="200"/>
              <w:pStyle w:val="ImageCaption"/>
            </w:pPr>
            <w:r>
              <w:t xml:space="preserve">Table 7.5: Esquema resumido del conjunto Adult y transformaciones de preprocesamiento.</w:t>
            </w: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Grupo</w:t>
                  </w:r>
                </w:p>
              </w:tc>
              <w:tc>
                <w:tcPr/>
                <w:p>
                  <w:pPr>
                    <w:pStyle w:val="Compact"/>
                    <w:jc w:val="both"/>
                    <w:jc w:val="center"/>
                    <w:spacing w:line="360" w:lineRule="auto"/>
                  </w:pPr>
                  <w:r>
                    <w:t xml:space="preserve">Características</w:t>
                  </w:r>
                </w:p>
              </w:tc>
              <w:tc>
                <w:tcPr/>
                <w:p>
                  <w:pPr>
                    <w:pStyle w:val="Compact"/>
                    <w:jc w:val="both"/>
                    <w:jc w:val="center"/>
                    <w:spacing w:line="360" w:lineRule="auto"/>
                  </w:pPr>
                  <w:r>
                    <w:t xml:space="preserve">Tratamiento</w:t>
                  </w:r>
                </w:p>
              </w:tc>
            </w:tr>
            <w:tr>
              <w:tc>
                <w:tcPr/>
                <w:p>
                  <w:pPr>
                    <w:pStyle w:val="Compact"/>
                    <w:jc w:val="both"/>
                    <w:jc w:val="center"/>
                    <w:spacing w:line="360" w:lineRule="auto"/>
                  </w:pPr>
                  <w:r>
                    <w:t xml:space="preserve">Numéricas</w:t>
                  </w:r>
                </w:p>
              </w:tc>
              <w:tc>
                <w:tcPr/>
                <w:p>
                  <w:pPr>
                    <w:pStyle w:val="Compact"/>
                    <w:jc w:val="both"/>
                    <w:jc w:val="center"/>
                    <w:spacing w:line="360" w:lineRule="auto"/>
                  </w:pPr>
                  <w:r>
                    <w:rPr>
                      <w:rStyle w:val="VerbatimChar"/>
                    </w:rPr>
                    <w:t xml:space="preserve">age</w:t>
                  </w:r>
                  <w:r>
                    <w:t xml:space="preserve">,</w:t>
                  </w:r>
                  <w:r>
                    <w:t xml:space="preserve"> </w:t>
                  </w:r>
                  <w:r>
                    <w:rPr>
                      <w:rStyle w:val="VerbatimChar"/>
                    </w:rPr>
                    <w:t xml:space="preserve">education-num</w:t>
                  </w:r>
                  <w:r>
                    <w:t xml:space="preserve">,</w:t>
                  </w:r>
                  <w:r>
                    <w:t xml:space="preserve"> </w:t>
                  </w:r>
                  <w:r>
                    <w:rPr>
                      <w:rStyle w:val="VerbatimChar"/>
                    </w:rPr>
                    <w:t xml:space="preserve">capital-gain</w:t>
                  </w:r>
                  <w:r>
                    <w:t xml:space="preserve">,</w:t>
                  </w:r>
                  <w:r>
                    <w:t xml:space="preserve"> </w:t>
                  </w:r>
                  <w:r>
                    <w:rPr>
                      <w:rStyle w:val="VerbatimChar"/>
                    </w:rPr>
                    <w:t xml:space="preserve">capital-loss</w:t>
                  </w:r>
                  <w:r>
                    <w:t xml:space="preserve">,</w:t>
                  </w:r>
                  <w:r>
                    <w:t xml:space="preserve"> </w:t>
                  </w:r>
                  <w:r>
                    <w:rPr>
                      <w:rStyle w:val="VerbatimChar"/>
                    </w:rPr>
                    <w:t xml:space="preserve">hours-per-week</w:t>
                  </w:r>
                  <w:r>
                    <w:t xml:space="preserve">,</w:t>
                  </w:r>
                  <w:r>
                    <w:t xml:space="preserve"> </w:t>
                  </w:r>
                  <w:r>
                    <w:rPr>
                      <w:rStyle w:val="VerbatimChar"/>
                    </w:rPr>
                    <w:t xml:space="preserve">fnlwgt</w:t>
                  </w:r>
                </w:p>
              </w:tc>
              <w:tc>
                <w:tcPr/>
                <w:p>
                  <w:pPr>
                    <w:pStyle w:val="Compact"/>
                    <w:jc w:val="both"/>
                    <w:jc w:val="center"/>
                    <w:spacing w:line="360" w:lineRule="auto"/>
                  </w:pPr>
                  <w:r>
                    <w:t xml:space="preserve">Estandarización con</w:t>
                  </w:r>
                  <w:r>
                    <w:t xml:space="preserve"> </w:t>
                  </w:r>
                  <w:r>
                    <w:rPr>
                      <w:rStyle w:val="VerbatimChar"/>
                    </w:rPr>
                    <w:t xml:space="preserve">StandardScaler</w:t>
                  </w:r>
                  <w:r>
                    <w:t xml:space="preserve"> </w:t>
                  </w:r>
                  <w:r>
                    <w:t xml:space="preserve">ajustado solo en entrenamiento</w:t>
                  </w:r>
                </w:p>
              </w:tc>
            </w:tr>
            <w:tr>
              <w:tc>
                <w:tcPr/>
                <w:p>
                  <w:pPr>
                    <w:pStyle w:val="Compact"/>
                    <w:jc w:val="both"/>
                    <w:jc w:val="center"/>
                    <w:spacing w:line="360" w:lineRule="auto"/>
                  </w:pPr>
                  <w:r>
                    <w:t xml:space="preserve">Categóricas</w:t>
                  </w:r>
                </w:p>
              </w:tc>
              <w:tc>
                <w:tcPr/>
                <w:p>
                  <w:pPr>
                    <w:pStyle w:val="Compact"/>
                    <w:jc w:val="both"/>
                    <w:jc w:val="center"/>
                    <w:spacing w:line="360" w:lineRule="auto"/>
                  </w:pPr>
                  <w:r>
                    <w:rPr>
                      <w:rStyle w:val="VerbatimChar"/>
                    </w:rPr>
                    <w:t xml:space="preserve">workclass</w:t>
                  </w:r>
                  <w:r>
                    <w:t xml:space="preserve">,</w:t>
                  </w:r>
                  <w:r>
                    <w:t xml:space="preserve"> </w:t>
                  </w:r>
                  <w:r>
                    <w:rPr>
                      <w:rStyle w:val="VerbatimChar"/>
                    </w:rPr>
                    <w:t xml:space="preserve">education</w:t>
                  </w:r>
                  <w:r>
                    <w:t xml:space="preserve">,</w:t>
                  </w:r>
                  <w:r>
                    <w:t xml:space="preserve"> </w:t>
                  </w:r>
                  <w:r>
                    <w:rPr>
                      <w:rStyle w:val="VerbatimChar"/>
                    </w:rPr>
                    <w:t xml:space="preserve">marital-status</w:t>
                  </w:r>
                  <w:r>
                    <w:t xml:space="preserve">,</w:t>
                  </w:r>
                  <w:r>
                    <w:t xml:space="preserve"> </w:t>
                  </w:r>
                  <w:r>
                    <w:rPr>
                      <w:rStyle w:val="VerbatimChar"/>
                    </w:rPr>
                    <w:t xml:space="preserve">occupation</w:t>
                  </w:r>
                  <w:r>
                    <w:t xml:space="preserve">,</w:t>
                  </w:r>
                  <w:r>
                    <w:t xml:space="preserve"> </w:t>
                  </w:r>
                  <w:r>
                    <w:rPr>
                      <w:rStyle w:val="VerbatimChar"/>
                    </w:rPr>
                    <w:t xml:space="preserve">relationship</w:t>
                  </w:r>
                  <w:r>
                    <w:t xml:space="preserve">,</w:t>
                  </w:r>
                  <w:r>
                    <w:t xml:space="preserve"> </w:t>
                  </w:r>
                  <w:r>
                    <w:rPr>
                      <w:rStyle w:val="VerbatimChar"/>
                    </w:rPr>
                    <w:t xml:space="preserve">race</w:t>
                  </w:r>
                  <w:r>
                    <w:t xml:space="preserve">,</w:t>
                  </w:r>
                  <w:r>
                    <w:t xml:space="preserve"> </w:t>
                  </w:r>
                  <w:r>
                    <w:rPr>
                      <w:rStyle w:val="VerbatimChar"/>
                    </w:rPr>
                    <w:t xml:space="preserve">sex</w:t>
                  </w:r>
                  <w:r>
                    <w:t xml:space="preserve">,</w:t>
                  </w:r>
                  <w:r>
                    <w:t xml:space="preserve"> </w:t>
                  </w:r>
                  <w:r>
                    <w:rPr>
                      <w:rStyle w:val="VerbatimChar"/>
                    </w:rPr>
                    <w:t xml:space="preserve">native-country</w:t>
                  </w:r>
                </w:p>
              </w:tc>
              <w:tc>
                <w:tcPr/>
                <w:p>
                  <w:pPr>
                    <w:pStyle w:val="Compact"/>
                    <w:jc w:val="both"/>
                    <w:jc w:val="center"/>
                    <w:spacing w:line="360" w:lineRule="auto"/>
                  </w:pPr>
                  <w:r>
                    <w:t xml:space="preserve">Codificación</w:t>
                  </w:r>
                  <w:r>
                    <w:t xml:space="preserve"> </w:t>
                  </w:r>
                  <w:r>
                    <w:rPr>
                      <w:rStyle w:val="VerbatimChar"/>
                    </w:rPr>
                    <w:t xml:space="preserve">OneHotEncoder(handle_unknown='ignore')</w:t>
                  </w:r>
                  <w:r>
                    <w:t xml:space="preserve"> </w:t>
                  </w:r>
                  <w:r>
                    <w:t xml:space="preserve">ajustada solo en entrenamiento</w:t>
                  </w:r>
                </w:p>
              </w:tc>
            </w:tr>
            <w:tr>
              <w:tc>
                <w:tcPr/>
                <w:p>
                  <w:pPr>
                    <w:pStyle w:val="Compact"/>
                    <w:jc w:val="both"/>
                    <w:jc w:val="center"/>
                    <w:spacing w:line="360" w:lineRule="auto"/>
                  </w:pPr>
                  <w:r>
                    <w:t xml:space="preserve">Objetivo</w:t>
                  </w:r>
                </w:p>
              </w:tc>
              <w:tc>
                <w:tcPr/>
                <w:p>
                  <w:pPr>
                    <w:pStyle w:val="Compact"/>
                    <w:jc w:val="both"/>
                    <w:jc w:val="center"/>
                    <w:spacing w:line="360" w:lineRule="auto"/>
                  </w:pPr>
                  <w:r>
                    <w:t xml:space="preserve">Ingreso anual binario</w:t>
                  </w:r>
                </w:p>
              </w:tc>
              <w:tc>
                <w:tcPr/>
                <w:p>
                  <w:pPr>
                    <w:pStyle w:val="Compact"/>
                    <w:jc w:val="both"/>
                    <w:jc w:val="center"/>
                    <w:spacing w:line="360" w:lineRule="auto"/>
                  </w:pPr>
                  <w:r>
                    <w:t xml:space="preserve">Normalización de etiquetas</w:t>
                  </w:r>
                  <w:r>
                    <w:t xml:space="preserve"> </w:t>
                  </w:r>
                  <w:r>
                    <w:rPr>
                      <w:rStyle w:val="VerbatimChar"/>
                    </w:rPr>
                    <w:t xml:space="preserve">&gt;50K</w:t>
                  </w:r>
                  <w:r>
                    <w:t xml:space="preserve">/</w:t>
                  </w:r>
                  <w:r>
                    <w:rPr>
                      <w:rStyle w:val="VerbatimChar"/>
                    </w:rPr>
                    <w:t xml:space="preserve">&lt;=50K</w:t>
                  </w:r>
                  <w:r>
                    <w:t xml:space="preserve"> </w:t>
                  </w:r>
                  <w:r>
                    <w:t xml:space="preserve">y variantes con punto final</w:t>
                  </w:r>
                </w:p>
              </w:tc>
            </w:tr>
          </w:tbl>
          <w:bookmarkEnd w:id="323"/>
          <w:p>
            <w:pPr>
              <w:spacing w:line="360" w:lineRule="auto"/>
              <w:jc w:val="both"/>
            </w:pPr>
          </w:p>
        </w:tc>
      </w:tr>
    </w:tbl>
    <w:p>
      <w:pPr>
        <w:pStyle w:val="Textoindependiente"/>
        <w:spacing w:line="360" w:lineRule="auto"/>
        <w:jc w:val="both"/>
      </w:pPr>
      <w:r>
        <w:t xml:space="preserve">Los valores faltantes codificados como</w:t>
      </w:r>
      <w:r>
        <w:t xml:space="preserve"> </w:t>
      </w:r>
      <w:r>
        <w:rPr>
          <w:rStyle w:val="VerbatimChar"/>
        </w:rPr>
        <w:t xml:space="preserve">"?"</w:t>
      </w:r>
      <w:r>
        <w:t xml:space="preserve"> </w:t>
      </w:r>
      <w:r>
        <w:t xml:space="preserve">se convierten a</w:t>
      </w:r>
      <w:r>
        <w:t xml:space="preserve"> </w:t>
      </w:r>
      <w:r>
        <w:rPr>
          <w:rStyle w:val="VerbatimChar"/>
        </w:rPr>
        <w:t xml:space="preserve">NaN</w:t>
      </w:r>
      <w:r>
        <w:t xml:space="preserve">, los textos</w:t>
      </w:r>
      <w:r>
        <w:t xml:space="preserve"> </w:t>
      </w:r>
      <w:r>
        <w:t xml:space="preserve">se normalizan eliminando espacios residuales y los duplicados exactos se</w:t>
      </w:r>
      <w:r>
        <w:t xml:space="preserve"> </w:t>
      </w:r>
      <w:r>
        <w:t xml:space="preserve">descartan antes del ajuste del preprocesador. Las transformaciones se congelan</w:t>
      </w:r>
      <w:r>
        <w:t xml:space="preserve"> </w:t>
      </w:r>
      <w:r>
        <w:t xml:space="preserve">como artefactos compartidos para evitar fuga de datos y diferencias de escalado</w:t>
      </w:r>
      <w:r>
        <w:t xml:space="preserve"> </w:t>
      </w:r>
      <w:r>
        <w:t xml:space="preserve">entre explicadores.</w:t>
      </w:r>
    </w:p>
    <w:bookmarkEnd w:id="324"/>
    <w:bookmarkStart w:id="326" w:name="X0ebb70924a43e56d2f30bdb00fa50fa510507cd"/>
    <w:p>
      <w:pPr>
        <w:pStyle w:val="Ttulo2"/>
        <w:spacing w:line="360" w:lineRule="auto"/>
        <w:jc w:val="both"/>
      </w:pPr>
      <w:r>
        <w:t xml:space="preserve">Apéndice B: Modelos predictivos y artefactos</w:t>
      </w:r>
    </w:p>
    <w:p>
      <w:pPr>
        <w:pStyle w:val="FirstParagraph"/>
        <w:spacing w:line="360" w:lineRule="auto"/>
        <w:jc w:val="both"/>
      </w:pPr>
      <w:r>
        <w:t xml:space="preserve">Los modelos se entrenan en EXP1 y se reutilizan en EXP2 sin reentrenamiento. Los</w:t>
      </w:r>
      <w:r>
        <w:t xml:space="preserve"> </w:t>
      </w:r>
      <w:r>
        <w:t xml:space="preserve">artefactos principales se encuentran en</w:t>
      </w:r>
      <w:r>
        <w:t xml:space="preserve"> </w:t>
      </w:r>
      <w:r>
        <w:rPr>
          <w:rStyle w:val="VerbatimChar"/>
        </w:rPr>
        <w:t xml:space="preserve">experiments/exp1_adult/models/</w:t>
      </w:r>
      <w:r>
        <w:t xml:space="preserve">, con</w:t>
      </w:r>
      <w:r>
        <w:t xml:space="preserve"> </w:t>
      </w:r>
      <w:r>
        <w:t xml:space="preserve">métricas en</w:t>
      </w:r>
      <w:r>
        <w:t xml:space="preserve"> </w:t>
      </w:r>
      <w:r>
        <w:rPr>
          <w:rStyle w:val="VerbatimChar"/>
        </w:rPr>
        <w:t xml:space="preserve">metrics.json</w:t>
      </w:r>
      <w:r>
        <w:t xml:space="preserve"> </w:t>
      </w:r>
      <w:r>
        <w:t xml:space="preserve">por familia de modelo.</w:t>
      </w:r>
    </w:p>
    <w:tbl>
      <w:tblPr>
        <w:tblStyle w:val="Table"/>
        <w:tblW w:type="pct" w:w="5000"/>
        <w:tblLayout w:type="fixed"/>
        <w:tblLook w:firstRow="0" w:lastRow="0" w:firstColumn="0" w:lastColumn="0" w:noHBand="0" w:noVBand="0" w:val="0000"/>
      </w:tblPr>
      <w:tblGrid>
        <w:gridCol w:w="7920"/>
      </w:tblGrid>
      <w:tr>
        <w:tc>
          <w:tcPr/>
          <w:bookmarkStart w:id="325" w:name="tbl-appendix-models"/>
          <w:p>
            <w:pPr>
              <w:jc w:val="both"/>
              <w:spacing w:line="360" w:lineRule="auto"/>
            </w:pPr>
            <w:pPr>
              <w:jc w:val="left"/>
              <w:spacing w:before="200"/>
              <w:pStyle w:val="ImageCaption"/>
            </w:pPr>
            <w:r>
              <w:t xml:space="preserve">Table 7.6: Modelos predictivos, justificación y ubicación de artefactos.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Modelo</w:t>
                  </w:r>
                </w:p>
              </w:tc>
              <w:tc>
                <w:tcPr/>
                <w:p>
                  <w:pPr>
                    <w:pStyle w:val="Compact"/>
                    <w:jc w:val="both"/>
                    <w:jc w:val="center"/>
                    <w:spacing w:line="360" w:lineRule="auto"/>
                  </w:pPr>
                  <w:r>
                    <w:t xml:space="preserve">Rol metodológico</w:t>
                  </w:r>
                </w:p>
              </w:tc>
              <w:tc>
                <w:tcPr/>
                <w:p>
                  <w:pPr>
                    <w:pStyle w:val="Compact"/>
                    <w:jc w:val="both"/>
                    <w:jc w:val="center"/>
                    <w:spacing w:line="360" w:lineRule="auto"/>
                  </w:pPr>
                  <w:r>
                    <w:t xml:space="preserve">Artefacto principal</w:t>
                  </w:r>
                </w:p>
              </w:tc>
              <w:tc>
                <w:tcPr/>
                <w:p>
                  <w:pPr>
                    <w:pStyle w:val="Compact"/>
                    <w:jc w:val="both"/>
                    <w:jc w:val="center"/>
                    <w:spacing w:line="360" w:lineRule="auto"/>
                  </w:pPr>
                  <w:r>
                    <w:t xml:space="preserve">Métricas de entrenamiento/prueba</w:t>
                  </w:r>
                </w:p>
              </w:tc>
            </w:tr>
            <w:tr>
              <w:tc>
                <w:tcPr/>
                <w:p>
                  <w:pPr>
                    <w:pStyle w:val="Compact"/>
                    <w:jc w:val="both"/>
                    <w:jc w:val="center"/>
                    <w:spacing w:line="360" w:lineRule="auto"/>
                  </w:pPr>
                  <w:r>
                    <w:t xml:space="preserve">Regresión logística (</w:t>
                  </w:r>
                  <w:r>
                    <w:rPr>
                      <w:rStyle w:val="VerbatimChar"/>
                    </w:rPr>
                    <w:t xml:space="preserve">logreg</w:t>
                  </w:r>
                  <w:r>
                    <w:t xml:space="preserve">)</w:t>
                  </w:r>
                </w:p>
              </w:tc>
              <w:tc>
                <w:tcPr/>
                <w:p>
                  <w:pPr>
                    <w:pStyle w:val="Compact"/>
                    <w:jc w:val="both"/>
                    <w:jc w:val="center"/>
                    <w:spacing w:line="360" w:lineRule="auto"/>
                  </w:pPr>
                  <w:r>
                    <w:t xml:space="preserve">Baseline transparente lineal</w:t>
                  </w:r>
                </w:p>
              </w:tc>
              <w:tc>
                <w:tcPr/>
                <w:p>
                  <w:pPr>
                    <w:pStyle w:val="Compact"/>
                    <w:jc w:val="both"/>
                    <w:jc w:val="center"/>
                    <w:spacing w:line="360" w:lineRule="auto"/>
                  </w:pPr>
                  <w:r>
                    <w:rPr>
                      <w:rStyle w:val="VerbatimChar"/>
                    </w:rPr>
                    <w:t xml:space="preserve">experiments/exp1_adult/models/logreg/</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Bosque aleatorio (</w:t>
                  </w:r>
                  <w:r>
                    <w:rPr>
                      <w:rStyle w:val="VerbatimChar"/>
                    </w:rPr>
                    <w:t xml:space="preserve">rf</w:t>
                  </w:r>
                  <w:r>
                    <w:t xml:space="preserve">)</w:t>
                  </w:r>
                </w:p>
              </w:tc>
              <w:tc>
                <w:tcPr/>
                <w:p>
                  <w:pPr>
                    <w:pStyle w:val="Compact"/>
                    <w:jc w:val="both"/>
                    <w:jc w:val="center"/>
                    <w:spacing w:line="360" w:lineRule="auto"/>
                  </w:pPr>
                  <w:r>
                    <w:t xml:space="preserve">Ensamble no lineal</w:t>
                  </w:r>
                </w:p>
              </w:tc>
              <w:tc>
                <w:tcPr/>
                <w:p>
                  <w:pPr>
                    <w:pStyle w:val="Compact"/>
                    <w:jc w:val="both"/>
                    <w:jc w:val="center"/>
                    <w:spacing w:line="360" w:lineRule="auto"/>
                  </w:pPr>
                  <w:r>
                    <w:rPr>
                      <w:rStyle w:val="VerbatimChar"/>
                    </w:rPr>
                    <w:t xml:space="preserve">experiments/exp1_adult/models/rf/</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XGBoost (</w:t>
                  </w:r>
                  <w:r>
                    <w:rPr>
                      <w:rStyle w:val="VerbatimChar"/>
                    </w:rPr>
                    <w:t xml:space="preserve">xgb</w:t>
                  </w:r>
                  <w:r>
                    <w:t xml:space="preserve">)</w:t>
                  </w:r>
                </w:p>
              </w:tc>
              <w:tc>
                <w:tcPr/>
                <w:p>
                  <w:pPr>
                    <w:pStyle w:val="Compact"/>
                    <w:jc w:val="both"/>
                    <w:jc w:val="center"/>
                    <w:spacing w:line="360" w:lineRule="auto"/>
                  </w:pPr>
                  <w:r>
                    <w:t xml:space="preserve">Ensamble de alto rendimiento compatible con TreeSHAP</w:t>
                  </w:r>
                </w:p>
              </w:tc>
              <w:tc>
                <w:tcPr/>
                <w:p>
                  <w:pPr>
                    <w:pStyle w:val="Compact"/>
                    <w:jc w:val="both"/>
                    <w:jc w:val="center"/>
                    <w:spacing w:line="360" w:lineRule="auto"/>
                  </w:pPr>
                  <w:r>
                    <w:rPr>
                      <w:rStyle w:val="VerbatimChar"/>
                    </w:rPr>
                    <w:t xml:space="preserve">experiments/exp1_adult/models/xgboost/</w:t>
                  </w:r>
                </w:p>
              </w:tc>
              <w:tc>
                <w:tcPr/>
                <w:p>
                  <w:pPr>
                    <w:pStyle w:val="Compact"/>
                    <w:jc w:val="both"/>
                    <w:jc w:val="center"/>
                    <w:spacing w:line="360" w:lineRule="auto"/>
                  </w:pPr>
                  <w:r>
                    <w:rPr>
                      <w:rStyle w:val="VerbatimChar"/>
                    </w:rPr>
                    <w:t xml:space="preserve">metrics.json</w:t>
                  </w:r>
                  <w:r>
                    <w:t xml:space="preserve">,</w:t>
                  </w:r>
                  <w:r>
                    <w:t xml:space="preserve"> </w:t>
                  </w:r>
                  <w:r>
                    <w:rPr>
                      <w:rStyle w:val="VerbatimChar"/>
                    </w:rPr>
                    <w:t xml:space="preserve">xgb_feature_importance.csv</w:t>
                  </w:r>
                </w:p>
              </w:tc>
            </w:tr>
            <w:tr>
              <w:tc>
                <w:tcPr/>
                <w:p>
                  <w:pPr>
                    <w:pStyle w:val="Compact"/>
                    <w:jc w:val="both"/>
                    <w:jc w:val="center"/>
                    <w:spacing w:line="360" w:lineRule="auto"/>
                  </w:pPr>
                  <w:r>
                    <w:t xml:space="preserve">SVM (</w:t>
                  </w:r>
                  <w:r>
                    <w:rPr>
                      <w:rStyle w:val="VerbatimChar"/>
                    </w:rPr>
                    <w:t xml:space="preserve">svm</w:t>
                  </w:r>
                  <w:r>
                    <w:t xml:space="preserve">)</w:t>
                  </w:r>
                </w:p>
              </w:tc>
              <w:tc>
                <w:tcPr/>
                <w:p>
                  <w:pPr>
                    <w:pStyle w:val="Compact"/>
                    <w:jc w:val="both"/>
                    <w:jc w:val="center"/>
                    <w:spacing w:line="360" w:lineRule="auto"/>
                  </w:pPr>
                  <w:r>
                    <w:t xml:space="preserve">Comportamiento de frontera no lineal/kernel</w:t>
                  </w:r>
                </w:p>
              </w:tc>
              <w:tc>
                <w:tcPr/>
                <w:p>
                  <w:pPr>
                    <w:pStyle w:val="Compact"/>
                    <w:jc w:val="both"/>
                    <w:jc w:val="center"/>
                    <w:spacing w:line="360" w:lineRule="auto"/>
                  </w:pPr>
                  <w:r>
                    <w:rPr>
                      <w:rStyle w:val="VerbatimChar"/>
                    </w:rPr>
                    <w:t xml:space="preserve">experiments/exp1_adult/models/svm/</w:t>
                  </w:r>
                </w:p>
              </w:tc>
              <w:tc>
                <w:tcPr/>
                <w:p>
                  <w:pPr>
                    <w:pStyle w:val="Compact"/>
                    <w:jc w:val="both"/>
                    <w:jc w:val="center"/>
                    <w:spacing w:line="360" w:lineRule="auto"/>
                  </w:pPr>
                  <w:r>
                    <w:rPr>
                      <w:rStyle w:val="VerbatimChar"/>
                    </w:rPr>
                    <w:t xml:space="preserve">metrics.json</w:t>
                  </w:r>
                </w:p>
              </w:tc>
            </w:tr>
            <w:tr>
              <w:tc>
                <w:tcPr/>
                <w:p>
                  <w:pPr>
                    <w:pStyle w:val="Compact"/>
                    <w:jc w:val="both"/>
                    <w:jc w:val="center"/>
                    <w:spacing w:line="360" w:lineRule="auto"/>
                  </w:pPr>
                  <w:r>
                    <w:t xml:space="preserve">MLP (</w:t>
                  </w:r>
                  <w:r>
                    <w:rPr>
                      <w:rStyle w:val="VerbatimChar"/>
                    </w:rPr>
                    <w:t xml:space="preserve">mlp</w:t>
                  </w:r>
                  <w:r>
                    <w:t xml:space="preserve">)</w:t>
                  </w:r>
                </w:p>
              </w:tc>
              <w:tc>
                <w:tcPr/>
                <w:p>
                  <w:pPr>
                    <w:pStyle w:val="Compact"/>
                    <w:jc w:val="both"/>
                    <w:jc w:val="center"/>
                    <w:spacing w:line="360" w:lineRule="auto"/>
                  </w:pPr>
                  <w:r>
                    <w:t xml:space="preserve">Baseline neuronal no lineal</w:t>
                  </w:r>
                </w:p>
              </w:tc>
              <w:tc>
                <w:tcPr/>
                <w:p>
                  <w:pPr>
                    <w:pStyle w:val="Compact"/>
                    <w:jc w:val="both"/>
                    <w:jc w:val="center"/>
                    <w:spacing w:line="360" w:lineRule="auto"/>
                  </w:pPr>
                  <w:r>
                    <w:rPr>
                      <w:rStyle w:val="VerbatimChar"/>
                    </w:rPr>
                    <w:t xml:space="preserve">experiments/exp1_adult/models/mlp/</w:t>
                  </w:r>
                </w:p>
              </w:tc>
              <w:tc>
                <w:tcPr/>
                <w:p>
                  <w:pPr>
                    <w:pStyle w:val="Compact"/>
                    <w:jc w:val="both"/>
                    <w:jc w:val="center"/>
                    <w:spacing w:line="360" w:lineRule="auto"/>
                  </w:pPr>
                  <w:r>
                    <w:rPr>
                      <w:rStyle w:val="VerbatimChar"/>
                    </w:rPr>
                    <w:t xml:space="preserve">metrics.json</w:t>
                  </w:r>
                </w:p>
              </w:tc>
            </w:tr>
          </w:tbl>
          <w:bookmarkEnd w:id="325"/>
          <w:p>
            <w:pPr>
              <w:spacing w:line="360" w:lineRule="auto"/>
              <w:jc w:val="both"/>
            </w:pPr>
          </w:p>
        </w:tc>
      </w:tr>
    </w:tbl>
    <w:p>
      <w:pPr>
        <w:pStyle w:val="Textoindependiente"/>
        <w:spacing w:line="360" w:lineRule="auto"/>
        <w:jc w:val="both"/>
      </w:pPr>
      <w:r>
        <w:t xml:space="preserve">Los umbrales de inclusión usados en la tesis son exactitud</w:t>
      </w:r>
      <w:r>
        <w:t xml:space="preserve"> </w:t>
      </w:r>
      <ns1:oMath>
        <ns1:r>
          <ns1:rPr>
            <ns1:sty ns1:val="p"/>
          </ns1:rPr>
          <ns1:t>≥</ns1:t>
        </ns1:r>
        <ns1:r>
          <ns1:t>0.83</ns1:t>
        </ns1:r>
      </ns1:oMath>
      <w:r>
        <w:t xml:space="preserve"> </w:t>
      </w:r>
      <w:r>
        <w:t xml:space="preserve">y</w:t>
      </w:r>
      <w:r>
        <w:t xml:space="preserve"> </w:t>
      </w:r>
      <w:r>
        <w:t xml:space="preserve">AUC-ROC</w:t>
      </w:r>
      <w:r>
        <w:t xml:space="preserve"> </w:t>
      </w:r>
      <ns1:oMath>
        <ns1:r>
          <ns1:rPr>
            <ns1:sty ns1:val="p"/>
          </ns1:rPr>
          <ns1:t>≥</ns1:t>
        </ns1:r>
        <ns1:r>
          <ns1:t>0.88</ns1:t>
        </ns1:r>
      </ns1:oMath>
      <w:r>
        <w:t xml:space="preserve">. La Tabla 3.1 reporta las métricas finales extraídas de</w:t>
      </w:r>
      <w:r>
        <w:t xml:space="preserve"> </w:t>
      </w:r>
      <w:r>
        <w:t xml:space="preserve">estos artefactos.</w:t>
      </w:r>
    </w:p>
    <w:bookmarkEnd w:id="326"/>
    <w:bookmarkStart w:id="333" w:name="apéndice-c-configuración-de-explicadores"/>
    <w:p>
      <w:pPr>
        <w:pStyle w:val="Ttulo2"/>
        <w:spacing w:line="360" w:lineRule="auto"/>
        <w:jc w:val="both"/>
      </w:pPr>
      <w:r>
        <w:t xml:space="preserve">Apéndice C: Configuración de explicadores</w:t>
      </w:r>
    </w:p>
    <w:p>
      <w:pPr>
        <w:pStyle w:val="FirstParagraph"/>
        <w:spacing w:line="360" w:lineRule="auto"/>
        <w:jc w:val="both"/>
      </w:pPr>
      <w:r>
        <w:t xml:space="preserve">Las configuraciones declarativas de EXP2 se almacenan en</w:t>
      </w:r>
      <w:r>
        <w:t xml:space="preserve"> </w:t>
      </w:r>
      <w:r>
        <w:rPr>
          <w:rStyle w:val="VerbatimChar"/>
        </w:rPr>
        <w:t xml:space="preserve">configs/experiments/exp2_scaled/</w:t>
      </w:r>
      <w:r>
        <w:t xml:space="preserve">. El manifiesto</w:t>
      </w:r>
      <w:r>
        <w:t xml:space="preserve"> </w:t>
      </w:r>
      <w:r>
        <w:rPr>
          <w:rStyle w:val="VerbatimChar"/>
        </w:rPr>
        <w:t xml:space="preserve">manifest.yaml</w:t>
      </w:r>
      <w:r>
        <w:t xml:space="preserve"> </w:t>
      </w:r>
      <w:r>
        <w:t xml:space="preserve">define las 300</w:t>
      </w:r>
      <w:r>
        <w:t xml:space="preserve"> </w:t>
      </w:r>
      <w:r>
        <w:t xml:space="preserve">celdas del diseño factorial y cada YAML por celda fija modelo, explicador,</w:t>
      </w:r>
      <w:r>
        <w:t xml:space="preserve"> </w:t>
      </w:r>
      <w:r>
        <w:t xml:space="preserve">semilla y tamaño de muestra.</w:t>
      </w:r>
    </w:p>
    <w:tbl>
      <w:tblPr>
        <w:tblStyle w:val="Table"/>
        <w:tblW w:type="pct" w:w="5000"/>
        <w:tblLayout w:type="fixed"/>
        <w:tblLook w:firstRow="0" w:lastRow="0" w:firstColumn="0" w:lastColumn="0" w:noHBand="0" w:noVBand="0" w:val="0000"/>
      </w:tblPr>
      <w:tblGrid>
        <w:gridCol w:w="7920"/>
      </w:tblGrid>
      <w:tr>
        <w:tc>
          <w:tcPr/>
          <w:bookmarkStart w:id="327" w:name="tbl-appendix-explainers"/>
          <w:p>
            <w:pPr>
              <w:jc w:val="both"/>
              <w:spacing w:line="360" w:lineRule="auto"/>
            </w:pPr>
            <w:pPr>
              <w:jc w:val="left"/>
              <w:spacing w:before="200"/>
              <w:pStyle w:val="ImageCaption"/>
            </w:pPr>
            <w:r>
              <w:t xml:space="preserve">Table 7.7: Configuración de explicadores y caveats operativos.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Explicador</w:t>
                  </w:r>
                </w:p>
              </w:tc>
              <w:tc>
                <w:tcPr/>
                <w:p>
                  <w:pPr>
                    <w:pStyle w:val="Compact"/>
                    <w:jc w:val="both"/>
                    <w:jc w:val="center"/>
                    <w:spacing w:line="360" w:lineRule="auto"/>
                  </w:pPr>
                  <w:r>
                    <w:t xml:space="preserve">Configuración efectiva</w:t>
                  </w:r>
                </w:p>
              </w:tc>
              <w:tc>
                <w:tcPr/>
                <w:p>
                  <w:pPr>
                    <w:pStyle w:val="Compact"/>
                    <w:jc w:val="both"/>
                    <w:jc w:val="center"/>
                    <w:spacing w:line="360" w:lineRule="auto"/>
                  </w:pPr>
                  <w:r>
                    <w:t xml:space="preserve">Implementación</w:t>
                  </w:r>
                </w:p>
              </w:tc>
              <w:tc>
                <w:tcPr/>
                <w:p>
                  <w:pPr>
                    <w:pStyle w:val="Compact"/>
                    <w:jc w:val="both"/>
                    <w:jc w:val="center"/>
                    <w:spacing w:line="360" w:lineRule="auto"/>
                  </w:pPr>
                  <w:r>
                    <w:t xml:space="preserve">Caveat</w:t>
                  </w:r>
                </w:p>
              </w:tc>
            </w:tr>
            <w:tr>
              <w:tc>
                <w:tcPr/>
                <w:p>
                  <w:pPr>
                    <w:pStyle w:val="Compact"/>
                    <w:jc w:val="both"/>
                    <w:jc w:val="center"/>
                    <w:spacing w:line="360" w:lineRule="auto"/>
                  </w:pPr>
                  <w:r>
                    <w:t xml:space="preserve">SHAP</w:t>
                  </w:r>
                </w:p>
              </w:tc>
              <w:tc>
                <w:tcPr/>
                <w:p>
                  <w:pPr>
                    <w:pStyle w:val="Compact"/>
                    <w:jc w:val="both"/>
                    <w:jc w:val="center"/>
                    <w:spacing w:line="360" w:lineRule="auto"/>
                  </w:pPr>
                  <w:r>
                    <w:rPr>
                      <w:rStyle w:val="VerbatimChar"/>
                    </w:rPr>
                    <w:t xml:space="preserve">TreeExplainer</w:t>
                  </w:r>
                  <w:r>
                    <w:t xml:space="preserve"> </w:t>
                  </w:r>
                  <w:r>
                    <w:t xml:space="preserve">para</w:t>
                  </w:r>
                  <w:r>
                    <w:t xml:space="preserve"> </w:t>
                  </w:r>
                  <w:r>
                    <w:rPr>
                      <w:rStyle w:val="VerbatimChar"/>
                    </w:rPr>
                    <w:t xml:space="preserve">rf</w:t>
                  </w:r>
                  <w:r>
                    <w:t xml:space="preserve">/</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rPr>
                      <w:rStyle w:val="VerbatimChar"/>
                    </w:rPr>
                    <w:t xml:space="preserve">svm</w:t>
                  </w:r>
                  <w:r>
                    <w:t xml:space="preserve">/</w:t>
                  </w:r>
                  <w:r>
                    <w:rPr>
                      <w:rStyle w:val="VerbatimChar"/>
                    </w:rPr>
                    <w:t xml:space="preserve">mlp</w:t>
                  </w:r>
                  <w:r>
                    <w:t xml:space="preserve">; fondo de 50 muestras</w:t>
                  </w:r>
                </w:p>
              </w:tc>
              <w:tc>
                <w:tcPr/>
                <w:p>
                  <w:pPr>
                    <w:pStyle w:val="Compact"/>
                    <w:jc w:val="both"/>
                    <w:jc w:val="center"/>
                    <w:spacing w:line="360" w:lineRule="auto"/>
                  </w:pPr>
                  <w:r>
                    <w:rPr>
                      <w:rStyle w:val="VerbatimChar"/>
                    </w:rPr>
                    <w:t xml:space="preserve">src/xai/shap_tabular.py</w:t>
                  </w:r>
                </w:p>
              </w:tc>
              <w:tc>
                <w:tcPr/>
                <w:p>
                  <w:pPr>
                    <w:pStyle w:val="Compact"/>
                    <w:jc w:val="both"/>
                    <w:jc w:val="center"/>
                    <w:spacing w:line="360" w:lineRule="auto"/>
                  </w:pPr>
                  <w:r>
                    <w:t xml:space="preserve">KernelSHAP domina el coste en SVM y MLP</w:t>
                  </w:r>
                </w:p>
              </w:tc>
            </w:tr>
            <w:tr>
              <w:tc>
                <w:tcPr/>
                <w:p>
                  <w:pPr>
                    <w:pStyle w:val="Compact"/>
                    <w:jc w:val="both"/>
                    <w:jc w:val="center"/>
                    <w:spacing w:line="360" w:lineRule="auto"/>
                  </w:pPr>
                  <w:r>
                    <w:t xml:space="preserve">LIME</w:t>
                  </w:r>
                </w:p>
              </w:tc>
              <w:tc>
                <w:tcPr/>
                <w:p>
                  <w:pPr>
                    <w:pStyle w:val="Compact"/>
                    <w:jc w:val="both"/>
                    <w:jc w:val="center"/>
                    <w:spacing w:line="360" w:lineRule="auto"/>
                  </w:pP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numérica</w:t>
                  </w:r>
                </w:p>
              </w:tc>
              <w:tc>
                <w:tcPr/>
                <w:p>
                  <w:pPr>
                    <w:pStyle w:val="Compact"/>
                    <w:jc w:val="both"/>
                    <w:jc w:val="center"/>
                    <w:spacing w:line="360" w:lineRule="auto"/>
                  </w:pPr>
                  <w:r>
                    <w:rPr>
                      <w:rStyle w:val="VerbatimChar"/>
                    </w:rPr>
                    <w:t xml:space="preserve">src/xai/lime_tabular.py</w:t>
                  </w:r>
                </w:p>
              </w:tc>
              <w:tc>
                <w:tcPr/>
                <w:p>
                  <w:pPr>
                    <w:pStyle w:val="Compact"/>
                    <w:jc w:val="both"/>
                    <w:jc w:val="center"/>
                    <w:spacing w:line="360" w:lineRule="auto"/>
                  </w:pPr>
                  <w:r>
                    <w:t xml:space="preserve">Sensible al muestreo local</w:t>
                  </w:r>
                </w:p>
              </w:tc>
            </w:tr>
            <w:tr>
              <w:tc>
                <w:tcPr/>
                <w:p>
                  <w:pPr>
                    <w:pStyle w:val="Compact"/>
                    <w:jc w:val="both"/>
                    <w:jc w:val="center"/>
                    <w:spacing w:line="360" w:lineRule="auto"/>
                  </w:pPr>
                  <w:r>
                    <w:t xml:space="preserve">Anchors</w:t>
                  </w:r>
                </w:p>
              </w:tc>
              <w:tc>
                <w:tcPr/>
                <w:p>
                  <w:pPr>
                    <w:pStyle w:val="Compact"/>
                    <w:jc w:val="both"/>
                    <w:jc w:val="center"/>
                    <w:spacing w:line="360" w:lineRule="auto"/>
                  </w:pPr>
                  <w:r>
                    <w:rPr>
                      <w:rStyle w:val="VerbatimChar"/>
                    </w:rPr>
                    <w:t xml:space="preserve">AnchorTabular</w:t>
                  </w:r>
                  <w:r>
                    <w:t xml:space="preserve">, umbral efectivo</w:t>
                  </w:r>
                  <w:r>
                    <w:t xml:space="preserve"> </w:t>
                  </w:r>
                  <ns1:oMath>
                    <ns1:r>
                      <ns1:t>τ</ns1:t>
                    </ns1:r>
                    <ns1:r>
                      <ns1:rPr>
                        <ns1:sty ns1:val="p"/>
                      </ns1:rPr>
                      <ns1:t>=</ns1:t>
                    </ns1:r>
                    <ns1:r>
                      <ns1:t>0.95</ns1:t>
                    </ns1:r>
                  </ns1:oMath>
                </w:p>
              </w:tc>
              <w:tc>
                <w:tcPr/>
                <w:p>
                  <w:pPr>
                    <w:pStyle w:val="Compact"/>
                    <w:jc w:val="both"/>
                    <w:jc w:val="center"/>
                    <w:spacing w:line="360" w:lineRule="auto"/>
                  </w:pPr>
                  <w:r>
                    <w:rPr>
                      <w:rStyle w:val="VerbatimChar"/>
                    </w:rPr>
                    <w:t xml:space="preserve">src/xai/anchors_wrapper.py</w:t>
                  </w:r>
                </w:p>
              </w:tc>
              <w:tc>
                <w:tcPr/>
                <w:p>
                  <w:pPr>
                    <w:pStyle w:val="Compact"/>
                    <w:jc w:val="both"/>
                    <w:jc w:val="center"/>
                    <w:spacing w:line="360" w:lineRule="auto"/>
                  </w:pPr>
                  <w:r>
                    <w:t xml:space="preserve">Algunos parámetros YAML no son consumidos en runtime</w:t>
                  </w:r>
                </w:p>
              </w:tc>
            </w:tr>
            <w:tr>
              <w:tc>
                <w:tcPr/>
                <w:p>
                  <w:pPr>
                    <w:pStyle w:val="Compact"/>
                    <w:jc w:val="both"/>
                    <w:jc w:val="center"/>
                    <w:spacing w:line="360" w:lineRule="auto"/>
                  </w:pPr>
                  <w:r>
                    <w:t xml:space="preserve">DiCE</w:t>
                  </w:r>
                </w:p>
              </w:tc>
              <w:tc>
                <w:tcPr/>
                <w:p>
                  <w:pPr>
                    <w:pStyle w:val="Compact"/>
                    <w:jc w:val="both"/>
                    <w:jc w:val="center"/>
                    <w:spacing w:line="360" w:lineRule="auto"/>
                  </w:pPr>
                  <w:r>
                    <w:t xml:space="preserve">Backend aleatorio, clase opuesta,</w:t>
                  </w:r>
                  <w:r>
                    <w:t xml:space="preserve"> </w:t>
                  </w:r>
                  <w:r>
                    <w:rPr>
                      <w:rStyle w:val="VerbatimChar"/>
                    </w:rPr>
                    <w:t xml:space="preserve">total_CFs = 1</w:t>
                  </w:r>
                  <w:r>
                    <w:t xml:space="preserve"> </w:t>
                  </w:r>
                  <w:r>
                    <w:t xml:space="preserve">efectivo</w:t>
                  </w:r>
                </w:p>
              </w:tc>
              <w:tc>
                <w:tcPr/>
                <w:p>
                  <w:pPr>
                    <w:pStyle w:val="Compact"/>
                    <w:jc w:val="both"/>
                    <w:jc w:val="center"/>
                    <w:spacing w:line="360" w:lineRule="auto"/>
                  </w:pPr>
                  <w:r>
                    <w:rPr>
                      <w:rStyle w:val="VerbatimChar"/>
                    </w:rPr>
                    <w:t xml:space="preserve">src/xai/dice_wrapper.py</w:t>
                  </w:r>
                </w:p>
              </w:tc>
              <w:tc>
                <w:tcPr/>
                <w:p>
                  <w:pPr>
                    <w:pStyle w:val="Compact"/>
                    <w:jc w:val="both"/>
                    <w:jc w:val="center"/>
                    <w:spacing w:line="360" w:lineRule="auto"/>
                  </w:pPr>
                  <w:r>
                    <w:t xml:space="preserve">La importancia se deriva de</w:t>
                  </w:r>
                  <w:r>
                    <w:t xml:space="preserve"> </w:t>
                  </w:r>
                  <ns1:oMath>
                    <ns1:r>
                      <ns1:rPr>
                        <ns1:sty ns1:val="p"/>
                      </ns1:rPr>
                      <ns1:t>|</ns1:t>
                    </ns1:r>
                    <ns1:sSub>
                      <ns1:e>
                        <ns1:r>
                          <ns1:t>x</ns1:t>
                        </ns1:r>
                      </ns1:e>
                      <ns1:sub>
                        <ns1:r>
                          <ns1:t>i</ns1:t>
                        </ns1:r>
                      </ns1:sub>
                    </ns1:sSub>
                    <ns1:r>
                      <ns1:rPr>
                        <ns1:sty ns1:val="p"/>
                      </ns1:rPr>
                      <ns1:t>−</ns1:t>
                    </ns1:r>
                    <ns1:sSubSup>
                      <ns1:e>
                        <ns1:r>
                          <ns1:t>x</ns1:t>
                        </ns1:r>
                      </ns1:e>
                      <ns1:sub>
                        <ns1:r>
                          <ns1:t>i</ns1:t>
                        </ns1:r>
                      </ns1:sub>
                      <ns1:sup>
                        <ns1:r>
                          <ns1:rPr>
                            <ns1:sty ns1:val="p"/>
                          </ns1:rPr>
                          <ns1:t>′</ns1:t>
                        </ns1:r>
                      </ns1:sup>
                    </ns1:sSubSup>
                    <ns1:r>
                      <ns1:rPr>
                        <ns1:sty ns1:val="p"/>
                      </ns1:rPr>
                      <ns1:t>|</ns1:t>
                    </ns1:r>
                  </ns1:oMath>
                </w:p>
              </w:tc>
            </w:tr>
          </w:tbl>
          <w:bookmarkEnd w:id="327"/>
          <w:p>
            <w:pPr>
              <w:spacing w:line="360" w:lineRule="auto"/>
              <w:jc w:val="both"/>
            </w:pPr>
          </w:p>
        </w:tc>
      </w:tr>
    </w:tbl>
    <w:p>
      <w:pPr>
        <w:pStyle w:val="Textoindependiente"/>
        <w:spacing w:line="360" w:lineRule="auto"/>
        <w:jc w:val="both"/>
      </w:pPr>
      <w:r>
        <w:t xml:space="preserve">El tiempo de ejecución y las importancias se registran mediante</w:t>
      </w:r>
      <w:r>
        <w:t xml:space="preserve"> </w:t>
      </w:r>
      <w:r>
        <w:rPr>
          <w:rStyle w:val="VerbatimChar"/>
        </w:rPr>
        <w:t xml:space="preserve">ExplainerWrapper.explain_instance</w:t>
      </w:r>
      <w:r>
        <w:t xml:space="preserve">, con restricciones de recursos controladas</w:t>
      </w:r>
      <w:r>
        <w:t xml:space="preserve"> </w:t>
      </w:r>
      <w:r>
        <w:t xml:space="preserve">por</w:t>
      </w:r>
      <w:r>
        <w:t xml:space="preserve"> </w:t>
      </w:r>
      <w:r>
        <w:rPr>
          <w:rStyle w:val="VerbatimChar"/>
        </w:rPr>
        <w:t xml:space="preserve">src/utils/resource_control.py</w:t>
      </w:r>
      <w:r>
        <w:t xml:space="preserve">.</w:t>
      </w:r>
    </w:p>
    <w:bookmarkStart w:id="332" w:name="X19223749bd91808c35bfde79d8d5a77d7c56c01"/>
    <w:p>
      <w:pPr>
        <w:pStyle w:val="Ttulo3"/>
        <w:spacing w:line="360" w:lineRule="auto"/>
        <w:jc w:val="both"/>
      </w:pPr>
      <w:r>
        <w:t xml:space="preserve">C.1 Análisis exploratorio de sensibilidad a hiperparámetros</w:t>
      </w:r>
    </w:p>
    <w:p>
      <w:pPr>
        <w:pStyle w:val="FirstParagraph"/>
        <w:spacing w:line="360" w:lineRule="auto"/>
        <w:jc w:val="both"/>
      </w:pPr>
      <w:r>
        <w:t xml:space="preserve">Este análisis evalúa en qué medida los resultados principales son robustos a</w:t>
      </w:r>
      <w:r>
        <w:t xml:space="preserve"> </w:t>
      </w:r>
      <w:r>
        <w:t xml:space="preserve">variaciones en los hiperparámetros de configuración de cada explicador. No forma</w:t>
      </w:r>
      <w:r>
        <w:t xml:space="preserve"> </w:t>
      </w:r>
      <w:r>
        <w:t xml:space="preserve">parte de las hipótesis confirmativas H1-H3; su función es delimitar el alcance</w:t>
      </w:r>
      <w:r>
        <w:t xml:space="preserve"> </w:t>
      </w:r>
      <w:r>
        <w:t xml:space="preserve">de los resultados y orientar configuraciones futuras. El análisis opera sobre el</w:t>
      </w:r>
      <w:r>
        <w:t xml:space="preserve"> </w:t>
      </w:r>
      <w:r>
        <w:t xml:space="preserve">modelo RF con semilla 42 y</w:t>
      </w:r>
      <w:r>
        <w:t xml:space="preserve"> </w:t>
      </w:r>
      <ns1:oMath>
        <ns1:r>
          <ns1:t>N</ns1:t>
        </ns1:r>
        <ns1:r>
          <ns1:rPr>
            <ns1:sty ns1:val="p"/>
          </ns1:rPr>
          <ns1:t>=</ns1:t>
        </ns1:r>
        <ns1:r>
          <ns1:t>100</ns1:t>
        </ns1:r>
      </ns1:oMath>
      <w:r>
        <w:t xml:space="preserve"> </w:t>
      </w:r>
      <w:r>
        <w:t xml:space="preserve">como condición de referencia.</w:t>
      </w:r>
    </w:p>
    <w:p>
      <w:pPr>
        <w:pStyle w:val="Textoindependiente"/>
        <w:spacing w:line="360" w:lineRule="auto"/>
        <w:jc w:val="both"/>
      </w:pPr>
      <w:r>
        <w:rPr>
          <w:b/>
          <w:bCs/>
        </w:rPr>
        <w:t xml:space="preserve">LIME — sensibilidad a</w:t>
      </w:r>
      <w:r>
        <w:rPr>
          <w:b/>
          <w:bCs/>
        </w:rPr>
        <w:t xml:space="preserve"> </w:t>
      </w:r>
      <w:r>
        <w:rPr>
          <w:rStyle w:val="VerbatimChar"/>
          <w:b/>
          <w:bCs/>
        </w:rPr>
        <w:t xml:space="preserve">num_samples</w:t>
      </w:r>
      <w:r>
        <w:rPr>
          <w:b/>
          <w:bCs/>
        </w:rPr>
        <w:t xml:space="preserve">.</w:t>
      </w:r>
      <w:r>
        <w:t xml:space="preserve"> </w:t>
      </w:r>
      <w:r>
        <w:t xml:space="preserve">Se varía el número de muestras de</w:t>
      </w:r>
      <w:r>
        <w:t xml:space="preserve"> </w:t>
      </w:r>
      <w:r>
        <w:t xml:space="preserve">perturbación local (</w:t>
      </w:r>
      <ns1:oMath>
        <ns1:r>
          <ns1:rPr>
            <ns1:sty ns1:val="p"/>
          </ns1:rPr>
          <ns1:t>{</ns1:t>
        </ns1:r>
        <ns1:r>
          <ns1:t>500</ns1:t>
        </ns1:r>
        <ns1:r>
          <ns1:rPr>
            <ns1:sty ns1:val="p"/>
          </ns1:rPr>
          <ns1:t>,</ns1:t>
        </ns1:r>
        <ns1:r>
          <ns1:t>1000</ns1:t>
        </ns1:r>
        <ns1:r>
          <ns1:rPr>
            <ns1:sty ns1:val="p"/>
          </ns1:rPr>
          <ns1:t>,</ns1:t>
        </ns1:r>
        <ns1:r>
          <ns1:t>2000</ns1:t>
        </ns1:r>
        <ns1:r>
          <ns1:rPr>
            <ns1:sty ns1:val="p"/>
          </ns1:rPr>
          <ns1:t>}</ns1:t>
        </ns1:r>
      </ns1:oMath>
      <w:r>
        <w:t xml:space="preserve">) manteniendo</w:t>
      </w:r>
      <w:r>
        <w:t xml:space="preserve"> </w:t>
      </w:r>
      <w:r>
        <w:rPr>
          <w:rStyle w:val="VerbatimChar"/>
        </w:rPr>
        <w:t xml:space="preserve">kernel_width = 3.0</w:t>
      </w:r>
      <w:r>
        <w:t xml:space="preserve"> </w:t>
      </w:r>
      <w:r>
        <w:t xml:space="preserve">y</w:t>
      </w:r>
      <w:r>
        <w:t xml:space="preserve"> </w:t>
      </w:r>
      <w:r>
        <w:rPr>
          <w:rStyle w:val="VerbatimChar"/>
        </w:rPr>
        <w:t xml:space="preserve">num_features = 10</w:t>
      </w:r>
      <w:r>
        <w:t xml:space="preserve"> </w:t>
      </w:r>
      <w:r>
        <w:t xml:space="preserve">constantes.</w:t>
      </w:r>
    </w:p>
    <w:tbl>
      <w:tblPr>
        <w:tblStyle w:val="Table"/>
        <w:tblW w:type="pct" w:w="5000"/>
        <w:tblLayout w:type="fixed"/>
        <w:tblLook w:firstRow="0" w:lastRow="0" w:firstColumn="0" w:lastColumn="0" w:noHBand="0" w:noVBand="0" w:val="0000"/>
      </w:tblPr>
      <w:tblGrid>
        <w:gridCol w:w="7920"/>
      </w:tblGrid>
      <w:tr>
        <w:tc>
          <w:tcPr/>
          <w:bookmarkStart w:id="328" w:name="tbl-appendix-lime-sensitivity"/>
          <w:p>
            <w:pPr>
              <w:jc w:val="both"/>
              <w:spacing w:line="360" w:lineRule="auto"/>
            </w:pPr>
            <w:pPr>
              <w:jc w:val="left"/>
              <w:spacing w:before="200"/>
              <w:pStyle w:val="ImageCaption"/>
            </w:pPr>
            <w:r>
              <w:t xml:space="preserve">Table 7.8: Sensibilidad de LIME a</w:t>
            </w:r>
            <w:r>
              <w:t xml:space="preserve"> </w:t>
            </w:r>
            <w:r>
              <w:rPr>
                <w:rStyle w:val="VerbatimChar"/>
              </w:rPr>
              <w:t xml:space="preserve">num_samples</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rPr>
                      <w:rStyle w:val="VerbatimChar"/>
                    </w:rPr>
                    <w:t xml:space="preserve">num_samples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500</w:t>
                  </w:r>
                </w:p>
              </w:tc>
              <w:tc>
                <w:tcPr/>
                <w:p>
                  <w:pPr>
                    <w:pStyle w:val="Compact"/>
                    <w:jc w:val="both"/>
                    <w:jc w:val="center"/>
                    <w:spacing w:line="360" w:lineRule="auto"/>
                  </w:pPr>
                  <w:r>
                    <w:t xml:space="preserve">0.452</w:t>
                  </w:r>
                </w:p>
              </w:tc>
              <w:tc>
                <w:tcPr/>
                <w:p>
                  <w:pPr>
                    <w:pStyle w:val="Compact"/>
                    <w:jc w:val="both"/>
                    <w:jc w:val="center"/>
                    <w:spacing w:line="360" w:lineRule="auto"/>
                  </w:pPr>
                  <w:r>
                    <w:t xml:space="preserve">0.011</w:t>
                  </w:r>
                </w:p>
              </w:tc>
              <w:tc>
                <w:tcPr/>
                <w:p>
                  <w:pPr>
                    <w:pStyle w:val="Compact"/>
                    <w:jc w:val="both"/>
                    <w:jc w:val="center"/>
                    <w:spacing w:line="360" w:lineRule="auto"/>
                  </w:pPr>
                  <w:r>
                    <w:t xml:space="preserve">114</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1000 (referencia)</w:t>
                  </w:r>
                </w:p>
              </w:tc>
              <w:tc>
                <w:tcPr/>
                <w:p>
                  <w:pPr>
                    <w:pStyle w:val="Compact"/>
                    <w:jc w:val="both"/>
                    <w:jc w:val="center"/>
                    <w:spacing w:line="360" w:lineRule="auto"/>
                  </w:pPr>
                  <w:r>
                    <w:t xml:space="preserve">0.461</w:t>
                  </w:r>
                </w:p>
              </w:tc>
              <w:tc>
                <w:tcPr/>
                <w:p>
                  <w:pPr>
                    <w:pStyle w:val="Compact"/>
                    <w:jc w:val="both"/>
                    <w:jc w:val="center"/>
                    <w:spacing w:line="360" w:lineRule="auto"/>
                  </w:pPr>
                  <w:r>
                    <w:t xml:space="preserve">0.014</w:t>
                  </w:r>
                </w:p>
              </w:tc>
              <w:tc>
                <w:tcPr/>
                <w:p>
                  <w:pPr>
                    <w:pStyle w:val="Compact"/>
                    <w:jc w:val="both"/>
                    <w:jc w:val="center"/>
                    <w:spacing w:line="360" w:lineRule="auto"/>
                  </w:pPr>
                  <w:r>
                    <w:t xml:space="preserve">226</w:t>
                  </w:r>
                </w:p>
              </w:tc>
              <w:tc>
                <w:tcPr/>
                <w:p>
                  <w:pPr>
                    <w:pStyle w:val="Compact"/>
                    <w:jc w:val="both"/>
                    <w:jc w:val="center"/>
                    <w:spacing w:line="360" w:lineRule="auto"/>
                  </w:pPr>
                  <w:r>
                    <w:t xml:space="preserve">0.085</w:t>
                  </w:r>
                </w:p>
              </w:tc>
            </w:tr>
            <w:tr>
              <w:tc>
                <w:tcPr/>
                <w:p>
                  <w:pPr>
                    <w:pStyle w:val="Compact"/>
                    <w:jc w:val="both"/>
                    <w:jc w:val="center"/>
                    <w:spacing w:line="360" w:lineRule="auto"/>
                  </w:pPr>
                  <w:r>
                    <w:t xml:space="preserve">2000</w:t>
                  </w:r>
                </w:p>
              </w:tc>
              <w:tc>
                <w:tcPr/>
                <w:p>
                  <w:pPr>
                    <w:pStyle w:val="Compact"/>
                    <w:jc w:val="both"/>
                    <w:jc w:val="center"/>
                    <w:spacing w:line="360" w:lineRule="auto"/>
                  </w:pPr>
                  <w:r>
                    <w:t xml:space="preserve">0.459</w:t>
                  </w:r>
                </w:p>
              </w:tc>
              <w:tc>
                <w:tcPr/>
                <w:p>
                  <w:pPr>
                    <w:pStyle w:val="Compact"/>
                    <w:jc w:val="both"/>
                    <w:jc w:val="center"/>
                    <w:spacing w:line="360" w:lineRule="auto"/>
                  </w:pPr>
                  <w:r>
                    <w:t xml:space="preserve">0.016</w:t>
                  </w:r>
                </w:p>
              </w:tc>
              <w:tc>
                <w:tcPr/>
                <w:p>
                  <w:pPr>
                    <w:pStyle w:val="Compact"/>
                    <w:jc w:val="both"/>
                    <w:jc w:val="center"/>
                    <w:spacing w:line="360" w:lineRule="auto"/>
                  </w:pPr>
                  <w:r>
                    <w:t xml:space="preserve">451</w:t>
                  </w:r>
                </w:p>
              </w:tc>
              <w:tc>
                <w:tcPr/>
                <w:p>
                  <w:pPr>
                    <w:pStyle w:val="Compact"/>
                    <w:jc w:val="both"/>
                    <w:jc w:val="center"/>
                    <w:spacing w:line="360" w:lineRule="auto"/>
                  </w:pPr>
                  <w:r>
                    <w:t xml:space="preserve">0.085</w:t>
                  </w:r>
                </w:p>
              </w:tc>
            </w:tr>
          </w:tbl>
          <w:bookmarkEnd w:id="328"/>
          <w:p>
            <w:pPr>
              <w:spacing w:line="360" w:lineRule="auto"/>
              <w:jc w:val="both"/>
            </w:pPr>
          </w:p>
        </w:tc>
      </w:tr>
    </w:tbl>
    <w:p>
      <w:pPr>
        <w:pStyle w:val="Textoindependiente"/>
        <w:spacing w:line="360" w:lineRule="auto"/>
        <w:jc w:val="both"/>
      </w:pPr>
      <w:r>
        <w:t xml:space="preserve">La fidelidad de LIME es insensible a</w:t>
      </w:r>
      <w:r>
        <w:t xml:space="preserve"> </w:t>
      </w:r>
      <w:r>
        <w:rPr>
          <w:rStyle w:val="VerbatimChar"/>
        </w:rPr>
        <w:t xml:space="preserve">num_samples</w:t>
      </w:r>
      <w:r>
        <w:t xml:space="preserve"> </w:t>
      </w:r>
      <w:r>
        <w:t xml:space="preserve">(variación &lt; 2%);</w:t>
      </w:r>
      <w:r>
        <w:t xml:space="preserve"> </w:t>
      </w:r>
      <w:r>
        <w:t xml:space="preserve">la estabilidad permanece cercana a cero en todos los niveles. El coste escala</w:t>
      </w:r>
      <w:r>
        <w:t xml:space="preserve"> </w:t>
      </w:r>
      <w:r>
        <w:t xml:space="preserve">aproximadamente de forma lineal. Este resultado confirma que la inestabilidad</w:t>
      </w:r>
      <w:r>
        <w:t xml:space="preserve"> </w:t>
      </w:r>
      <w:r>
        <w:t xml:space="preserve">estructural de LIME no se resuelve aumentando el número de muestras, sino que</w:t>
      </w:r>
      <w:r>
        <w:t xml:space="preserve"> </w:t>
      </w:r>
      <w:r>
        <w:t xml:space="preserve">es inherente a la variabilidad del proceso de muestreo local.</w:t>
      </w:r>
    </w:p>
    <w:p>
      <w:pPr>
        <w:pStyle w:val="Textoindependiente"/>
        <w:spacing w:line="360" w:lineRule="auto"/>
        <w:jc w:val="both"/>
      </w:pPr>
      <w:r>
        <w:rPr>
          <w:b/>
          <w:bCs/>
        </w:rPr>
        <w:t xml:space="preserve">SHAP — sensibilidad al tamaño del conjunto de referencia.</w:t>
      </w:r>
      <w:r>
        <w:t xml:space="preserve"> </w:t>
      </w:r>
      <w:r>
        <w:t xml:space="preserve">Se varía el</w:t>
      </w:r>
      <w:r>
        <w:t xml:space="preserve"> </w:t>
      </w:r>
      <w:r>
        <w:t xml:space="preserve">número de instancias de referencia del</w:t>
      </w:r>
      <w:r>
        <w:t xml:space="preserve"> </w:t>
      </w:r>
      <w:r>
        <w:rPr>
          <w:rStyle w:val="VerbatimChar"/>
        </w:rPr>
        <w:t xml:space="preserve">KernelExplainer</w:t>
      </w:r>
      <w:r>
        <w:t xml:space="preserve"> </w:t>
      </w:r>
      <w:r>
        <w:t xml:space="preserve">(</w:t>
      </w:r>
      <ns1:oMath>
        <ns1:r>
          <ns1:rPr>
            <ns1:sty ns1:val="p"/>
          </ns1:rPr>
          <ns1:t>{</ns1:t>
        </ns1:r>
        <ns1:r>
          <ns1:t>25</ns1:t>
        </ns1:r>
        <ns1:r>
          <ns1:rPr>
            <ns1:sty ns1:val="p"/>
          </ns1:rPr>
          <ns1:t>,</ns1:t>
        </ns1:r>
        <ns1:r>
          <ns1:t>50</ns1:t>
        </ns1:r>
        <ns1:r>
          <ns1:rPr>
            <ns1:sty ns1:val="p"/>
          </ns1:rPr>
          <ns1:t>,</ns1:t>
        </ns1:r>
        <ns1:r>
          <ns1:t>100</ns1:t>
        </ns1:r>
        <ns1:r>
          <ns1:rPr>
            <ns1:sty ns1:val="p"/>
          </ns1:rPr>
          <ns1:t>}</ns1:t>
        </ns1:r>
      </ns1:oMath>
      <w:r>
        <w:t xml:space="preserve">)</w:t>
      </w:r>
      <w:r>
        <w:t xml:space="preserve"> </w:t>
      </w:r>
      <w:r>
        <w:t xml:space="preserve">para el modelo SVM (donde KernelSHAP es el método de cálculo).</w:t>
      </w:r>
    </w:p>
    <w:tbl>
      <w:tblPr>
        <w:tblStyle w:val="Table"/>
        <w:tblW w:type="pct" w:w="5000"/>
        <w:tblLayout w:type="fixed"/>
        <w:tblLook w:firstRow="0" w:lastRow="0" w:firstColumn="0" w:lastColumn="0" w:noHBand="0" w:noVBand="0" w:val="0000"/>
      </w:tblPr>
      <w:tblGrid>
        <w:gridCol w:w="7920"/>
      </w:tblGrid>
      <w:tr>
        <w:tc>
          <w:tcPr/>
          <w:bookmarkStart w:id="329" w:name="tbl-appendix-shap-sensitivity"/>
          <w:p>
            <w:pPr>
              <w:jc w:val="both"/>
              <w:spacing w:line="360" w:lineRule="auto"/>
            </w:pPr>
            <w:pPr>
              <w:jc w:val="left"/>
              <w:spacing w:before="200"/>
              <w:pStyle w:val="ImageCaption"/>
            </w:pPr>
            <w:r>
              <w:t xml:space="preserve">Table 7.9: Sensibilidad de KernelSHAP al tamaño del conjunto de referencia (SVM,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w:r>
                    <w:t xml:space="preserve">Referencia (</w:t>
                  </w:r>
                  <ns1:oMath>
                    <ns1:r>
                      <ns1:t>k</ns1:t>
                    </ns1:r>
                  </ns1:oMath>
                  <w:r>
                    <w:t xml:space="preserve">)</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25</w:t>
                  </w:r>
                </w:p>
              </w:tc>
              <w:tc>
                <w:tcPr/>
                <w:p>
                  <w:pPr>
                    <w:pStyle w:val="Compact"/>
                    <w:jc w:val="both"/>
                    <w:jc w:val="center"/>
                    <w:spacing w:line="360" w:lineRule="auto"/>
                  </w:pPr>
                  <w:r>
                    <w:t xml:space="preserve">0.921</w:t>
                  </w:r>
                </w:p>
              </w:tc>
              <w:tc>
                <w:tcPr/>
                <w:p>
                  <w:pPr>
                    <w:pStyle w:val="Compact"/>
                    <w:jc w:val="both"/>
                    <w:jc w:val="center"/>
                    <w:spacing w:line="360" w:lineRule="auto"/>
                  </w:pPr>
                  <w:r>
                    <w:t xml:space="preserve">0.728</w:t>
                  </w:r>
                </w:p>
              </w:tc>
              <w:tc>
                <w:tcPr/>
                <w:p>
                  <w:pPr>
                    <w:pStyle w:val="Compact"/>
                    <w:jc w:val="both"/>
                    <w:jc w:val="center"/>
                    <w:spacing w:line="360" w:lineRule="auto"/>
                  </w:pPr>
                  <w:r>
                    <w:t xml:space="preserve">41,233</w:t>
                  </w:r>
                </w:p>
              </w:tc>
            </w:tr>
            <w:tr>
              <w:tc>
                <w:tcPr/>
                <w:p>
                  <w:pPr>
                    <w:pStyle w:val="Compact"/>
                    <w:jc w:val="both"/>
                    <w:jc w:val="center"/>
                    <w:spacing w:line="360" w:lineRule="auto"/>
                  </w:pPr>
                  <w:r>
                    <w:t xml:space="preserve">50 (referencia)</w:t>
                  </w:r>
                </w:p>
              </w:tc>
              <w:tc>
                <w:tcPr/>
                <w:p>
                  <w:pPr>
                    <w:pStyle w:val="Compact"/>
                    <w:jc w:val="both"/>
                    <w:jc w:val="center"/>
                    <w:spacing w:line="360" w:lineRule="auto"/>
                  </w:pPr>
                  <w:r>
                    <w:t xml:space="preserve">0.928</w:t>
                  </w:r>
                </w:p>
              </w:tc>
              <w:tc>
                <w:tcPr/>
                <w:p>
                  <w:pPr>
                    <w:pStyle w:val="Compact"/>
                    <w:jc w:val="both"/>
                    <w:jc w:val="center"/>
                    <w:spacing w:line="360" w:lineRule="auto"/>
                  </w:pPr>
                  <w:r>
                    <w:t xml:space="preserve">0.731</w:t>
                  </w:r>
                </w:p>
              </w:tc>
              <w:tc>
                <w:tcPr/>
                <w:p>
                  <w:pPr>
                    <w:pStyle w:val="Compact"/>
                    <w:jc w:val="both"/>
                    <w:jc w:val="center"/>
                    <w:spacing w:line="360" w:lineRule="auto"/>
                  </w:pPr>
                  <w:r>
                    <w:t xml:space="preserve">159,059</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0.929</w:t>
                  </w:r>
                </w:p>
              </w:tc>
              <w:tc>
                <w:tcPr/>
                <w:p>
                  <w:pPr>
                    <w:pStyle w:val="Compact"/>
                    <w:jc w:val="both"/>
                    <w:jc w:val="center"/>
                    <w:spacing w:line="360" w:lineRule="auto"/>
                  </w:pPr>
                  <w:r>
                    <w:t xml:space="preserve">0.730</w:t>
                  </w:r>
                </w:p>
              </w:tc>
              <w:tc>
                <w:tcPr/>
                <w:p>
                  <w:pPr>
                    <w:pStyle w:val="Compact"/>
                    <w:jc w:val="both"/>
                    <w:jc w:val="center"/>
                    <w:spacing w:line="360" w:lineRule="auto"/>
                  </w:pPr>
                  <w:r>
                    <w:t xml:space="preserve">614,820</w:t>
                  </w:r>
                </w:p>
              </w:tc>
            </w:tr>
          </w:tbl>
          <w:bookmarkEnd w:id="329"/>
          <w:p>
            <w:pPr>
              <w:spacing w:line="360" w:lineRule="auto"/>
              <w:jc w:val="both"/>
            </w:pPr>
          </w:p>
        </w:tc>
      </w:tr>
    </w:tbl>
    <w:p>
      <w:pPr>
        <w:pStyle w:val="Textoindependiente"/>
        <w:spacing w:line="360" w:lineRule="auto"/>
        <w:jc w:val="both"/>
      </w:pPr>
      <w:r>
        <w:t xml:space="preserve">La fidelidad y estabilidad de SHAP son robustas al tamaño del conjunto de</w:t>
      </w:r>
      <w:r>
        <w:t xml:space="preserve"> </w:t>
      </w:r>
      <w:r>
        <w:t xml:space="preserve">referencia en los niveles evaluados (variación &lt; 1%); el coste crece de forma</w:t>
      </w:r>
      <w:r>
        <w:t xml:space="preserve"> </w:t>
      </w:r>
      <w:r>
        <w:t xml:space="preserve">supralineal con</w:t>
      </w:r>
      <w:r>
        <w:t xml:space="preserve"> </w:t>
      </w:r>
      <ns1:oMath>
        <ns1:r>
          <ns1:t>k</ns1:t>
        </ns1:r>
      </ns1:oMath>
      <w:r>
        <w:t xml:space="preserve">. Este resultado sugiere que el conjunto de referencia de 50</w:t>
      </w:r>
      <w:r>
        <w:t xml:space="preserve"> </w:t>
      </w:r>
      <w:r>
        <w:t xml:space="preserve">instancias usado en la tesis es suficiente para obtener atribuciones estables</w:t>
      </w:r>
      <w:r>
        <w:t xml:space="preserve"> </w:t>
      </w:r>
      <w:r>
        <w:t xml:space="preserve">sin incurrir en el coste computacional de referencias mayores.</w:t>
      </w:r>
    </w:p>
    <w:p>
      <w:pPr>
        <w:pStyle w:val="Textoindependiente"/>
        <w:spacing w:line="360" w:lineRule="auto"/>
        <w:jc w:val="both"/>
      </w:pPr>
      <w:r>
        <w:rPr>
          <w:b/>
          <w:bCs/>
        </w:rPr>
        <w:t xml:space="preserve">Anchors — sensibilidad al umbral de precisión</w:t>
      </w:r>
      <w:r>
        <w:rPr>
          <w:b/>
          <w:bCs/>
        </w:rPr>
        <w:t xml:space="preserve"> </w:t>
      </w:r>
      <ns1:oMath>
        <ns1:r>
          <ns1:t>τ</ns1:t>
        </ns1:r>
      </ns1:oMath>
      <w:r>
        <w:rPr>
          <w:b/>
          <w:bCs/>
        </w:rPr>
        <w:t xml:space="preserve">.</w:t>
      </w:r>
      <w:r>
        <w:t xml:space="preserve"> </w:t>
      </w:r>
      <w:r>
        <w:t xml:space="preserve">Se varía el umbral</w:t>
      </w:r>
      <w:r>
        <w:t xml:space="preserve"> </w:t>
      </w:r>
      <w:r>
        <w:t xml:space="preserve">de precisión mínima para aceptar una regla (</w:t>
      </w:r>
      <ns1:oMath>
        <ns1:r>
          <ns1:rPr>
            <ns1:sty ns1:val="p"/>
          </ns1:rPr>
          <ns1:t>{</ns1:t>
        </ns1:r>
        <ns1:r>
          <ns1:t>0.90</ns1:t>
        </ns1:r>
        <ns1:r>
          <ns1:rPr>
            <ns1:sty ns1:val="p"/>
          </ns1:rPr>
          <ns1:t>,</ns1:t>
        </ns1:r>
        <ns1:r>
          <ns1:t>0.95</ns1:t>
        </ns1:r>
        <ns1:r>
          <ns1:rPr>
            <ns1:sty ns1:val="p"/>
          </ns1:rPr>
          <ns1:t>,</ns1:t>
        </ns1:r>
        <ns1:r>
          <ns1:t>0.99</ns1:t>
        </ns1:r>
        <ns1:r>
          <ns1:rPr>
            <ns1:sty ns1:val="p"/>
          </ns1:rPr>
          <ns1:t>}</ns1:t>
        </ns1:r>
      </ns1:oMath>
      <w:r>
        <w:t xml:space="preserve">) sobre el</w:t>
      </w:r>
      <w:r>
        <w:t xml:space="preserve"> </w:t>
      </w:r>
      <w:r>
        <w:t xml:space="preserve">modelo RF.</w:t>
      </w:r>
    </w:p>
    <w:tbl>
      <w:tblPr>
        <w:tblStyle w:val="Table"/>
        <w:tblW w:type="pct" w:w="5000"/>
        <w:tblLayout w:type="fixed"/>
        <w:tblLook w:firstRow="0" w:lastRow="0" w:firstColumn="0" w:lastColumn="0" w:noHBand="0" w:noVBand="0" w:val="0000"/>
      </w:tblPr>
      <w:tblGrid>
        <w:gridCol w:w="7920"/>
      </w:tblGrid>
      <w:tr>
        <w:tc>
          <w:tcPr/>
          <w:bookmarkStart w:id="330" w:name="tbl-appendix-anchors-sensitivity"/>
          <w:p>
            <w:pPr>
              <w:jc w:val="both"/>
              <w:spacing w:line="360" w:lineRule="auto"/>
            </w:pPr>
            <w:pPr>
              <w:jc w:val="left"/>
              <w:spacing w:before="200"/>
              <w:pStyle w:val="ImageCaption"/>
            </w:pPr>
            <w:r>
              <w:t xml:space="preserve">Table 7.10: Sensibilidad de Anchors al umbral de precisión</w:t>
            </w:r>
            <w:r>
              <w:t xml:space="preserve"> </w:t>
            </w:r>
            <ns1:oMath>
              <ns1:r>
                <ns1:t>τ</ns1:t>
              </ns1:r>
            </ns1:oMath>
            <w:r>
              <w:t xml:space="preserve"> </w:t>
            </w:r>
            <w:r>
              <w:t xml:space="preserve">(RF, semilla 42).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both"/>
                    <w:jc w:val="center"/>
                    <w:spacing w:line="360" w:lineRule="auto"/>
                  </w:pPr>
                  <ns1:oMath>
                    <ns1:r>
                      <ns1:t>τ</ns1:t>
                    </ns1:r>
                  </ns1:oMath>
                </w:p>
              </w:tc>
              <w:tc>
                <w:tcPr/>
                <w:p>
                  <w:pPr>
                    <w:pStyle w:val="Compact"/>
                    <w:jc w:val="both"/>
                    <w:jc w:val="center"/>
                    <w:spacing w:line="360" w:lineRule="auto"/>
                  </w:pPr>
                  <w:r>
                    <w:t xml:space="preserve">Cobertura de celdas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Coste (ms)</w:t>
                  </w:r>
                </w:p>
              </w:tc>
            </w:tr>
            <w:tr>
              <w:tc>
                <w:tcPr/>
                <w:p>
                  <w:pPr>
                    <w:pStyle w:val="Compact"/>
                    <w:jc w:val="both"/>
                    <w:jc w:val="center"/>
                    <w:spacing w:line="360" w:lineRule="auto"/>
                  </w:pPr>
                  <w:r>
                    <w:t xml:space="preserve">0.90</w:t>
                  </w:r>
                </w:p>
              </w:tc>
              <w:tc>
                <w:tcPr/>
                <w:p>
                  <w:pPr>
                    <w:pStyle w:val="Compact"/>
                    <w:jc w:val="both"/>
                    <w:jc w:val="center"/>
                    <w:spacing w:line="360" w:lineRule="auto"/>
                  </w:pPr>
                  <w:r>
                    <w:t xml:space="preserve">72/75 (96%)</w:t>
                  </w:r>
                </w:p>
              </w:tc>
              <w:tc>
                <w:tcPr/>
                <w:p>
                  <w:pPr>
                    <w:pStyle w:val="Compact"/>
                    <w:jc w:val="both"/>
                    <w:jc w:val="center"/>
                    <w:spacing w:line="360" w:lineRule="auto"/>
                  </w:pPr>
                  <w:r>
                    <w:t xml:space="preserve">0.421</w:t>
                  </w:r>
                </w:p>
              </w:tc>
              <w:tc>
                <w:tcPr/>
                <w:p>
                  <w:pPr>
                    <w:pStyle w:val="Compact"/>
                    <w:jc w:val="both"/>
                    <w:jc w:val="center"/>
                    <w:spacing w:line="360" w:lineRule="auto"/>
                  </w:pPr>
                  <w:r>
                    <w:t xml:space="preserve">9,843</w:t>
                  </w:r>
                </w:p>
              </w:tc>
            </w:tr>
            <w:tr>
              <w:tc>
                <w:tcPr/>
                <w:p>
                  <w:pPr>
                    <w:pStyle w:val="Compact"/>
                    <w:jc w:val="both"/>
                    <w:jc w:val="center"/>
                    <w:spacing w:line="360" w:lineRule="auto"/>
                  </w:pPr>
                  <w:r>
                    <w:t xml:space="preserve">0.95 (referencia)</w:t>
                  </w:r>
                </w:p>
              </w:tc>
              <w:tc>
                <w:tcPr/>
                <w:p>
                  <w:pPr>
                    <w:pStyle w:val="Compact"/>
                    <w:jc w:val="both"/>
                    <w:jc w:val="center"/>
                    <w:spacing w:line="360" w:lineRule="auto"/>
                  </w:pPr>
                  <w:r>
                    <w:t xml:space="preserve">57/75 (76%)</w:t>
                  </w:r>
                </w:p>
              </w:tc>
              <w:tc>
                <w:tcPr/>
                <w:p>
                  <w:pPr>
                    <w:pStyle w:val="Compact"/>
                    <w:jc w:val="both"/>
                    <w:jc w:val="center"/>
                    <w:spacing w:line="360" w:lineRule="auto"/>
                  </w:pPr>
                  <w:r>
                    <w:t xml:space="preserve">0.386</w:t>
                  </w:r>
                </w:p>
              </w:tc>
              <w:tc>
                <w:tcPr/>
                <w:p>
                  <w:pPr>
                    <w:pStyle w:val="Compact"/>
                    <w:jc w:val="both"/>
                    <w:jc w:val="center"/>
                    <w:spacing w:line="360" w:lineRule="auto"/>
                  </w:pPr>
                  <w:r>
                    <w:t xml:space="preserve">16,000</w:t>
                  </w:r>
                </w:p>
              </w:tc>
            </w:tr>
            <w:tr>
              <w:tc>
                <w:tcPr/>
                <w:p>
                  <w:pPr>
                    <w:pStyle w:val="Compact"/>
                    <w:jc w:val="both"/>
                    <w:jc w:val="center"/>
                    <w:spacing w:line="360" w:lineRule="auto"/>
                  </w:pPr>
                  <w:r>
                    <w:t xml:space="preserve">0.99</w:t>
                  </w:r>
                </w:p>
              </w:tc>
              <w:tc>
                <w:tcPr/>
                <w:p>
                  <w:pPr>
                    <w:pStyle w:val="Compact"/>
                    <w:jc w:val="both"/>
                    <w:jc w:val="center"/>
                    <w:spacing w:line="360" w:lineRule="auto"/>
                  </w:pPr>
                  <w:r>
                    <w:t xml:space="preserve">31/75 (41%)</w:t>
                  </w:r>
                </w:p>
              </w:tc>
              <w:tc>
                <w:tcPr/>
                <w:p>
                  <w:pPr>
                    <w:pStyle w:val="Compact"/>
                    <w:jc w:val="both"/>
                    <w:jc w:val="center"/>
                    <w:spacing w:line="360" w:lineRule="auto"/>
                  </w:pPr>
                  <w:r>
                    <w:t xml:space="preserve">0.411</w:t>
                  </w:r>
                </w:p>
              </w:tc>
              <w:tc>
                <w:tcPr/>
                <w:p>
                  <w:pPr>
                    <w:pStyle w:val="Compact"/>
                    <w:jc w:val="both"/>
                    <w:jc w:val="center"/>
                    <w:spacing w:line="360" w:lineRule="auto"/>
                  </w:pPr>
                  <w:r>
                    <w:t xml:space="preserve">28,721</w:t>
                  </w:r>
                </w:p>
              </w:tc>
            </w:tr>
          </w:tbl>
          <w:bookmarkEnd w:id="330"/>
          <w:p>
            <w:pPr>
              <w:spacing w:line="360" w:lineRule="auto"/>
              <w:jc w:val="both"/>
            </w:pPr>
          </w:p>
        </w:tc>
      </w:tr>
    </w:tbl>
    <w:p>
      <w:pPr>
        <w:pStyle w:val="Textoindependiente"/>
        <w:spacing w:line="360" w:lineRule="auto"/>
        <w:jc w:val="both"/>
      </w:pPr>
      <w:r>
        <w:t xml:space="preserve">La cobertura de Anchors es extremadamente sensible a</w:t>
      </w:r>
      <w:r>
        <w:t xml:space="preserve"> </w:t>
      </w:r>
      <ns1:oMath>
        <ns1:r>
          <ns1:t>τ</ns1:t>
        </ns1:r>
      </ns1:oMath>
      <w:r>
        <w:t xml:space="preserve">: reducir el umbral</w:t>
      </w:r>
      <w:r>
        <w:t xml:space="preserve"> </w:t>
      </w:r>
      <w:r>
        <w:t xml:space="preserve">a 0.90 aumenta la cobertura de 76% a 96%, mientras que elevar a 0.99 la reduce</w:t>
      </w:r>
      <w:r>
        <w:t xml:space="preserve"> </w:t>
      </w:r>
      <w:r>
        <w:t xml:space="preserve">a 41%. Este resultado indica que la elección de</w:t>
      </w:r>
      <w:r>
        <w:t xml:space="preserve"> </w:t>
      </w:r>
      <ns1:oMath>
        <ns1:r>
          <ns1:t>τ</ns1:t>
        </ns1:r>
      </ns1:oMath>
      <w:r>
        <w:t xml:space="preserve"> </w:t>
      </w:r>
      <w:r>
        <w:t xml:space="preserve">es la decisión de</w:t>
      </w:r>
      <w:r>
        <w:t xml:space="preserve"> </w:t>
      </w:r>
      <w:r>
        <w:t xml:space="preserve">configuración de mayor impacto en Anchors y debe documentarse explícitamente en</w:t>
      </w:r>
      <w:r>
        <w:t xml:space="preserve"> </w:t>
      </w:r>
      <w:r>
        <w:t xml:space="preserve">cualquier benchmark que incluya este método. La fidelidad no mejora</w:t>
      </w:r>
      <w:r>
        <w:t xml:space="preserve"> </w:t>
      </w:r>
      <w:r>
        <w:t xml:space="preserve">monotónicamente con</w:t>
      </w:r>
      <w:r>
        <w:t xml:space="preserve"> </w:t>
      </w:r>
      <ns1:oMath>
        <ns1:r>
          <ns1:t>τ</ns1:t>
        </ns1:r>
      </ns1:oMath>
      <w:r>
        <w:t xml:space="preserve">, dado que reglas de mayor precisión no</w:t>
      </w:r>
      <w:r>
        <w:t xml:space="preserve"> </w:t>
      </w:r>
      <w:r>
        <w:t xml:space="preserve">necesariamente son más informativas bajo la métrica de correlación de</w:t>
      </w:r>
      <w:r>
        <w:t xml:space="preserve"> </w:t>
      </w:r>
      <w:r>
        <w:t xml:space="preserve">importancias.</w:t>
      </w:r>
    </w:p>
    <w:p>
      <w:pPr>
        <w:pStyle w:val="Textoindependiente"/>
        <w:spacing w:line="360" w:lineRule="auto"/>
        <w:jc w:val="both"/>
      </w:pPr>
      <w:r>
        <w:rPr>
          <w:b/>
          <w:bCs/>
        </w:rPr>
        <w:t xml:space="preserve">LIME — sensibilidad a</w:t>
      </w:r>
      <w:r>
        <w:rPr>
          <w:b/>
          <w:bCs/>
        </w:rPr>
        <w:t xml:space="preserve"> </w:t>
      </w:r>
      <w:r>
        <w:rPr>
          <w:rStyle w:val="VerbatimChar"/>
          <w:b/>
          <w:bCs/>
        </w:rPr>
        <w:t xml:space="preserve">kernel_width</w:t>
      </w:r>
      <w:r>
        <w:rPr>
          <w:b/>
          <w:bCs/>
        </w:rPr>
        <w:t xml:space="preserve">.</w:t>
      </w:r>
      <w:r>
        <w:t xml:space="preserve"> </w:t>
      </w:r>
      <w:r>
        <w:t xml:space="preserve">Se varía el ancho del kernel exponencial (</w:t>
      </w:r>
      <ns1:oMath>
        <ns1:r>
          <ns1:rPr>
            <ns1:sty ns1:val="p"/>
          </ns1:rPr>
          <ns1:t>{</ns1:t>
        </ns1:r>
        <ns1:r>
          <ns1:t>0.25</ns1:t>
        </ns1:r>
        <ns1:r>
          <ns1:rPr>
            <ns1:sty ns1:val="p"/>
          </ns1:rPr>
          <ns1:t>,</ns1:t>
        </ns1:r>
        <ns1:r>
          <ns1:t>0.75</ns1:t>
        </ns1:r>
        <ns1:r>
          <ns1:rPr>
            <ns1:sty ns1:val="p"/>
          </ns1:rPr>
          <ns1:t>,</ns1:t>
        </ns1:r>
        <ns1:r>
          <ns1:t>3.0</ns1:t>
        </ns1:r>
        <ns1:r>
          <ns1:rPr>
            <ns1:sty ns1:val="p"/>
          </ns1:rPr>
          <ns1:t>,</ns1:t>
        </ns1:r>
        <ns1:r>
          <ns1:t>10.0</ns1:t>
        </ns1:r>
        <ns1:r>
          <ns1:rPr>
            <ns1:sty ns1:val="p"/>
          </ns1:rPr>
          <ns1:t>}</ns1:t>
        </ns1:r>
      </ns1:oMath>
      <w:r>
        <w:t xml:space="preserve">) manteniendo</w:t>
      </w:r>
      <w:r>
        <w:t xml:space="preserve"> </w:t>
      </w:r>
      <w:r>
        <w:rPr>
          <w:rStyle w:val="VerbatimChar"/>
        </w:rPr>
        <w:t xml:space="preserve">num_samples = 1000</w:t>
      </w:r>
      <w:r>
        <w:t xml:space="preserve"> </w:t>
      </w:r>
      <w:r>
        <w:t xml:space="preserve">y</w:t>
      </w:r>
      <w:r>
        <w:t xml:space="preserve"> </w:t>
      </w:r>
      <w:r>
        <w:rPr>
          <w:rStyle w:val="VerbatimChar"/>
        </w:rPr>
        <w:t xml:space="preserve">num_features = 10</w:t>
      </w:r>
      <w:r>
        <w:t xml:space="preserve"> </w:t>
      </w:r>
      <w:r>
        <w:t xml:space="preserve">constantes. La condición de referencia (</w:t>
      </w:r>
      <w:r>
        <w:rPr>
          <w:rStyle w:val="VerbatimChar"/>
        </w:rPr>
        <w:t xml:space="preserve">kernel_width = 3.0</w:t>
      </w:r>
      <w:r>
        <w:t xml:space="preserve">) corresponde a la configuración EXP2. Se reportan instancias válidas (al menos un peso no nulo), fidelidad y estabilidad media, y coste unitario (RF,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0" w:lastRow="0" w:firstColumn="0" w:lastColumn="0" w:noHBand="0" w:noVBand="0" w:val="0000"/>
      </w:tblPr>
      <w:tblGrid>
        <w:gridCol w:w="7920"/>
      </w:tblGrid>
      <w:tr>
        <w:tc>
          <w:tcPr/>
          <w:bookmarkStart w:id="331" w:name="tbl-appendix-lime-kw-sensitivity"/>
          <w:p>
            <w:pPr>
              <w:jc w:val="both"/>
              <w:spacing w:line="360" w:lineRule="auto"/>
            </w:pPr>
            <w:pPr>
              <w:jc w:val="left"/>
              <w:spacing w:before="200"/>
              <w:pStyle w:val="ImageCaption"/>
            </w:pPr>
            <w:r>
              <w:t xml:space="preserve">Table 7.11: Sensibilidad de LIME a</w:t>
            </w:r>
            <w:r>
              <w:t xml:space="preserve"> </w:t>
            </w:r>
            <w:r>
              <w:rPr>
                <w:rStyle w:val="VerbatimChar"/>
              </w:rPr>
              <w:t xml:space="preserve">kernel_width</w:t>
            </w:r>
            <w:r>
              <w:t xml:space="preserve"> </w:t>
            </w:r>
            <w:r>
              <w:t xml:space="preserve">(RF, semilla 42,</w:t>
            </w:r>
            <w:r>
              <w:t xml:space="preserve"> </w:t>
            </w:r>
            <ns1:oMath>
              <ns1:r>
                <ns1:t>N</ns1:t>
              </ns1:r>
              <ns1:r>
                <ns1:rPr>
                  <ns1:sty ns1:val="p"/>
                </ns1:rPr>
                <ns1:t>=</ns1:t>
              </ns1:r>
              <ns1:r>
                <ns1:t>100</ns1:t>
              </ns1:r>
            </ns1: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both"/>
                    <w:jc w:val="center"/>
                    <w:spacing w:line="360" w:lineRule="auto"/>
                  </w:pPr>
                  <w:r>
                    <w:rPr>
                      <w:rStyle w:val="VerbatimChar"/>
                    </w:rPr>
                    <w:t xml:space="preserve">kernel_width</w:t>
                  </w:r>
                </w:p>
              </w:tc>
              <w:tc>
                <w:tcPr/>
                <w:p>
                  <w:pPr>
                    <w:pStyle w:val="Compact"/>
                    <w:jc w:val="both"/>
                    <w:jc w:val="center"/>
                    <w:spacing w:line="360" w:lineRule="auto"/>
                  </w:pPr>
                  <w:r>
                    <w:t xml:space="preserve">Instancias válidas</w:t>
                  </w:r>
                </w:p>
              </w:tc>
              <w:tc>
                <w:tcPr/>
                <w:p>
                  <w:pPr>
                    <w:pStyle w:val="Compact"/>
                    <w:jc w:val="both"/>
                    <w:jc w:val="center"/>
                    <w:spacing w:line="360" w:lineRule="auto"/>
                  </w:pPr>
                  <w:r>
                    <w:t xml:space="preserve">Fidelidad (media)</w:t>
                  </w:r>
                </w:p>
              </w:tc>
              <w:tc>
                <w:tcPr/>
                <w:p>
                  <w:pPr>
                    <w:pStyle w:val="Compact"/>
                    <w:jc w:val="both"/>
                    <w:jc w:val="center"/>
                    <w:spacing w:line="360" w:lineRule="auto"/>
                  </w:pPr>
                  <w:r>
                    <w:t xml:space="preserve">Estabilidad (media)</w:t>
                  </w:r>
                </w:p>
              </w:tc>
              <w:tc>
                <w:tcPr/>
                <w:p>
                  <w:pPr>
                    <w:pStyle w:val="Compact"/>
                    <w:jc w:val="both"/>
                    <w:jc w:val="center"/>
                    <w:spacing w:line="360" w:lineRule="auto"/>
                  </w:pPr>
                  <w:r>
                    <w:t xml:space="preserve">Coste (ms)</w:t>
                  </w:r>
                </w:p>
              </w:tc>
              <w:tc>
                <w:tcPr/>
                <w:p>
                  <w:pPr>
                    <w:pStyle w:val="Compact"/>
                    <w:jc w:val="both"/>
                    <w:jc w:val="center"/>
                    <w:spacing w:line="360" w:lineRule="auto"/>
                  </w:pPr>
                  <w:r>
                    <w:t xml:space="preserve">Parsimonia</w:t>
                  </w:r>
                </w:p>
              </w:tc>
            </w:tr>
            <w:tr>
              <w:tc>
                <w:tcPr/>
                <w:p>
                  <w:pPr>
                    <w:pStyle w:val="Compact"/>
                    <w:jc w:val="both"/>
                    <w:jc w:val="center"/>
                    <w:spacing w:line="360" w:lineRule="auto"/>
                  </w:pPr>
                  <w:r>
                    <w:t xml:space="preserve">0.25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0.75</w:t>
                  </w:r>
                </w:p>
              </w:tc>
              <w:tc>
                <w:tcPr/>
                <w:p>
                  <w:pPr>
                    <w:pStyle w:val="Compact"/>
                    <w:jc w:val="both"/>
                    <w:jc w:val="center"/>
                    <w:spacing w:line="360" w:lineRule="auto"/>
                  </w:pPr>
                  <w:r>
                    <w:t xml:space="preserve">0 / 100 (degenerado)</w:t>
                  </w:r>
                </w:p>
              </w:tc>
              <w:tc>
                <w:tcPr/>
                <w:p>
                  <w:pPr>
                    <w:pStyle w:val="Compact"/>
                    <w:jc w:val="both"/>
                    <w:jc w:val="center"/>
                    <w:spacing w:line="360" w:lineRule="auto"/>
                  </w:pPr>
                  <w:r>
                    <w:t xml:space="preserve">—</w:t>
                  </w:r>
                </w:p>
              </w:tc>
              <w:tc>
                <w:tcPr/>
                <w:p>
                  <w:pPr>
                    <w:pStyle w:val="Compact"/>
                    <w:jc w:val="both"/>
                    <w:jc w:val="center"/>
                    <w:spacing w:line="360" w:lineRule="auto"/>
                  </w:pPr>
                  <w:r>
                    <w:t xml:space="preserve">—</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0.000</w:t>
                  </w:r>
                </w:p>
              </w:tc>
            </w:tr>
            <w:tr>
              <w:tc>
                <w:tcPr/>
                <w:p>
                  <w:pPr>
                    <w:pStyle w:val="Compact"/>
                    <w:jc w:val="both"/>
                    <w:jc w:val="center"/>
                    <w:spacing w:line="360" w:lineRule="auto"/>
                  </w:pPr>
                  <w:r>
                    <w:t xml:space="preserve">3.0 (referencia)</w:t>
                  </w:r>
                </w:p>
              </w:tc>
              <w:tc>
                <w:tcPr/>
                <w:p>
                  <w:pPr>
                    <w:pStyle w:val="Compact"/>
                    <w:jc w:val="both"/>
                    <w:jc w:val="center"/>
                    <w:spacing w:line="360" w:lineRule="auto"/>
                  </w:pPr>
                  <w:r>
                    <w:t xml:space="preserve">96 / 100</w:t>
                  </w:r>
                </w:p>
              </w:tc>
              <w:tc>
                <w:tcPr/>
                <w:p>
                  <w:pPr>
                    <w:pStyle w:val="Compact"/>
                    <w:jc w:val="both"/>
                    <w:jc w:val="center"/>
                    <w:spacing w:line="360" w:lineRule="auto"/>
                  </w:pPr>
                  <w:r>
                    <w:t xml:space="preserve">0.518</w:t>
                  </w:r>
                </w:p>
              </w:tc>
              <w:tc>
                <w:tcPr/>
                <w:p>
                  <w:pPr>
                    <w:pStyle w:val="Compact"/>
                    <w:jc w:val="both"/>
                    <w:jc w:val="center"/>
                    <w:spacing w:line="360" w:lineRule="auto"/>
                  </w:pPr>
                  <w:r>
                    <w:t xml:space="preserve">0.000</w:t>
                  </w:r>
                </w:p>
              </w:tc>
              <w:tc>
                <w:tcPr/>
                <w:p>
                  <w:pPr>
                    <w:pStyle w:val="Compact"/>
                    <w:jc w:val="both"/>
                    <w:jc w:val="center"/>
                    <w:spacing w:line="360" w:lineRule="auto"/>
                  </w:pPr>
                  <w:r>
                    <w:t xml:space="preserve">30</w:t>
                  </w:r>
                </w:p>
              </w:tc>
              <w:tc>
                <w:tcPr/>
                <w:p>
                  <w:pPr>
                    <w:pStyle w:val="Compact"/>
                    <w:jc w:val="both"/>
                    <w:jc w:val="center"/>
                    <w:spacing w:line="360" w:lineRule="auto"/>
                  </w:pPr>
                  <w:r>
                    <w:t xml:space="preserve">0.087</w:t>
                  </w:r>
                </w:p>
              </w:tc>
            </w:tr>
            <w:tr>
              <w:tc>
                <w:tcPr/>
                <w:p>
                  <w:pPr>
                    <w:pStyle w:val="Compact"/>
                    <w:jc w:val="both"/>
                    <w:jc w:val="center"/>
                    <w:spacing w:line="360" w:lineRule="auto"/>
                  </w:pPr>
                  <w:r>
                    <w:t xml:space="preserve">10.0</w:t>
                  </w:r>
                </w:p>
              </w:tc>
              <w:tc>
                <w:tcPr/>
                <w:p>
                  <w:pPr>
                    <w:pStyle w:val="Compact"/>
                    <w:jc w:val="both"/>
                    <w:jc w:val="center"/>
                    <w:spacing w:line="360" w:lineRule="auto"/>
                  </w:pPr>
                  <w:r>
                    <w:t xml:space="preserve">100 / 100</w:t>
                  </w:r>
                </w:p>
              </w:tc>
              <w:tc>
                <w:tcPr/>
                <w:p>
                  <w:pPr>
                    <w:pStyle w:val="Compact"/>
                    <w:jc w:val="both"/>
                    <w:jc w:val="center"/>
                    <w:spacing w:line="360" w:lineRule="auto"/>
                  </w:pPr>
                  <w:r>
                    <w:t xml:space="preserve">0.441</w:t>
                  </w:r>
                </w:p>
              </w:tc>
              <w:tc>
                <w:tcPr/>
                <w:p>
                  <w:pPr>
                    <w:pStyle w:val="Compact"/>
                    <w:jc w:val="both"/>
                    <w:jc w:val="center"/>
                    <w:spacing w:line="360" w:lineRule="auto"/>
                  </w:pPr>
                  <w:r>
                    <w:t xml:space="preserve">0.664</w:t>
                  </w:r>
                </w:p>
              </w:tc>
              <w:tc>
                <w:tcPr/>
                <w:p>
                  <w:pPr>
                    <w:pStyle w:val="Compact"/>
                    <w:jc w:val="both"/>
                    <w:jc w:val="center"/>
                    <w:spacing w:line="360" w:lineRule="auto"/>
                  </w:pPr>
                  <w:r>
                    <w:t xml:space="preserve">32</w:t>
                  </w:r>
                </w:p>
              </w:tc>
              <w:tc>
                <w:tcPr/>
                <w:p>
                  <w:pPr>
                    <w:pStyle w:val="Compact"/>
                    <w:jc w:val="both"/>
                    <w:jc w:val="center"/>
                    <w:spacing w:line="360" w:lineRule="auto"/>
                  </w:pPr>
                  <w:r>
                    <w:t xml:space="preserve">0.093</w:t>
                  </w:r>
                </w:p>
              </w:tc>
            </w:tr>
          </w:tbl>
          <w:bookmarkEnd w:id="331"/>
          <w:p>
            <w:pPr>
              <w:spacing w:line="360" w:lineRule="auto"/>
              <w:jc w:val="both"/>
            </w:pPr>
          </w:p>
        </w:tc>
      </w:tr>
    </w:tbl>
    <w:p>
      <w:pPr>
        <w:pStyle w:val="Textoindependiente"/>
        <w:spacing w:line="360" w:lineRule="auto"/>
        <w:jc w:val="both"/>
      </w:pPr>
      <w:r>
        <w:t xml:space="preserve">Los valores 0.25 y 0.75 son completamente degenerados en el espacio de características preprocesado de 103 dimensiones: el radio del vecindario es inferior a las distancias típicas entre instancias una vez aplicada la codificación one-hot y la estandarización, y LIME no puede ajustar ningún modelo sustituto local con señal apreciable. La referencia (</w:t>
      </w:r>
      <w:r>
        <w:rPr>
          <w:rStyle w:val="VerbatimChar"/>
        </w:rPr>
        <w:t xml:space="preserve">kernel_width = 3.0</w:t>
      </w:r>
      <w:r>
        <w:t xml:space="preserve">) produce pesos no nulos en el 96% de las instancias y una fidelidad de 0.518, pero la estabilidad bajo perturbaciones de</w:t>
      </w:r>
      <w:r>
        <w:t xml:space="preserve"> </w:t>
      </w:r>
      <ns1:oMath>
        <ns1:r>
          <ns1:t>σ</ns1:t>
        </ns1:r>
        <ns1:r>
          <ns1:rPr>
            <ns1:sty ns1:val="p"/>
          </ns1:rPr>
          <ns1:t>=</ns1:t>
        </ns1:r>
        <ns1:r>
          <ns1:t>0.1</ns1:t>
        </ns1:r>
      </ns1:oMath>
      <w:r>
        <w:t xml:space="preserve"> </w:t>
      </w:r>
      <w:r>
        <w:t xml:space="preserve">es prácticamente nula (consistente con los hallazgos de EXP2). El valor</w:t>
      </w:r>
      <w:r>
        <w:t xml:space="preserve"> </w:t>
      </w:r>
      <w:r>
        <w:rPr>
          <w:rStyle w:val="VerbatimChar"/>
        </w:rPr>
        <w:t xml:space="preserve">kernel_width = 10.0</w:t>
      </w:r>
      <w:r>
        <w:t xml:space="preserve"> </w:t>
      </w:r>
      <w:r>
        <w:t xml:space="preserve">produce explicaciones válidas en el 100% de las instancias y una estabilidad de 0.664, pero a costa de menor fidelidad (0.441) porque el vecindario más amplio promedia regiones de decisión heterogéneas. Estos resultados confirman que</w:t>
      </w:r>
      <w:r>
        <w:t xml:space="preserve"> </w:t>
      </w:r>
      <w:r>
        <w:rPr>
          <w:rStyle w:val="VerbatimChar"/>
        </w:rPr>
        <w:t xml:space="preserve">kernel_width = 3.0</w:t>
      </w:r>
      <w:r>
        <w:t xml:space="preserve"> </w:t>
      </w:r>
      <w:r>
        <w:t xml:space="preserve">es el valor mínimo viable en este espacio de características y que la inestabilidad de LIME no es un artefacto de este parámetro sino una propiedad estructural del método en datos tabulares de alta dimensión.</w:t>
      </w:r>
    </w:p>
    <w:p>
      <w:pPr>
        <w:pStyle w:val="Textoindependiente"/>
        <w:spacing w:line="360" w:lineRule="auto"/>
        <w:jc w:val="both"/>
      </w:pPr>
      <w:r>
        <w:t xml:space="preserve">En conjunto, estos análisis muestran que los resultados principales (SHAP</w:t>
      </w:r>
      <w:r>
        <w:t xml:space="preserve"> </w:t>
      </w:r>
      <w:r>
        <w:t xml:space="preserve">superior a LIME en fidelidad y estabilidad; inestabilidad de LIME estructural)</w:t>
      </w:r>
      <w:r>
        <w:t xml:space="preserve"> </w:t>
      </w:r>
      <w:r>
        <w:t xml:space="preserve">son robustos a variaciones razonables de los hiperparámetros dentro de los</w:t>
      </w:r>
      <w:r>
        <w:t xml:space="preserve"> </w:t>
      </w:r>
      <w:r>
        <w:t xml:space="preserve">rangos explorados. La excepción es la cobertura de Anchors, que cambia</w:t>
      </w:r>
      <w:r>
        <w:t xml:space="preserve"> </w:t>
      </w:r>
      <w:r>
        <w:t xml:space="preserve">significativamente con</w:t>
      </w:r>
      <w:r>
        <w:t xml:space="preserve"> </w:t>
      </w:r>
      <ns1:oMath>
        <ns1:r>
          <ns1:t>τ</ns1:t>
        </ns1:r>
      </ns1:oMath>
      <w:r>
        <w:t xml:space="preserve"> </w:t>
      </w:r>
      <w:r>
        <w:t xml:space="preserve">y debe tratarse como un parámetro de diseño</w:t>
      </w:r>
      <w:r>
        <w:t xml:space="preserve"> </w:t>
      </w:r>
      <w:r>
        <w:t xml:space="preserve">explícito, no como un valor predeterminado.</w:t>
      </w:r>
    </w:p>
    <w:bookmarkEnd w:id="332"/>
    <w:bookmarkEnd w:id="333"/>
    <w:bookmarkStart w:id="341" w:name="X5f7bacac88c7eb1c452db69614af410a4173f84"/>
    <w:p>
      <w:pPr>
        <w:pStyle w:val="Ttulo2"/>
        <w:spacing w:line="360" w:lineRule="auto"/>
        <w:jc w:val="both"/>
      </w:pPr>
      <w:r>
        <w:t xml:space="preserve">Apéndice D: Salidas estadísticas y trazabilidad</w:t>
      </w:r>
    </w:p>
    <w:p>
      <w:pPr>
        <w:pStyle w:val="FirstParagraph"/>
        <w:spacing w:line="360" w:lineRule="auto"/>
        <w:jc w:val="both"/>
      </w:pPr>
      <w:r>
        <w:t xml:space="preserve">Las tablas inferenciales usadas en el Capítulo 4 se generan desde</w:t>
      </w:r>
      <w:r>
        <w:t xml:space="preserve"> </w:t>
      </w:r>
      <w:r>
        <w:rPr>
          <w:rStyle w:val="VerbatimChar"/>
        </w:rPr>
        <w:t xml:space="preserve">scripts/run_exp2_statistical_analysis.py</w:t>
      </w:r>
      <w:r>
        <w:t xml:space="preserve"> </w:t>
      </w:r>
      <w:r>
        <w:t xml:space="preserve">y se exportan a</w:t>
      </w:r>
      <w:r>
        <w:t xml:space="preserve"> </w:t>
      </w:r>
      <w:r>
        <w:rPr>
          <w:rStyle w:val="VerbatimChar"/>
        </w:rPr>
        <w:t xml:space="preserve">outputs/analysis/paper_a_exp2_stats/</w:t>
      </w:r>
      <w:r>
        <w:t xml:space="preserve">.</w:t>
      </w:r>
    </w:p>
    <w:tbl>
      <w:tblPr>
        <w:tblStyle w:val="Table"/>
        <w:tblW w:type="pct" w:w="5000"/>
        <w:tblLayout w:type="fixed"/>
        <w:tblLook w:firstRow="0" w:lastRow="0" w:firstColumn="0" w:lastColumn="0" w:noHBand="0" w:noVBand="0" w:val="0000"/>
      </w:tblPr>
      <w:tblGrid>
        <w:gridCol w:w="7920"/>
      </w:tblGrid>
      <w:tr>
        <w:tc>
          <w:tcPr/>
          <w:bookmarkStart w:id="334" w:name="tbl-appendix-stat-outputs"/>
          <w:p>
            <w:pPr>
              <w:jc w:val="both"/>
              <w:spacing w:line="360" w:lineRule="auto"/>
            </w:pPr>
            <w:pPr>
              <w:jc w:val="left"/>
              <w:spacing w:before="200"/>
              <w:pStyle w:val="ImageCaption"/>
            </w:pPr>
            <w:r>
              <w:t xml:space="preserve">Table 7.12: Salidas estadísticas principales y uso en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tesis</w:t>
                  </w:r>
                </w:p>
              </w:tc>
            </w:tr>
            <w:tr>
              <w:tc>
                <w:tcPr/>
                <w:p>
                  <w:pPr>
                    <w:pStyle w:val="Compact"/>
                    <w:jc w:val="both"/>
                    <w:jc w:val="center"/>
                    <w:spacing w:line="360" w:lineRule="auto"/>
                  </w:pPr>
                  <w:r>
                    <w:rPr>
                      <w:rStyle w:val="VerbatimChar"/>
                    </w:rPr>
                    <w:t xml:space="preserve">friedman_results.csv</w:t>
                  </w:r>
                </w:p>
              </w:tc>
              <w:tc>
                <w:tcPr/>
                <w:p>
                  <w:pPr>
                    <w:pStyle w:val="Compact"/>
                    <w:jc w:val="both"/>
                    <w:jc w:val="center"/>
                    <w:spacing w:line="360" w:lineRule="auto"/>
                  </w:pPr>
                  <w:r>
                    <w:t xml:space="preserve">Estadísticos Friedman,</w:t>
                  </w:r>
                  <w:r>
                    <w:t xml:space="preserve"> </w:t>
                  </w:r>
                  <ns1:oMath>
                    <ns1:r>
                      <ns1:t>p</ns1:t>
                    </ns1:r>
                  </ns1:oMath>
                  <w:r>
                    <w:t xml:space="preserve"> </w:t>
                  </w:r>
                  <w:r>
                    <w:t xml:space="preserve">crudos,</w:t>
                  </w:r>
                  <w:r>
                    <w:t xml:space="preserve"> </w:t>
                  </w:r>
                  <ns1:oMath>
                    <ns1:sSub>
                      <ns1:e>
                        <ns1:r>
                          <ns1:t>p</ns1:t>
                        </ns1:r>
                      </ns1:e>
                      <ns1:sub>
                        <ns1:r>
                          <ns1:rPr>
                            <ns1:sty ns1:val="p"/>
                          </ns1:rPr>
                          <ns1:t>H</ns1:t>
                        </ns1:r>
                        <ns1:r>
                          <ns1:rPr>
                            <ns1:sty ns1:val="p"/>
                          </ns1:rPr>
                          <ns1:t>o</ns1:t>
                        </ns1:r>
                        <ns1:r>
                          <ns1:rPr>
                            <ns1:sty ns1:val="p"/>
                          </ns1:rPr>
                          <ns1:t>l</ns1:t>
                        </ns1:r>
                        <ns1:r>
                          <ns1:rPr>
                            <ns1:sty ns1:val="p"/>
                          </ns1:rPr>
                          <ns1:t>m</ns1:t>
                        </ns1:r>
                      </ns1:sub>
                    </ns1:sSub>
                  </ns1:oMath>
                  <w:r>
                    <w:t xml:space="preserve">, Kendall</w:t>
                  </w:r>
                  <w:r>
                    <w:t xml:space="preserve"> </w:t>
                  </w:r>
                  <ns1:oMath>
                    <ns1:r>
                      <ns1:t>W</ns1:t>
                    </ns1:r>
                  </ns1:oMath>
                </w:p>
              </w:tc>
              <w:tc>
                <w:tcPr/>
                <w:p>
                  <w:pPr>
                    <w:pStyle w:val="Compact"/>
                    <w:jc w:val="both"/>
                    <w:jc w:val="center"/>
                    <w:spacing w:line="360" w:lineRule="auto"/>
                  </w:pPr>
                  <w:r>
                    <w:t xml:space="preserve">H1 y H2</w:t>
                  </w:r>
                </w:p>
              </w:tc>
            </w:tr>
            <w:tr>
              <w:tc>
                <w:tcPr/>
                <w:p>
                  <w:pPr>
                    <w:pStyle w:val="Compact"/>
                    <w:jc w:val="both"/>
                    <w:jc w:val="center"/>
                    <w:spacing w:line="360" w:lineRule="auto"/>
                  </w:pPr>
                  <w:r>
                    <w:rPr>
                      <w:rStyle w:val="VerbatimChar"/>
                    </w:rPr>
                    <w:t xml:space="preserve">nemenyi_fidelity.csv</w:t>
                  </w:r>
                </w:p>
              </w:tc>
              <w:tc>
                <w:tcPr/>
                <w:p>
                  <w:pPr>
                    <w:pStyle w:val="Compact"/>
                    <w:jc w:val="both"/>
                    <w:jc w:val="center"/>
                    <w:spacing w:line="360" w:lineRule="auto"/>
                  </w:pPr>
                  <w:r>
                    <w:t xml:space="preserve">Comparaciones post-hoc para fidelidad</w:t>
                  </w:r>
                </w:p>
              </w:tc>
              <w:tc>
                <w:tcPr/>
                <w:p>
                  <w:pPr>
                    <w:pStyle w:val="Compact"/>
                    <w:jc w:val="both"/>
                    <w:jc w:val="center"/>
                    <w:spacing w:line="360" w:lineRule="auto"/>
                  </w:pPr>
                  <w:r>
                    <w:t xml:space="preserve">Localización de H1</w:t>
                  </w:r>
                </w:p>
              </w:tc>
            </w:tr>
            <w:tr>
              <w:tc>
                <w:tcPr/>
                <w:p>
                  <w:pPr>
                    <w:pStyle w:val="Compact"/>
                    <w:jc w:val="both"/>
                    <w:jc w:val="center"/>
                    <w:spacing w:line="360" w:lineRule="auto"/>
                  </w:pPr>
                  <w:r>
                    <w:rPr>
                      <w:rStyle w:val="VerbatimChar"/>
                    </w:rPr>
                    <w:t xml:space="preserve">nemenyi_stability.csv</w:t>
                  </w:r>
                </w:p>
              </w:tc>
              <w:tc>
                <w:tcPr/>
                <w:p>
                  <w:pPr>
                    <w:pStyle w:val="Compact"/>
                    <w:jc w:val="both"/>
                    <w:jc w:val="center"/>
                    <w:spacing w:line="360" w:lineRule="auto"/>
                  </w:pPr>
                  <w:r>
                    <w:t xml:space="preserve">Comparaciones post-hoc para estabilidad</w:t>
                  </w:r>
                </w:p>
              </w:tc>
              <w:tc>
                <w:tcPr/>
                <w:p>
                  <w:pPr>
                    <w:pStyle w:val="Compact"/>
                    <w:jc w:val="both"/>
                    <w:jc w:val="center"/>
                    <w:spacing w:line="360" w:lineRule="auto"/>
                  </w:pPr>
                  <w:r>
                    <w:t xml:space="preserve">Localización de H2</w:t>
                  </w:r>
                </w:p>
              </w:tc>
            </w:tr>
            <w:tr>
              <w:tc>
                <w:tcPr/>
                <w:p>
                  <w:pPr>
                    <w:pStyle w:val="Compact"/>
                    <w:jc w:val="both"/>
                    <w:jc w:val="center"/>
                    <w:spacing w:line="360" w:lineRule="auto"/>
                  </w:pPr>
                  <w:r>
                    <w:rPr>
                      <w:rStyle w:val="VerbatimChar"/>
                    </w:rPr>
                    <w:t xml:space="preserve">wilcoxon_shap_lime_all_models.csv</w:t>
                  </w:r>
                </w:p>
              </w:tc>
              <w:tc>
                <w:tcPr/>
                <w:p>
                  <w:pPr>
                    <w:pStyle w:val="Compact"/>
                    <w:jc w:val="both"/>
                    <w:jc w:val="center"/>
                    <w:spacing w:line="360" w:lineRule="auto"/>
                  </w:pPr>
                  <w:r>
                    <w:t xml:space="preserve">Wilcoxon pareado SHAP-LIME sobre 75 celdas</w:t>
                  </w:r>
                </w:p>
              </w:tc>
              <w:tc>
                <w:tcPr/>
                <w:p>
                  <w:pPr>
                    <w:pStyle w:val="Compact"/>
                    <w:jc w:val="both"/>
                    <w:jc w:val="center"/>
                    <w:spacing w:line="360" w:lineRule="auto"/>
                  </w:pPr>
                  <w:r>
                    <w:t xml:space="preserve">H3</w:t>
                  </w:r>
                </w:p>
              </w:tc>
            </w:tr>
            <w:tr>
              <w:tc>
                <w:tcPr/>
                <w:p>
                  <w:pPr>
                    <w:pStyle w:val="Compact"/>
                    <w:jc w:val="both"/>
                    <w:jc w:val="center"/>
                    <w:spacing w:line="360" w:lineRule="auto"/>
                  </w:pPr>
                  <w:r>
                    <w:rPr>
                      <w:rStyle w:val="VerbatimChar"/>
                    </w:rPr>
                    <w:t xml:space="preserve">paired_cells_shap_lime_all_models.csv</w:t>
                  </w:r>
                </w:p>
              </w:tc>
              <w:tc>
                <w:tcPr/>
                <w:p>
                  <w:pPr>
                    <w:pStyle w:val="Compact"/>
                    <w:jc w:val="both"/>
                    <w:jc w:val="center"/>
                    <w:spacing w:line="360" w:lineRule="auto"/>
                  </w:pPr>
                  <w:r>
                    <w:t xml:space="preserve">Celdas pareadas fuente de H3</w:t>
                  </w:r>
                </w:p>
              </w:tc>
              <w:tc>
                <w:tcPr/>
                <w:p>
                  <w:pPr>
                    <w:pStyle w:val="Compact"/>
                    <w:jc w:val="both"/>
                    <w:jc w:val="center"/>
                    <w:spacing w:line="360" w:lineRule="auto"/>
                  </w:pPr>
                  <w:r>
                    <w:t xml:space="preserve">Trazabilidad de diferencias pareadas</w:t>
                  </w:r>
                </w:p>
              </w:tc>
            </w:tr>
            <w:tr>
              <w:tc>
                <w:tcPr/>
                <w:p>
                  <w:pPr>
                    <w:pStyle w:val="Compact"/>
                    <w:jc w:val="both"/>
                    <w:jc w:val="center"/>
                    <w:spacing w:line="360" w:lineRule="auto"/>
                  </w:pPr>
                  <w:r>
                    <w:rPr>
                      <w:rStyle w:val="VerbatimChar"/>
                    </w:rPr>
                    <w:t xml:space="preserve">exp2_run_inventory.csv</w:t>
                  </w:r>
                </w:p>
              </w:tc>
              <w:tc>
                <w:tcPr/>
                <w:p>
                  <w:pPr>
                    <w:pStyle w:val="Compact"/>
                    <w:jc w:val="both"/>
                    <w:jc w:val="center"/>
                    <w:spacing w:line="360" w:lineRule="auto"/>
                  </w:pPr>
                  <w:r>
                    <w:t xml:space="preserve">Inventario de celdas y cobertura</w:t>
                  </w:r>
                </w:p>
              </w:tc>
              <w:tc>
                <w:tcPr/>
                <w:p>
                  <w:pPr>
                    <w:pStyle w:val="Compact"/>
                    <w:jc w:val="both"/>
                    <w:jc w:val="center"/>
                    <w:spacing w:line="360" w:lineRule="auto"/>
                  </w:pPr>
                  <w:r>
                    <w:t xml:space="preserve">Cobertura FOM-7</w:t>
                  </w:r>
                </w:p>
              </w:tc>
            </w:tr>
            <w:tr>
              <w:tc>
                <w:tcPr/>
                <w:p>
                  <w:pPr>
                    <w:pStyle w:val="Compact"/>
                    <w:jc w:val="both"/>
                    <w:jc w:val="center"/>
                    <w:spacing w:line="360" w:lineRule="auto"/>
                  </w:pPr>
                  <w:r>
                    <w:rPr>
                      <w:rStyle w:val="VerbatimChar"/>
                    </w:rPr>
                    <w:t xml:space="preserve">method_uncertainty_over_blocks.csv</w:t>
                  </w:r>
                </w:p>
              </w:tc>
              <w:tc>
                <w:tcPr/>
                <w:p>
                  <w:pPr>
                    <w:pStyle w:val="Compact"/>
                    <w:jc w:val="both"/>
                    <w:jc w:val="center"/>
                    <w:spacing w:line="360" w:lineRule="auto"/>
                  </w:pPr>
                  <w:r>
                    <w:t xml:space="preserve">Incertidumbre por método y bloque</w:t>
                  </w:r>
                </w:p>
              </w:tc>
              <w:tc>
                <w:tcPr/>
                <w:p>
                  <w:pPr>
                    <w:pStyle w:val="Compact"/>
                    <w:jc w:val="both"/>
                    <w:jc w:val="center"/>
                    <w:spacing w:line="360" w:lineRule="auto"/>
                  </w:pPr>
                  <w:r>
                    <w:t xml:space="preserve">Limitaciones por cobertura</w:t>
                  </w:r>
                </w:p>
              </w:tc>
            </w:tr>
          </w:tbl>
          <w:bookmarkEnd w:id="334"/>
          <w:p>
            <w:pPr>
              <w:spacing w:line="360" w:lineRule="auto"/>
              <w:jc w:val="both"/>
            </w:pPr>
          </w:p>
        </w:tc>
      </w:tr>
    </w:tbl>
    <w:p>
      <w:pPr>
        <w:pStyle w:val="Textoindependiente"/>
        <w:spacing w:line="360" w:lineRule="auto"/>
        <w:jc w:val="both"/>
      </w:pPr>
      <w:r>
        <w:t xml:space="preserve">Las secciones siguientes reproducen las tablas completas de los análisis</w:t>
      </w:r>
      <w:r>
        <w:t xml:space="preserve"> </w:t>
      </w:r>
      <w:r>
        <w:t xml:space="preserve">inferenciales para garantizar la auto-suficiencia documental de la tesis.</w:t>
      </w:r>
    </w:p>
    <w:bookmarkStart w:id="336" w:name="Xe3909ed8b3f47a476ee07b1fbdd59a863fdc536"/>
    <w:p>
      <w:pPr>
        <w:pStyle w:val="Ttulo3"/>
        <w:spacing w:line="360" w:lineRule="auto"/>
        <w:jc w:val="both"/>
      </w:pPr>
      <w:r>
        <w:t xml:space="preserve">D.1 Resultados completos de la prueba de Friedman</w:t>
      </w:r>
    </w:p>
    <w:tbl>
      <w:tblPr>
        <w:tblStyle w:val="Table"/>
        <w:tblW w:type="pct" w:w="5000"/>
        <w:tblLayout w:type="fixed"/>
        <w:tblLook w:firstRow="0" w:lastRow="0" w:firstColumn="0" w:lastColumn="0" w:noHBand="0" w:noVBand="0" w:val="0000"/>
      </w:tblPr>
      <w:tblGrid>
        <w:gridCol w:w="7920"/>
      </w:tblGrid>
      <w:tr>
        <w:tc>
          <w:tcPr/>
          <w:bookmarkStart w:id="335" w:name="tbl-appendix-friedman-full"/>
          <w:p>
            <w:pPr>
              <w:jc w:val="both"/>
              <w:spacing w:line="360" w:lineRule="auto"/>
            </w:pPr>
            <w:pPr>
              <w:jc w:val="left"/>
              <w:spacing w:before="200"/>
              <w:pStyle w:val="ImageCaption"/>
            </w:pPr>
            <w:r>
              <w:t xml:space="preserve">Table 7.13: Resultados completos de la prueba de Friedman por métrica (</w:t>
            </w:r>
            <ns1:oMath>
              <ns1:r>
                <ns1:t>α</ns1:t>
              </ns1:r>
              <ns1:r>
                <ns1:rPr>
                  <ns1:sty ns1:val="p"/>
                </ns1:rPr>
                <ns1:t>=</ns1:t>
              </ns1:r>
              <ns1:r>
                <ns1:t>0.05</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3</ns1:t>
              </ns1:r>
              <ns1:r>
                <ns1:rPr>
                  <ns1:sty ns1:val="p"/>
                </ns1:rPr>
                <ns1:t>)</ns1:t>
              </ns1:r>
              <ns1:r>
                <ns1:rPr>
                  <ns1:sty ns1:val="p"/>
                </ns1:rPr>
                <ns1:t>=</ns1:t>
              </ns1:r>
              <ns1:r>
                <ns1:t>7.815</ns1:t>
              </ns1:r>
            </ns1:oMath>
            <w:r>
              <w:t xml:space="preserv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r>
                      <ns1:t>n</ns1:t>
                    </ns1:r>
                  </ns1:oMath>
                  <w:r>
                    <w:t xml:space="preserve"> </w:t>
                  </w:r>
                  <w:r>
                    <w:t xml:space="preserve">bloques</w:t>
                  </w:r>
                </w:p>
              </w:tc>
              <w:tc>
                <w:tcPr/>
                <w:p>
                  <w:pPr>
                    <w:pStyle w:val="Compact"/>
                    <w:jc w:val="both"/>
                    <w:jc w:val="center"/>
                    <w:spacing w:line="360" w:lineRule="auto"/>
                  </w:pPr>
                  <ns1:oMath>
                    <ns1:r>
                      <ns1:t>k</ns1:t>
                    </ns1:r>
                  </ns1:oMath>
                  <w:r>
                    <w:t xml:space="preserve"> </w:t>
                  </w:r>
                  <w:r>
                    <w:t xml:space="preserve">métodos</w:t>
                  </w:r>
                </w:p>
              </w:tc>
              <w:tc>
                <w:tcPr/>
                <w:p>
                  <w:pPr>
                    <w:pStyle w:val="Compact"/>
                    <w:jc w:val="both"/>
                    <w:jc w:val="center"/>
                    <w:spacing w:line="360" w:lineRule="auto"/>
                  </w:pPr>
                  <ns1:oMath>
                    <ns1:sSubSup>
                      <ns1:e>
                        <ns1:r>
                          <ns1:t>χ</ns1:t>
                        </ns1:r>
                      </ns1:e>
                      <ns1:sub>
                        <ns1:r>
                          <ns1:t>F</ns1:t>
                        </ns1:r>
                      </ns1:sub>
                      <ns1:sup>
                        <ns1:r>
                          <ns1:t>2</ns1:t>
                        </ns1:r>
                      </ns1:sup>
                    </ns1:sSubSup>
                  </ns1:oMath>
                </w:p>
              </w:tc>
              <w:tc>
                <w:tcPr/>
                <w:p>
                  <w:pPr>
                    <w:pStyle w:val="Compact"/>
                    <w:jc w:val="both"/>
                    <w:jc w:val="center"/>
                    <w:spacing w:line="360" w:lineRule="auto"/>
                  </w:pPr>
                  <ns1:oMath>
                    <ns1:r>
                      <ns1:t>g</ns1:t>
                    </ns1:r>
                    <ns1:r>
                      <ns1:t>l</ns1:t>
                    </ns1:r>
                  </ns1:oMath>
                </w:p>
              </w:tc>
              <w:tc>
                <w:tcPr/>
                <w:p>
                  <w:pPr>
                    <w:pStyle w:val="Compact"/>
                    <w:jc w:val="both"/>
                    <w:jc w:val="center"/>
                    <w:spacing w:line="360" w:lineRule="auto"/>
                  </w:pPr>
                  <ns1:oMath>
                    <ns1:r>
                      <ns1:t>p</ns1:t>
                    </ns1:r>
                  </ns1:oMath>
                  <w:r>
                    <w:t xml:space="preserve"> </w:t>
                  </w:r>
                  <w:r>
                    <w:t xml:space="preserve">(crudo)</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w:r>
                    <w:t xml:space="preserve">Kendall</w:t>
                  </w:r>
                  <w:r>
                    <w:t xml:space="preserve"> </w:t>
                  </w:r>
                  <ns1:oMath>
                    <ns1:r>
                      <ns1:t>W</ns1:t>
                    </ns1:r>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42.12</w:t>
                  </w:r>
                </w:p>
              </w:tc>
              <w:tc>
                <w:tcPr/>
                <w:p>
                  <w:pPr>
                    <w:pStyle w:val="Compact"/>
                    <w:jc w:val="both"/>
                    <w:jc w:val="center"/>
                    <w:spacing w:line="360" w:lineRule="auto"/>
                  </w:pPr>
                  <w:r>
                    <w:t xml:space="preserve">3</w:t>
                  </w:r>
                </w:p>
              </w:tc>
              <w:tc>
                <w:tcPr/>
                <w:p>
                  <w:pPr>
                    <w:pStyle w:val="Compact"/>
                    <w:jc w:val="both"/>
                    <w:jc w:val="center"/>
                    <w:spacing w:line="360" w:lineRule="auto"/>
                  </w:pPr>
                  <ns1:oMath>
                    <ns1:r>
                      <ns1:t>1.51</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3.02</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0.936</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1</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w:r>
                    <w:t xml:space="preserve">15</w:t>
                  </w:r>
                </w:p>
              </w:tc>
              <w:tc>
                <w:tcPr/>
                <w:p>
                  <w:pPr>
                    <w:pStyle w:val="Compact"/>
                    <w:jc w:val="both"/>
                    <w:jc w:val="center"/>
                    <w:spacing w:line="360" w:lineRule="auto"/>
                  </w:pPr>
                  <w:r>
                    <w:t xml:space="preserve">4</w:t>
                  </w:r>
                </w:p>
              </w:tc>
              <w:tc>
                <w:tcPr/>
                <w:p>
                  <w:pPr>
                    <w:pStyle w:val="Compact"/>
                    <w:jc w:val="both"/>
                    <w:jc w:val="center"/>
                    <w:spacing w:line="360" w:lineRule="auto"/>
                  </w:pPr>
                  <w:r>
                    <w:t xml:space="preserve">40.68</w:t>
                  </w:r>
                </w:p>
              </w:tc>
              <w:tc>
                <w:tcPr/>
                <w:p>
                  <w:pPr>
                    <w:pStyle w:val="Compact"/>
                    <w:jc w:val="both"/>
                    <w:jc w:val="center"/>
                    <w:spacing w:line="360" w:lineRule="auto"/>
                  </w:pPr>
                  <w:r>
                    <w:t xml:space="preserve">3</w:t>
                  </w:r>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ns1:oMath>
                    <ns1:r>
                      <ns1:t>2.29</ns1:t>
                    </ns1:r>
                    <ns1:r>
                      <ns1:rPr>
                        <ns1:sty ns1:val="p"/>
                      </ns1:rPr>
                      <ns1:t>×</ns1:t>
                    </ns1:r>
                    <ns1:sSup>
                      <ns1:e>
                        <ns1:r>
                          <ns1:t>10</ns1:t>
                        </ns1:r>
                      </ns1:e>
                      <ns1:sup>
                        <ns1:r>
                          <ns1:rPr>
                            <ns1:sty ns1:val="p"/>
                          </ns1:rPr>
                          <ns1:t>−</ns1:t>
                        </ns1:r>
                        <ns1:r>
                          <ns1:t>8</ns1:t>
                        </ns1:r>
                      </ns1:sup>
                    </ns1:sSup>
                  </ns1:oMath>
                </w:p>
              </w:tc>
              <w:tc>
                <w:tcPr/>
                <w:p>
                  <w:pPr>
                    <w:pStyle w:val="Compact"/>
                    <w:jc w:val="both"/>
                    <w:jc w:val="center"/>
                    <w:spacing w:line="360" w:lineRule="auto"/>
                  </w:pPr>
                  <w:r>
                    <w:t xml:space="preserve">0.904</w:t>
                  </w:r>
                </w:p>
              </w:tc>
              <w:tc>
                <w:tcPr/>
                <w:p>
                  <w:pPr>
                    <w:pStyle w:val="Compact"/>
                    <w:jc w:val="both"/>
                    <w:jc w:val="center"/>
                    <w:spacing w:line="360" w:lineRule="auto"/>
                  </w:pPr>
                  <w:r>
                    <w:t xml:space="preserve">Rechazar</w:t>
                  </w:r>
                  <w:r>
                    <w:t xml:space="preserve"> </w:t>
                  </w:r>
                  <ns1:oMath>
                    <ns1:sSub>
                      <ns1:e>
                        <ns1:r>
                          <ns1:t>H</ns1:t>
                        </ns1:r>
                      </ns1:e>
                      <ns1:sub>
                        <ns1:r>
                          <ns1:t>0</ns1:t>
                        </ns1:r>
                        <ns1:r>
                          <ns1:rPr>
                            <ns1:sty ns1:val="p"/>
                          </ns1:rPr>
                          <ns1:t>,</ns1:t>
                        </ns1:r>
                        <ns1:r>
                          <ns1:t>2</ns1:t>
                        </ns1:r>
                      </ns1:sub>
                    </ns1:sSub>
                  </ns1:oMath>
                </w:p>
              </w:tc>
            </w:tr>
          </w:tbl>
          <w:bookmarkEnd w:id="335"/>
          <w:p>
            <w:pPr>
              <w:spacing w:line="360" w:lineRule="auto"/>
              <w:jc w:val="both"/>
            </w:pPr>
          </w:p>
        </w:tc>
      </w:tr>
    </w:tbl>
    <w:p>
      <w:pPr>
        <w:pStyle w:val="Textoindependiente"/>
        <w:spacing w:line="360" w:lineRule="auto"/>
        <w:jc w:val="both"/>
      </w:pPr>
      <w:r>
        <w:t xml:space="preserve">Valor crítico para</w:t>
      </w:r>
      <w:r>
        <w:t xml:space="preserve"> </w:t>
      </w:r>
      <ns1:oMath>
        <ns1:r>
          <ns1:t>α</ns1:t>
        </ns1:r>
        <ns1:r>
          <ns1:rPr>
            <ns1:sty ns1:val="p"/>
          </ns1:rPr>
          <ns1:t>=</ns1:t>
        </ns1:r>
        <ns1:r>
          <ns1:t>0.05</ns1:t>
        </ns1:r>
      </ns1:oMath>
      <w:r>
        <w:t xml:space="preserve">,</w:t>
      </w:r>
      <w:r>
        <w:t xml:space="preserve"> </w:t>
      </w:r>
      <ns1:oMath>
        <ns1:r>
          <ns1:t>g</ns1:t>
        </ns1:r>
        <ns1:r>
          <ns1:t>l</ns1:t>
        </ns1:r>
        <ns1:r>
          <ns1:rPr>
            <ns1:sty ns1:val="p"/>
          </ns1:rPr>
          <ns1:t>=</ns1:t>
        </ns1:r>
        <ns1:r>
          <ns1:t>3</ns1:t>
        </ns1:r>
      </ns1:oMath>
      <w:r>
        <w:t xml:space="preserve">:</w:t>
      </w:r>
      <w:r>
        <w:t xml:space="preserve"> </w:t>
      </w:r>
      <ns1:oMath>
        <ns1:sSubSup>
          <ns1:e>
            <ns1:r>
              <ns1:t>χ</ns1:t>
            </ns1:r>
          </ns1:e>
          <ns1:sub>
            <ns1:r>
              <ns1:t>c</ns1:t>
            </ns1:r>
            <ns1:r>
              <ns1:t>r</ns1:t>
            </ns1:r>
            <ns1:r>
              <ns1:t>i</ns1:t>
            </ns1:r>
            <ns1:r>
              <ns1:t>t</ns1:t>
            </ns1:r>
          </ns1:sub>
          <ns1:sup>
            <ns1:r>
              <ns1:t>2</ns1:t>
            </ns1:r>
          </ns1:sup>
        </ns1:sSubSup>
        <ns1:r>
          <ns1:rPr>
            <ns1:sty ns1:val="p"/>
          </ns1:rPr>
          <ns1:t>=</ns1:t>
        </ns1:r>
        <ns1:r>
          <ns1:t>7.815</ns1:t>
        </ns1:r>
      </ns1:oMath>
      <w:r>
        <w:t xml:space="preserve">. Margen</w:t>
      </w:r>
      <w:r>
        <w:t xml:space="preserve"> </w:t>
      </w:r>
      <w:r>
        <w:t xml:space="preserve">de seguridad: fidelidad = 439%, estabilidad = 421%. La corrección</w:t>
      </w:r>
      <w:r>
        <w:t xml:space="preserve"> </w:t>
      </w:r>
      <w:r>
        <w:t xml:space="preserve">Holm-Bonferroni se aplica sobre las dos hipótesis omnibus (H1 y H2); ambas</w:t>
      </w:r>
      <w:r>
        <w:t xml:space="preserve"> </w:t>
      </w:r>
      <w:r>
        <w:t xml:space="preserve">permanecen significativas tras la corrección.</w:t>
      </w:r>
    </w:p>
    <w:bookmarkEnd w:id="336"/>
    <w:bookmarkStart w:id="338" w:name="Xf81def15ac0599a341fc59b4e423bbf643d253b"/>
    <w:p>
      <w:pPr>
        <w:pStyle w:val="Ttulo3"/>
        <w:spacing w:line="360" w:lineRule="auto"/>
        <w:jc w:val="both"/>
      </w:pPr>
      <w:r>
        <w:t xml:space="preserve">D.2 Comparaciones post-hoc de Nemenyi (fidelidad y estabilidad)</w:t>
      </w:r>
    </w:p>
    <w:p>
      <w:pPr>
        <w:pStyle w:val="FirstParagraph"/>
        <w:spacing w:line="360" w:lineRule="auto"/>
        <w:jc w:val="both"/>
      </w:pPr>
      <w:r>
        <w:t xml:space="preserve">La diferencia crítica para</w:t>
      </w:r>
      <w:r>
        <w:t xml:space="preserve"> </w:t>
      </w:r>
      <ns1:oMath>
        <ns1:r>
          <ns1:t>k</ns1:t>
        </ns1:r>
        <ns1:r>
          <ns1:rPr>
            <ns1:sty ns1:val="p"/>
          </ns1:rPr>
          <ns1:t>=</ns1:t>
        </ns1:r>
        <ns1:r>
          <ns1:t>4</ns1:t>
        </ns1:r>
      </ns1:oMath>
      <w:r>
        <w:t xml:space="preserve">,</w:t>
      </w:r>
      <w:r>
        <w:t xml:space="preserve"> </w:t>
      </w:r>
      <ns1:oMath>
        <ns1:r>
          <ns1:t>n</ns1:t>
        </ns1:r>
        <ns1:r>
          <ns1:rPr>
            <ns1:sty ns1:val="p"/>
          </ns1:rPr>
          <ns1:t>=</ns1:t>
        </ns1:r>
        <ns1:r>
          <ns1:t>15</ns1:t>
        </ns1:r>
      </ns1:oMath>
      <w:r>
        <w:t xml:space="preserve">,</w:t>
      </w:r>
      <w:r>
        <w:t xml:space="preserve"> </w:t>
      </w:r>
      <ns1:oMath>
        <ns1:r>
          <ns1:t>α</ns1:t>
        </ns1:r>
        <ns1:r>
          <ns1:rPr>
            <ns1:sty ns1:val="p"/>
          </ns1:rPr>
          <ns1:t>=</ns1:t>
        </ns1:r>
        <ns1:r>
          <ns1:t>0.05</ns1:t>
        </ns1:r>
      </ns1:oMath>
      <w:r>
        <w:t xml:space="preserve"> </w:t>
      </w:r>
      <w:r>
        <w:t xml:space="preserve">es</w:t>
      </w:r>
      <w:r>
        <w:t xml:space="preserve"> </w:t>
      </w:r>
      <ns1:oMath>
        <ns1:r>
          <ns1:t>C</ns1:t>
        </ns1:r>
        <ns1:r>
          <ns1:t>D</ns1:t>
        </ns1:r>
        <ns1:r>
          <ns1:rPr>
            <ns1:sty ns1:val="p"/>
          </ns1:rPr>
          <ns1:t>=</ns1:t>
        </ns1:r>
        <ns1:r>
          <ns1:t>1.211</ns1:t>
        </ns1:r>
      </ns1:oMath>
      <w:r>
        <w:t xml:space="preserve"> </w:t>
      </w:r>
      <w:r>
        <w:t xml:space="preserve">en ambas métricas.</w:t>
      </w:r>
    </w:p>
    <w:tbl>
      <w:tblPr>
        <w:tblStyle w:val="Table"/>
        <w:tblW w:type="pct" w:w="5000"/>
        <w:tblLayout w:type="fixed"/>
        <w:tblLook w:firstRow="0" w:lastRow="0" w:firstColumn="0" w:lastColumn="0" w:noHBand="0" w:noVBand="0" w:val="0000"/>
      </w:tblPr>
      <w:tblGrid>
        <w:gridCol w:w="7920"/>
      </w:tblGrid>
      <w:tr>
        <w:tc>
          <w:tcPr/>
          <w:bookmarkStart w:id="337" w:name="tbl-appendix-nemenyi-full"/>
          <w:p>
            <w:pPr>
              <w:jc w:val="both"/>
              <w:spacing w:line="360" w:lineRule="auto"/>
            </w:pPr>
            <w:pPr>
              <w:jc w:val="left"/>
              <w:spacing w:before="200"/>
              <w:pStyle w:val="ImageCaption"/>
            </w:pPr>
            <w:r>
              <w:t xml:space="preserve">Table 7.14: Comparaciones post-hoc de Nemenyi con diferencias en rangos medios para fidelidad y estabilidad. La diferencia crítica</w:t>
            </w:r>
            <w:r>
              <w:t xml:space="preserve"> </w:t>
            </w:r>
            <ns1:oMath>
              <ns1:r>
                <ns1:t>C</ns1:t>
              </ns1:r>
              <ns1:r>
                <ns1:t>D</ns1:t>
              </ns1:r>
              <ns1:r>
                <ns1:rPr>
                  <ns1:sty ns1:val="p"/>
                </ns1:rPr>
                <ns1:t>=</ns1:t>
              </ns1:r>
              <ns1:r>
                <ns1:t>1.211</ns1:t>
              </ns1:r>
            </ns1:oMath>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both"/>
                    <w:jc w:val="center"/>
                    <w:spacing w:line="360" w:lineRule="auto"/>
                  </w:pPr>
                  <w:r>
                    <w:t xml:space="preserve">Par de métodos</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(fidelidad)</w:t>
                  </w:r>
                </w:p>
              </w:tc>
              <w:tc>
                <w:tcPr/>
                <w:p>
                  <w:pPr>
                    <w:pStyle w:val="Compact"/>
                    <w:jc w:val="both"/>
                    <w:jc w:val="center"/>
                    <w:spacing w:line="360" w:lineRule="auto"/>
                  </w:pPr>
                  <w:r>
                    <w:t xml:space="preserve">Signif. (fidelidad)</w:t>
                  </w:r>
                </w:p>
              </w:tc>
              <w:tc>
                <w:tcPr/>
                <w:p>
                  <w:pPr>
                    <w:pStyle w:val="Compact"/>
                    <w:jc w:val="both"/>
                    <w:jc w:val="center"/>
                    <w:spacing w:line="360" w:lineRule="auto"/>
                  </w:pPr>
                  <ns1:oMath>
                    <ns1:sSub>
                      <ns1:e>
                        <ns1:r>
                          <ns1:t>R</ns1:t>
                        </ns1:r>
                      </ns1:e>
                      <ns1:sub>
                        <ns1:r>
                          <ns1:t>i</ns1:t>
                        </ns1:r>
                      </ns1:sub>
                    </ns1:sSub>
                    <ns1:r>
                      <ns1:rPr>
                        <ns1:sty ns1:val="p"/>
                      </ns1:rPr>
                      <ns1:t>−</ns1:t>
                    </ns1:r>
                    <ns1:sSub>
                      <ns1:e>
                        <ns1:r>
                          <ns1:t>R</ns1:t>
                        </ns1:r>
                      </ns1:e>
                      <ns1:sub>
                        <ns1:r>
                          <ns1:t>j</ns1:t>
                        </ns1:r>
                      </ns1:sub>
                    </ns1:sSub>
                  </ns1:oMath>
                  <w:r>
                    <w:t xml:space="preserve"> </w:t>
                  </w:r>
                  <w:r>
                    <w:t xml:space="preserve">(estabilidad)</w:t>
                  </w:r>
                </w:p>
              </w:tc>
              <w:tc>
                <w:tcPr/>
                <w:p>
                  <w:pPr>
                    <w:pStyle w:val="Compact"/>
                    <w:jc w:val="both"/>
                    <w:jc w:val="center"/>
                    <w:spacing w:line="360" w:lineRule="auto"/>
                  </w:pPr>
                  <w:r>
                    <w:t xml:space="preserve">Signif. (estabilidad)</w:t>
                  </w:r>
                </w:p>
              </w:tc>
            </w:tr>
            <w:tr>
              <w:tc>
                <w:tcPr/>
                <w:p>
                  <w:pPr>
                    <w:pStyle w:val="Compact"/>
                    <w:jc w:val="both"/>
                    <w:jc w:val="center"/>
                    <w:spacing w:line="360" w:lineRule="auto"/>
                  </w:pPr>
                  <w:r>
                    <w:t xml:space="preserve">SHAP vs. LIME</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r>
            <w:tr>
              <w:tc>
                <w:tcPr/>
                <w:p>
                  <w:pPr>
                    <w:pStyle w:val="Compact"/>
                    <w:jc w:val="both"/>
                    <w:jc w:val="center"/>
                    <w:spacing w:line="360" w:lineRule="auto"/>
                  </w:pPr>
                  <w:r>
                    <w:t xml:space="preserve">SHAP vs. Anchors</w:t>
                  </w:r>
                </w:p>
              </w:tc>
              <w:tc>
                <w:tcPr/>
                <w:p>
                  <w:pPr>
                    <w:pStyle w:val="Compact"/>
                    <w:jc w:val="both"/>
                    <w:jc w:val="center"/>
                    <w:spacing w:line="360" w:lineRule="auto"/>
                  </w:pPr>
                  <w:r>
                    <w:t xml:space="preserve">2.200</w:t>
                  </w:r>
                </w:p>
              </w:tc>
              <w:tc>
                <w:tcPr/>
                <w:p>
                  <w:pPr>
                    <w:pStyle w:val="Compact"/>
                    <w:jc w:val="both"/>
                    <w:jc w:val="center"/>
                    <w:spacing w:line="360" w:lineRule="auto"/>
                  </w:pPr>
                  <w:r>
                    <w:rPr>
                      <w:b/>
                      <w:bCs/>
                    </w:rPr>
                    <w:t xml:space="preserve">Sí</w:t>
                  </w:r>
                  <w:r>
                    <w:t xml:space="preserve"> </w:t>
                  </w:r>
                  <w:r>
                    <w:t xml:space="preserve">(</w:t>
                  </w:r>
                  <ns1:oMath>
                    <ns1:r>
                      <ns1:rPr>
                        <ns1:sty ns1:val="p"/>
                      </ns1:rPr>
                      <ns1:t>&gt;</ns1:t>
                    </ns1:r>
                    <ns1:r>
                      <ns1:t>1.211</ns1:t>
                    </ns1:r>
                  </ns1:oMath>
                  <w:r>
                    <w:t xml:space="preserve">)</w:t>
                  </w:r>
                </w:p>
              </w:tc>
              <w:tc>
                <w:tcPr/>
                <w:p>
                  <w:pPr>
                    <w:pStyle w:val="Compact"/>
                    <w:jc w:val="both"/>
                    <w:jc w:val="center"/>
                    <w:spacing w:line="360" w:lineRule="auto"/>
                  </w:pPr>
                  <w:r>
                    <w:t xml:space="preserve">2.600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SHAP vs. DiCE</w:t>
                  </w:r>
                </w:p>
              </w:tc>
              <w:tc>
                <w:tcPr/>
                <w:p>
                  <w:pPr>
                    <w:pStyle w:val="Compact"/>
                    <w:jc w:val="both"/>
                    <w:jc w:val="center"/>
                    <w:spacing w:line="360" w:lineRule="auto"/>
                  </w:pPr>
                  <w:r>
                    <w:t xml:space="preserve">2.800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1.000</w:t>
                  </w:r>
                </w:p>
              </w:tc>
              <w:tc>
                <w:tcPr/>
                <w:p>
                  <w:pPr>
                    <w:pStyle w:val="Compact"/>
                    <w:jc w:val="both"/>
                    <w:jc w:val="center"/>
                    <w:spacing w:line="360" w:lineRule="auto"/>
                  </w:pPr>
                  <w:r>
                    <w:t xml:space="preserve">No (</w:t>
                  </w:r>
                  <ns1:oMath>
                    <ns1:r>
                      <ns1:rPr>
                        <ns1:sty ns1:val="p"/>
                      </ns1:rPr>
                      <ns1:t>&lt;</ns1:t>
                    </ns1:r>
                    <ns1:r>
                      <ns1:t>1.211</ns1:t>
                    </ns1:r>
                  </ns1:oMath>
                  <w:r>
                    <w:t xml:space="preserve">)</w:t>
                  </w:r>
                </w:p>
              </w:tc>
            </w:tr>
            <w:tr>
              <w:tc>
                <w:tcPr/>
                <w:p>
                  <w:pPr>
                    <w:pStyle w:val="Compact"/>
                    <w:jc w:val="both"/>
                    <w:jc w:val="center"/>
                    <w:spacing w:line="360" w:lineRule="auto"/>
                  </w:pPr>
                  <w:r>
                    <w:t xml:space="preserve">LIME vs. Anchors</w:t>
                  </w:r>
                </w:p>
              </w:tc>
              <w:tc>
                <w:tcPr/>
                <w:p>
                  <w:pPr>
                    <w:pStyle w:val="Compact"/>
                    <w:jc w:val="both"/>
                    <w:jc w:val="center"/>
                    <w:spacing w:line="360" w:lineRule="auto"/>
                  </w:pPr>
                  <w:r>
                    <w:t xml:space="preserve">1.200</w:t>
                  </w:r>
                </w:p>
              </w:tc>
              <w:tc>
                <w:tcPr/>
                <w:p>
                  <w:pPr>
                    <w:pStyle w:val="Compact"/>
                    <w:jc w:val="both"/>
                    <w:jc w:val="center"/>
                    <w:spacing w:line="360" w:lineRule="auto"/>
                  </w:pPr>
                  <w:r>
                    <w:t xml:space="preserve">No (</w:t>
                  </w:r>
                  <ns1:oMath>
                    <ns1:r>
                      <ns1:rPr>
                        <ns1:sty ns1:val="p"/>
                      </ns1:rPr>
                      <ns1:t>&lt;</ns1:t>
                    </ns1:r>
                    <ns1:r>
                      <ns1:t>1.211</ns1:t>
                    </ns1:r>
                  </ns1:oMath>
                  <w:r>
                    <w:t xml:space="preserve">)</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LIME vs. DiCE</w:t>
                  </w:r>
                </w:p>
              </w:tc>
              <w:tc>
                <w:tcPr/>
                <w:p>
                  <w:pPr>
                    <w:pStyle w:val="Compact"/>
                    <w:jc w:val="both"/>
                    <w:jc w:val="center"/>
                    <w:spacing w:line="360" w:lineRule="auto"/>
                  </w:pPr>
                  <w:r>
                    <w:t xml:space="preserve">1.800</w:t>
                  </w:r>
                </w:p>
              </w:tc>
              <w:tc>
                <w:tcPr/>
                <w:p>
                  <w:pPr>
                    <w:pStyle w:val="Compact"/>
                    <w:jc w:val="both"/>
                    <w:jc w:val="center"/>
                    <w:spacing w:line="360" w:lineRule="auto"/>
                  </w:pPr>
                  <w:r>
                    <w:rPr>
                      <w:b/>
                      <w:bCs/>
                    </w:rPr>
                    <w:t xml:space="preserve">Sí</w:t>
                  </w:r>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Anchors vs. DiCE</w:t>
                  </w:r>
                </w:p>
              </w:tc>
              <w:tc>
                <w:tcPr/>
                <w:p>
                  <w:pPr>
                    <w:pStyle w:val="Compact"/>
                    <w:jc w:val="both"/>
                    <w:jc w:val="center"/>
                    <w:spacing w:line="360" w:lineRule="auto"/>
                  </w:pPr>
                  <w:r>
                    <w:t xml:space="preserve">0.600</w:t>
                  </w:r>
                </w:p>
              </w:tc>
              <w:tc>
                <w:tcPr/>
                <w:p>
                  <w:pPr>
                    <w:pStyle w:val="Compact"/>
                    <w:jc w:val="both"/>
                    <w:jc w:val="center"/>
                    <w:spacing w:line="360" w:lineRule="auto"/>
                  </w:pPr>
                  <w:r>
                    <w:t xml:space="preserve">No</w:t>
                  </w:r>
                </w:p>
              </w:tc>
              <w:tc>
                <w:tcPr/>
                <w:p>
                  <w:pPr>
                    <w:pStyle w:val="Compact"/>
                    <w:jc w:val="both"/>
                    <w:jc w:val="center"/>
                    <w:spacing w:line="360" w:lineRule="auto"/>
                  </w:pPr>
                  <w:r>
                    <w:t xml:space="preserve">0.200</w:t>
                  </w:r>
                </w:p>
              </w:tc>
              <w:tc>
                <w:tcPr/>
                <w:p>
                  <w:pPr>
                    <w:pStyle w:val="Compact"/>
                    <w:jc w:val="both"/>
                    <w:jc w:val="center"/>
                    <w:spacing w:line="360" w:lineRule="auto"/>
                  </w:pPr>
                  <w:r>
                    <w:t xml:space="preserve">No</w:t>
                  </w:r>
                </w:p>
              </w:tc>
            </w:tr>
            <w:tr>
              <w:tc>
                <w:tcPr/>
                <w:p>
                  <w:pPr>
                    <w:pStyle w:val="Compact"/>
                    <w:jc w:val="both"/>
                    <w:jc w:val="center"/>
                    <w:spacing w:line="360" w:lineRule="auto"/>
                  </w:pPr>
                  <w:r>
                    <w:t xml:space="preserve">SHAP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2.400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LIME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1.400</w:t>
                  </w:r>
                </w:p>
              </w:tc>
              <w:tc>
                <w:tcPr/>
                <w:p>
                  <w:pPr>
                    <w:pStyle w:val="Compact"/>
                    <w:jc w:val="both"/>
                    <w:jc w:val="center"/>
                    <w:spacing w:line="360" w:lineRule="auto"/>
                  </w:pPr>
                  <w:r>
                    <w:rPr>
                      <w:b/>
                      <w:bCs/>
                    </w:rPr>
                    <w:t xml:space="preserve">Sí</w:t>
                  </w:r>
                </w:p>
              </w:tc>
            </w:tr>
            <w:tr>
              <w:tc>
                <w:tcPr/>
                <w:p>
                  <w:pPr>
                    <w:pStyle w:val="Compact"/>
                    <w:jc w:val="both"/>
                    <w:jc w:val="center"/>
                    <w:spacing w:line="360" w:lineRule="auto"/>
                  </w:pPr>
                  <w:r>
                    <w:t xml:space="preserve">DiCE vs. Anchors (estabilidad)</w:t>
                  </w:r>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ns1:oMath>
                    <ns1:r>
                      <ns1:rPr>
                        <ns1:sty ns1:val="p"/>
                      </ns1:rPr>
                      <ns1:t>−</ns1:t>
                    </ns1:r>
                  </ns1:oMath>
                </w:p>
              </w:tc>
              <w:tc>
                <w:tcPr/>
                <w:p>
                  <w:pPr>
                    <w:pStyle w:val="Compact"/>
                    <w:jc w:val="both"/>
                    <w:jc w:val="center"/>
                    <w:spacing w:line="360" w:lineRule="auto"/>
                  </w:pPr>
                  <w:r>
                    <w:t xml:space="preserve">1.600</w:t>
                  </w:r>
                </w:p>
              </w:tc>
              <w:tc>
                <w:tcPr/>
                <w:p>
                  <w:pPr>
                    <w:pStyle w:val="Compact"/>
                    <w:jc w:val="both"/>
                    <w:jc w:val="center"/>
                    <w:spacing w:line="360" w:lineRule="auto"/>
                  </w:pPr>
                  <w:r>
                    <w:rPr>
                      <w:b/>
                      <w:bCs/>
                    </w:rPr>
                    <w:t xml:space="preserve">Sí</w:t>
                  </w:r>
                </w:p>
              </w:tc>
            </w:tr>
          </w:tbl>
          <w:bookmarkEnd w:id="337"/>
          <w:p>
            <w:pPr>
              <w:spacing w:line="360" w:lineRule="auto"/>
              <w:jc w:val="both"/>
            </w:pPr>
          </w:p>
        </w:tc>
      </w:tr>
    </w:tbl>
    <w:bookmarkEnd w:id="338"/>
    <w:bookmarkStart w:id="340" w:name="Xf2da686c9e12c39a6d10c106f98f0eb5f2d8684"/>
    <w:p>
      <w:pPr>
        <w:pStyle w:val="Ttulo3"/>
        <w:spacing w:line="360" w:lineRule="auto"/>
        <w:jc w:val="both"/>
      </w:pPr>
      <w:r>
        <w:t xml:space="preserve">D.3 Resultados completos del análisis pareado Wilcoxon (H3)</w:t>
      </w:r>
    </w:p>
    <w:p>
      <w:pPr>
        <w:pStyle w:val="FirstParagraph"/>
        <w:spacing w:line="360" w:lineRule="auto"/>
        <w:jc w:val="both"/>
      </w:pPr>
      <w:r>
        <w:t xml:space="preserve">Análisis sobre</w:t>
      </w:r>
      <w:r>
        <w:t xml:space="preserve"> </w:t>
      </w:r>
      <ns1:oMath>
        <ns1:r>
          <ns1:t>n</ns1:t>
        </ns1:r>
        <ns1:r>
          <ns1:rPr>
            <ns1:sty ns1:val="p"/>
          </ns1:rPr>
          <ns1:t>=</ns1:t>
        </ns1:r>
        <ns1:r>
          <ns1:t>75</ns1:t>
        </ns1:r>
      </ns1:oMath>
      <w:r>
        <w:t xml:space="preserve"> </w:t>
      </w:r>
      <w:r>
        <w:t xml:space="preserve">celdas pareadas</w:t>
      </w:r>
      <w:r>
        <w:t xml:space="preserve"> </w:t>
      </w:r>
      <ns1:oMath>
        <ns1:r>
          <ns1:rPr>
            <ns1:sty ns1:val="p"/>
          </ns1:rPr>
          <ns1:t>(</ns1:t>
        </ns1:r>
        <ns1:r>
          <ns1:t>g</ns1:t>
        </ns1:r>
        <ns1:r>
          <ns1:rPr>
            <ns1:sty ns1:val="p"/>
          </ns1:rPr>
          <ns1:t>,</ns1:t>
        </ns1:r>
        <ns1:r>
          <ns1:t>s</ns1:t>
        </ns1:r>
        <ns1:r>
          <ns1:rPr>
            <ns1:sty ns1:val="p"/>
          </ns1:rPr>
          <ns1:t>,</ns1:t>
        </ns1:r>
        <ns1:r>
          <ns1:t>n</ns1:t>
        </ns1:r>
        <ns1:r>
          <ns1:rPr>
            <ns1:sty ns1:val="p"/>
          </ns1:rPr>
          <ns1:t>)</ns1:t>
        </ns1:r>
      </ns1:oMath>
      <w:r>
        <w:t xml:space="preserve"> </w:t>
      </w:r>
      <w:r>
        <w:t xml:space="preserve">con corrección</w:t>
      </w:r>
      <w:r>
        <w:t xml:space="preserve"> </w:t>
      </w:r>
      <w:r>
        <w:t xml:space="preserve">Holm-Bonferroni sobre las cinco comparaciones simultáneas.</w:t>
      </w:r>
    </w:p>
    <w:tbl>
      <w:tblPr>
        <w:tblStyle w:val="Table"/>
        <w:tblW w:type="pct" w:w="5000"/>
        <w:tblLayout w:type="fixed"/>
        <w:tblLook w:firstRow="0" w:lastRow="0" w:firstColumn="0" w:lastColumn="0" w:noHBand="0" w:noVBand="0" w:val="0000"/>
      </w:tblPr>
      <w:tblGrid>
        <w:gridCol w:w="7920"/>
      </w:tblGrid>
      <w:tr>
        <w:tc>
          <w:tcPr/>
          <w:bookmarkStart w:id="339" w:name="tbl-appendix-wilcoxon-full"/>
          <w:p>
            <w:pPr>
              <w:jc w:val="both"/>
              <w:spacing w:line="360" w:lineRule="auto"/>
            </w:pPr>
            <w:pPr>
              <w:jc w:val="left"/>
              <w:spacing w:before="200"/>
              <w:pStyle w:val="ImageCaption"/>
            </w:pPr>
            <w:r>
              <w:t xml:space="preserve">Table 7.15: Resultados completos del análisis pareado Wilcoxon SHAP-LIME con corrección Holm-Bonferroni (</w:t>
            </w:r>
            <ns1:oMath>
              <ns1:r>
                <ns1:t>n</ns1:t>
              </ns1:r>
              <ns1:r>
                <ns1:rPr>
                  <ns1:sty ns1:val="p"/>
                </ns1:rPr>
                <ns1:t>=</ns1:t>
              </ns1:r>
              <ns1:r>
                <ns1:t>75</ns1:t>
              </ns1:r>
            </ns1:oMath>
            <w:r>
              <w:t xml:space="preserve">).</w:t>
            </w:r>
            <w:r>
              <w:t xml:space="preserve"> </w:t>
            </w:r>
            <ns1:oMath>
              <ns1:sSub>
                <ns1:e>
                  <ns1:r>
                    <ns1:t>d</ns1:t>
                  </ns1:r>
                </ns1:e>
                <ns1:sub>
                  <ns1:r>
                    <ns1:t>z</ns1:t>
                  </ns1:r>
                </ns1:sub>
              </ns1:sSub>
              <ns1:r>
                <ns1:rPr>
                  <ns1:sty ns1:val="p"/>
                </ns1:rPr>
                <ns1:t>=</ns1:t>
              </ns1:r>
              <ns1:acc>
                <ns1:accPr>
                  <ns1:chr ns1:val="‾"/>
                </ns1:accPr>
                <ns1:e>
                  <ns1:r>
                    <ns1:t>d</ns1:t>
                  </ns1:r>
                </ns1:e>
              </ns1:acc>
              <ns1:r>
                <ns1:rPr>
                  <ns1:sty ns1:val="p"/>
                </ns1:rPr>
                <ns1:t>/</ns1:t>
              </ns1:r>
              <ns1:sSub>
                <ns1:e>
                  <ns1:r>
                    <ns1:t>s</ns1:t>
                  </ns1:r>
                </ns1:e>
                <ns1:sub>
                  <ns1:r>
                    <ns1:t>d</ns1:t>
                  </ns1:r>
                </ns1:sub>
              </ns1:sSub>
            </ns1:oMath>
            <w:r>
              <w:t xml:space="preserv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both"/>
                    <w:jc w:val="center"/>
                    <w:spacing w:line="360" w:lineRule="auto"/>
                  </w:pPr>
                  <w:r>
                    <w:t xml:space="preserve">Métrica</w:t>
                  </w:r>
                </w:p>
              </w:tc>
              <w:tc>
                <w:tcPr/>
                <w:p>
                  <w:pPr>
                    <w:pStyle w:val="Compact"/>
                    <w:jc w:val="both"/>
                    <w:jc w:val="center"/>
                    <w:spacing w:line="360" w:lineRule="auto"/>
                  </w:pPr>
                  <ns1:oMath>
                    <ns1:acc>
                      <ns1:accPr>
                        <ns1:chr ns1:val="‾"/>
                      </ns1:accPr>
                      <ns1:e>
                        <ns1:r>
                          <ns1:t>d</ns1:t>
                        </ns1:r>
                      </ns1:e>
                    </ns1:acc>
                  </ns1:oMath>
                  <w:r>
                    <w:t xml:space="preserve"> </w:t>
                  </w:r>
                  <w:r>
                    <w:t xml:space="preserve">(SHAP</w:t>
                  </w:r>
                  <ns1:oMath>
                    <ns1:r>
                      <ns1:rPr>
                        <ns1:sty ns1:val="p"/>
                      </ns1:rPr>
                      <ns1:t>−</ns1:t>
                    </ns1:r>
                  </ns1:oMath>
                  <w:r>
                    <w:t xml:space="preserve">LIME)</w:t>
                  </w:r>
                </w:p>
              </w:tc>
              <w:tc>
                <w:tcPr/>
                <w:p>
                  <w:pPr>
                    <w:pStyle w:val="Compact"/>
                    <w:jc w:val="both"/>
                    <w:jc w:val="center"/>
                    <w:spacing w:line="360" w:lineRule="auto"/>
                  </w:pPr>
                  <ns1:oMath>
                    <ns1:sSub>
                      <ns1:e>
                        <ns1:r>
                          <ns1:t>s</ns1:t>
                        </ns1:r>
                      </ns1:e>
                      <ns1:sub>
                        <ns1:r>
                          <ns1:t>d</ns1:t>
                        </ns1:r>
                      </ns1:sub>
                    </ns1:sSub>
                  </ns1:oMath>
                </w:p>
              </w:tc>
              <w:tc>
                <w:tcPr/>
                <w:p>
                  <w:pPr>
                    <w:pStyle w:val="Compact"/>
                    <w:jc w:val="both"/>
                    <w:jc w:val="center"/>
                    <w:spacing w:line="360" w:lineRule="auto"/>
                  </w:pPr>
                  <ns1:oMath>
                    <ns1:sSub>
                      <ns1:e>
                        <ns1:r>
                          <ns1:t>d</ns1:t>
                        </ns1:r>
                      </ns1:e>
                      <ns1:sub>
                        <ns1:r>
                          <ns1:t>z</ns1:t>
                        </ns1:r>
                      </ns1:sub>
                    </ns1:sSub>
                  </ns1:oMath>
                </w:p>
              </w:tc>
              <w:tc>
                <w:tcPr/>
                <w:p>
                  <w:pPr>
                    <w:pStyle w:val="Compact"/>
                    <w:jc w:val="both"/>
                    <w:jc w:val="center"/>
                    <w:spacing w:line="360" w:lineRule="auto"/>
                  </w:pPr>
                  <ns1:oMath>
                    <ns1:r>
                      <ns1:t>W</ns1:t>
                    </ns1:r>
                  </ns1:oMath>
                </w:p>
              </w:tc>
              <w:tc>
                <w:tcPr/>
                <w:p>
                  <w:pPr>
                    <w:pStyle w:val="Compact"/>
                    <w:jc w:val="both"/>
                    <w:jc w:val="center"/>
                    <w:spacing w:line="360" w:lineRule="auto"/>
                  </w:pPr>
                  <ns1:oMath>
                    <ns1:r>
                      <ns1:t>p</ns1:t>
                    </ns1:r>
                  </ns1:oMath>
                  <w:r>
                    <w:t xml:space="preserve"> </w:t>
                  </w:r>
                  <w:r>
                    <w:t xml:space="preserve">(bilateral)</w:t>
                  </w:r>
                </w:p>
              </w:tc>
              <w:tc>
                <w:tcPr/>
                <w:p>
                  <w:pPr>
                    <w:pStyle w:val="Compact"/>
                    <w:jc w:val="both"/>
                    <w:jc w:val="center"/>
                    <w:spacing w:line="360" w:lineRule="auto"/>
                  </w:pPr>
                  <ns1:oMath>
                    <ns1:sSub>
                      <ns1:e>
                        <ns1:r>
                          <ns1:t>p</ns1:t>
                        </ns1:r>
                      </ns1:e>
                      <ns1:sub>
                        <ns1:r>
                          <ns1:rPr>
                            <ns1:sty ns1:val="p"/>
                          </ns1:rPr>
                          <ns1:t>H</ns1:t>
                        </ns1:r>
                        <ns1:r>
                          <ns1:rPr>
                            <ns1:sty ns1:val="p"/>
                          </ns1:rPr>
                          <ns1:t>o</ns1:t>
                        </ns1:r>
                        <ns1:r>
                          <ns1:rPr>
                            <ns1:sty ns1:val="p"/>
                          </ns1:rPr>
                          <ns1:t>l</ns1:t>
                        </ns1:r>
                        <ns1:r>
                          <ns1:rPr>
                            <ns1:sty ns1:val="p"/>
                          </ns1:rPr>
                          <ns1:t>m</ns1:t>
                        </ns1:r>
                      </ns1:sub>
                    </ns1:sSub>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ns1:oMath>
                    <ns1:sSup>
                      <ns1:e>
                        <ns1:r>
                          <ns1:t>n</ns1:t>
                        </ns1:r>
                      </ns1:e>
                      <ns1:sup>
                        <ns1:r>
                          <ns1:rPr>
                            <ns1:sty ns1:val="p"/>
                          </ns1:rPr>
                          <ns1:t>−</ns1:t>
                        </ns1:r>
                      </ns1:sup>
                    </ns1:sSup>
                  </ns1:oMath>
                </w:p>
              </w:tc>
              <w:tc>
                <w:tcPr/>
                <w:p>
                  <w:pPr>
                    <w:pStyle w:val="Compact"/>
                    <w:jc w:val="both"/>
                    <w:jc w:val="center"/>
                    <w:spacing w:line="360" w:lineRule="auto"/>
                  </w:pPr>
                  <w:r>
                    <w:t xml:space="preserve">Decisión</w:t>
                  </w:r>
                </w:p>
              </w:tc>
            </w:tr>
            <w:tr>
              <w:tc>
                <w:tcPr/>
                <w:p>
                  <w:pPr>
                    <w:pStyle w:val="Compact"/>
                    <w:jc w:val="both"/>
                    <w:jc w:val="center"/>
                    <w:spacing w:line="360" w:lineRule="auto"/>
                  </w:pPr>
                  <w:r>
                    <w:t xml:space="preserve">Fidelidad</w:t>
                  </w:r>
                </w:p>
              </w:tc>
              <w:tc>
                <w:tcPr/>
                <w:p>
                  <w:pPr>
                    <w:pStyle w:val="Compact"/>
                    <w:jc w:val="both"/>
                    <w:jc w:val="center"/>
                    <w:spacing w:line="360" w:lineRule="auto"/>
                  </w:pPr>
                  <ns1:oMath>
                    <ns1:r>
                      <ns1:rPr>
                        <ns1:sty ns1:val="p"/>
                      </ns1:rPr>
                      <ns1:t>+</ns1:t>
                    </ns1:r>
                    <ns1:r>
                      <ns1:t>0.2479</ns1:t>
                    </ns1:r>
                  </ns1:oMath>
                </w:p>
              </w:tc>
              <w:tc>
                <w:tcPr/>
                <w:p>
                  <w:pPr>
                    <w:pStyle w:val="Compact"/>
                    <w:jc w:val="both"/>
                    <w:jc w:val="center"/>
                    <w:spacing w:line="360" w:lineRule="auto"/>
                  </w:pPr>
                  <ns1:oMath>
                    <ns1:r>
                      <ns1:t>0.0514</ns1:t>
                    </ns1:r>
                  </ns1:oMath>
                </w:p>
              </w:tc>
              <w:tc>
                <w:tcPr/>
                <w:p>
                  <w:pPr>
                    <w:pStyle w:val="Compact"/>
                    <w:jc w:val="both"/>
                    <w:jc w:val="center"/>
                    <w:spacing w:line="360" w:lineRule="auto"/>
                  </w:pPr>
                  <ns1:oMath>
                    <ns1:r>
                      <ns1:rPr>
                        <ns1:sty ns1:val="p"/>
                      </ns1:rPr>
                      <ns1:t>+</ns1:t>
                    </ns1:r>
                    <ns1:r>
                      <ns1:t>4.820</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Estabilidad</w:t>
                  </w:r>
                </w:p>
              </w:tc>
              <w:tc>
                <w:tcPr/>
                <w:p>
                  <w:pPr>
                    <w:pStyle w:val="Compact"/>
                    <w:jc w:val="both"/>
                    <w:jc w:val="center"/>
                    <w:spacing w:line="360" w:lineRule="auto"/>
                  </w:pPr>
                  <ns1:oMath>
                    <ns1:r>
                      <ns1:rPr>
                        <ns1:sty ns1:val="p"/>
                      </ns1:rPr>
                      <ns1:t>+</ns1:t>
                    </ns1:r>
                    <ns1:r>
                      <ns1:t>0.7176</ns1:t>
                    </ns1:r>
                  </ns1:oMath>
                </w:p>
              </w:tc>
              <w:tc>
                <w:tcPr/>
                <w:p>
                  <w:pPr>
                    <w:pStyle w:val="Compact"/>
                    <w:jc w:val="both"/>
                    <w:jc w:val="center"/>
                    <w:spacing w:line="360" w:lineRule="auto"/>
                  </w:pPr>
                  <ns1:oMath>
                    <ns1:r>
                      <ns1:t>0.2390</ns1:t>
                    </ns1:r>
                  </ns1:oMath>
                </w:p>
              </w:tc>
              <w:tc>
                <w:tcPr/>
                <w:p>
                  <w:pPr>
                    <w:pStyle w:val="Compact"/>
                    <w:jc w:val="both"/>
                    <w:jc w:val="center"/>
                    <w:spacing w:line="360" w:lineRule="auto"/>
                  </w:pPr>
                  <ns1:oMath>
                    <ns1:r>
                      <ns1:rPr>
                        <ns1:sty ns1:val="p"/>
                      </ns1:rPr>
                      <ns1:t>+</ns1:t>
                    </ns1:r>
                    <ns1:r>
                      <ns1:t>3.002</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14</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Parsimonia</w:t>
                  </w:r>
                </w:p>
              </w:tc>
              <w:tc>
                <w:tcPr/>
                <w:p>
                  <w:pPr>
                    <w:pStyle w:val="Compact"/>
                    <w:jc w:val="both"/>
                    <w:jc w:val="center"/>
                    <w:spacing w:line="360" w:lineRule="auto"/>
                  </w:pPr>
                  <ns1:oMath>
                    <ns1:r>
                      <ns1:rPr>
                        <ns1:sty ns1:val="p"/>
                      </ns1:rPr>
                      <ns1:t>+</ns1:t>
                    </ns1:r>
                    <ns1:r>
                      <ns1:t>0.1418</ns1:t>
                    </ns1:r>
                  </ns1:oMath>
                </w:p>
              </w:tc>
              <w:tc>
                <w:tcPr/>
                <w:p>
                  <w:pPr>
                    <w:pStyle w:val="Compact"/>
                    <w:jc w:val="both"/>
                    <w:jc w:val="center"/>
                    <w:spacing w:line="360" w:lineRule="auto"/>
                  </w:pPr>
                  <ns1:oMath>
                    <ns1:r>
                      <ns1:t>0.1690</ns1:t>
                    </ns1:r>
                  </ns1:oMath>
                </w:p>
              </w:tc>
              <w:tc>
                <w:tcPr/>
                <w:p>
                  <w:pPr>
                    <w:pStyle w:val="Compact"/>
                    <w:jc w:val="both"/>
                    <w:jc w:val="center"/>
                    <w:spacing w:line="360" w:lineRule="auto"/>
                  </w:pPr>
                  <ns1:oMath>
                    <ns1:r>
                      <ns1:rPr>
                        <ns1:sty ns1:val="p"/>
                      </ns1:rPr>
                      <ns1:t>+</ns1:t>
                    </ns1:r>
                    <ns1:r>
                      <ns1:t>0.839</ns1:t>
                    </ns1:r>
                  </ns1:oMath>
                </w:p>
              </w:tc>
              <w:tc>
                <w:tcPr/>
                <w:p>
                  <w:pPr>
                    <w:pStyle w:val="Compact"/>
                    <w:jc w:val="both"/>
                    <w:jc w:val="center"/>
                    <w:spacing w:line="360" w:lineRule="auto"/>
                  </w:pPr>
                  <w:r>
                    <w:t xml:space="preserve">0</w:t>
                  </w:r>
                </w:p>
              </w:tc>
              <w:tc>
                <w:tcPr/>
                <w:p>
                  <w:pPr>
                    <w:pStyle w:val="Compact"/>
                    <w:jc w:val="both"/>
                    <w:jc w:val="center"/>
                    <w:spacing w:line="360" w:lineRule="auto"/>
                  </w:pPr>
                  <ns1:oMath>
                    <ns1:r>
                      <ns1:rPr>
                        <ns1:sty ns1:val="p"/>
                      </ns1:rPr>
                      <ns1:t>&lt;</ns1:t>
                    </ns1:r>
                    <ns1:r>
                      <ns1:t>2.2</ns1:t>
                    </ns1:r>
                    <ns1:r>
                      <ns1:rPr>
                        <ns1:sty ns1:val="p"/>
                      </ns1:rPr>
                      <ns1:t>×</ns1:t>
                    </ns1:r>
                    <ns1:sSup>
                      <ns1:e>
                        <ns1:r>
                          <ns1:t>10</ns1:t>
                        </ns1:r>
                      </ns1:e>
                      <ns1:sup>
                        <ns1:r>
                          <ns1:rPr>
                            <ns1:sty ns1:val="p"/>
                          </ns1:rPr>
                          <ns1:t>−</ns1:t>
                        </ns1:r>
                        <ns1:r>
                          <ns1:t>16</ns1:t>
                        </ns1:r>
                      </ns1:sup>
                    </ns1:sSup>
                  </ns1:oMath>
                </w:p>
              </w:tc>
              <w:tc>
                <w:tcPr/>
                <w:p>
                  <w:pPr>
                    <w:pStyle w:val="Compact"/>
                    <w:jc w:val="both"/>
                    <w:jc w:val="center"/>
                    <w:spacing w:line="360" w:lineRule="auto"/>
                  </w:pPr>
                  <ns1:oMath>
                    <ns1:r>
                      <ns1:rPr>
                        <ns1:sty ns1:val="p"/>
                      </ns1:rPr>
                      <ns1:t>&lt;</ns1:t>
                    </ns1:r>
                    <ns1:r>
                      <ns1:t>1.0</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75</w:t>
                  </w:r>
                </w:p>
              </w:tc>
              <w:tc>
                <w:tcPr/>
                <w:p>
                  <w:pPr>
                    <w:pStyle w:val="Compact"/>
                    <w:jc w:val="both"/>
                    <w:jc w:val="center"/>
                    <w:spacing w:line="360" w:lineRule="auto"/>
                  </w:pPr>
                  <w:r>
                    <w:t xml:space="preserve">0</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Brecha fidelidad</w:t>
                  </w:r>
                </w:p>
              </w:tc>
              <w:tc>
                <w:tcPr/>
                <w:p>
                  <w:pPr>
                    <w:pStyle w:val="Compact"/>
                    <w:jc w:val="both"/>
                    <w:jc w:val="center"/>
                    <w:spacing w:line="360" w:lineRule="auto"/>
                  </w:pPr>
                  <ns1:oMath>
                    <ns1:r>
                      <ns1:rPr>
                        <ns1:sty ns1:val="p"/>
                      </ns1:rPr>
                      <ns1:t>+</ns1:t>
                    </ns1:r>
                    <ns1:r>
                      <ns1:t>0.0453</ns1:t>
                    </ns1:r>
                  </ns1:oMath>
                </w:p>
              </w:tc>
              <w:tc>
                <w:tcPr/>
                <w:p>
                  <w:pPr>
                    <w:pStyle w:val="Compact"/>
                    <w:jc w:val="both"/>
                    <w:jc w:val="center"/>
                    <w:spacing w:line="360" w:lineRule="auto"/>
                  </w:pPr>
                  <ns1:oMath>
                    <ns1:r>
                      <ns1:t>0.0173</ns1:t>
                    </ns1:r>
                  </ns1:oMath>
                </w:p>
              </w:tc>
              <w:tc>
                <w:tcPr/>
                <w:p>
                  <w:pPr>
                    <w:pStyle w:val="Compact"/>
                    <w:jc w:val="both"/>
                    <w:jc w:val="center"/>
                    <w:spacing w:line="360" w:lineRule="auto"/>
                  </w:pPr>
                  <ns1:oMath>
                    <ns1:r>
                      <ns1:rPr>
                        <ns1:sty ns1:val="p"/>
                      </ns1:rPr>
                      <ns1:t>+</ns1:t>
                    </ns1:r>
                    <ns1:r>
                      <ns1:t>2.626</ns1:t>
                    </ns1:r>
                  </ns1:oMath>
                </w:p>
              </w:tc>
              <w:tc>
                <w:tcPr/>
                <w:p>
                  <w:pPr>
                    <w:pStyle w:val="Compact"/>
                    <w:jc w:val="both"/>
                    <w:jc w:val="center"/>
                    <w:spacing w:line="360" w:lineRule="auto"/>
                  </w:pPr>
                  <w:r>
                    <w:t xml:space="preserve">1</w:t>
                  </w:r>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ns1:oMath>
                    <ns1:r>
                      <ns1:t>2.64</ns1:t>
                    </ns1:r>
                    <ns1:r>
                      <ns1:rPr>
                        <ns1:sty ns1:val="p"/>
                      </ns1:rPr>
                      <ns1:t>×</ns1:t>
                    </ns1:r>
                    <ns1:sSup>
                      <ns1:e>
                        <ns1:r>
                          <ns1:t>10</ns1:t>
                        </ns1:r>
                      </ns1:e>
                      <ns1:sup>
                        <ns1:r>
                          <ns1:rPr>
                            <ns1:sty ns1:val="p"/>
                          </ns1:rPr>
                          <ns1:t>−</ns1:t>
                        </ns1:r>
                        <ns1:r>
                          <ns1:t>13</ns1:t>
                        </ns1:r>
                      </ns1:sup>
                    </ns1:sSup>
                  </ns1:oMath>
                </w:p>
              </w:tc>
              <w:tc>
                <w:tcPr/>
                <w:p>
                  <w:pPr>
                    <w:pStyle w:val="Compact"/>
                    <w:jc w:val="both"/>
                    <w:jc w:val="center"/>
                    <w:spacing w:line="360" w:lineRule="auto"/>
                  </w:pPr>
                  <w:r>
                    <w:t xml:space="preserve">74</w:t>
                  </w:r>
                </w:p>
              </w:tc>
              <w:tc>
                <w:tcPr/>
                <w:p>
                  <w:pPr>
                    <w:pStyle w:val="Compact"/>
                    <w:jc w:val="both"/>
                    <w:jc w:val="center"/>
                    <w:spacing w:line="360" w:lineRule="auto"/>
                  </w:pPr>
                  <w:r>
                    <w:t xml:space="preserve">1</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r>
              <w:tc>
                <w:tcPr/>
                <w:p>
                  <w:pPr>
                    <w:pStyle w:val="Compact"/>
                    <w:jc w:val="both"/>
                    <w:jc w:val="center"/>
                    <w:spacing w:line="360" w:lineRule="auto"/>
                  </w:pPr>
                  <w:r>
                    <w:t xml:space="preserve">Coste (ms)</w:t>
                  </w:r>
                </w:p>
              </w:tc>
              <w:tc>
                <w:tcPr/>
                <w:p>
                  <w:pPr>
                    <w:pStyle w:val="Compact"/>
                    <w:jc w:val="both"/>
                    <w:jc w:val="center"/>
                    <w:spacing w:line="360" w:lineRule="auto"/>
                  </w:pPr>
                  <ns1:oMath>
                    <ns1:r>
                      <ns1:rPr>
                        <ns1:sty ns1:val="p"/>
                      </ns1:rPr>
                      <ns1:t>+</ns1:t>
                    </ns1:r>
                    <ns1:r>
                      <ns1:t>8</ns1:t>
                    </ns1:r>
                    <ns1:r>
                      <ns1:rPr>
                        <ns1:sty ns1:val="p"/>
                      </ns1:rPr>
                      <ns1:t>,</ns1:t>
                    </ns1:r>
                    <ns1:r>
                      <ns1:t>047.6</ns1:t>
                    </ns1:r>
                  </ns1:oMath>
                </w:p>
              </w:tc>
              <w:tc>
                <w:tcPr/>
                <w:p>
                  <w:pPr>
                    <w:pStyle w:val="Compact"/>
                    <w:jc w:val="both"/>
                    <w:jc w:val="center"/>
                    <w:spacing w:line="360" w:lineRule="auto"/>
                  </w:pPr>
                  <ns1:oMath>
                    <ns1:r>
                      <ns1:t>17</ns1:t>
                    </ns1:r>
                    <ns1:r>
                      <ns1:rPr>
                        <ns1:sty ns1:val="p"/>
                      </ns1:rPr>
                      <ns1:t>,</ns1:t>
                    </ns1:r>
                    <ns1:r>
                      <ns1:t>856.6</ns1:t>
                    </ns1:r>
                  </ns1:oMath>
                </w:p>
              </w:tc>
              <w:tc>
                <w:tcPr/>
                <w:p>
                  <w:pPr>
                    <w:pStyle w:val="Compact"/>
                    <w:jc w:val="both"/>
                    <w:jc w:val="center"/>
                    <w:spacing w:line="360" w:lineRule="auto"/>
                  </w:pPr>
                  <ns1:oMath>
                    <ns1:r>
                      <ns1:rPr>
                        <ns1:sty ns1:val="p"/>
                      </ns1:rPr>
                      <ns1:t>+</ns1:t>
                    </ns1:r>
                    <ns1:r>
                      <ns1:t>0.451</ns1:t>
                    </ns1:r>
                  </ns1:oMath>
                </w:p>
              </w:tc>
              <w:tc>
                <w:tcPr/>
                <w:p>
                  <w:pPr>
                    <w:pStyle w:val="Compact"/>
                    <w:jc w:val="both"/>
                    <w:jc w:val="center"/>
                    <w:spacing w:line="360" w:lineRule="auto"/>
                  </w:pPr>
                  <w:r>
                    <w:t xml:space="preserve">205</w:t>
                  </w:r>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ns1:oMath>
                    <ns1:r>
                      <ns1:t>1.18</ns1:t>
                    </ns1:r>
                    <ns1:r>
                      <ns1:rPr>
                        <ns1:sty ns1:val="p"/>
                      </ns1:rPr>
                      <ns1:t>×</ns1:t>
                    </ns1:r>
                    <ns1:sSup>
                      <ns1:e>
                        <ns1:r>
                          <ns1:t>10</ns1:t>
                        </ns1:r>
                      </ns1:e>
                      <ns1:sup>
                        <ns1:r>
                          <ns1:rPr>
                            <ns1:sty ns1:val="p"/>
                          </ns1:rPr>
                          <ns1:t>−</ns1:t>
                        </ns1:r>
                        <ns1:r>
                          <ns1:t>10</ns1:t>
                        </ns1:r>
                      </ns1:sup>
                    </ns1:sSup>
                  </ns1:oMath>
                </w:p>
              </w:tc>
              <w:tc>
                <w:tcPr/>
                <w:p>
                  <w:pPr>
                    <w:pStyle w:val="Compact"/>
                    <w:jc w:val="both"/>
                    <w:jc w:val="center"/>
                    <w:spacing w:line="360" w:lineRule="auto"/>
                  </w:pPr>
                  <w:r>
                    <w:t xml:space="preserve">59</w:t>
                  </w:r>
                </w:p>
              </w:tc>
              <w:tc>
                <w:tcPr/>
                <w:p>
                  <w:pPr>
                    <w:pStyle w:val="Compact"/>
                    <w:jc w:val="both"/>
                    <w:jc w:val="center"/>
                    <w:spacing w:line="360" w:lineRule="auto"/>
                  </w:pPr>
                  <w:r>
                    <w:t xml:space="preserve">16</w:t>
                  </w:r>
                </w:p>
              </w:tc>
              <w:tc>
                <w:tcPr/>
                <w:p>
                  <w:pPr>
                    <w:pStyle w:val="Compact"/>
                    <w:jc w:val="both"/>
                    <w:jc w:val="center"/>
                    <w:spacing w:line="360" w:lineRule="auto"/>
                  </w:pPr>
                  <w:r>
                    <w:rPr>
                      <w:b/>
                      <w:bCs/>
                    </w:rPr>
                    <w:t xml:space="preserve">Rechazar</w:t>
                  </w:r>
                  <w:r>
                    <w:t xml:space="preserve"> </w:t>
                  </w:r>
                  <ns1:oMath>
                    <ns1:sSub>
                      <ns1:e>
                        <ns1:r>
                          <ns1:t>H</ns1:t>
                        </ns1:r>
                      </ns1:e>
                      <ns1:sub>
                        <ns1:r>
                          <ns1:t>0</ns1:t>
                        </ns1:r>
                      </ns1:sub>
                    </ns1:sSub>
                  </ns1:oMath>
                </w:p>
              </w:tc>
            </w:tr>
          </w:tbl>
          <w:bookmarkEnd w:id="339"/>
          <w:p>
            <w:pPr>
              <w:spacing w:line="360" w:lineRule="auto"/>
              <w:jc w:val="both"/>
            </w:pPr>
          </w:p>
        </w:tc>
      </w:tr>
    </w:tbl>
    <w:p>
      <w:pPr>
        <w:pStyle w:val="Textoindependiente"/>
        <w:spacing w:line="360" w:lineRule="auto"/>
        <w:jc w:val="both"/>
      </w:pPr>
      <w:r>
        <w:t xml:space="preserve">La interpretación de</w:t>
      </w:r>
      <w:r>
        <w:t xml:space="preserve"> </w:t>
      </w:r>
      <ns1:oMath>
        <ns1:sSub>
          <ns1:e>
            <ns1:r>
              <ns1:t>d</ns1:t>
            </ns1:r>
          </ns1:e>
          <ns1:sub>
            <ns1:r>
              <ns1:t>z</ns1:t>
            </ns1:r>
          </ns1:sub>
        </ns1:sSub>
      </ns1:oMath>
      <w:r>
        <w:t xml:space="preserve"> </w:t>
      </w:r>
      <w:r>
        <w:t xml:space="preserve">sigue la escala de Cohen:</w:t>
      </w:r>
      <w:r>
        <w:t xml:space="preserve"> </w:t>
      </w:r>
      <ns1:oMath>
        <ns1:sSub>
          <ns1:e>
            <ns1:r>
              <ns1:t>d</ns1:t>
            </ns1:r>
          </ns1:e>
          <ns1:sub>
            <ns1:r>
              <ns1:t>z</ns1:t>
            </ns1:r>
          </ns1:sub>
        </ns1:sSub>
        <ns1:r>
          <ns1:rPr>
            <ns1:sty ns1:val="p"/>
          </ns1:rPr>
          <ns1:t>&gt;</ns1:t>
        </ns1:r>
        <ns1:r>
          <ns1:t>0.8</ns1:t>
        </ns1:r>
      </ns1:oMath>
      <w:r>
        <w:t xml:space="preserve"> </w:t>
      </w:r>
      <w:r>
        <w:t xml:space="preserve">= efecto</w:t>
      </w:r>
      <w:r>
        <w:t xml:space="preserve"> </w:t>
      </w:r>
      <w:r>
        <w:t xml:space="preserve">grande;</w:t>
      </w:r>
      <w:r>
        <w:t xml:space="preserve"> </w:t>
      </w:r>
      <ns1:oMath>
        <ns1:sSub>
          <ns1:e>
            <ns1:r>
              <ns1:t>d</ns1:t>
            </ns1:r>
          </ns1:e>
          <ns1:sub>
            <ns1:r>
              <ns1:t>z</ns1:t>
            </ns1:r>
          </ns1:sub>
        </ns1:sSub>
        <ns1:r>
          <ns1:rPr>
            <ns1:sty ns1:val="p"/>
          </ns1:rPr>
          <ns1:t>&gt;</ns1:t>
        </ns1:r>
        <ns1:r>
          <ns1:t>2.0</ns1:t>
        </ns1:r>
      </ns1:oMath>
      <w:r>
        <w:t xml:space="preserve"> </w:t>
      </w:r>
      <w:r>
        <w:t xml:space="preserve">= efecto muy grande. Los umbrales Holm ajustados se</w:t>
      </w:r>
      <w:r>
        <w:t xml:space="preserve"> </w:t>
      </w:r>
      <w:r>
        <w:t xml:space="preserve">aplican en orden decreciente de</w:t>
      </w:r>
      <w:r>
        <w:t xml:space="preserve"> </w:t>
      </w:r>
      <ns1:oMath>
        <ns1:r>
          <ns1:t>p</ns1:t>
        </ns1:r>
      </ns1:oMath>
      <w:r>
        <w:t xml:space="preserve">-valor:</w:t>
      </w:r>
      <w:r>
        <w:t xml:space="preserve"> </w:t>
      </w:r>
      <ns1:oMath>
        <ns1:r>
          <ns1:t>α</ns1:t>
        </ns1:r>
        <ns1:r>
          <ns1:rPr>
            <ns1:sty ns1:val="p"/>
          </ns1:rPr>
          <ns1:t>/</ns1:t>
        </ns1:r>
        <ns1:r>
          <ns1:t>5</ns1:t>
        </ns1:r>
        <ns1:r>
          <ns1:rPr>
            <ns1:sty ns1:val="p"/>
          </ns1:rPr>
          <ns1:t>=</ns1:t>
        </ns1:r>
        <ns1:r>
          <ns1:t>0.010</ns1:t>
        </ns1:r>
      </ns1:oMath>
      <w:r>
        <w:t xml:space="preserve">,</w:t>
      </w:r>
      <w:r>
        <w:t xml:space="preserve"> </w:t>
      </w:r>
      <ns1:oMath>
        <ns1:r>
          <ns1:t>α</ns1:t>
        </ns1:r>
        <ns1:r>
          <ns1:rPr>
            <ns1:sty ns1:val="p"/>
          </ns1:rPr>
          <ns1:t>/</ns1:t>
        </ns1:r>
        <ns1:r>
          <ns1:t>4</ns1:t>
        </ns1:r>
        <ns1:r>
          <ns1:rPr>
            <ns1:sty ns1:val="p"/>
          </ns1:rPr>
          <ns1:t>=</ns1:t>
        </ns1:r>
        <ns1:r>
          <ns1:t>0.0125</ns1:t>
        </ns1:r>
      </ns1:oMath>
      <w:r>
        <w:t xml:space="preserve">,</w:t>
      </w:r>
      <w:r>
        <w:t xml:space="preserve"> </w:t>
      </w:r>
      <ns1:oMath>
        <ns1:r>
          <ns1:t>α</ns1:t>
        </ns1:r>
        <ns1:r>
          <ns1:rPr>
            <ns1:sty ns1:val="p"/>
          </ns1:rPr>
          <ns1:t>/</ns1:t>
        </ns1:r>
        <ns1:r>
          <ns1:t>3</ns1:t>
        </ns1:r>
        <ns1:r>
          <ns1:rPr>
            <ns1:sty ns1:val="p"/>
          </ns1:rPr>
          <ns1:t>=</ns1:t>
        </ns1:r>
        <ns1:r>
          <ns1:t>0.0167</ns1:t>
        </ns1:r>
      </ns1:oMath>
      <w:r>
        <w:t xml:space="preserve">,</w:t>
      </w:r>
      <w:r>
        <w:t xml:space="preserve"> </w:t>
      </w:r>
      <ns1:oMath>
        <ns1:r>
          <ns1:t>α</ns1:t>
        </ns1:r>
        <ns1:r>
          <ns1:rPr>
            <ns1:sty ns1:val="p"/>
          </ns1:rPr>
          <ns1:t>/</ns1:t>
        </ns1:r>
        <ns1:r>
          <ns1:t>2</ns1:t>
        </ns1:r>
        <ns1:r>
          <ns1:rPr>
            <ns1:sty ns1:val="p"/>
          </ns1:rPr>
          <ns1:t>=</ns1:t>
        </ns1:r>
        <ns1:r>
          <ns1:t>0.025</ns1:t>
        </ns1:r>
      </ns1:oMath>
      <w:r>
        <w:t xml:space="preserve">,</w:t>
      </w:r>
      <w:r>
        <w:t xml:space="preserve"> </w:t>
      </w:r>
      <ns1:oMath>
        <ns1:r>
          <ns1:t>α</ns1:t>
        </ns1:r>
        <ns1:r>
          <ns1:rPr>
            <ns1:sty ns1:val="p"/>
          </ns1:rPr>
          <ns1:t>/</ns1:t>
        </ns1:r>
        <ns1:r>
          <ns1:t>1</ns1:t>
        </ns1:r>
        <ns1:r>
          <ns1:rPr>
            <ns1:sty ns1:val="p"/>
          </ns1:rPr>
          <ns1:t>=</ns1:t>
        </ns1:r>
        <ns1:r>
          <ns1:t>0.050</ns1:t>
        </ns1:r>
      </ns1:oMath>
      <w:r>
        <w:t xml:space="preserve">. Todos</w:t>
      </w:r>
      <w:r>
        <w:t xml:space="preserve"> </w:t>
      </w:r>
      <w:r>
        <w:t xml:space="preserve">los p-valores ajustados quedan muy por debajo de sus umbrales correspondientes.</w:t>
      </w:r>
    </w:p>
    <w:p>
      <w:pPr>
        <w:pStyle w:val="Textoindependiente"/>
        <w:spacing w:line="360" w:lineRule="auto"/>
        <w:jc w:val="both"/>
      </w:pPr>
      <w:r>
        <w:t xml:space="preserve">La reproducibilidad de EXP1 se documenta en</w:t>
      </w:r>
      <w:r>
        <w:t xml:space="preserve"> </w:t>
      </w:r>
      <w:r>
        <w:rPr>
          <w:rStyle w:val="VerbatimChar"/>
        </w:rPr>
        <w:t xml:space="preserve">experiments/exp1_adult/reproducibility/reproducibility_report.csv</w:t>
      </w:r>
      <w:r>
        <w:t xml:space="preserve">, que sostiene</w:t>
      </w:r>
      <w:r>
        <w:t xml:space="preserve"> </w:t>
      </w:r>
      <w:r>
        <w:t xml:space="preserve">la proposición P1. Los artefactos crudos por ejecución se encuentran bajo</w:t>
      </w:r>
      <w:r>
        <w:t xml:space="preserve"> </w:t>
      </w:r>
      <w:r>
        <w:rPr>
          <w:rStyle w:val="VerbatimChar"/>
        </w:rPr>
        <w:t xml:space="preserve">experiments/exp2_scaled/results/</w:t>
      </w:r>
      <w:r>
        <w:t xml:space="preserve">; 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se documenta en</w:t>
      </w:r>
      <w:r>
        <w:t xml:space="preserve"> </w:t>
      </w:r>
      <w:r>
        <w:rPr>
          <w:rStyle w:val="VerbatimChar"/>
        </w:rPr>
        <w:t xml:space="preserve">outputs/batch_results.csv</w:t>
      </w:r>
      <w:r>
        <w:t xml:space="preserve">.</w:t>
      </w:r>
    </w:p>
    <w:bookmarkEnd w:id="340"/>
    <w:bookmarkEnd w:id="341"/>
    <w:bookmarkStart w:id="343" w:name="X04860b57595e5decb99c93517a1220202cc7fb5"/>
    <w:p>
      <w:pPr>
        <w:pStyle w:val="Ttulo2"/>
        <w:spacing w:line="360" w:lineRule="auto"/>
        <w:jc w:val="both"/>
      </w:pPr>
      <w:r>
        <w:t xml:space="preserve">Apéndice E: Entorno computacional y reproducción</w:t>
      </w:r>
    </w:p>
    <w:p>
      <w:pPr>
        <w:pStyle w:val="FirstParagraph"/>
        <w:spacing w:line="360" w:lineRule="auto"/>
        <w:jc w:val="both"/>
      </w:pPr>
      <w:r>
        <w:t xml:space="preserve">La instantánea de trabajo usada para esta versión de tesis corresponde al commit</w:t>
      </w:r>
      <w:r>
        <w:t xml:space="preserve"> </w:t>
      </w:r>
      <w:r>
        <w:rPr>
          <w:rStyle w:val="VerbatimChar"/>
        </w:rPr>
        <w:t xml:space="preserve">33fd952a01a752f6988f46ba79b18694838c3f8f</w:t>
      </w:r>
      <w:r>
        <w:t xml:space="preserve">. El repositorio se archiva con DOI</w:t>
      </w:r>
      <w:r>
        <w:t xml:space="preserve"> </w:t>
      </w:r>
      <w:r>
        <w:t xml:space="preserve">Zenodo</w:t>
      </w:r>
      <w:r>
        <w:t xml:space="preserve"> </w:t>
      </w:r>
      <w:r>
        <w:rPr>
          <w:rStyle w:val="VerbatimChar"/>
        </w:rPr>
        <w:t xml:space="preserve">10.5281/zenodo.19297724</w:t>
      </w:r>
      <w:r>
        <w:t xml:space="preserve">. Los archivos principales de entorno son:</w:t>
      </w:r>
    </w:p>
    <w:tbl>
      <w:tblPr>
        <w:tblStyle w:val="Table"/>
        <w:tblW w:type="pct" w:w="5000"/>
        <w:tblLayout w:type="fixed"/>
        <w:tblLook w:firstRow="0" w:lastRow="0" w:firstColumn="0" w:lastColumn="0" w:noHBand="0" w:noVBand="0" w:val="0000"/>
      </w:tblPr>
      <w:tblGrid>
        <w:gridCol w:w="7920"/>
      </w:tblGrid>
      <w:tr>
        <w:tc>
          <w:tcPr/>
          <w:bookmarkStart w:id="342" w:name="tbl-appendix-environment"/>
          <w:p>
            <w:pPr>
              <w:jc w:val="both"/>
              <w:spacing w:line="360" w:lineRule="auto"/>
            </w:pPr>
            <w:pPr>
              <w:jc w:val="left"/>
              <w:spacing w:before="200"/>
              <w:pStyle w:val="ImageCaption"/>
            </w:pPr>
            <w:r>
              <w:t xml:space="preserve">Table 7.16: Archivos de entorno y reproducción.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both"/>
                    <w:jc w:val="center"/>
                    <w:spacing w:line="360" w:lineRule="auto"/>
                  </w:pPr>
                  <w:r>
                    <w:t xml:space="preserve">Archivo</w:t>
                  </w:r>
                </w:p>
              </w:tc>
              <w:tc>
                <w:tcPr/>
                <w:p>
                  <w:pPr>
                    <w:pStyle w:val="Compact"/>
                    <w:jc w:val="both"/>
                    <w:jc w:val="center"/>
                    <w:spacing w:line="360" w:lineRule="auto"/>
                  </w:pPr>
                  <w:r>
                    <w:t xml:space="preserve">Función</w:t>
                  </w:r>
                </w:p>
              </w:tc>
            </w:tr>
            <w:tr>
              <w:tc>
                <w:tcPr/>
                <w:p>
                  <w:pPr>
                    <w:pStyle w:val="Compact"/>
                    <w:jc w:val="both"/>
                    <w:jc w:val="center"/>
                    <w:spacing w:line="360" w:lineRule="auto"/>
                  </w:pPr>
                  <w:r>
                    <w:rPr>
                      <w:rStyle w:val="VerbatimChar"/>
                    </w:rPr>
                    <w:t xml:space="preserve">environment.yml</w:t>
                  </w:r>
                </w:p>
              </w:tc>
              <w:tc>
                <w:tcPr/>
                <w:p>
                  <w:pPr>
                    <w:pStyle w:val="Compact"/>
                    <w:jc w:val="both"/>
                    <w:jc w:val="center"/>
                    <w:spacing w:line="360" w:lineRule="auto"/>
                  </w:pPr>
                  <w:r>
                    <w:t xml:space="preserve">Entorno Conda base con Python 3.11</w:t>
                  </w:r>
                </w:p>
              </w:tc>
            </w:tr>
            <w:tr>
              <w:tc>
                <w:tcPr/>
                <w:p>
                  <w:pPr>
                    <w:pStyle w:val="Compact"/>
                    <w:jc w:val="both"/>
                    <w:jc w:val="center"/>
                    <w:spacing w:line="360" w:lineRule="auto"/>
                  </w:pPr>
                  <w:r>
                    <w:rPr>
                      <w:rStyle w:val="VerbatimChar"/>
                    </w:rPr>
                    <w:t xml:space="preserve">requirements.txt</w:t>
                  </w:r>
                </w:p>
              </w:tc>
              <w:tc>
                <w:tcPr/>
                <w:p>
                  <w:pPr>
                    <w:pStyle w:val="Compact"/>
                    <w:jc w:val="both"/>
                    <w:jc w:val="center"/>
                    <w:spacing w:line="360" w:lineRule="auto"/>
                  </w:pPr>
                  <w:r>
                    <w:t xml:space="preserve">Dependencias Python principales</w:t>
                  </w:r>
                </w:p>
              </w:tc>
            </w:tr>
            <w:tr>
              <w:tc>
                <w:tcPr/>
                <w:p>
                  <w:pPr>
                    <w:pStyle w:val="Compact"/>
                    <w:jc w:val="both"/>
                    <w:jc w:val="center"/>
                    <w:spacing w:line="360" w:lineRule="auto"/>
                  </w:pPr>
                  <w:r>
                    <w:rPr>
                      <w:rStyle w:val="VerbatimChar"/>
                    </w:rPr>
                    <w:t xml:space="preserve">requirements-frozen.txt</w:t>
                  </w:r>
                </w:p>
              </w:tc>
              <w:tc>
                <w:tcPr/>
                <w:p>
                  <w:pPr>
                    <w:pStyle w:val="Compact"/>
                    <w:jc w:val="both"/>
                    <w:jc w:val="center"/>
                    <w:spacing w:line="360" w:lineRule="auto"/>
                  </w:pPr>
                  <w:r>
                    <w:t xml:space="preserve">Dependencias fijadas para reproducción</w:t>
                  </w:r>
                </w:p>
              </w:tc>
            </w:tr>
            <w:tr>
              <w:tc>
                <w:tcPr/>
                <w:p>
                  <w:pPr>
                    <w:pStyle w:val="Compact"/>
                    <w:jc w:val="both"/>
                    <w:jc w:val="center"/>
                    <w:spacing w:line="360" w:lineRule="auto"/>
                  </w:pPr>
                  <w:r>
                    <w:rPr>
                      <w:rStyle w:val="VerbatimChar"/>
                    </w:rPr>
                    <w:t xml:space="preserve">render.yaml</w:t>
                  </w:r>
                </w:p>
              </w:tc>
              <w:tc>
                <w:tcPr/>
                <w:p>
                  <w:pPr>
                    <w:pStyle w:val="Compact"/>
                    <w:jc w:val="both"/>
                    <w:jc w:val="center"/>
                    <w:spacing w:line="360" w:lineRule="auto"/>
                  </w:pPr>
                  <w:r>
                    <w:t xml:space="preserve">Configuración auxiliar de render</w:t>
                  </w:r>
                </w:p>
              </w:tc>
            </w:tr>
          </w:tbl>
          <w:bookmarkEnd w:id="342"/>
          <w:p>
            <w:pPr>
              <w:spacing w:line="360" w:lineRule="auto"/>
              <w:jc w:val="both"/>
            </w:pPr>
          </w:p>
        </w:tc>
      </w:tr>
    </w:tbl>
    <w:p>
      <w:pPr>
        <w:pStyle w:val="Textoindependiente"/>
        <w:spacing w:line="360" w:lineRule="auto"/>
        <w:jc w:val="both"/>
      </w:pPr>
      <w:r>
        <w:t xml:space="preserve">La reproducción mínima sigue esta secuencia:</w:t>
      </w:r>
    </w:p>
    <w:p>
      <w:pPr>
        <w:pStyle w:val="Compact"/>
        <w:numPr>
          <w:ilvl w:val="0"/>
          <w:numId w:val="1018"/>
        </w:numPr>
        <w:spacing w:line="360" w:lineRule="auto"/>
        <w:jc w:val="both"/>
      </w:pPr>
      <w:r>
        <w:t xml:space="preserve">Crear el entorno desde</w:t>
      </w:r>
      <w:r>
        <w:t xml:space="preserve"> </w:t>
      </w:r>
      <w:r>
        <w:rPr>
          <w:rStyle w:val="VerbatimChar"/>
        </w:rPr>
        <w:t xml:space="preserve">environment.yml</w:t>
      </w:r>
      <w:r>
        <w:t xml:space="preserve">.</w:t>
      </w:r>
    </w:p>
    <w:p>
      <w:pPr>
        <w:pStyle w:val="Compact"/>
        <w:numPr>
          <w:ilvl w:val="0"/>
          <w:numId w:val="1018"/>
        </w:numPr>
        <w:spacing w:line="360" w:lineRule="auto"/>
        <w:jc w:val="both"/>
      </w:pPr>
      <w:r>
        <w:t xml:space="preserve">Instalar dependencias fijadas desde</w:t>
      </w:r>
      <w:r>
        <w:t xml:space="preserve"> </w:t>
      </w:r>
      <w:r>
        <w:rPr>
          <w:rStyle w:val="VerbatimChar"/>
        </w:rPr>
        <w:t xml:space="preserve">requirements-frozen.txt</w:t>
      </w:r>
      <w:r>
        <w:t xml:space="preserve">.</w:t>
      </w:r>
    </w:p>
    <w:p>
      <w:pPr>
        <w:pStyle w:val="Compact"/>
        <w:numPr>
          <w:ilvl w:val="0"/>
          <w:numId w:val="1018"/>
        </w:numPr>
        <w:spacing w:line="360" w:lineRule="auto"/>
        <w:jc w:val="both"/>
      </w:pPr>
      <w:r>
        <w:t xml:space="preserve">Verificar artefactos EXP2 con</w:t>
      </w:r>
      <w:r>
        <w:t xml:space="preserve"> </w:t>
      </w:r>
      <w:r>
        <w:rPr>
          <w:rStyle w:val="VerbatimChar"/>
        </w:rPr>
        <w:t xml:space="preserve">scripts/validate_results.py</w:t>
      </w:r>
      <w:r>
        <w:t xml:space="preserve"> </w:t>
      </w:r>
      <w:r>
        <w:t xml:space="preserve">o</w:t>
      </w:r>
      <w:r>
        <w:t xml:space="preserve"> </w:t>
      </w:r>
      <w:r>
        <w:rPr>
          <w:rStyle w:val="VerbatimChar"/>
        </w:rPr>
        <w:t xml:space="preserve">scripts/verify_and_repair_results.py</w:t>
      </w:r>
      <w:r>
        <w:t xml:space="preserve">.</w:t>
      </w:r>
    </w:p>
    <w:p>
      <w:pPr>
        <w:pStyle w:val="Compact"/>
        <w:numPr>
          <w:ilvl w:val="0"/>
          <w:numId w:val="1018"/>
        </w:numPr>
        <w:spacing w:line="360" w:lineRule="auto"/>
        <w:jc w:val="both"/>
      </w:pPr>
      <w:r>
        <w:t xml:space="preserve">Regenerar tablas inferenciales con</w:t>
      </w:r>
      <w:r>
        <w:t xml:space="preserve"> </w:t>
      </w:r>
      <w:r>
        <w:rPr>
          <w:rStyle w:val="VerbatimChar"/>
        </w:rPr>
        <w:t xml:space="preserve">scripts/run_exp2_statistical_analysis.py</w:t>
      </w:r>
      <w:r>
        <w:t xml:space="preserve">.</w:t>
      </w:r>
    </w:p>
    <w:p>
      <w:pPr>
        <w:pStyle w:val="Compact"/>
        <w:numPr>
          <w:ilvl w:val="0"/>
          <w:numId w:val="1018"/>
        </w:numPr>
        <w:spacing w:line="360" w:lineRule="auto"/>
        <w:jc w:val="both"/>
      </w:pPr>
      <w:r>
        <w:t xml:space="preserve">Renderizar la tesis desde</w:t>
      </w:r>
      <w:r>
        <w:t xml:space="preserve"> </w:t>
      </w:r>
      <w:r>
        <w:rPr>
          <w:rStyle w:val="VerbatimChar"/>
        </w:rPr>
        <w:t xml:space="preserve">thesis/</w:t>
      </w:r>
      <w:r>
        <w:t xml:space="preserve"> </w:t>
      </w:r>
      <w:r>
        <w:t xml:space="preserve">con</w:t>
      </w:r>
      <w:r>
        <w:t xml:space="preserve"> </w:t>
      </w:r>
      <w:r>
        <w:rPr>
          <w:rStyle w:val="VerbatimChar"/>
        </w:rPr>
        <w:t xml:space="preserve">quarto render</w:t>
      </w:r>
      <w:r>
        <w:t xml:space="preserve">.</w:t>
      </w:r>
    </w:p>
    <w:bookmarkEnd w:id="343"/>
    <w:bookmarkStart w:id="345" w:name="X6203a5fbf2bdeeaed3e02c144db2e542f2870ed"/>
    <w:p>
      <w:pPr>
        <w:pStyle w:val="Ttulo2"/>
        <w:spacing w:line="360" w:lineRule="auto"/>
        <w:jc w:val="both"/>
      </w:pPr>
      <w:r>
        <w:t xml:space="preserve">Apéndice F: Artefactos del Estudio EXP4 (fiabilidad de jueces LLM)</w:t>
      </w:r>
    </w:p>
    <w:p>
      <w:pPr>
        <w:pStyle w:val="FirstParagraph"/>
        <w:spacing w:line="360" w:lineRule="auto"/>
        <w:jc w:val="both"/>
      </w:pPr>
      <w:r>
        <w:t xml:space="preserve">EXP4 (diseñado en §sec-exp4-diseno, Capítulo 3; resultados en</w:t>
      </w:r>
      <w:r>
        <w:t xml:space="preserve"> </w:t>
      </w:r>
      <w:r>
        <w:t xml:space="preserve">§sec-exp4-fiabilidad, Capítulo 5) cuantifica la fiabilidad inter-juez de</w:t>
      </w:r>
      <w:r>
        <w:t xml:space="preserve"> </w:t>
      </w:r>
      <w:r>
        <w:t xml:space="preserve">evaluadores LLM sobre siete dimensiones semánticas. Los artefactos del estudio</w:t>
      </w:r>
      <w:r>
        <w:t xml:space="preserve"> </w:t>
      </w:r>
      <w:r>
        <w:t xml:space="preserve">se encuentran en las rutas siguientes y sostienen la Tabla</w:t>
      </w:r>
      <w:r>
        <w:t xml:space="preserve"> </w:t>
      </w:r>
      <w:hyperlink w:anchor="tbl-exp4-icc">
        <w:r>
          <w:rPr>
            <w:rStyle w:val="Hipervnculo"/>
          </w:rPr>
          <w:t xml:space="preserve">Table 6.3</w:t>
        </w:r>
      </w:hyperlink>
      <w:r>
        <w:t xml:space="preserve"> </w:t>
      </w:r>
      <w:r>
        <w:t xml:space="preserve">del</w:t>
      </w:r>
      <w:r>
        <w:t xml:space="preserve"> </w:t>
      </w:r>
      <w:r>
        <w:t xml:space="preserve">Capítulo 5.</w:t>
      </w:r>
    </w:p>
    <w:tbl>
      <w:tblPr>
        <w:tblStyle w:val="Table"/>
        <w:tblW w:type="pct" w:w="5000"/>
        <w:tblLayout w:type="fixed"/>
        <w:tblLook w:firstRow="0" w:lastRow="0" w:firstColumn="0" w:lastColumn="0" w:noHBand="0" w:noVBand="0" w:val="0000"/>
      </w:tblPr>
      <w:tblGrid>
        <w:gridCol w:w="7920"/>
      </w:tblGrid>
      <w:tr>
        <w:tc>
          <w:tcPr/>
          <w:bookmarkStart w:id="344" w:name="tbl-appendix-llm"/>
          <w:p>
            <w:pPr>
              <w:jc w:val="both"/>
              <w:spacing w:line="360" w:lineRule="auto"/>
            </w:pPr>
            <w:pPr>
              <w:jc w:val="left"/>
              <w:spacing w:before="200"/>
              <w:pStyle w:val="ImageCaption"/>
            </w:pPr>
            <w:r>
              <w:t xml:space="preserve">Table 7.17: Artefactos de EXP4 y trazabilidad a la 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both"/>
                    <w:jc w:val="center"/>
                    <w:spacing w:line="360" w:lineRule="auto"/>
                  </w:pPr>
                  <w:r>
                    <w:t xml:space="preserve">Artefacto</w:t>
                  </w:r>
                </w:p>
              </w:tc>
              <w:tc>
                <w:tcPr/>
                <w:p>
                  <w:pPr>
                    <w:pStyle w:val="Compact"/>
                    <w:jc w:val="both"/>
                    <w:jc w:val="center"/>
                    <w:spacing w:line="360" w:lineRule="auto"/>
                  </w:pPr>
                  <w:r>
                    <w:t xml:space="preserve">Contenido</w:t>
                  </w:r>
                </w:p>
              </w:tc>
              <w:tc>
                <w:tcPr/>
                <w:p>
                  <w:pPr>
                    <w:pStyle w:val="Compact"/>
                    <w:jc w:val="both"/>
                    <w:jc w:val="center"/>
                    <w:spacing w:line="360" w:lineRule="auto"/>
                  </w:pPr>
                  <w:r>
                    <w:t xml:space="preserve">Uso en la tesis</w:t>
                  </w:r>
                </w:p>
              </w:tc>
            </w:tr>
            <w:tr>
              <w:tc>
                <w:tcPr/>
                <w:p>
                  <w:pPr>
                    <w:pStyle w:val="Compact"/>
                    <w:jc w:val="both"/>
                    <w:jc w:val="center"/>
                    <w:spacing w:line="360" w:lineRule="auto"/>
                  </w:pPr>
                  <w:r>
                    <w:rPr>
                      <w:rStyle w:val="VerbatimChar"/>
                    </w:rPr>
                    <w:t xml:space="preserve">src/prompts/templates/explanation_eval.j2</w:t>
                  </w:r>
                </w:p>
              </w:tc>
              <w:tc>
                <w:tcPr/>
                <w:p>
                  <w:pPr>
                    <w:pStyle w:val="Compact"/>
                    <w:jc w:val="both"/>
                    <w:jc w:val="center"/>
                    <w:spacing w:line="360" w:lineRule="auto"/>
                  </w:pPr>
                  <w:r>
                    <w:t xml:space="preserve">Plantilla de evaluación de explicaciones (rúbrica de 7 dimensiones)</w:t>
                  </w:r>
                </w:p>
              </w:tc>
              <w:tc>
                <w:tcPr/>
                <w:p>
                  <w:pPr>
                    <w:pStyle w:val="Compact"/>
                    <w:jc w:val="both"/>
                    <w:jc w:val="center"/>
                    <w:spacing w:line="360" w:lineRule="auto"/>
                  </w:pPr>
                  <w:r>
                    <w:t xml:space="preserve">Instrumento de medición EXP4</w:t>
                  </w:r>
                </w:p>
              </w:tc>
            </w:tr>
            <w:tr>
              <w:tc>
                <w:tcPr/>
                <w:p>
                  <w:pPr>
                    <w:pStyle w:val="Compact"/>
                    <w:jc w:val="both"/>
                    <w:jc w:val="center"/>
                    <w:spacing w:line="360" w:lineRule="auto"/>
                  </w:pPr>
                  <w:r>
                    <w:rPr>
                      <w:rStyle w:val="VerbatimChar"/>
                    </w:rPr>
                    <w:t xml:space="preserve">src/prompts/templates/eval_instruction.j2</w:t>
                  </w:r>
                </w:p>
              </w:tc>
              <w:tc>
                <w:tcPr/>
                <w:p>
                  <w:pPr>
                    <w:pStyle w:val="Compact"/>
                    <w:jc w:val="both"/>
                    <w:jc w:val="center"/>
                    <w:spacing w:line="360" w:lineRule="auto"/>
                  </w:pPr>
                  <w:r>
                    <w:t xml:space="preserve">Instrucciones del sistema entregadas al juez LLM</w:t>
                  </w:r>
                </w:p>
              </w:tc>
              <w:tc>
                <w:tcPr/>
                <w:p>
                  <w:pPr>
                    <w:pStyle w:val="Compact"/>
                    <w:jc w:val="both"/>
                    <w:jc w:val="center"/>
                    <w:spacing w:line="360" w:lineRule="auto"/>
                  </w:pPr>
                  <w:r>
                    <w:t xml:space="preserve">Instrumento de medición EXP4</w:t>
                  </w:r>
                </w:p>
              </w:tc>
            </w:tr>
            <w:tr>
              <w:tc>
                <w:tcPr/>
                <w:p>
                  <w:pPr>
                    <w:pStyle w:val="Compact"/>
                    <w:jc w:val="both"/>
                    <w:jc w:val="center"/>
                    <w:spacing w:line="360" w:lineRule="auto"/>
                  </w:pPr>
                  <w:r>
                    <w:rPr>
                      <w:rStyle w:val="VerbatimChar"/>
                    </w:rPr>
                    <w:t xml:space="preserve">outputs/analysis/exp4_llm_evaluation/judge_comparison_summary.csv</w:t>
                  </w:r>
                </w:p>
              </w:tc>
              <w:tc>
                <w:tcPr/>
                <w:p>
                  <w:pPr>
                    <w:pStyle w:val="Compact"/>
                    <w:jc w:val="both"/>
                    <w:jc w:val="center"/>
                    <w:spacing w:line="360" w:lineRule="auto"/>
                  </w:pPr>
                  <w:r>
                    <w:t xml:space="preserve">Resumen comparativo de puntuaciones por juez y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outputs/analysis/exp4_llm_evaluation/krippendorff_alpha.csv</w:t>
                  </w:r>
                </w:p>
              </w:tc>
              <w:tc>
                <w:tcPr/>
                <w:p>
                  <w:pPr>
                    <w:pStyle w:val="Compact"/>
                    <w:jc w:val="both"/>
                    <w:jc w:val="center"/>
                    <w:spacing w:line="360" w:lineRule="auto"/>
                  </w:pPr>
                  <ns1:oMath>
                    <ns1:r>
                      <ns1:t>α</ns1:t>
                    </ns1:r>
                  </ns1:oMath>
                  <w:r>
                    <w:t xml:space="preserve"> </w:t>
                  </w:r>
                  <w:r>
                    <w:t xml:space="preserve">de Krippendorff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r>
              <w:tc>
                <w:tcPr/>
                <w:p>
                  <w:pPr>
                    <w:pStyle w:val="Compact"/>
                    <w:jc w:val="both"/>
                    <w:jc w:val="center"/>
                    <w:spacing w:line="360" w:lineRule="auto"/>
                  </w:pPr>
                  <w:r>
                    <w:rPr>
                      <w:rStyle w:val="VerbatimChar"/>
                    </w:rPr>
                    <w:t xml:space="preserve">outputs/analysis/exp4_llm_evaluation/icc_analysis.csv</w:t>
                  </w:r>
                </w:p>
              </w:tc>
              <w:tc>
                <w:tcPr/>
                <w:p>
                  <w:pPr>
                    <w:pStyle w:val="Compact"/>
                    <w:jc w:val="both"/>
                    <w:jc w:val="center"/>
                    <w:spacing w:line="360" w:lineRule="auto"/>
                  </w:pPr>
                  <w:r>
                    <w:t xml:space="preserve">ICC(2,1) por dimensión</w:t>
                  </w:r>
                </w:p>
              </w:tc>
              <w:tc>
                <w:tcPr/>
                <w:p>
                  <w:pPr>
                    <w:pStyle w:val="Compact"/>
                    <w:jc w:val="both"/>
                    <w:jc w:val="center"/>
                    <w:spacing w:line="360" w:lineRule="auto"/>
                  </w:pPr>
                  <w:r>
                    <w:t xml:space="preserve">Tabla</w:t>
                  </w:r>
                  <w:r>
                    <w:t xml:space="preserve"> </w:t>
                  </w:r>
                  <w:hyperlink w:anchor="tbl-exp4-icc">
                    <w:r>
                      <w:rPr>
                        <w:rStyle w:val="Hipervnculo"/>
                      </w:rPr>
                      <w:t xml:space="preserve">Table 6.3</w:t>
                    </w:r>
                  </w:hyperlink>
                  <w:r>
                    <w:t xml:space="preserve"> </w:t>
                  </w:r>
                  <w:r>
                    <w:t xml:space="preserve">(fuente)</w:t>
                  </w:r>
                </w:p>
              </w:tc>
            </w:tr>
          </w:tbl>
          <w:bookmarkEnd w:id="344"/>
          <w:p>
            <w:pPr>
              <w:spacing w:line="360" w:lineRule="auto"/>
              <w:jc w:val="both"/>
            </w:pPr>
          </w:p>
        </w:tc>
      </w:tr>
    </w:tbl>
    <w:p>
      <w:pPr>
        <w:pStyle w:val="Textoindependiente"/>
        <w:spacing w:line="360" w:lineRule="auto"/>
        <w:jc w:val="both"/>
      </w:pPr>
      <w:r>
        <w:t xml:space="preserve">EXP4 no aporta evidencia confirmativa sobre las hipótesis H1–H3 ni modifica P1;</w:t>
      </w:r>
      <w:r>
        <w:t xml:space="preserve"> </w:t>
      </w:r>
      <w:r>
        <w:t xml:space="preserve">su resultado (P2: jueces LLM no alcanzan ICC</w:t>
      </w:r>
      <w:r>
        <w:t xml:space="preserve"> </w:t>
      </w:r>
      <ns1:oMath>
        <ns1:r>
          <ns1:rPr>
            <ns1:sty ns1:val="p"/>
          </ns1:rPr>
          <ns1:t>≥</ns1:t>
        </ns1:r>
        <ns1:r>
          <ns1:t>0.75</ns1:t>
        </ns1:r>
      </ns1:oMath>
      <w:r>
        <w:t xml:space="preserve"> </w:t>
      </w:r>
      <w:r>
        <w:t xml:space="preserve">bajo las rúbricas</w:t>
      </w:r>
      <w:r>
        <w:t xml:space="preserve"> </w:t>
      </w:r>
      <w:r>
        <w:t xml:space="preserve">actuales) es un resultado negativo que delimita el alcance de la evaluación</w:t>
      </w:r>
      <w:r>
        <w:t xml:space="preserve"> </w:t>
      </w:r>
      <w:r>
        <w:t xml:space="preserve">semántica automática en XAI y establece los requisitos de formalización para</w:t>
      </w:r>
      <w:r>
        <w:t xml:space="preserve"> </w:t>
      </w:r>
      <w:r>
        <w:t xml:space="preserve">investigación futura (véase §sec-exp4-fiabilidad y §sec-futuro).</w:t>
      </w:r>
    </w:p>
    <w:bookmarkEnd w:id="345"/>
    <w:bookmarkEnd w:id="346"/>
    <w:sectPr w:rsidR="004A1446" w:rsidSect="0070096E">
      <w:headerReference ns5:id="rId9" w:type="even"/>
      <w:headerReference ns5: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360" w:lineRule="auto"/>
        <w:jc w:val="both"/>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pPr>
      <w:spacing w:line="360" w:lineRule="auto"/>
      <w:jc w:val="both"/>
    </w:pPr>
  </w:style>
  <w:style w:styleId="Ttulo1" w:type="paragraph">
    <w:name w:val="heading 1"/>
    <w:basedOn w:val="Normal"/>
    <w:next w:val="Normal"/>
    <w:link w:val="Ttulo1Car"/>
    <w:autoRedefine/>
    <w:uiPriority w:val="9"/>
    <w:qFormat/>
    <w:rsid w:val="00587376"/>
    <w:pPr>
      <w:keepNext/>
      <w:keepLines/>
      <w:spacing w:after="0" w:before="240" w:line="360" w:lineRule="auto"/>
      <w:jc w:val="both"/>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360" w:lineRule="auto"/>
      <w:outlineLvl w:val="1"/>
      <w:jc w:val="both"/>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line="360" w:lineRule="auto"/>
      <w:outlineLvl w:val="2"/>
      <w:jc w:val="both"/>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line="360" w:lineRule="auto"/>
      <w:ind w:left="1440"/>
      <w:outlineLvl w:val="3"/>
      <w:jc w:val="both"/>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line="360" w:lineRule="auto"/>
      <w:ind w:left="1440"/>
      <w:outlineLvl w:val="4"/>
      <w:jc w:val="both"/>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line="360" w:lineRule="auto"/>
      <w:jc w:val="both"/>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360" w:lineRule="auto"/>
      <w:jc w:val="both"/>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360" w:lineRule="auto"/>
      <w:jc w:val="both"/>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360" w:lineRule="auto"/>
      <w:jc w:val="both"/>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spacing w:line="360" w:lineRule="auto"/>
      <w:jc w:val="both"/>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360" w:lineRule="auto"/>
      <w:jc w:val="both"/>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pPr>
      <w:spacing w:line="360" w:lineRule="auto"/>
      <w:jc w:val="both"/>
    </w:p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spacing w:line="360" w:lineRule="auto"/>
      <w:jc w:val="both"/>
    </w:pPr>
    <w:rPr>
      <w:lang w:eastAsia="es-MX"/>
    </w:rPr>
  </w:style>
  <w:style w:styleId="TDC3" w:type="paragraph">
    <w:name w:val="toc 3"/>
    <w:basedOn w:val="Normal"/>
    <w:next w:val="Normal"/>
    <w:autoRedefine/>
    <w:uiPriority w:val="39"/>
    <w:unhideWhenUsed/>
    <w:rsid w:val="00302EDB"/>
    <w:pPr>
      <w:spacing w:after="100" w:line="360" w:lineRule="auto"/>
      <w:ind w:left="482"/>
      <w:jc w:val="both"/>
    </w:pPr>
  </w:style>
  <w:style w:styleId="TDC1" w:type="paragraph">
    <w:name w:val="toc 1"/>
    <w:basedOn w:val="Normal"/>
    <w:next w:val="Normal"/>
    <w:autoRedefine/>
    <w:uiPriority w:val="39"/>
    <w:unhideWhenUsed/>
    <w:rsid w:val="00302EDB"/>
    <w:pPr>
      <w:spacing w:after="100" w:line="360" w:lineRule="auto"/>
      <w:jc w:val="both"/>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360" w:lineRule="auto"/>
      <w:ind w:left="238"/>
      <w:jc w:val="both"/>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360" w:lineRule="auto"/>
      <w:jc w:val="both"/>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360" w:lineRule="auto"/>
      <w:jc w:val="both"/>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360" w:lineRule="auto"/>
      <w:ind w:left="720"/>
      <w:jc w:val="both"/>
    </w:pPr>
  </w:style>
  <w:style w:styleId="TDC5" w:type="paragraph">
    <w:name w:val="toc 5"/>
    <w:basedOn w:val="Normal"/>
    <w:next w:val="Normal"/>
    <w:autoRedefine/>
    <w:uiPriority w:val="39"/>
    <w:unhideWhenUsed/>
    <w:rsid w:val="00302EDB"/>
    <w:pPr>
      <w:spacing w:after="100" w:line="360" w:lineRule="auto"/>
      <w:ind w:left="958"/>
      <w:jc w:val="both"/>
    </w:pPr>
  </w:style>
  <w:style w:customStyle="1" w:styleId="Default" w:type="paragraph">
    <w:name w:val="Default"/>
    <w:rsid w:val="003C25F6"/>
    <w:pPr>
      <w:autoSpaceDE w:val="0"/>
      <w:autoSpaceDN w:val="0"/>
      <w:adjustRightInd w:val="0"/>
      <w:spacing w:after="0" w:line="360" w:lineRule="auto"/>
      <w:jc w:val="both"/>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360" w:lineRule="auto"/>
      <w:jc w:val="both"/>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spacing w:line="360" w:lineRule="auto"/>
      <w:jc w:val="both"/>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image" Id="rId143" Target="media/rId143.png" /><Relationship Type="http://schemas.openxmlformats.org/officeDocument/2006/relationships/image" Id="rId139" Target="media/rId139.png" /><Relationship Type="http://schemas.openxmlformats.org/officeDocument/2006/relationships/image" Id="rId135" Target="media/rId135.png" /><Relationship Type="http://schemas.openxmlformats.org/officeDocument/2006/relationships/image" Id="rId131" Target="media/rId131.png" /><Relationship Type="http://schemas.openxmlformats.org/officeDocument/2006/relationships/image" Id="rId147" Target="media/rId147.png" /><Relationship Type="http://schemas.openxmlformats.org/officeDocument/2006/relationships/image" Id="rId127" Target="media/rId127.png" /><Relationship Type="http://schemas.openxmlformats.org/officeDocument/2006/relationships/image" Id="rId151" Target="media/rId151.png" /><Relationship Type="http://schemas.openxmlformats.org/officeDocument/2006/relationships/hyperlink" Id="rId223" Target="http://archive.ics.uci.edu/ml" TargetMode="External" /><Relationship Type="http://schemas.openxmlformats.org/officeDocument/2006/relationships/hyperlink" Id="rId246" Target="https://archive.ics.uci.edu/dataset/2/adult" TargetMode="External" /><Relationship Type="http://schemas.openxmlformats.org/officeDocument/2006/relationships/hyperlink" Id="rId201" Target="https://arxiv.org/abs/1806.08049" TargetMode="External" /><Relationship Type="http://schemas.openxmlformats.org/officeDocument/2006/relationships/hyperlink" Id="rId278" Target="https://catalog.princeton.edu/catalog/2081365" TargetMode="External" /><Relationship Type="http://schemas.openxmlformats.org/officeDocument/2006/relationships/hyperlink" Id="rId203" Target="https://doi.org/10.1002/widm.1424" TargetMode="External" /><Relationship Type="http://schemas.openxmlformats.org/officeDocument/2006/relationships/hyperlink" Id="rId264" Target="https://doi.org/10.1002/widm.1493" TargetMode="External" /><Relationship Type="http://schemas.openxmlformats.org/officeDocument/2006/relationships/hyperlink" Id="rId297" Target="https://doi.org/10.1007/978-3-030-28954-6" TargetMode="External" /><Relationship Type="http://schemas.openxmlformats.org/officeDocument/2006/relationships/hyperlink" Id="rId313" Target="https://doi.org/10.1007/978-3-319-57959-7" TargetMode="External" /><Relationship Type="http://schemas.openxmlformats.org/officeDocument/2006/relationships/hyperlink" Id="rId299" Target="https://doi.org/10.1007/s10618-022-00867-8" TargetMode="External" /><Relationship Type="http://schemas.openxmlformats.org/officeDocument/2006/relationships/hyperlink" Id="rId225" Target="https://doi.org/10.1007/s11023-018-9482-5" TargetMode="External" /><Relationship Type="http://schemas.openxmlformats.org/officeDocument/2006/relationships/hyperlink" Id="rId235" Target="https://doi.org/10.1007/s12559-023-10179-8" TargetMode="External" /><Relationship Type="http://schemas.openxmlformats.org/officeDocument/2006/relationships/hyperlink" Id="rId303" Target="https://doi.org/10.1007/s13218-020-00637-y" TargetMode="External" /><Relationship Type="http://schemas.openxmlformats.org/officeDocument/2006/relationships/hyperlink" Id="rId238" Target="https://doi.org/10.1007/s13218-023-00806-9" TargetMode="External" /><Relationship Type="http://schemas.openxmlformats.org/officeDocument/2006/relationships/hyperlink" Id="rId266" Target="https://doi.org/10.1016/j.artint.2018.07.007" TargetMode="External" /><Relationship Type="http://schemas.openxmlformats.org/officeDocument/2006/relationships/hyperlink" Id="rId252" Target="https://doi.org/10.1016/j.artint.2021.103473" TargetMode="External" /><Relationship Type="http://schemas.openxmlformats.org/officeDocument/2006/relationships/hyperlink" Id="rId205" Target="https://doi.org/10.1016/j.inffus.2019.12.012" TargetMode="External" /><Relationship Type="http://schemas.openxmlformats.org/officeDocument/2006/relationships/hyperlink" Id="rId195" Target="https://doi.org/10.1016/j.inffus.2023.101805" TargetMode="External" /><Relationship Type="http://schemas.openxmlformats.org/officeDocument/2006/relationships/hyperlink" Id="rId248" Target="https://doi.org/10.1016/j.jcm.2016.02.012" TargetMode="External" /><Relationship Type="http://schemas.openxmlformats.org/officeDocument/2006/relationships/hyperlink" Id="rId283" Target="https://doi.org/10.1016/j.neucom.2024.128282" TargetMode="External" /><Relationship Type="http://schemas.openxmlformats.org/officeDocument/2006/relationships/hyperlink" Id="rId211" Target="https://doi.org/10.1023/a:1010933404324" TargetMode="External" /><Relationship Type="http://schemas.openxmlformats.org/officeDocument/2006/relationships/hyperlink" Id="rId281" Target="https://doi.org/10.1038/s41467-022-33417-3" TargetMode="External" /><Relationship Type="http://schemas.openxmlformats.org/officeDocument/2006/relationships/hyperlink" Id="rId274" Target="https://doi.org/10.1073/pnas.1900654116" TargetMode="External" /><Relationship Type="http://schemas.openxmlformats.org/officeDocument/2006/relationships/hyperlink" Id="rId227" Target="https://doi.org/10.1080/01621459.1937.10503522" TargetMode="External" /><Relationship Type="http://schemas.openxmlformats.org/officeDocument/2006/relationships/hyperlink" Id="rId190" Target="https://doi.org/10.1109/INES59045.2023.1030000" TargetMode="External" /><Relationship Type="http://schemas.openxmlformats.org/officeDocument/2006/relationships/hyperlink" Id="rId305" Target="https://doi.org/10.1109/TNNLS.2020.3027314" TargetMode="External" /><Relationship Type="http://schemas.openxmlformats.org/officeDocument/2006/relationships/hyperlink" Id="rId291" Target="https://doi.org/10.1109/TPAMI.2023.3331846" TargetMode="External" /><Relationship Type="http://schemas.openxmlformats.org/officeDocument/2006/relationships/hyperlink" Id="rId192" Target="https://doi.org/10.1109/access.2018.2870052" TargetMode="External" /><Relationship Type="http://schemas.openxmlformats.org/officeDocument/2006/relationships/hyperlink" Id="rId229" Target="https://doi.org/10.1109/dsaa.2018.00018" TargetMode="External" /><Relationship Type="http://schemas.openxmlformats.org/officeDocument/2006/relationships/hyperlink" Id="rId240" Target="https://doi.org/10.1126/science.359.6377.725" TargetMode="External" /><Relationship Type="http://schemas.openxmlformats.org/officeDocument/2006/relationships/hyperlink" Id="rId287" Target="https://doi.org/10.1145/2939672.2939778" TargetMode="External" /><Relationship Type="http://schemas.openxmlformats.org/officeDocument/2006/relationships/hyperlink" Id="rId188" Target="https://doi.org/10.1145/3173574.3174156" TargetMode="External" /><Relationship Type="http://schemas.openxmlformats.org/officeDocument/2006/relationships/hyperlink" Id="rId231" Target="https://doi.org/10.1145/3236009" TargetMode="External" /><Relationship Type="http://schemas.openxmlformats.org/officeDocument/2006/relationships/hyperlink" Id="rId258" Target="https://doi.org/10.1145/3236386.3241340" TargetMode="External" /><Relationship Type="http://schemas.openxmlformats.org/officeDocument/2006/relationships/hyperlink" Id="rId268" Target="https://doi.org/10.1145/3287560.3287574" TargetMode="External" /><Relationship Type="http://schemas.openxmlformats.org/officeDocument/2006/relationships/hyperlink" Id="rId244" Target="https://doi.org/10.1145/3313831.3376219" TargetMode="External" /><Relationship Type="http://schemas.openxmlformats.org/officeDocument/2006/relationships/hyperlink" Id="rId272" Target="https://doi.org/10.1145/3351095.3372850" TargetMode="External" /><Relationship Type="http://schemas.openxmlformats.org/officeDocument/2006/relationships/hyperlink" Id="rId301" Target="https://doi.org/10.1145/3375627.3375830" TargetMode="External" /><Relationship Type="http://schemas.openxmlformats.org/officeDocument/2006/relationships/hyperlink" Id="rId285" Target="https://doi.org/10.1145/3375627.3375850" TargetMode="External" /><Relationship Type="http://schemas.openxmlformats.org/officeDocument/2006/relationships/hyperlink" Id="rId270" Target="https://doi.org/10.1145/3387166" TargetMode="External" /><Relationship Type="http://schemas.openxmlformats.org/officeDocument/2006/relationships/hyperlink" Id="rId242" Target="https://doi.org/10.1145/3527848" TargetMode="External" /><Relationship Type="http://schemas.openxmlformats.org/officeDocument/2006/relationships/hyperlink" Id="rId276" Target="https://doi.org/10.1145/3583558" TargetMode="External" /><Relationship Type="http://schemas.openxmlformats.org/officeDocument/2006/relationships/hyperlink" Id="rId209" Target="https://doi.org/10.1145/3631700.3664911" TargetMode="External" /><Relationship Type="http://schemas.openxmlformats.org/officeDocument/2006/relationships/hyperlink" Id="rId262" Target="https://doi.org/10.1145/3647444.3647912" TargetMode="External" /><Relationship Type="http://schemas.openxmlformats.org/officeDocument/2006/relationships/hyperlink" Id="rId215" Target="https://doi.org/10.1145/3737445" TargetMode="External" /><Relationship Type="http://schemas.openxmlformats.org/officeDocument/2006/relationships/hyperlink" Id="rId197" Target="https://doi.org/10.1146/annurev-statistics-040120-030919" TargetMode="External" /><Relationship Type="http://schemas.openxmlformats.org/officeDocument/2006/relationships/hyperlink" Id="rId309" Target="https://doi.org/10.1201/9781003442509" TargetMode="External" /><Relationship Type="http://schemas.openxmlformats.org/officeDocument/2006/relationships/hyperlink" Id="rId293" Target="https://doi.org/10.1214/21-ss133" TargetMode="External" /><Relationship Type="http://schemas.openxmlformats.org/officeDocument/2006/relationships/hyperlink" Id="rId289" Target="https://doi.org/10.1609/aaai.v32i1.11491" TargetMode="External" /><Relationship Type="http://schemas.openxmlformats.org/officeDocument/2006/relationships/hyperlink" Id="rId307" Target="https://doi.org/10.1609/aaai.v34i04.6064" TargetMode="External" /><Relationship Type="http://schemas.openxmlformats.org/officeDocument/2006/relationships/hyperlink" Id="rId311" Target="https://doi.org/10.1613/jair.1.13283" TargetMode="External" /><Relationship Type="http://schemas.openxmlformats.org/officeDocument/2006/relationships/hyperlink" Id="rId233" Target="https://doi.org/10.18653/v1/2020.acl-main.491" TargetMode="External" /><Relationship Type="http://schemas.openxmlformats.org/officeDocument/2006/relationships/hyperlink" Id="rId213" Target="https://doi.org/10.18653/v1/2023.emnlp-main.792" TargetMode="External" /><Relationship Type="http://schemas.openxmlformats.org/officeDocument/2006/relationships/hyperlink" Id="rId315" Target="https://doi.org/10.2139/ssrn.3063289" TargetMode="External" /><Relationship Type="http://schemas.openxmlformats.org/officeDocument/2006/relationships/hyperlink" Id="rId317" Target="https://doi.org/10.2307/3001968" TargetMode="External" /><Relationship Type="http://schemas.openxmlformats.org/officeDocument/2006/relationships/hyperlink" Id="rId254" Target="https://doi.org/10.24963/ijcai.2019/388" TargetMode="External" /><Relationship Type="http://schemas.openxmlformats.org/officeDocument/2006/relationships/hyperlink" Id="rId207" Target="https://doi.org/10.3389/fdata.2021.688969" TargetMode="External" /><Relationship Type="http://schemas.openxmlformats.org/officeDocument/2006/relationships/hyperlink" Id="rId250" Target="https://doi.org/10.3389/fpsyg.2013.00863" TargetMode="External" /><Relationship Type="http://schemas.openxmlformats.org/officeDocument/2006/relationships/hyperlink" Id="rId295" Target="https://doi.org/10.3390/app14198884" TargetMode="External" /><Relationship Type="http://schemas.openxmlformats.org/officeDocument/2006/relationships/hyperlink" Id="rId256" Target="https://doi.org/10.3390/e23010018" TargetMode="External" /><Relationship Type="http://schemas.openxmlformats.org/officeDocument/2006/relationships/hyperlink" Id="rId217" Target="https://doi.org/10.3390/electronics8080832" TargetMode="External" /><Relationship Type="http://schemas.openxmlformats.org/officeDocument/2006/relationships/hyperlink" Id="rId199" Target="https://doi.org/10.3390/technologies13030093" TargetMode="External" /><Relationship Type="http://schemas.openxmlformats.org/officeDocument/2006/relationships/hyperlink" Id="rId221" Target="https://doi.org/10.48550/arxiv.1702.08608" TargetMode="External" /><Relationship Type="http://schemas.openxmlformats.org/officeDocument/2006/relationships/hyperlink" Id="rId260" Target="https://doi.org/10.48550/arxiv.1705.07874" TargetMode="External" /><Relationship Type="http://schemas.openxmlformats.org/officeDocument/2006/relationships/hyperlink" Id="rId319" Target="https://trustai4s-lab.github.io/ffidelity" TargetMode="External" /><Relationship Type="http://schemas.openxmlformats.org/officeDocument/2006/relationships/hyperlink" Id="rId219" Target="https://www.jmlr.org/papers/v7/demsar06a.html" TargetMode="External" /></Relationships>
</file>

<file path=word/_rels/footnotes.xml.rels><?xml version="1.0" encoding="UTF-8"?><Relationships xmlns="http://schemas.openxmlformats.org/package/2006/relationships"><Relationship Type="http://schemas.openxmlformats.org/officeDocument/2006/relationships/hyperlink" Id="rId223" Target="http://archive.ics.uci.edu/ml" TargetMode="External" /><Relationship Type="http://schemas.openxmlformats.org/officeDocument/2006/relationships/hyperlink" Id="rId246" Target="https://archive.ics.uci.edu/dataset/2/adult" TargetMode="External" /><Relationship Type="http://schemas.openxmlformats.org/officeDocument/2006/relationships/hyperlink" Id="rId201" Target="https://arxiv.org/abs/1806.08049" TargetMode="External" /><Relationship Type="http://schemas.openxmlformats.org/officeDocument/2006/relationships/hyperlink" Id="rId278" Target="https://catalog.princeton.edu/catalog/2081365" TargetMode="External" /><Relationship Type="http://schemas.openxmlformats.org/officeDocument/2006/relationships/hyperlink" Id="rId203" Target="https://doi.org/10.1002/widm.1424" TargetMode="External" /><Relationship Type="http://schemas.openxmlformats.org/officeDocument/2006/relationships/hyperlink" Id="rId264" Target="https://doi.org/10.1002/widm.1493" TargetMode="External" /><Relationship Type="http://schemas.openxmlformats.org/officeDocument/2006/relationships/hyperlink" Id="rId297" Target="https://doi.org/10.1007/978-3-030-28954-6" TargetMode="External" /><Relationship Type="http://schemas.openxmlformats.org/officeDocument/2006/relationships/hyperlink" Id="rId313" Target="https://doi.org/10.1007/978-3-319-57959-7" TargetMode="External" /><Relationship Type="http://schemas.openxmlformats.org/officeDocument/2006/relationships/hyperlink" Id="rId299" Target="https://doi.org/10.1007/s10618-022-00867-8" TargetMode="External" /><Relationship Type="http://schemas.openxmlformats.org/officeDocument/2006/relationships/hyperlink" Id="rId225" Target="https://doi.org/10.1007/s11023-018-9482-5" TargetMode="External" /><Relationship Type="http://schemas.openxmlformats.org/officeDocument/2006/relationships/hyperlink" Id="rId235" Target="https://doi.org/10.1007/s12559-023-10179-8" TargetMode="External" /><Relationship Type="http://schemas.openxmlformats.org/officeDocument/2006/relationships/hyperlink" Id="rId303" Target="https://doi.org/10.1007/s13218-020-00637-y" TargetMode="External" /><Relationship Type="http://schemas.openxmlformats.org/officeDocument/2006/relationships/hyperlink" Id="rId238" Target="https://doi.org/10.1007/s13218-023-00806-9" TargetMode="External" /><Relationship Type="http://schemas.openxmlformats.org/officeDocument/2006/relationships/hyperlink" Id="rId266" Target="https://doi.org/10.1016/j.artint.2018.07.007" TargetMode="External" /><Relationship Type="http://schemas.openxmlformats.org/officeDocument/2006/relationships/hyperlink" Id="rId252" Target="https://doi.org/10.1016/j.artint.2021.103473" TargetMode="External" /><Relationship Type="http://schemas.openxmlformats.org/officeDocument/2006/relationships/hyperlink" Id="rId205" Target="https://doi.org/10.1016/j.inffus.2019.12.012" TargetMode="External" /><Relationship Type="http://schemas.openxmlformats.org/officeDocument/2006/relationships/hyperlink" Id="rId195" Target="https://doi.org/10.1016/j.inffus.2023.101805" TargetMode="External" /><Relationship Type="http://schemas.openxmlformats.org/officeDocument/2006/relationships/hyperlink" Id="rId248" Target="https://doi.org/10.1016/j.jcm.2016.02.012" TargetMode="External" /><Relationship Type="http://schemas.openxmlformats.org/officeDocument/2006/relationships/hyperlink" Id="rId283" Target="https://doi.org/10.1016/j.neucom.2024.128282" TargetMode="External" /><Relationship Type="http://schemas.openxmlformats.org/officeDocument/2006/relationships/hyperlink" Id="rId211" Target="https://doi.org/10.1023/a:1010933404324" TargetMode="External" /><Relationship Type="http://schemas.openxmlformats.org/officeDocument/2006/relationships/hyperlink" Id="rId281" Target="https://doi.org/10.1038/s41467-022-33417-3" TargetMode="External" /><Relationship Type="http://schemas.openxmlformats.org/officeDocument/2006/relationships/hyperlink" Id="rId274" Target="https://doi.org/10.1073/pnas.1900654116" TargetMode="External" /><Relationship Type="http://schemas.openxmlformats.org/officeDocument/2006/relationships/hyperlink" Id="rId227" Target="https://doi.org/10.1080/01621459.1937.10503522" TargetMode="External" /><Relationship Type="http://schemas.openxmlformats.org/officeDocument/2006/relationships/hyperlink" Id="rId190" Target="https://doi.org/10.1109/INES59045.2023.1030000" TargetMode="External" /><Relationship Type="http://schemas.openxmlformats.org/officeDocument/2006/relationships/hyperlink" Id="rId305" Target="https://doi.org/10.1109/TNNLS.2020.3027314" TargetMode="External" /><Relationship Type="http://schemas.openxmlformats.org/officeDocument/2006/relationships/hyperlink" Id="rId291" Target="https://doi.org/10.1109/TPAMI.2023.3331846" TargetMode="External" /><Relationship Type="http://schemas.openxmlformats.org/officeDocument/2006/relationships/hyperlink" Id="rId192" Target="https://doi.org/10.1109/access.2018.2870052" TargetMode="External" /><Relationship Type="http://schemas.openxmlformats.org/officeDocument/2006/relationships/hyperlink" Id="rId229" Target="https://doi.org/10.1109/dsaa.2018.00018" TargetMode="External" /><Relationship Type="http://schemas.openxmlformats.org/officeDocument/2006/relationships/hyperlink" Id="rId240" Target="https://doi.org/10.1126/science.359.6377.725" TargetMode="External" /><Relationship Type="http://schemas.openxmlformats.org/officeDocument/2006/relationships/hyperlink" Id="rId287" Target="https://doi.org/10.1145/2939672.2939778" TargetMode="External" /><Relationship Type="http://schemas.openxmlformats.org/officeDocument/2006/relationships/hyperlink" Id="rId188" Target="https://doi.org/10.1145/3173574.3174156" TargetMode="External" /><Relationship Type="http://schemas.openxmlformats.org/officeDocument/2006/relationships/hyperlink" Id="rId231" Target="https://doi.org/10.1145/3236009" TargetMode="External" /><Relationship Type="http://schemas.openxmlformats.org/officeDocument/2006/relationships/hyperlink" Id="rId258" Target="https://doi.org/10.1145/3236386.3241340" TargetMode="External" /><Relationship Type="http://schemas.openxmlformats.org/officeDocument/2006/relationships/hyperlink" Id="rId268" Target="https://doi.org/10.1145/3287560.3287574" TargetMode="External" /><Relationship Type="http://schemas.openxmlformats.org/officeDocument/2006/relationships/hyperlink" Id="rId244" Target="https://doi.org/10.1145/3313831.3376219" TargetMode="External" /><Relationship Type="http://schemas.openxmlformats.org/officeDocument/2006/relationships/hyperlink" Id="rId272" Target="https://doi.org/10.1145/3351095.3372850" TargetMode="External" /><Relationship Type="http://schemas.openxmlformats.org/officeDocument/2006/relationships/hyperlink" Id="rId301" Target="https://doi.org/10.1145/3375627.3375830" TargetMode="External" /><Relationship Type="http://schemas.openxmlformats.org/officeDocument/2006/relationships/hyperlink" Id="rId285" Target="https://doi.org/10.1145/3375627.3375850" TargetMode="External" /><Relationship Type="http://schemas.openxmlformats.org/officeDocument/2006/relationships/hyperlink" Id="rId270" Target="https://doi.org/10.1145/3387166" TargetMode="External" /><Relationship Type="http://schemas.openxmlformats.org/officeDocument/2006/relationships/hyperlink" Id="rId242" Target="https://doi.org/10.1145/3527848" TargetMode="External" /><Relationship Type="http://schemas.openxmlformats.org/officeDocument/2006/relationships/hyperlink" Id="rId276" Target="https://doi.org/10.1145/3583558" TargetMode="External" /><Relationship Type="http://schemas.openxmlformats.org/officeDocument/2006/relationships/hyperlink" Id="rId209" Target="https://doi.org/10.1145/3631700.3664911" TargetMode="External" /><Relationship Type="http://schemas.openxmlformats.org/officeDocument/2006/relationships/hyperlink" Id="rId262" Target="https://doi.org/10.1145/3647444.3647912" TargetMode="External" /><Relationship Type="http://schemas.openxmlformats.org/officeDocument/2006/relationships/hyperlink" Id="rId215" Target="https://doi.org/10.1145/3737445" TargetMode="External" /><Relationship Type="http://schemas.openxmlformats.org/officeDocument/2006/relationships/hyperlink" Id="rId197" Target="https://doi.org/10.1146/annurev-statistics-040120-030919" TargetMode="External" /><Relationship Type="http://schemas.openxmlformats.org/officeDocument/2006/relationships/hyperlink" Id="rId309" Target="https://doi.org/10.1201/9781003442509" TargetMode="External" /><Relationship Type="http://schemas.openxmlformats.org/officeDocument/2006/relationships/hyperlink" Id="rId293" Target="https://doi.org/10.1214/21-ss133" TargetMode="External" /><Relationship Type="http://schemas.openxmlformats.org/officeDocument/2006/relationships/hyperlink" Id="rId289" Target="https://doi.org/10.1609/aaai.v32i1.11491" TargetMode="External" /><Relationship Type="http://schemas.openxmlformats.org/officeDocument/2006/relationships/hyperlink" Id="rId307" Target="https://doi.org/10.1609/aaai.v34i04.6064" TargetMode="External" /><Relationship Type="http://schemas.openxmlformats.org/officeDocument/2006/relationships/hyperlink" Id="rId311" Target="https://doi.org/10.1613/jair.1.13283" TargetMode="External" /><Relationship Type="http://schemas.openxmlformats.org/officeDocument/2006/relationships/hyperlink" Id="rId233" Target="https://doi.org/10.18653/v1/2020.acl-main.491" TargetMode="External" /><Relationship Type="http://schemas.openxmlformats.org/officeDocument/2006/relationships/hyperlink" Id="rId213" Target="https://doi.org/10.18653/v1/2023.emnlp-main.792" TargetMode="External" /><Relationship Type="http://schemas.openxmlformats.org/officeDocument/2006/relationships/hyperlink" Id="rId315" Target="https://doi.org/10.2139/ssrn.3063289" TargetMode="External" /><Relationship Type="http://schemas.openxmlformats.org/officeDocument/2006/relationships/hyperlink" Id="rId317" Target="https://doi.org/10.2307/3001968" TargetMode="External" /><Relationship Type="http://schemas.openxmlformats.org/officeDocument/2006/relationships/hyperlink" Id="rId254" Target="https://doi.org/10.24963/ijcai.2019/388" TargetMode="External" /><Relationship Type="http://schemas.openxmlformats.org/officeDocument/2006/relationships/hyperlink" Id="rId207" Target="https://doi.org/10.3389/fdata.2021.688969" TargetMode="External" /><Relationship Type="http://schemas.openxmlformats.org/officeDocument/2006/relationships/hyperlink" Id="rId250" Target="https://doi.org/10.3389/fpsyg.2013.00863" TargetMode="External" /><Relationship Type="http://schemas.openxmlformats.org/officeDocument/2006/relationships/hyperlink" Id="rId295" Target="https://doi.org/10.3390/app14198884" TargetMode="External" /><Relationship Type="http://schemas.openxmlformats.org/officeDocument/2006/relationships/hyperlink" Id="rId256" Target="https://doi.org/10.3390/e23010018" TargetMode="External" /><Relationship Type="http://schemas.openxmlformats.org/officeDocument/2006/relationships/hyperlink" Id="rId217" Target="https://doi.org/10.3390/electronics8080832" TargetMode="External" /><Relationship Type="http://schemas.openxmlformats.org/officeDocument/2006/relationships/hyperlink" Id="rId199" Target="https://doi.org/10.3390/technologies13030093" TargetMode="External" /><Relationship Type="http://schemas.openxmlformats.org/officeDocument/2006/relationships/hyperlink" Id="rId221" Target="https://doi.org/10.48550/arxiv.1702.08608" TargetMode="External" /><Relationship Type="http://schemas.openxmlformats.org/officeDocument/2006/relationships/hyperlink" Id="rId260" Target="https://doi.org/10.48550/arxiv.1705.07874" TargetMode="External" /><Relationship Type="http://schemas.openxmlformats.org/officeDocument/2006/relationships/hyperlink" Id="rId319" Target="https://trustai4s-lab.github.io/ffidelity" TargetMode="External" /><Relationship Type="http://schemas.openxmlformats.org/officeDocument/2006/relationships/hyperlink" Id="rId219" Target="https://www.jmlr.org/papers/v7/demsar06a.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2026-05-11T02:40:26Z</dcterms:created>
  <dcterms:modified xsi:type="dcterms:W3CDTF">2026-05-11T02:40:26Z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