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607EBA" w14:textId="77777777" w:rsidR="00D762DD" w:rsidRPr="00DA5BA3" w:rsidRDefault="00000000">
      <w:pPr>
        <w:rPr>
          <w:b/>
          <w:bCs/>
        </w:rPr>
      </w:pPr>
      <w:r w:rsidRPr="00DA5BA3">
        <w:rPr>
          <w:b/>
          <w:bCs/>
        </w:rPr>
        <w:t xml:space="preserve">Marco para la Evaluación Multinivel de la </w:t>
      </w:r>
      <w:proofErr w:type="spellStart"/>
      <w:r w:rsidRPr="00DA5BA3">
        <w:rPr>
          <w:b/>
          <w:bCs/>
        </w:rPr>
        <w:t>Explicabilidad</w:t>
      </w:r>
      <w:proofErr w:type="spellEnd"/>
      <w:r w:rsidRPr="00DA5BA3">
        <w:rPr>
          <w:b/>
          <w:bCs/>
        </w:rPr>
        <w:t xml:space="preserve"> en IA</w:t>
      </w:r>
    </w:p>
    <w:p w14:paraId="2AEAA241" w14:textId="77777777" w:rsidR="00D762DD" w:rsidRPr="00DA5BA3" w:rsidRDefault="00000000">
      <w:pPr>
        <w:rPr>
          <w:b/>
          <w:bCs/>
        </w:rPr>
      </w:pPr>
      <w:r w:rsidRPr="00DA5BA3">
        <w:rPr>
          <w:b/>
          <w:bCs/>
        </w:rPr>
        <w:t>Integración de Benchmarking Técnico, Protocolo Reproducible (FOM-7) y Taxonomía de Métricas</w:t>
      </w:r>
    </w:p>
    <w:p w14:paraId="065F54AF" w14:textId="0861F20D" w:rsidR="00D762DD" w:rsidRDefault="00000000">
      <w:r>
        <w:t>J</w:t>
      </w:r>
      <w:r w:rsidR="00DA5BA3">
        <w:t>onathan</w:t>
      </w:r>
      <w:r>
        <w:t xml:space="preserve"> Herrera</w:t>
      </w:r>
      <w:r w:rsidR="00DA5BA3">
        <w:t xml:space="preserve"> Vasquez</w:t>
      </w:r>
    </w:p>
    <w:sdt>
      <w:sdtPr>
        <w:rPr>
          <w:rFonts w:eastAsiaTheme="minorHAnsi" w:cstheme="minorBidi"/>
          <w:b w:val="0"/>
          <w:sz w:val="24"/>
          <w:szCs w:val="22"/>
          <w:lang w:eastAsia="en-US"/>
        </w:rPr>
        <w:id w:val="-2027703354"/>
        <w:docPartObj>
          <w:docPartGallery w:val="Table of Contents"/>
          <w:docPartUnique/>
        </w:docPartObj>
      </w:sdtPr>
      <w:sdtContent>
        <w:p w14:paraId="4D746EF0" w14:textId="77777777" w:rsidR="00D762DD" w:rsidRDefault="00000000">
          <w:pPr>
            <w:pStyle w:val="TOCHeading"/>
          </w:pPr>
          <w:r>
            <w:t xml:space="preserve">Table </w:t>
          </w:r>
          <w:proofErr w:type="spellStart"/>
          <w:r>
            <w:t>of</w:t>
          </w:r>
          <w:proofErr w:type="spellEnd"/>
          <w:r>
            <w:t xml:space="preserve"> </w:t>
          </w:r>
          <w:proofErr w:type="spellStart"/>
          <w:r>
            <w:t>contents</w:t>
          </w:r>
          <w:proofErr w:type="spellEnd"/>
        </w:p>
        <w:p w14:paraId="5FE96787" w14:textId="03921B6A" w:rsidR="00A52D0E" w:rsidRDefault="00000000">
          <w:pPr>
            <w:pStyle w:val="TOC1"/>
            <w:tabs>
              <w:tab w:val="right" w:leader="dot" w:pos="9350"/>
            </w:tabs>
            <w:rPr>
              <w:rFonts w:asciiTheme="minorHAnsi" w:eastAsiaTheme="minorEastAsia" w:hAnsiTheme="minorHAnsi"/>
              <w:noProof/>
              <w:kern w:val="2"/>
              <w:szCs w:val="24"/>
              <w:lang w:val="en-US"/>
              <w14:ligatures w14:val="standardContextual"/>
            </w:rPr>
          </w:pPr>
          <w:r>
            <w:fldChar w:fldCharType="begin"/>
          </w:r>
          <w:r>
            <w:instrText>TOC \o "1-3" \h \z \u</w:instrText>
          </w:r>
          <w:r>
            <w:fldChar w:fldCharType="separate"/>
          </w:r>
          <w:hyperlink w:anchor="_Toc238925696" w:history="1">
            <w:r w:rsidR="00A52D0E" w:rsidRPr="00CC08DB">
              <w:rPr>
                <w:rStyle w:val="Hyperlink"/>
                <w:noProof/>
              </w:rPr>
              <w:t>Marco para la Evaluación Multinivel de la Explicabilidad en IA</w:t>
            </w:r>
            <w:r w:rsidR="00A52D0E">
              <w:rPr>
                <w:noProof/>
                <w:webHidden/>
              </w:rPr>
              <w:tab/>
            </w:r>
            <w:r w:rsidR="00A52D0E">
              <w:rPr>
                <w:noProof/>
                <w:webHidden/>
              </w:rPr>
              <w:fldChar w:fldCharType="begin"/>
            </w:r>
            <w:r w:rsidR="00A52D0E">
              <w:rPr>
                <w:noProof/>
                <w:webHidden/>
              </w:rPr>
              <w:instrText xml:space="preserve"> PAGEREF _Toc238925696 \h </w:instrText>
            </w:r>
            <w:r w:rsidR="00A52D0E">
              <w:rPr>
                <w:noProof/>
                <w:webHidden/>
              </w:rPr>
            </w:r>
            <w:r w:rsidR="00A52D0E">
              <w:rPr>
                <w:noProof/>
                <w:webHidden/>
              </w:rPr>
              <w:fldChar w:fldCharType="separate"/>
            </w:r>
            <w:r w:rsidR="00A52D0E">
              <w:rPr>
                <w:noProof/>
                <w:webHidden/>
              </w:rPr>
              <w:t>6</w:t>
            </w:r>
            <w:r w:rsidR="00A52D0E">
              <w:rPr>
                <w:noProof/>
                <w:webHidden/>
              </w:rPr>
              <w:fldChar w:fldCharType="end"/>
            </w:r>
          </w:hyperlink>
        </w:p>
        <w:p w14:paraId="18359504" w14:textId="00DDA5CE" w:rsidR="00A52D0E" w:rsidRDefault="00A52D0E">
          <w:pPr>
            <w:pStyle w:val="TOC1"/>
            <w:tabs>
              <w:tab w:val="right" w:leader="dot" w:pos="9350"/>
            </w:tabs>
            <w:rPr>
              <w:rFonts w:asciiTheme="minorHAnsi" w:eastAsiaTheme="minorEastAsia" w:hAnsiTheme="minorHAnsi"/>
              <w:noProof/>
              <w:kern w:val="2"/>
              <w:szCs w:val="24"/>
              <w:lang w:val="en-US"/>
              <w14:ligatures w14:val="standardContextual"/>
            </w:rPr>
          </w:pPr>
          <w:hyperlink w:anchor="_Toc238925697" w:history="1">
            <w:r w:rsidRPr="00CC08DB">
              <w:rPr>
                <w:rStyle w:val="Hyperlink"/>
                <w:noProof/>
              </w:rPr>
              <w:t>Resumen</w:t>
            </w:r>
            <w:r>
              <w:rPr>
                <w:noProof/>
                <w:webHidden/>
              </w:rPr>
              <w:tab/>
            </w:r>
            <w:r>
              <w:rPr>
                <w:noProof/>
                <w:webHidden/>
              </w:rPr>
              <w:fldChar w:fldCharType="begin"/>
            </w:r>
            <w:r>
              <w:rPr>
                <w:noProof/>
                <w:webHidden/>
              </w:rPr>
              <w:instrText xml:space="preserve"> PAGEREF _Toc238925697 \h </w:instrText>
            </w:r>
            <w:r>
              <w:rPr>
                <w:noProof/>
                <w:webHidden/>
              </w:rPr>
            </w:r>
            <w:r>
              <w:rPr>
                <w:noProof/>
                <w:webHidden/>
              </w:rPr>
              <w:fldChar w:fldCharType="separate"/>
            </w:r>
            <w:r>
              <w:rPr>
                <w:noProof/>
                <w:webHidden/>
              </w:rPr>
              <w:t>7</w:t>
            </w:r>
            <w:r>
              <w:rPr>
                <w:noProof/>
                <w:webHidden/>
              </w:rPr>
              <w:fldChar w:fldCharType="end"/>
            </w:r>
          </w:hyperlink>
        </w:p>
        <w:p w14:paraId="5AA26E4D" w14:textId="5BE0D7B6" w:rsidR="00A52D0E" w:rsidRDefault="00A52D0E">
          <w:pPr>
            <w:pStyle w:val="TOC1"/>
            <w:tabs>
              <w:tab w:val="right" w:leader="dot" w:pos="9350"/>
            </w:tabs>
            <w:rPr>
              <w:rFonts w:asciiTheme="minorHAnsi" w:eastAsiaTheme="minorEastAsia" w:hAnsiTheme="minorHAnsi"/>
              <w:noProof/>
              <w:kern w:val="2"/>
              <w:szCs w:val="24"/>
              <w:lang w:val="en-US"/>
              <w14:ligatures w14:val="standardContextual"/>
            </w:rPr>
          </w:pPr>
          <w:hyperlink w:anchor="_Toc238925698" w:history="1">
            <w:r w:rsidRPr="00CC08DB">
              <w:rPr>
                <w:rStyle w:val="Hyperlink"/>
                <w:noProof/>
              </w:rPr>
              <w:t>Abstract</w:t>
            </w:r>
            <w:r>
              <w:rPr>
                <w:noProof/>
                <w:webHidden/>
              </w:rPr>
              <w:tab/>
            </w:r>
            <w:r>
              <w:rPr>
                <w:noProof/>
                <w:webHidden/>
              </w:rPr>
              <w:fldChar w:fldCharType="begin"/>
            </w:r>
            <w:r>
              <w:rPr>
                <w:noProof/>
                <w:webHidden/>
              </w:rPr>
              <w:instrText xml:space="preserve"> PAGEREF _Toc238925698 \h </w:instrText>
            </w:r>
            <w:r>
              <w:rPr>
                <w:noProof/>
                <w:webHidden/>
              </w:rPr>
            </w:r>
            <w:r>
              <w:rPr>
                <w:noProof/>
                <w:webHidden/>
              </w:rPr>
              <w:fldChar w:fldCharType="separate"/>
            </w:r>
            <w:r>
              <w:rPr>
                <w:noProof/>
                <w:webHidden/>
              </w:rPr>
              <w:t>7</w:t>
            </w:r>
            <w:r>
              <w:rPr>
                <w:noProof/>
                <w:webHidden/>
              </w:rPr>
              <w:fldChar w:fldCharType="end"/>
            </w:r>
          </w:hyperlink>
        </w:p>
        <w:p w14:paraId="246E747D" w14:textId="79E48C30" w:rsidR="00A52D0E" w:rsidRDefault="00A52D0E">
          <w:pPr>
            <w:pStyle w:val="TOC1"/>
            <w:tabs>
              <w:tab w:val="right" w:leader="dot" w:pos="9350"/>
            </w:tabs>
            <w:rPr>
              <w:rFonts w:asciiTheme="minorHAnsi" w:eastAsiaTheme="minorEastAsia" w:hAnsiTheme="minorHAnsi"/>
              <w:noProof/>
              <w:kern w:val="2"/>
              <w:szCs w:val="24"/>
              <w:lang w:val="en-US"/>
              <w14:ligatures w14:val="standardContextual"/>
            </w:rPr>
          </w:pPr>
          <w:hyperlink w:anchor="_Toc238925699" w:history="1">
            <w:r w:rsidRPr="00CC08DB">
              <w:rPr>
                <w:rStyle w:val="Hyperlink"/>
                <w:noProof/>
              </w:rPr>
              <w:t>Introducción</w:t>
            </w:r>
            <w:r>
              <w:rPr>
                <w:noProof/>
                <w:webHidden/>
              </w:rPr>
              <w:tab/>
            </w:r>
            <w:r>
              <w:rPr>
                <w:noProof/>
                <w:webHidden/>
              </w:rPr>
              <w:fldChar w:fldCharType="begin"/>
            </w:r>
            <w:r>
              <w:rPr>
                <w:noProof/>
                <w:webHidden/>
              </w:rPr>
              <w:instrText xml:space="preserve"> PAGEREF _Toc238925699 \h </w:instrText>
            </w:r>
            <w:r>
              <w:rPr>
                <w:noProof/>
                <w:webHidden/>
              </w:rPr>
            </w:r>
            <w:r>
              <w:rPr>
                <w:noProof/>
                <w:webHidden/>
              </w:rPr>
              <w:fldChar w:fldCharType="separate"/>
            </w:r>
            <w:r>
              <w:rPr>
                <w:noProof/>
                <w:webHidden/>
              </w:rPr>
              <w:t>8</w:t>
            </w:r>
            <w:r>
              <w:rPr>
                <w:noProof/>
                <w:webHidden/>
              </w:rPr>
              <w:fldChar w:fldCharType="end"/>
            </w:r>
          </w:hyperlink>
        </w:p>
        <w:p w14:paraId="3C77A432" w14:textId="544FE12B" w:rsidR="00A52D0E" w:rsidRDefault="00A52D0E">
          <w:pPr>
            <w:pStyle w:val="TOC1"/>
            <w:tabs>
              <w:tab w:val="right" w:leader="dot" w:pos="9350"/>
            </w:tabs>
            <w:rPr>
              <w:rFonts w:asciiTheme="minorHAnsi" w:eastAsiaTheme="minorEastAsia" w:hAnsiTheme="minorHAnsi"/>
              <w:noProof/>
              <w:kern w:val="2"/>
              <w:szCs w:val="24"/>
              <w:lang w:val="en-US"/>
              <w14:ligatures w14:val="standardContextual"/>
            </w:rPr>
          </w:pPr>
          <w:hyperlink w:anchor="_Toc238925700" w:history="1">
            <w:r w:rsidRPr="00CC08DB">
              <w:rPr>
                <w:rStyle w:val="Hyperlink"/>
                <w:noProof/>
              </w:rPr>
              <w:t>Problema, objetivos y diseño general de la investigación</w:t>
            </w:r>
            <w:r>
              <w:rPr>
                <w:noProof/>
                <w:webHidden/>
              </w:rPr>
              <w:tab/>
            </w:r>
            <w:r>
              <w:rPr>
                <w:noProof/>
                <w:webHidden/>
              </w:rPr>
              <w:fldChar w:fldCharType="begin"/>
            </w:r>
            <w:r>
              <w:rPr>
                <w:noProof/>
                <w:webHidden/>
              </w:rPr>
              <w:instrText xml:space="preserve"> PAGEREF _Toc238925700 \h </w:instrText>
            </w:r>
            <w:r>
              <w:rPr>
                <w:noProof/>
                <w:webHidden/>
              </w:rPr>
            </w:r>
            <w:r>
              <w:rPr>
                <w:noProof/>
                <w:webHidden/>
              </w:rPr>
              <w:fldChar w:fldCharType="separate"/>
            </w:r>
            <w:r>
              <w:rPr>
                <w:noProof/>
                <w:webHidden/>
              </w:rPr>
              <w:t>11</w:t>
            </w:r>
            <w:r>
              <w:rPr>
                <w:noProof/>
                <w:webHidden/>
              </w:rPr>
              <w:fldChar w:fldCharType="end"/>
            </w:r>
          </w:hyperlink>
        </w:p>
        <w:p w14:paraId="54E2E243" w14:textId="5C28253B" w:rsidR="00A52D0E" w:rsidRDefault="00A52D0E">
          <w:pPr>
            <w:pStyle w:val="TOC2"/>
            <w:tabs>
              <w:tab w:val="right" w:leader="dot" w:pos="9350"/>
            </w:tabs>
            <w:rPr>
              <w:rFonts w:asciiTheme="minorHAnsi" w:eastAsiaTheme="minorEastAsia" w:hAnsiTheme="minorHAnsi"/>
              <w:noProof/>
              <w:kern w:val="2"/>
              <w:szCs w:val="24"/>
              <w:lang w:val="en-US"/>
              <w14:ligatures w14:val="standardContextual"/>
            </w:rPr>
          </w:pPr>
          <w:hyperlink w:anchor="_Toc238925701" w:history="1">
            <w:r w:rsidRPr="00CC08DB">
              <w:rPr>
                <w:rStyle w:val="Hyperlink"/>
                <w:noProof/>
              </w:rPr>
              <w:t>Problema de investigación</w:t>
            </w:r>
            <w:r>
              <w:rPr>
                <w:noProof/>
                <w:webHidden/>
              </w:rPr>
              <w:tab/>
            </w:r>
            <w:r>
              <w:rPr>
                <w:noProof/>
                <w:webHidden/>
              </w:rPr>
              <w:fldChar w:fldCharType="begin"/>
            </w:r>
            <w:r>
              <w:rPr>
                <w:noProof/>
                <w:webHidden/>
              </w:rPr>
              <w:instrText xml:space="preserve"> PAGEREF _Toc238925701 \h </w:instrText>
            </w:r>
            <w:r>
              <w:rPr>
                <w:noProof/>
                <w:webHidden/>
              </w:rPr>
            </w:r>
            <w:r>
              <w:rPr>
                <w:noProof/>
                <w:webHidden/>
              </w:rPr>
              <w:fldChar w:fldCharType="separate"/>
            </w:r>
            <w:r>
              <w:rPr>
                <w:noProof/>
                <w:webHidden/>
              </w:rPr>
              <w:t>11</w:t>
            </w:r>
            <w:r>
              <w:rPr>
                <w:noProof/>
                <w:webHidden/>
              </w:rPr>
              <w:fldChar w:fldCharType="end"/>
            </w:r>
          </w:hyperlink>
        </w:p>
        <w:p w14:paraId="1F0F04DA" w14:textId="47E31D43" w:rsidR="00A52D0E" w:rsidRDefault="00A52D0E">
          <w:pPr>
            <w:pStyle w:val="TOC2"/>
            <w:tabs>
              <w:tab w:val="right" w:leader="dot" w:pos="9350"/>
            </w:tabs>
            <w:rPr>
              <w:rFonts w:asciiTheme="minorHAnsi" w:eastAsiaTheme="minorEastAsia" w:hAnsiTheme="minorHAnsi"/>
              <w:noProof/>
              <w:kern w:val="2"/>
              <w:szCs w:val="24"/>
              <w:lang w:val="en-US"/>
              <w14:ligatures w14:val="standardContextual"/>
            </w:rPr>
          </w:pPr>
          <w:hyperlink w:anchor="_Toc238925702" w:history="1">
            <w:r w:rsidRPr="00CC08DB">
              <w:rPr>
                <w:rStyle w:val="Hyperlink"/>
                <w:noProof/>
              </w:rPr>
              <w:t>Justificación científica y práctica</w:t>
            </w:r>
            <w:r>
              <w:rPr>
                <w:noProof/>
                <w:webHidden/>
              </w:rPr>
              <w:tab/>
            </w:r>
            <w:r>
              <w:rPr>
                <w:noProof/>
                <w:webHidden/>
              </w:rPr>
              <w:fldChar w:fldCharType="begin"/>
            </w:r>
            <w:r>
              <w:rPr>
                <w:noProof/>
                <w:webHidden/>
              </w:rPr>
              <w:instrText xml:space="preserve"> PAGEREF _Toc238925702 \h </w:instrText>
            </w:r>
            <w:r>
              <w:rPr>
                <w:noProof/>
                <w:webHidden/>
              </w:rPr>
            </w:r>
            <w:r>
              <w:rPr>
                <w:noProof/>
                <w:webHidden/>
              </w:rPr>
              <w:fldChar w:fldCharType="separate"/>
            </w:r>
            <w:r>
              <w:rPr>
                <w:noProof/>
                <w:webHidden/>
              </w:rPr>
              <w:t>13</w:t>
            </w:r>
            <w:r>
              <w:rPr>
                <w:noProof/>
                <w:webHidden/>
              </w:rPr>
              <w:fldChar w:fldCharType="end"/>
            </w:r>
          </w:hyperlink>
        </w:p>
        <w:p w14:paraId="1E39D0E0" w14:textId="1681CBB5" w:rsidR="00A52D0E" w:rsidRDefault="00A52D0E">
          <w:pPr>
            <w:pStyle w:val="TOC2"/>
            <w:tabs>
              <w:tab w:val="right" w:leader="dot" w:pos="9350"/>
            </w:tabs>
            <w:rPr>
              <w:rFonts w:asciiTheme="minorHAnsi" w:eastAsiaTheme="minorEastAsia" w:hAnsiTheme="minorHAnsi"/>
              <w:noProof/>
              <w:kern w:val="2"/>
              <w:szCs w:val="24"/>
              <w:lang w:val="en-US"/>
              <w14:ligatures w14:val="standardContextual"/>
            </w:rPr>
          </w:pPr>
          <w:hyperlink w:anchor="_Toc238925703" w:history="1">
            <w:r w:rsidRPr="00CC08DB">
              <w:rPr>
                <w:rStyle w:val="Hyperlink"/>
                <w:noProof/>
              </w:rPr>
              <w:t>Objetivos e hipótesis</w:t>
            </w:r>
            <w:r>
              <w:rPr>
                <w:noProof/>
                <w:webHidden/>
              </w:rPr>
              <w:tab/>
            </w:r>
            <w:r>
              <w:rPr>
                <w:noProof/>
                <w:webHidden/>
              </w:rPr>
              <w:fldChar w:fldCharType="begin"/>
            </w:r>
            <w:r>
              <w:rPr>
                <w:noProof/>
                <w:webHidden/>
              </w:rPr>
              <w:instrText xml:space="preserve"> PAGEREF _Toc238925703 \h </w:instrText>
            </w:r>
            <w:r>
              <w:rPr>
                <w:noProof/>
                <w:webHidden/>
              </w:rPr>
            </w:r>
            <w:r>
              <w:rPr>
                <w:noProof/>
                <w:webHidden/>
              </w:rPr>
              <w:fldChar w:fldCharType="separate"/>
            </w:r>
            <w:r>
              <w:rPr>
                <w:noProof/>
                <w:webHidden/>
              </w:rPr>
              <w:t>14</w:t>
            </w:r>
            <w:r>
              <w:rPr>
                <w:noProof/>
                <w:webHidden/>
              </w:rPr>
              <w:fldChar w:fldCharType="end"/>
            </w:r>
          </w:hyperlink>
        </w:p>
        <w:p w14:paraId="2B0EE543" w14:textId="589D90F6" w:rsidR="00A52D0E" w:rsidRDefault="00A52D0E">
          <w:pPr>
            <w:pStyle w:val="TOC3"/>
            <w:tabs>
              <w:tab w:val="right" w:leader="dot" w:pos="9350"/>
            </w:tabs>
            <w:rPr>
              <w:rFonts w:asciiTheme="minorHAnsi" w:eastAsiaTheme="minorEastAsia" w:hAnsiTheme="minorHAnsi"/>
              <w:noProof/>
              <w:kern w:val="2"/>
              <w:szCs w:val="24"/>
              <w:lang w:val="en-US"/>
              <w14:ligatures w14:val="standardContextual"/>
            </w:rPr>
          </w:pPr>
          <w:hyperlink w:anchor="_Toc238925704" w:history="1">
            <w:r w:rsidRPr="00CC08DB">
              <w:rPr>
                <w:rStyle w:val="Hyperlink"/>
                <w:noProof/>
              </w:rPr>
              <w:t>Objetivo general</w:t>
            </w:r>
            <w:r>
              <w:rPr>
                <w:noProof/>
                <w:webHidden/>
              </w:rPr>
              <w:tab/>
            </w:r>
            <w:r>
              <w:rPr>
                <w:noProof/>
                <w:webHidden/>
              </w:rPr>
              <w:fldChar w:fldCharType="begin"/>
            </w:r>
            <w:r>
              <w:rPr>
                <w:noProof/>
                <w:webHidden/>
              </w:rPr>
              <w:instrText xml:space="preserve"> PAGEREF _Toc238925704 \h </w:instrText>
            </w:r>
            <w:r>
              <w:rPr>
                <w:noProof/>
                <w:webHidden/>
              </w:rPr>
            </w:r>
            <w:r>
              <w:rPr>
                <w:noProof/>
                <w:webHidden/>
              </w:rPr>
              <w:fldChar w:fldCharType="separate"/>
            </w:r>
            <w:r>
              <w:rPr>
                <w:noProof/>
                <w:webHidden/>
              </w:rPr>
              <w:t>14</w:t>
            </w:r>
            <w:r>
              <w:rPr>
                <w:noProof/>
                <w:webHidden/>
              </w:rPr>
              <w:fldChar w:fldCharType="end"/>
            </w:r>
          </w:hyperlink>
        </w:p>
        <w:p w14:paraId="757E048B" w14:textId="37F1E449" w:rsidR="00A52D0E" w:rsidRDefault="00A52D0E">
          <w:pPr>
            <w:pStyle w:val="TOC3"/>
            <w:tabs>
              <w:tab w:val="right" w:leader="dot" w:pos="9350"/>
            </w:tabs>
            <w:rPr>
              <w:rFonts w:asciiTheme="minorHAnsi" w:eastAsiaTheme="minorEastAsia" w:hAnsiTheme="minorHAnsi"/>
              <w:noProof/>
              <w:kern w:val="2"/>
              <w:szCs w:val="24"/>
              <w:lang w:val="en-US"/>
              <w14:ligatures w14:val="standardContextual"/>
            </w:rPr>
          </w:pPr>
          <w:hyperlink w:anchor="_Toc238925705" w:history="1">
            <w:r w:rsidRPr="00CC08DB">
              <w:rPr>
                <w:rStyle w:val="Hyperlink"/>
                <w:noProof/>
              </w:rPr>
              <w:t>Objetivos específicos</w:t>
            </w:r>
            <w:r>
              <w:rPr>
                <w:noProof/>
                <w:webHidden/>
              </w:rPr>
              <w:tab/>
            </w:r>
            <w:r>
              <w:rPr>
                <w:noProof/>
                <w:webHidden/>
              </w:rPr>
              <w:fldChar w:fldCharType="begin"/>
            </w:r>
            <w:r>
              <w:rPr>
                <w:noProof/>
                <w:webHidden/>
              </w:rPr>
              <w:instrText xml:space="preserve"> PAGEREF _Toc238925705 \h </w:instrText>
            </w:r>
            <w:r>
              <w:rPr>
                <w:noProof/>
                <w:webHidden/>
              </w:rPr>
            </w:r>
            <w:r>
              <w:rPr>
                <w:noProof/>
                <w:webHidden/>
              </w:rPr>
              <w:fldChar w:fldCharType="separate"/>
            </w:r>
            <w:r>
              <w:rPr>
                <w:noProof/>
                <w:webHidden/>
              </w:rPr>
              <w:t>14</w:t>
            </w:r>
            <w:r>
              <w:rPr>
                <w:noProof/>
                <w:webHidden/>
              </w:rPr>
              <w:fldChar w:fldCharType="end"/>
            </w:r>
          </w:hyperlink>
        </w:p>
        <w:p w14:paraId="7E813417" w14:textId="1585A8EE" w:rsidR="00A52D0E" w:rsidRDefault="00A52D0E">
          <w:pPr>
            <w:pStyle w:val="TOC3"/>
            <w:tabs>
              <w:tab w:val="right" w:leader="dot" w:pos="9350"/>
            </w:tabs>
            <w:rPr>
              <w:rFonts w:asciiTheme="minorHAnsi" w:eastAsiaTheme="minorEastAsia" w:hAnsiTheme="minorHAnsi"/>
              <w:noProof/>
              <w:kern w:val="2"/>
              <w:szCs w:val="24"/>
              <w:lang w:val="en-US"/>
              <w14:ligatures w14:val="standardContextual"/>
            </w:rPr>
          </w:pPr>
          <w:hyperlink w:anchor="_Toc238925706" w:history="1">
            <w:r w:rsidRPr="00CC08DB">
              <w:rPr>
                <w:rStyle w:val="Hyperlink"/>
                <w:noProof/>
              </w:rPr>
              <w:t>Nomenclatura de los estudios</w:t>
            </w:r>
            <w:r>
              <w:rPr>
                <w:noProof/>
                <w:webHidden/>
              </w:rPr>
              <w:tab/>
            </w:r>
            <w:r>
              <w:rPr>
                <w:noProof/>
                <w:webHidden/>
              </w:rPr>
              <w:fldChar w:fldCharType="begin"/>
            </w:r>
            <w:r>
              <w:rPr>
                <w:noProof/>
                <w:webHidden/>
              </w:rPr>
              <w:instrText xml:space="preserve"> PAGEREF _Toc238925706 \h </w:instrText>
            </w:r>
            <w:r>
              <w:rPr>
                <w:noProof/>
                <w:webHidden/>
              </w:rPr>
            </w:r>
            <w:r>
              <w:rPr>
                <w:noProof/>
                <w:webHidden/>
              </w:rPr>
              <w:fldChar w:fldCharType="separate"/>
            </w:r>
            <w:r>
              <w:rPr>
                <w:noProof/>
                <w:webHidden/>
              </w:rPr>
              <w:t>15</w:t>
            </w:r>
            <w:r>
              <w:rPr>
                <w:noProof/>
                <w:webHidden/>
              </w:rPr>
              <w:fldChar w:fldCharType="end"/>
            </w:r>
          </w:hyperlink>
        </w:p>
        <w:p w14:paraId="3DB85044" w14:textId="14F6B4F3" w:rsidR="00A52D0E" w:rsidRDefault="00A52D0E">
          <w:pPr>
            <w:pStyle w:val="TOC3"/>
            <w:tabs>
              <w:tab w:val="right" w:leader="dot" w:pos="9350"/>
            </w:tabs>
            <w:rPr>
              <w:rFonts w:asciiTheme="minorHAnsi" w:eastAsiaTheme="minorEastAsia" w:hAnsiTheme="minorHAnsi"/>
              <w:noProof/>
              <w:kern w:val="2"/>
              <w:szCs w:val="24"/>
              <w:lang w:val="en-US"/>
              <w14:ligatures w14:val="standardContextual"/>
            </w:rPr>
          </w:pPr>
          <w:hyperlink w:anchor="_Toc238925707" w:history="1">
            <w:r w:rsidRPr="00CC08DB">
              <w:rPr>
                <w:rStyle w:val="Hyperlink"/>
                <w:noProof/>
              </w:rPr>
              <w:t>Hipótesis o proposiciones de trabajo</w:t>
            </w:r>
            <w:r>
              <w:rPr>
                <w:noProof/>
                <w:webHidden/>
              </w:rPr>
              <w:tab/>
            </w:r>
            <w:r>
              <w:rPr>
                <w:noProof/>
                <w:webHidden/>
              </w:rPr>
              <w:fldChar w:fldCharType="begin"/>
            </w:r>
            <w:r>
              <w:rPr>
                <w:noProof/>
                <w:webHidden/>
              </w:rPr>
              <w:instrText xml:space="preserve"> PAGEREF _Toc238925707 \h </w:instrText>
            </w:r>
            <w:r>
              <w:rPr>
                <w:noProof/>
                <w:webHidden/>
              </w:rPr>
            </w:r>
            <w:r>
              <w:rPr>
                <w:noProof/>
                <w:webHidden/>
              </w:rPr>
              <w:fldChar w:fldCharType="separate"/>
            </w:r>
            <w:r>
              <w:rPr>
                <w:noProof/>
                <w:webHidden/>
              </w:rPr>
              <w:t>16</w:t>
            </w:r>
            <w:r>
              <w:rPr>
                <w:noProof/>
                <w:webHidden/>
              </w:rPr>
              <w:fldChar w:fldCharType="end"/>
            </w:r>
          </w:hyperlink>
        </w:p>
        <w:p w14:paraId="62EC088F" w14:textId="2A5CA0FF" w:rsidR="00A52D0E" w:rsidRDefault="00A52D0E">
          <w:pPr>
            <w:pStyle w:val="TOC2"/>
            <w:tabs>
              <w:tab w:val="right" w:leader="dot" w:pos="9350"/>
            </w:tabs>
            <w:rPr>
              <w:rFonts w:asciiTheme="minorHAnsi" w:eastAsiaTheme="minorEastAsia" w:hAnsiTheme="minorHAnsi"/>
              <w:noProof/>
              <w:kern w:val="2"/>
              <w:szCs w:val="24"/>
              <w:lang w:val="en-US"/>
              <w14:ligatures w14:val="standardContextual"/>
            </w:rPr>
          </w:pPr>
          <w:hyperlink w:anchor="_Toc238925708" w:history="1">
            <w:r w:rsidRPr="00CC08DB">
              <w:rPr>
                <w:rStyle w:val="Hyperlink"/>
                <w:noProof/>
              </w:rPr>
              <w:t>Metodología general de la investigación</w:t>
            </w:r>
            <w:r>
              <w:rPr>
                <w:noProof/>
                <w:webHidden/>
              </w:rPr>
              <w:tab/>
            </w:r>
            <w:r>
              <w:rPr>
                <w:noProof/>
                <w:webHidden/>
              </w:rPr>
              <w:fldChar w:fldCharType="begin"/>
            </w:r>
            <w:r>
              <w:rPr>
                <w:noProof/>
                <w:webHidden/>
              </w:rPr>
              <w:instrText xml:space="preserve"> PAGEREF _Toc238925708 \h </w:instrText>
            </w:r>
            <w:r>
              <w:rPr>
                <w:noProof/>
                <w:webHidden/>
              </w:rPr>
            </w:r>
            <w:r>
              <w:rPr>
                <w:noProof/>
                <w:webHidden/>
              </w:rPr>
              <w:fldChar w:fldCharType="separate"/>
            </w:r>
            <w:r>
              <w:rPr>
                <w:noProof/>
                <w:webHidden/>
              </w:rPr>
              <w:t>18</w:t>
            </w:r>
            <w:r>
              <w:rPr>
                <w:noProof/>
                <w:webHidden/>
              </w:rPr>
              <w:fldChar w:fldCharType="end"/>
            </w:r>
          </w:hyperlink>
        </w:p>
        <w:p w14:paraId="14113736" w14:textId="10FA82A4" w:rsidR="00A52D0E" w:rsidRDefault="00A52D0E">
          <w:pPr>
            <w:pStyle w:val="TOC3"/>
            <w:tabs>
              <w:tab w:val="right" w:leader="dot" w:pos="9350"/>
            </w:tabs>
            <w:rPr>
              <w:rFonts w:asciiTheme="minorHAnsi" w:eastAsiaTheme="minorEastAsia" w:hAnsiTheme="minorHAnsi"/>
              <w:noProof/>
              <w:kern w:val="2"/>
              <w:szCs w:val="24"/>
              <w:lang w:val="en-US"/>
              <w14:ligatures w14:val="standardContextual"/>
            </w:rPr>
          </w:pPr>
          <w:hyperlink w:anchor="_Toc238925709" w:history="1">
            <w:r w:rsidRPr="00CC08DB">
              <w:rPr>
                <w:rStyle w:val="Hyperlink"/>
                <w:noProof/>
              </w:rPr>
              <w:t>Enfoque</w:t>
            </w:r>
            <w:r>
              <w:rPr>
                <w:noProof/>
                <w:webHidden/>
              </w:rPr>
              <w:tab/>
            </w:r>
            <w:r>
              <w:rPr>
                <w:noProof/>
                <w:webHidden/>
              </w:rPr>
              <w:fldChar w:fldCharType="begin"/>
            </w:r>
            <w:r>
              <w:rPr>
                <w:noProof/>
                <w:webHidden/>
              </w:rPr>
              <w:instrText xml:space="preserve"> PAGEREF _Toc238925709 \h </w:instrText>
            </w:r>
            <w:r>
              <w:rPr>
                <w:noProof/>
                <w:webHidden/>
              </w:rPr>
            </w:r>
            <w:r>
              <w:rPr>
                <w:noProof/>
                <w:webHidden/>
              </w:rPr>
              <w:fldChar w:fldCharType="separate"/>
            </w:r>
            <w:r>
              <w:rPr>
                <w:noProof/>
                <w:webHidden/>
              </w:rPr>
              <w:t>18</w:t>
            </w:r>
            <w:r>
              <w:rPr>
                <w:noProof/>
                <w:webHidden/>
              </w:rPr>
              <w:fldChar w:fldCharType="end"/>
            </w:r>
          </w:hyperlink>
        </w:p>
        <w:p w14:paraId="737FBD40" w14:textId="4507452C" w:rsidR="00A52D0E" w:rsidRDefault="00A52D0E">
          <w:pPr>
            <w:pStyle w:val="TOC3"/>
            <w:tabs>
              <w:tab w:val="right" w:leader="dot" w:pos="9350"/>
            </w:tabs>
            <w:rPr>
              <w:rFonts w:asciiTheme="minorHAnsi" w:eastAsiaTheme="minorEastAsia" w:hAnsiTheme="minorHAnsi"/>
              <w:noProof/>
              <w:kern w:val="2"/>
              <w:szCs w:val="24"/>
              <w:lang w:val="en-US"/>
              <w14:ligatures w14:val="standardContextual"/>
            </w:rPr>
          </w:pPr>
          <w:hyperlink w:anchor="_Toc238925710" w:history="1">
            <w:r w:rsidRPr="00CC08DB">
              <w:rPr>
                <w:rStyle w:val="Hyperlink"/>
                <w:noProof/>
              </w:rPr>
              <w:t>Tipo de investigación</w:t>
            </w:r>
            <w:r>
              <w:rPr>
                <w:noProof/>
                <w:webHidden/>
              </w:rPr>
              <w:tab/>
            </w:r>
            <w:r>
              <w:rPr>
                <w:noProof/>
                <w:webHidden/>
              </w:rPr>
              <w:fldChar w:fldCharType="begin"/>
            </w:r>
            <w:r>
              <w:rPr>
                <w:noProof/>
                <w:webHidden/>
              </w:rPr>
              <w:instrText xml:space="preserve"> PAGEREF _Toc238925710 \h </w:instrText>
            </w:r>
            <w:r>
              <w:rPr>
                <w:noProof/>
                <w:webHidden/>
              </w:rPr>
            </w:r>
            <w:r>
              <w:rPr>
                <w:noProof/>
                <w:webHidden/>
              </w:rPr>
              <w:fldChar w:fldCharType="separate"/>
            </w:r>
            <w:r>
              <w:rPr>
                <w:noProof/>
                <w:webHidden/>
              </w:rPr>
              <w:t>18</w:t>
            </w:r>
            <w:r>
              <w:rPr>
                <w:noProof/>
                <w:webHidden/>
              </w:rPr>
              <w:fldChar w:fldCharType="end"/>
            </w:r>
          </w:hyperlink>
        </w:p>
        <w:p w14:paraId="068C27A8" w14:textId="5EC2B4AB" w:rsidR="00A52D0E" w:rsidRDefault="00A52D0E">
          <w:pPr>
            <w:pStyle w:val="TOC3"/>
            <w:tabs>
              <w:tab w:val="right" w:leader="dot" w:pos="9350"/>
            </w:tabs>
            <w:rPr>
              <w:rFonts w:asciiTheme="minorHAnsi" w:eastAsiaTheme="minorEastAsia" w:hAnsiTheme="minorHAnsi"/>
              <w:noProof/>
              <w:kern w:val="2"/>
              <w:szCs w:val="24"/>
              <w:lang w:val="en-US"/>
              <w14:ligatures w14:val="standardContextual"/>
            </w:rPr>
          </w:pPr>
          <w:hyperlink w:anchor="_Toc238925711" w:history="1">
            <w:r w:rsidRPr="00CC08DB">
              <w:rPr>
                <w:rStyle w:val="Hyperlink"/>
                <w:noProof/>
              </w:rPr>
              <w:t>Universo y contexto experimental</w:t>
            </w:r>
            <w:r>
              <w:rPr>
                <w:noProof/>
                <w:webHidden/>
              </w:rPr>
              <w:tab/>
            </w:r>
            <w:r>
              <w:rPr>
                <w:noProof/>
                <w:webHidden/>
              </w:rPr>
              <w:fldChar w:fldCharType="begin"/>
            </w:r>
            <w:r>
              <w:rPr>
                <w:noProof/>
                <w:webHidden/>
              </w:rPr>
              <w:instrText xml:space="preserve"> PAGEREF _Toc238925711 \h </w:instrText>
            </w:r>
            <w:r>
              <w:rPr>
                <w:noProof/>
                <w:webHidden/>
              </w:rPr>
            </w:r>
            <w:r>
              <w:rPr>
                <w:noProof/>
                <w:webHidden/>
              </w:rPr>
              <w:fldChar w:fldCharType="separate"/>
            </w:r>
            <w:r>
              <w:rPr>
                <w:noProof/>
                <w:webHidden/>
              </w:rPr>
              <w:t>18</w:t>
            </w:r>
            <w:r>
              <w:rPr>
                <w:noProof/>
                <w:webHidden/>
              </w:rPr>
              <w:fldChar w:fldCharType="end"/>
            </w:r>
          </w:hyperlink>
        </w:p>
        <w:p w14:paraId="49D9FE9E" w14:textId="233D9181" w:rsidR="00A52D0E" w:rsidRDefault="00A52D0E">
          <w:pPr>
            <w:pStyle w:val="TOC3"/>
            <w:tabs>
              <w:tab w:val="right" w:leader="dot" w:pos="9350"/>
            </w:tabs>
            <w:rPr>
              <w:rFonts w:asciiTheme="minorHAnsi" w:eastAsiaTheme="minorEastAsia" w:hAnsiTheme="minorHAnsi"/>
              <w:noProof/>
              <w:kern w:val="2"/>
              <w:szCs w:val="24"/>
              <w:lang w:val="en-US"/>
              <w14:ligatures w14:val="standardContextual"/>
            </w:rPr>
          </w:pPr>
          <w:hyperlink w:anchor="_Toc238925712" w:history="1">
            <w:r w:rsidRPr="00CC08DB">
              <w:rPr>
                <w:rStyle w:val="Hyperlink"/>
                <w:noProof/>
              </w:rPr>
              <w:t>Muestra de datasets, modelos y métodos XAI</w:t>
            </w:r>
            <w:r>
              <w:rPr>
                <w:noProof/>
                <w:webHidden/>
              </w:rPr>
              <w:tab/>
            </w:r>
            <w:r>
              <w:rPr>
                <w:noProof/>
                <w:webHidden/>
              </w:rPr>
              <w:fldChar w:fldCharType="begin"/>
            </w:r>
            <w:r>
              <w:rPr>
                <w:noProof/>
                <w:webHidden/>
              </w:rPr>
              <w:instrText xml:space="preserve"> PAGEREF _Toc238925712 \h </w:instrText>
            </w:r>
            <w:r>
              <w:rPr>
                <w:noProof/>
                <w:webHidden/>
              </w:rPr>
            </w:r>
            <w:r>
              <w:rPr>
                <w:noProof/>
                <w:webHidden/>
              </w:rPr>
              <w:fldChar w:fldCharType="separate"/>
            </w:r>
            <w:r>
              <w:rPr>
                <w:noProof/>
                <w:webHidden/>
              </w:rPr>
              <w:t>19</w:t>
            </w:r>
            <w:r>
              <w:rPr>
                <w:noProof/>
                <w:webHidden/>
              </w:rPr>
              <w:fldChar w:fldCharType="end"/>
            </w:r>
          </w:hyperlink>
        </w:p>
        <w:p w14:paraId="4B09E224" w14:textId="052E1DD5" w:rsidR="00A52D0E" w:rsidRDefault="00A52D0E">
          <w:pPr>
            <w:pStyle w:val="TOC3"/>
            <w:tabs>
              <w:tab w:val="right" w:leader="dot" w:pos="9350"/>
            </w:tabs>
            <w:rPr>
              <w:rFonts w:asciiTheme="minorHAnsi" w:eastAsiaTheme="minorEastAsia" w:hAnsiTheme="minorHAnsi"/>
              <w:noProof/>
              <w:kern w:val="2"/>
              <w:szCs w:val="24"/>
              <w:lang w:val="en-US"/>
              <w14:ligatures w14:val="standardContextual"/>
            </w:rPr>
          </w:pPr>
          <w:hyperlink w:anchor="_Toc238925713" w:history="1">
            <w:r w:rsidRPr="00CC08DB">
              <w:rPr>
                <w:rStyle w:val="Hyperlink"/>
                <w:noProof/>
              </w:rPr>
              <w:t>Criterios de inclusión y exclusión</w:t>
            </w:r>
            <w:r>
              <w:rPr>
                <w:noProof/>
                <w:webHidden/>
              </w:rPr>
              <w:tab/>
            </w:r>
            <w:r>
              <w:rPr>
                <w:noProof/>
                <w:webHidden/>
              </w:rPr>
              <w:fldChar w:fldCharType="begin"/>
            </w:r>
            <w:r>
              <w:rPr>
                <w:noProof/>
                <w:webHidden/>
              </w:rPr>
              <w:instrText xml:space="preserve"> PAGEREF _Toc238925713 \h </w:instrText>
            </w:r>
            <w:r>
              <w:rPr>
                <w:noProof/>
                <w:webHidden/>
              </w:rPr>
            </w:r>
            <w:r>
              <w:rPr>
                <w:noProof/>
                <w:webHidden/>
              </w:rPr>
              <w:fldChar w:fldCharType="separate"/>
            </w:r>
            <w:r>
              <w:rPr>
                <w:noProof/>
                <w:webHidden/>
              </w:rPr>
              <w:t>19</w:t>
            </w:r>
            <w:r>
              <w:rPr>
                <w:noProof/>
                <w:webHidden/>
              </w:rPr>
              <w:fldChar w:fldCharType="end"/>
            </w:r>
          </w:hyperlink>
        </w:p>
        <w:p w14:paraId="55356AC0" w14:textId="5B0CFBDD" w:rsidR="00A52D0E" w:rsidRDefault="00A52D0E">
          <w:pPr>
            <w:pStyle w:val="TOC3"/>
            <w:tabs>
              <w:tab w:val="right" w:leader="dot" w:pos="9350"/>
            </w:tabs>
            <w:rPr>
              <w:rFonts w:asciiTheme="minorHAnsi" w:eastAsiaTheme="minorEastAsia" w:hAnsiTheme="minorHAnsi"/>
              <w:noProof/>
              <w:kern w:val="2"/>
              <w:szCs w:val="24"/>
              <w:lang w:val="en-US"/>
              <w14:ligatures w14:val="standardContextual"/>
            </w:rPr>
          </w:pPr>
          <w:hyperlink w:anchor="_Toc238925714" w:history="1">
            <w:r w:rsidRPr="00CC08DB">
              <w:rPr>
                <w:rStyle w:val="Hyperlink"/>
                <w:noProof/>
              </w:rPr>
              <w:t>Variables, dimensiones y métricas</w:t>
            </w:r>
            <w:r>
              <w:rPr>
                <w:noProof/>
                <w:webHidden/>
              </w:rPr>
              <w:tab/>
            </w:r>
            <w:r>
              <w:rPr>
                <w:noProof/>
                <w:webHidden/>
              </w:rPr>
              <w:fldChar w:fldCharType="begin"/>
            </w:r>
            <w:r>
              <w:rPr>
                <w:noProof/>
                <w:webHidden/>
              </w:rPr>
              <w:instrText xml:space="preserve"> PAGEREF _Toc238925714 \h </w:instrText>
            </w:r>
            <w:r>
              <w:rPr>
                <w:noProof/>
                <w:webHidden/>
              </w:rPr>
            </w:r>
            <w:r>
              <w:rPr>
                <w:noProof/>
                <w:webHidden/>
              </w:rPr>
              <w:fldChar w:fldCharType="separate"/>
            </w:r>
            <w:r>
              <w:rPr>
                <w:noProof/>
                <w:webHidden/>
              </w:rPr>
              <w:t>20</w:t>
            </w:r>
            <w:r>
              <w:rPr>
                <w:noProof/>
                <w:webHidden/>
              </w:rPr>
              <w:fldChar w:fldCharType="end"/>
            </w:r>
          </w:hyperlink>
        </w:p>
        <w:p w14:paraId="7D4D2243" w14:textId="294D97AC" w:rsidR="00A52D0E" w:rsidRDefault="00A52D0E">
          <w:pPr>
            <w:pStyle w:val="TOC3"/>
            <w:tabs>
              <w:tab w:val="right" w:leader="dot" w:pos="9350"/>
            </w:tabs>
            <w:rPr>
              <w:rFonts w:asciiTheme="minorHAnsi" w:eastAsiaTheme="minorEastAsia" w:hAnsiTheme="minorHAnsi"/>
              <w:noProof/>
              <w:kern w:val="2"/>
              <w:szCs w:val="24"/>
              <w:lang w:val="en-US"/>
              <w14:ligatures w14:val="standardContextual"/>
            </w:rPr>
          </w:pPr>
          <w:hyperlink w:anchor="_Toc238925715" w:history="1">
            <w:r w:rsidRPr="00CC08DB">
              <w:rPr>
                <w:rStyle w:val="Hyperlink"/>
                <w:noProof/>
              </w:rPr>
              <w:t>Estrategia procedimental</w:t>
            </w:r>
            <w:r>
              <w:rPr>
                <w:noProof/>
                <w:webHidden/>
              </w:rPr>
              <w:tab/>
            </w:r>
            <w:r>
              <w:rPr>
                <w:noProof/>
                <w:webHidden/>
              </w:rPr>
              <w:fldChar w:fldCharType="begin"/>
            </w:r>
            <w:r>
              <w:rPr>
                <w:noProof/>
                <w:webHidden/>
              </w:rPr>
              <w:instrText xml:space="preserve"> PAGEREF _Toc238925715 \h </w:instrText>
            </w:r>
            <w:r>
              <w:rPr>
                <w:noProof/>
                <w:webHidden/>
              </w:rPr>
            </w:r>
            <w:r>
              <w:rPr>
                <w:noProof/>
                <w:webHidden/>
              </w:rPr>
              <w:fldChar w:fldCharType="separate"/>
            </w:r>
            <w:r>
              <w:rPr>
                <w:noProof/>
                <w:webHidden/>
              </w:rPr>
              <w:t>21</w:t>
            </w:r>
            <w:r>
              <w:rPr>
                <w:noProof/>
                <w:webHidden/>
              </w:rPr>
              <w:fldChar w:fldCharType="end"/>
            </w:r>
          </w:hyperlink>
        </w:p>
        <w:p w14:paraId="13284E5E" w14:textId="10F7CB78" w:rsidR="00A52D0E" w:rsidRDefault="00A52D0E">
          <w:pPr>
            <w:pStyle w:val="TOC1"/>
            <w:tabs>
              <w:tab w:val="right" w:leader="dot" w:pos="9350"/>
            </w:tabs>
            <w:rPr>
              <w:rFonts w:asciiTheme="minorHAnsi" w:eastAsiaTheme="minorEastAsia" w:hAnsiTheme="minorHAnsi"/>
              <w:noProof/>
              <w:kern w:val="2"/>
              <w:szCs w:val="24"/>
              <w:lang w:val="en-US"/>
              <w14:ligatures w14:val="standardContextual"/>
            </w:rPr>
          </w:pPr>
          <w:hyperlink w:anchor="_Toc238925716" w:history="1">
            <w:r w:rsidRPr="00CC08DB">
              <w:rPr>
                <w:rStyle w:val="Hyperlink"/>
                <w:noProof/>
              </w:rPr>
              <w:t>Marco teórico específico / fundamentos conceptuales</w:t>
            </w:r>
            <w:r>
              <w:rPr>
                <w:noProof/>
                <w:webHidden/>
              </w:rPr>
              <w:tab/>
            </w:r>
            <w:r>
              <w:rPr>
                <w:noProof/>
                <w:webHidden/>
              </w:rPr>
              <w:fldChar w:fldCharType="begin"/>
            </w:r>
            <w:r>
              <w:rPr>
                <w:noProof/>
                <w:webHidden/>
              </w:rPr>
              <w:instrText xml:space="preserve"> PAGEREF _Toc238925716 \h </w:instrText>
            </w:r>
            <w:r>
              <w:rPr>
                <w:noProof/>
                <w:webHidden/>
              </w:rPr>
            </w:r>
            <w:r>
              <w:rPr>
                <w:noProof/>
                <w:webHidden/>
              </w:rPr>
              <w:fldChar w:fldCharType="separate"/>
            </w:r>
            <w:r>
              <w:rPr>
                <w:noProof/>
                <w:webHidden/>
              </w:rPr>
              <w:t>22</w:t>
            </w:r>
            <w:r>
              <w:rPr>
                <w:noProof/>
                <w:webHidden/>
              </w:rPr>
              <w:fldChar w:fldCharType="end"/>
            </w:r>
          </w:hyperlink>
        </w:p>
        <w:p w14:paraId="0C532087" w14:textId="3C48F274" w:rsidR="00A52D0E" w:rsidRDefault="00A52D0E">
          <w:pPr>
            <w:pStyle w:val="TOC2"/>
            <w:tabs>
              <w:tab w:val="right" w:leader="dot" w:pos="9350"/>
            </w:tabs>
            <w:rPr>
              <w:rFonts w:asciiTheme="minorHAnsi" w:eastAsiaTheme="minorEastAsia" w:hAnsiTheme="minorHAnsi"/>
              <w:noProof/>
              <w:kern w:val="2"/>
              <w:szCs w:val="24"/>
              <w:lang w:val="en-US"/>
              <w14:ligatures w14:val="standardContextual"/>
            </w:rPr>
          </w:pPr>
          <w:hyperlink w:anchor="_Toc238925717" w:history="1">
            <w:r w:rsidRPr="00CC08DB">
              <w:rPr>
                <w:rStyle w:val="Hyperlink"/>
                <w:noProof/>
              </w:rPr>
              <w:t>Propósito del capítulo</w:t>
            </w:r>
            <w:r>
              <w:rPr>
                <w:noProof/>
                <w:webHidden/>
              </w:rPr>
              <w:tab/>
            </w:r>
            <w:r>
              <w:rPr>
                <w:noProof/>
                <w:webHidden/>
              </w:rPr>
              <w:fldChar w:fldCharType="begin"/>
            </w:r>
            <w:r>
              <w:rPr>
                <w:noProof/>
                <w:webHidden/>
              </w:rPr>
              <w:instrText xml:space="preserve"> PAGEREF _Toc238925717 \h </w:instrText>
            </w:r>
            <w:r>
              <w:rPr>
                <w:noProof/>
                <w:webHidden/>
              </w:rPr>
            </w:r>
            <w:r>
              <w:rPr>
                <w:noProof/>
                <w:webHidden/>
              </w:rPr>
              <w:fldChar w:fldCharType="separate"/>
            </w:r>
            <w:r>
              <w:rPr>
                <w:noProof/>
                <w:webHidden/>
              </w:rPr>
              <w:t>22</w:t>
            </w:r>
            <w:r>
              <w:rPr>
                <w:noProof/>
                <w:webHidden/>
              </w:rPr>
              <w:fldChar w:fldCharType="end"/>
            </w:r>
          </w:hyperlink>
        </w:p>
        <w:p w14:paraId="6C138D3E" w14:textId="2D3F3E1F" w:rsidR="00A52D0E" w:rsidRDefault="00A52D0E">
          <w:pPr>
            <w:pStyle w:val="TOC2"/>
            <w:tabs>
              <w:tab w:val="right" w:leader="dot" w:pos="9350"/>
            </w:tabs>
            <w:rPr>
              <w:rFonts w:asciiTheme="minorHAnsi" w:eastAsiaTheme="minorEastAsia" w:hAnsiTheme="minorHAnsi"/>
              <w:noProof/>
              <w:kern w:val="2"/>
              <w:szCs w:val="24"/>
              <w:lang w:val="en-US"/>
              <w14:ligatures w14:val="standardContextual"/>
            </w:rPr>
          </w:pPr>
          <w:hyperlink w:anchor="_Toc238925718" w:history="1">
            <w:r w:rsidRPr="00CC08DB">
              <w:rPr>
                <w:rStyle w:val="Hyperlink"/>
                <w:noProof/>
              </w:rPr>
              <w:t>Desarrollo histórico de la interpretabilidad y la XAI</w:t>
            </w:r>
            <w:r>
              <w:rPr>
                <w:noProof/>
                <w:webHidden/>
              </w:rPr>
              <w:tab/>
            </w:r>
            <w:r>
              <w:rPr>
                <w:noProof/>
                <w:webHidden/>
              </w:rPr>
              <w:fldChar w:fldCharType="begin"/>
            </w:r>
            <w:r>
              <w:rPr>
                <w:noProof/>
                <w:webHidden/>
              </w:rPr>
              <w:instrText xml:space="preserve"> PAGEREF _Toc238925718 \h </w:instrText>
            </w:r>
            <w:r>
              <w:rPr>
                <w:noProof/>
                <w:webHidden/>
              </w:rPr>
            </w:r>
            <w:r>
              <w:rPr>
                <w:noProof/>
                <w:webHidden/>
              </w:rPr>
              <w:fldChar w:fldCharType="separate"/>
            </w:r>
            <w:r>
              <w:rPr>
                <w:noProof/>
                <w:webHidden/>
              </w:rPr>
              <w:t>23</w:t>
            </w:r>
            <w:r>
              <w:rPr>
                <w:noProof/>
                <w:webHidden/>
              </w:rPr>
              <w:fldChar w:fldCharType="end"/>
            </w:r>
          </w:hyperlink>
        </w:p>
        <w:p w14:paraId="451E7830" w14:textId="7DABC20D" w:rsidR="00A52D0E" w:rsidRDefault="00A52D0E">
          <w:pPr>
            <w:pStyle w:val="TOC2"/>
            <w:tabs>
              <w:tab w:val="right" w:leader="dot" w:pos="9350"/>
            </w:tabs>
            <w:rPr>
              <w:rFonts w:asciiTheme="minorHAnsi" w:eastAsiaTheme="minorEastAsia" w:hAnsiTheme="minorHAnsi"/>
              <w:noProof/>
              <w:kern w:val="2"/>
              <w:szCs w:val="24"/>
              <w:lang w:val="en-US"/>
              <w14:ligatures w14:val="standardContextual"/>
            </w:rPr>
          </w:pPr>
          <w:hyperlink w:anchor="_Toc238925719" w:history="1">
            <w:r w:rsidRPr="00CC08DB">
              <w:rPr>
                <w:rStyle w:val="Hyperlink"/>
                <w:noProof/>
              </w:rPr>
              <w:t>Distinciones conceptuales fundamentales</w:t>
            </w:r>
            <w:r>
              <w:rPr>
                <w:noProof/>
                <w:webHidden/>
              </w:rPr>
              <w:tab/>
            </w:r>
            <w:r>
              <w:rPr>
                <w:noProof/>
                <w:webHidden/>
              </w:rPr>
              <w:fldChar w:fldCharType="begin"/>
            </w:r>
            <w:r>
              <w:rPr>
                <w:noProof/>
                <w:webHidden/>
              </w:rPr>
              <w:instrText xml:space="preserve"> PAGEREF _Toc238925719 \h </w:instrText>
            </w:r>
            <w:r>
              <w:rPr>
                <w:noProof/>
                <w:webHidden/>
              </w:rPr>
            </w:r>
            <w:r>
              <w:rPr>
                <w:noProof/>
                <w:webHidden/>
              </w:rPr>
              <w:fldChar w:fldCharType="separate"/>
            </w:r>
            <w:r>
              <w:rPr>
                <w:noProof/>
                <w:webHidden/>
              </w:rPr>
              <w:t>28</w:t>
            </w:r>
            <w:r>
              <w:rPr>
                <w:noProof/>
                <w:webHidden/>
              </w:rPr>
              <w:fldChar w:fldCharType="end"/>
            </w:r>
          </w:hyperlink>
        </w:p>
        <w:p w14:paraId="3CF59C3C" w14:textId="604C0A15" w:rsidR="00A52D0E" w:rsidRDefault="00A52D0E">
          <w:pPr>
            <w:pStyle w:val="TOC2"/>
            <w:tabs>
              <w:tab w:val="right" w:leader="dot" w:pos="9350"/>
            </w:tabs>
            <w:rPr>
              <w:rFonts w:asciiTheme="minorHAnsi" w:eastAsiaTheme="minorEastAsia" w:hAnsiTheme="minorHAnsi"/>
              <w:noProof/>
              <w:kern w:val="2"/>
              <w:szCs w:val="24"/>
              <w:lang w:val="en-US"/>
              <w14:ligatures w14:val="standardContextual"/>
            </w:rPr>
          </w:pPr>
          <w:hyperlink w:anchor="_Toc238925720" w:history="1">
            <w:r w:rsidRPr="00CC08DB">
              <w:rPr>
                <w:rStyle w:val="Hyperlink"/>
                <w:noProof/>
              </w:rPr>
              <w:t>Métodos de explicación evaluados en esta tesis</w:t>
            </w:r>
            <w:r>
              <w:rPr>
                <w:noProof/>
                <w:webHidden/>
              </w:rPr>
              <w:tab/>
            </w:r>
            <w:r>
              <w:rPr>
                <w:noProof/>
                <w:webHidden/>
              </w:rPr>
              <w:fldChar w:fldCharType="begin"/>
            </w:r>
            <w:r>
              <w:rPr>
                <w:noProof/>
                <w:webHidden/>
              </w:rPr>
              <w:instrText xml:space="preserve"> PAGEREF _Toc238925720 \h </w:instrText>
            </w:r>
            <w:r>
              <w:rPr>
                <w:noProof/>
                <w:webHidden/>
              </w:rPr>
            </w:r>
            <w:r>
              <w:rPr>
                <w:noProof/>
                <w:webHidden/>
              </w:rPr>
              <w:fldChar w:fldCharType="separate"/>
            </w:r>
            <w:r>
              <w:rPr>
                <w:noProof/>
                <w:webHidden/>
              </w:rPr>
              <w:t>32</w:t>
            </w:r>
            <w:r>
              <w:rPr>
                <w:noProof/>
                <w:webHidden/>
              </w:rPr>
              <w:fldChar w:fldCharType="end"/>
            </w:r>
          </w:hyperlink>
        </w:p>
        <w:p w14:paraId="3577789F" w14:textId="0908BA4A" w:rsidR="00A52D0E" w:rsidRDefault="00A52D0E">
          <w:pPr>
            <w:pStyle w:val="TOC3"/>
            <w:tabs>
              <w:tab w:val="right" w:leader="dot" w:pos="9350"/>
            </w:tabs>
            <w:rPr>
              <w:rFonts w:asciiTheme="minorHAnsi" w:eastAsiaTheme="minorEastAsia" w:hAnsiTheme="minorHAnsi"/>
              <w:noProof/>
              <w:kern w:val="2"/>
              <w:szCs w:val="24"/>
              <w:lang w:val="en-US"/>
              <w14:ligatures w14:val="standardContextual"/>
            </w:rPr>
          </w:pPr>
          <w:hyperlink w:anchor="_Toc238925721" w:history="1">
            <w:r w:rsidRPr="00CC08DB">
              <w:rPr>
                <w:rStyle w:val="Hyperlink"/>
                <w:noProof/>
              </w:rPr>
              <w:t>LIME: sustitutos locales, muestreo e inestabilidad</w:t>
            </w:r>
            <w:r>
              <w:rPr>
                <w:noProof/>
                <w:webHidden/>
              </w:rPr>
              <w:tab/>
            </w:r>
            <w:r>
              <w:rPr>
                <w:noProof/>
                <w:webHidden/>
              </w:rPr>
              <w:fldChar w:fldCharType="begin"/>
            </w:r>
            <w:r>
              <w:rPr>
                <w:noProof/>
                <w:webHidden/>
              </w:rPr>
              <w:instrText xml:space="preserve"> PAGEREF _Toc238925721 \h </w:instrText>
            </w:r>
            <w:r>
              <w:rPr>
                <w:noProof/>
                <w:webHidden/>
              </w:rPr>
            </w:r>
            <w:r>
              <w:rPr>
                <w:noProof/>
                <w:webHidden/>
              </w:rPr>
              <w:fldChar w:fldCharType="separate"/>
            </w:r>
            <w:r>
              <w:rPr>
                <w:noProof/>
                <w:webHidden/>
              </w:rPr>
              <w:t>32</w:t>
            </w:r>
            <w:r>
              <w:rPr>
                <w:noProof/>
                <w:webHidden/>
              </w:rPr>
              <w:fldChar w:fldCharType="end"/>
            </w:r>
          </w:hyperlink>
        </w:p>
        <w:p w14:paraId="435B48E6" w14:textId="4AAD5E2B" w:rsidR="00A52D0E" w:rsidRDefault="00A52D0E">
          <w:pPr>
            <w:pStyle w:val="TOC3"/>
            <w:tabs>
              <w:tab w:val="right" w:leader="dot" w:pos="9350"/>
            </w:tabs>
            <w:rPr>
              <w:rFonts w:asciiTheme="minorHAnsi" w:eastAsiaTheme="minorEastAsia" w:hAnsiTheme="minorHAnsi"/>
              <w:noProof/>
              <w:kern w:val="2"/>
              <w:szCs w:val="24"/>
              <w:lang w:val="en-US"/>
              <w14:ligatures w14:val="standardContextual"/>
            </w:rPr>
          </w:pPr>
          <w:hyperlink w:anchor="_Toc238925722" w:history="1">
            <w:r w:rsidRPr="00CC08DB">
              <w:rPr>
                <w:rStyle w:val="Hyperlink"/>
                <w:noProof/>
              </w:rPr>
              <w:t>SHAP: valores de Shapley y atribución aditiva</w:t>
            </w:r>
            <w:r>
              <w:rPr>
                <w:noProof/>
                <w:webHidden/>
              </w:rPr>
              <w:tab/>
            </w:r>
            <w:r>
              <w:rPr>
                <w:noProof/>
                <w:webHidden/>
              </w:rPr>
              <w:fldChar w:fldCharType="begin"/>
            </w:r>
            <w:r>
              <w:rPr>
                <w:noProof/>
                <w:webHidden/>
              </w:rPr>
              <w:instrText xml:space="preserve"> PAGEREF _Toc238925722 \h </w:instrText>
            </w:r>
            <w:r>
              <w:rPr>
                <w:noProof/>
                <w:webHidden/>
              </w:rPr>
            </w:r>
            <w:r>
              <w:rPr>
                <w:noProof/>
                <w:webHidden/>
              </w:rPr>
              <w:fldChar w:fldCharType="separate"/>
            </w:r>
            <w:r>
              <w:rPr>
                <w:noProof/>
                <w:webHidden/>
              </w:rPr>
              <w:t>33</w:t>
            </w:r>
            <w:r>
              <w:rPr>
                <w:noProof/>
                <w:webHidden/>
              </w:rPr>
              <w:fldChar w:fldCharType="end"/>
            </w:r>
          </w:hyperlink>
        </w:p>
        <w:p w14:paraId="200870EE" w14:textId="14178764" w:rsidR="00A52D0E" w:rsidRDefault="00A52D0E">
          <w:pPr>
            <w:pStyle w:val="TOC3"/>
            <w:tabs>
              <w:tab w:val="right" w:leader="dot" w:pos="9350"/>
            </w:tabs>
            <w:rPr>
              <w:rFonts w:asciiTheme="minorHAnsi" w:eastAsiaTheme="minorEastAsia" w:hAnsiTheme="minorHAnsi"/>
              <w:noProof/>
              <w:kern w:val="2"/>
              <w:szCs w:val="24"/>
              <w:lang w:val="en-US"/>
              <w14:ligatures w14:val="standardContextual"/>
            </w:rPr>
          </w:pPr>
          <w:hyperlink w:anchor="_Toc238925723" w:history="1">
            <w:r w:rsidRPr="00CC08DB">
              <w:rPr>
                <w:rStyle w:val="Hyperlink"/>
                <w:noProof/>
              </w:rPr>
              <w:t>Anchors: reglas de alta precisión y límites de cobertura</w:t>
            </w:r>
            <w:r>
              <w:rPr>
                <w:noProof/>
                <w:webHidden/>
              </w:rPr>
              <w:tab/>
            </w:r>
            <w:r>
              <w:rPr>
                <w:noProof/>
                <w:webHidden/>
              </w:rPr>
              <w:fldChar w:fldCharType="begin"/>
            </w:r>
            <w:r>
              <w:rPr>
                <w:noProof/>
                <w:webHidden/>
              </w:rPr>
              <w:instrText xml:space="preserve"> PAGEREF _Toc238925723 \h </w:instrText>
            </w:r>
            <w:r>
              <w:rPr>
                <w:noProof/>
                <w:webHidden/>
              </w:rPr>
            </w:r>
            <w:r>
              <w:rPr>
                <w:noProof/>
                <w:webHidden/>
              </w:rPr>
              <w:fldChar w:fldCharType="separate"/>
            </w:r>
            <w:r>
              <w:rPr>
                <w:noProof/>
                <w:webHidden/>
              </w:rPr>
              <w:t>35</w:t>
            </w:r>
            <w:r>
              <w:rPr>
                <w:noProof/>
                <w:webHidden/>
              </w:rPr>
              <w:fldChar w:fldCharType="end"/>
            </w:r>
          </w:hyperlink>
        </w:p>
        <w:p w14:paraId="7EE117F9" w14:textId="7012EE97" w:rsidR="00A52D0E" w:rsidRDefault="00A52D0E">
          <w:pPr>
            <w:pStyle w:val="TOC3"/>
            <w:tabs>
              <w:tab w:val="right" w:leader="dot" w:pos="9350"/>
            </w:tabs>
            <w:rPr>
              <w:rFonts w:asciiTheme="minorHAnsi" w:eastAsiaTheme="minorEastAsia" w:hAnsiTheme="minorHAnsi"/>
              <w:noProof/>
              <w:kern w:val="2"/>
              <w:szCs w:val="24"/>
              <w:lang w:val="en-US"/>
              <w14:ligatures w14:val="standardContextual"/>
            </w:rPr>
          </w:pPr>
          <w:hyperlink w:anchor="_Toc238925724" w:history="1">
            <w:r w:rsidRPr="00CC08DB">
              <w:rPr>
                <w:rStyle w:val="Hyperlink"/>
                <w:noProof/>
              </w:rPr>
              <w:t>DiCE: contrafactuales, accionabilidad y validez</w:t>
            </w:r>
            <w:r>
              <w:rPr>
                <w:noProof/>
                <w:webHidden/>
              </w:rPr>
              <w:tab/>
            </w:r>
            <w:r>
              <w:rPr>
                <w:noProof/>
                <w:webHidden/>
              </w:rPr>
              <w:fldChar w:fldCharType="begin"/>
            </w:r>
            <w:r>
              <w:rPr>
                <w:noProof/>
                <w:webHidden/>
              </w:rPr>
              <w:instrText xml:space="preserve"> PAGEREF _Toc238925724 \h </w:instrText>
            </w:r>
            <w:r>
              <w:rPr>
                <w:noProof/>
                <w:webHidden/>
              </w:rPr>
            </w:r>
            <w:r>
              <w:rPr>
                <w:noProof/>
                <w:webHidden/>
              </w:rPr>
              <w:fldChar w:fldCharType="separate"/>
            </w:r>
            <w:r>
              <w:rPr>
                <w:noProof/>
                <w:webHidden/>
              </w:rPr>
              <w:t>37</w:t>
            </w:r>
            <w:r>
              <w:rPr>
                <w:noProof/>
                <w:webHidden/>
              </w:rPr>
              <w:fldChar w:fldCharType="end"/>
            </w:r>
          </w:hyperlink>
        </w:p>
        <w:p w14:paraId="1C61B088" w14:textId="484910ED" w:rsidR="00A52D0E" w:rsidRDefault="00A52D0E">
          <w:pPr>
            <w:pStyle w:val="TOC2"/>
            <w:tabs>
              <w:tab w:val="right" w:leader="dot" w:pos="9350"/>
            </w:tabs>
            <w:rPr>
              <w:rFonts w:asciiTheme="minorHAnsi" w:eastAsiaTheme="minorEastAsia" w:hAnsiTheme="minorHAnsi"/>
              <w:noProof/>
              <w:kern w:val="2"/>
              <w:szCs w:val="24"/>
              <w:lang w:val="en-US"/>
              <w14:ligatures w14:val="standardContextual"/>
            </w:rPr>
          </w:pPr>
          <w:hyperlink w:anchor="_Toc238925725" w:history="1">
            <w:r w:rsidRPr="00CC08DB">
              <w:rPr>
                <w:rStyle w:val="Hyperlink"/>
                <w:noProof/>
              </w:rPr>
              <w:t>Marcos y protocolos de evaluación XAI</w:t>
            </w:r>
            <w:r>
              <w:rPr>
                <w:noProof/>
                <w:webHidden/>
              </w:rPr>
              <w:tab/>
            </w:r>
            <w:r>
              <w:rPr>
                <w:noProof/>
                <w:webHidden/>
              </w:rPr>
              <w:fldChar w:fldCharType="begin"/>
            </w:r>
            <w:r>
              <w:rPr>
                <w:noProof/>
                <w:webHidden/>
              </w:rPr>
              <w:instrText xml:space="preserve"> PAGEREF _Toc238925725 \h </w:instrText>
            </w:r>
            <w:r>
              <w:rPr>
                <w:noProof/>
                <w:webHidden/>
              </w:rPr>
            </w:r>
            <w:r>
              <w:rPr>
                <w:noProof/>
                <w:webHidden/>
              </w:rPr>
              <w:fldChar w:fldCharType="separate"/>
            </w:r>
            <w:r>
              <w:rPr>
                <w:noProof/>
                <w:webHidden/>
              </w:rPr>
              <w:t>38</w:t>
            </w:r>
            <w:r>
              <w:rPr>
                <w:noProof/>
                <w:webHidden/>
              </w:rPr>
              <w:fldChar w:fldCharType="end"/>
            </w:r>
          </w:hyperlink>
        </w:p>
        <w:p w14:paraId="6ABE1BA8" w14:textId="49E3D733" w:rsidR="00A52D0E" w:rsidRDefault="00A52D0E">
          <w:pPr>
            <w:pStyle w:val="TOC3"/>
            <w:tabs>
              <w:tab w:val="right" w:leader="dot" w:pos="9350"/>
            </w:tabs>
            <w:rPr>
              <w:rFonts w:asciiTheme="minorHAnsi" w:eastAsiaTheme="minorEastAsia" w:hAnsiTheme="minorHAnsi"/>
              <w:noProof/>
              <w:kern w:val="2"/>
              <w:szCs w:val="24"/>
              <w:lang w:val="en-US"/>
              <w14:ligatures w14:val="standardContextual"/>
            </w:rPr>
          </w:pPr>
          <w:hyperlink w:anchor="_Toc238925726" w:history="1">
            <w:r w:rsidRPr="00CC08DB">
              <w:rPr>
                <w:rStyle w:val="Hyperlink"/>
                <w:noProof/>
              </w:rPr>
              <w:t>Evaluación human-centered: usuarios, tareas y calidad explicativa</w:t>
            </w:r>
            <w:r>
              <w:rPr>
                <w:noProof/>
                <w:webHidden/>
              </w:rPr>
              <w:tab/>
            </w:r>
            <w:r>
              <w:rPr>
                <w:noProof/>
                <w:webHidden/>
              </w:rPr>
              <w:fldChar w:fldCharType="begin"/>
            </w:r>
            <w:r>
              <w:rPr>
                <w:noProof/>
                <w:webHidden/>
              </w:rPr>
              <w:instrText xml:space="preserve"> PAGEREF _Toc238925726 \h </w:instrText>
            </w:r>
            <w:r>
              <w:rPr>
                <w:noProof/>
                <w:webHidden/>
              </w:rPr>
            </w:r>
            <w:r>
              <w:rPr>
                <w:noProof/>
                <w:webHidden/>
              </w:rPr>
              <w:fldChar w:fldCharType="separate"/>
            </w:r>
            <w:r>
              <w:rPr>
                <w:noProof/>
                <w:webHidden/>
              </w:rPr>
              <w:t>43</w:t>
            </w:r>
            <w:r>
              <w:rPr>
                <w:noProof/>
                <w:webHidden/>
              </w:rPr>
              <w:fldChar w:fldCharType="end"/>
            </w:r>
          </w:hyperlink>
        </w:p>
        <w:p w14:paraId="1A37FC76" w14:textId="1D38EFD5" w:rsidR="00A52D0E" w:rsidRDefault="00A52D0E">
          <w:pPr>
            <w:pStyle w:val="TOC3"/>
            <w:tabs>
              <w:tab w:val="right" w:leader="dot" w:pos="9350"/>
            </w:tabs>
            <w:rPr>
              <w:rFonts w:asciiTheme="minorHAnsi" w:eastAsiaTheme="minorEastAsia" w:hAnsiTheme="minorHAnsi"/>
              <w:noProof/>
              <w:kern w:val="2"/>
              <w:szCs w:val="24"/>
              <w:lang w:val="en-US"/>
              <w14:ligatures w14:val="standardContextual"/>
            </w:rPr>
          </w:pPr>
          <w:hyperlink w:anchor="_Toc238925727" w:history="1">
            <w:r w:rsidRPr="00CC08DB">
              <w:rPr>
                <w:rStyle w:val="Hyperlink"/>
                <w:noProof/>
              </w:rPr>
              <w:t>Reproducibilidad en XAI: crisis, causas y respuestas</w:t>
            </w:r>
            <w:r>
              <w:rPr>
                <w:noProof/>
                <w:webHidden/>
              </w:rPr>
              <w:tab/>
            </w:r>
            <w:r>
              <w:rPr>
                <w:noProof/>
                <w:webHidden/>
              </w:rPr>
              <w:fldChar w:fldCharType="begin"/>
            </w:r>
            <w:r>
              <w:rPr>
                <w:noProof/>
                <w:webHidden/>
              </w:rPr>
              <w:instrText xml:space="preserve"> PAGEREF _Toc238925727 \h </w:instrText>
            </w:r>
            <w:r>
              <w:rPr>
                <w:noProof/>
                <w:webHidden/>
              </w:rPr>
            </w:r>
            <w:r>
              <w:rPr>
                <w:noProof/>
                <w:webHidden/>
              </w:rPr>
              <w:fldChar w:fldCharType="separate"/>
            </w:r>
            <w:r>
              <w:rPr>
                <w:noProof/>
                <w:webHidden/>
              </w:rPr>
              <w:t>45</w:t>
            </w:r>
            <w:r>
              <w:rPr>
                <w:noProof/>
                <w:webHidden/>
              </w:rPr>
              <w:fldChar w:fldCharType="end"/>
            </w:r>
          </w:hyperlink>
        </w:p>
        <w:p w14:paraId="70DCFB14" w14:textId="69789CA1" w:rsidR="00A52D0E" w:rsidRDefault="00A52D0E">
          <w:pPr>
            <w:pStyle w:val="TOC2"/>
            <w:tabs>
              <w:tab w:val="right" w:leader="dot" w:pos="9350"/>
            </w:tabs>
            <w:rPr>
              <w:rFonts w:asciiTheme="minorHAnsi" w:eastAsiaTheme="minorEastAsia" w:hAnsiTheme="minorHAnsi"/>
              <w:noProof/>
              <w:kern w:val="2"/>
              <w:szCs w:val="24"/>
              <w:lang w:val="en-US"/>
              <w14:ligatures w14:val="standardContextual"/>
            </w:rPr>
          </w:pPr>
          <w:hyperlink w:anchor="_Toc238925728" w:history="1">
            <w:r w:rsidRPr="00CC08DB">
              <w:rPr>
                <w:rStyle w:val="Hyperlink"/>
                <w:noProof/>
              </w:rPr>
              <w:t>Taxonomias de métricas y brechas de constructo</w:t>
            </w:r>
            <w:r>
              <w:rPr>
                <w:noProof/>
                <w:webHidden/>
              </w:rPr>
              <w:tab/>
            </w:r>
            <w:r>
              <w:rPr>
                <w:noProof/>
                <w:webHidden/>
              </w:rPr>
              <w:fldChar w:fldCharType="begin"/>
            </w:r>
            <w:r>
              <w:rPr>
                <w:noProof/>
                <w:webHidden/>
              </w:rPr>
              <w:instrText xml:space="preserve"> PAGEREF _Toc238925728 \h </w:instrText>
            </w:r>
            <w:r>
              <w:rPr>
                <w:noProof/>
                <w:webHidden/>
              </w:rPr>
            </w:r>
            <w:r>
              <w:rPr>
                <w:noProof/>
                <w:webHidden/>
              </w:rPr>
              <w:fldChar w:fldCharType="separate"/>
            </w:r>
            <w:r>
              <w:rPr>
                <w:noProof/>
                <w:webHidden/>
              </w:rPr>
              <w:t>47</w:t>
            </w:r>
            <w:r>
              <w:rPr>
                <w:noProof/>
                <w:webHidden/>
              </w:rPr>
              <w:fldChar w:fldCharType="end"/>
            </w:r>
          </w:hyperlink>
        </w:p>
        <w:p w14:paraId="689921A7" w14:textId="343D8DC8" w:rsidR="00A52D0E" w:rsidRDefault="00A52D0E">
          <w:pPr>
            <w:pStyle w:val="TOC2"/>
            <w:tabs>
              <w:tab w:val="right" w:leader="dot" w:pos="9350"/>
            </w:tabs>
            <w:rPr>
              <w:rFonts w:asciiTheme="minorHAnsi" w:eastAsiaTheme="minorEastAsia" w:hAnsiTheme="minorHAnsi"/>
              <w:noProof/>
              <w:kern w:val="2"/>
              <w:szCs w:val="24"/>
              <w:lang w:val="en-US"/>
              <w14:ligatures w14:val="standardContextual"/>
            </w:rPr>
          </w:pPr>
          <w:hyperlink w:anchor="_Toc238925729" w:history="1">
            <w:r w:rsidRPr="00CC08DB">
              <w:rPr>
                <w:rStyle w:val="Hyperlink"/>
                <w:noProof/>
              </w:rPr>
              <w:t>Reproducibilidad y trazabilidad en benchmarking XAI</w:t>
            </w:r>
            <w:r>
              <w:rPr>
                <w:noProof/>
                <w:webHidden/>
              </w:rPr>
              <w:tab/>
            </w:r>
            <w:r>
              <w:rPr>
                <w:noProof/>
                <w:webHidden/>
              </w:rPr>
              <w:fldChar w:fldCharType="begin"/>
            </w:r>
            <w:r>
              <w:rPr>
                <w:noProof/>
                <w:webHidden/>
              </w:rPr>
              <w:instrText xml:space="preserve"> PAGEREF _Toc238925729 \h </w:instrText>
            </w:r>
            <w:r>
              <w:rPr>
                <w:noProof/>
                <w:webHidden/>
              </w:rPr>
            </w:r>
            <w:r>
              <w:rPr>
                <w:noProof/>
                <w:webHidden/>
              </w:rPr>
              <w:fldChar w:fldCharType="separate"/>
            </w:r>
            <w:r>
              <w:rPr>
                <w:noProof/>
                <w:webHidden/>
              </w:rPr>
              <w:t>52</w:t>
            </w:r>
            <w:r>
              <w:rPr>
                <w:noProof/>
                <w:webHidden/>
              </w:rPr>
              <w:fldChar w:fldCharType="end"/>
            </w:r>
          </w:hyperlink>
        </w:p>
        <w:p w14:paraId="55ACF961" w14:textId="7D4F786B" w:rsidR="00A52D0E" w:rsidRDefault="00A52D0E">
          <w:pPr>
            <w:pStyle w:val="TOC2"/>
            <w:tabs>
              <w:tab w:val="right" w:leader="dot" w:pos="9350"/>
            </w:tabs>
            <w:rPr>
              <w:rFonts w:asciiTheme="minorHAnsi" w:eastAsiaTheme="minorEastAsia" w:hAnsiTheme="minorHAnsi"/>
              <w:noProof/>
              <w:kern w:val="2"/>
              <w:szCs w:val="24"/>
              <w:lang w:val="en-US"/>
              <w14:ligatures w14:val="standardContextual"/>
            </w:rPr>
          </w:pPr>
          <w:hyperlink w:anchor="_Toc238925730" w:history="1">
            <w:r w:rsidRPr="00CC08DB">
              <w:rPr>
                <w:rStyle w:val="Hyperlink"/>
                <w:noProof/>
              </w:rPr>
              <w:t>Síntesis crítica: justificación de FOM-7</w:t>
            </w:r>
            <w:r>
              <w:rPr>
                <w:noProof/>
                <w:webHidden/>
              </w:rPr>
              <w:tab/>
            </w:r>
            <w:r>
              <w:rPr>
                <w:noProof/>
                <w:webHidden/>
              </w:rPr>
              <w:fldChar w:fldCharType="begin"/>
            </w:r>
            <w:r>
              <w:rPr>
                <w:noProof/>
                <w:webHidden/>
              </w:rPr>
              <w:instrText xml:space="preserve"> PAGEREF _Toc238925730 \h </w:instrText>
            </w:r>
            <w:r>
              <w:rPr>
                <w:noProof/>
                <w:webHidden/>
              </w:rPr>
            </w:r>
            <w:r>
              <w:rPr>
                <w:noProof/>
                <w:webHidden/>
              </w:rPr>
              <w:fldChar w:fldCharType="separate"/>
            </w:r>
            <w:r>
              <w:rPr>
                <w:noProof/>
                <w:webHidden/>
              </w:rPr>
              <w:t>53</w:t>
            </w:r>
            <w:r>
              <w:rPr>
                <w:noProof/>
                <w:webHidden/>
              </w:rPr>
              <w:fldChar w:fldCharType="end"/>
            </w:r>
          </w:hyperlink>
        </w:p>
        <w:p w14:paraId="67E7E5C9" w14:textId="59039DB0" w:rsidR="00A52D0E" w:rsidRDefault="00A52D0E">
          <w:pPr>
            <w:pStyle w:val="TOC1"/>
            <w:tabs>
              <w:tab w:val="right" w:leader="dot" w:pos="9350"/>
            </w:tabs>
            <w:rPr>
              <w:rFonts w:asciiTheme="minorHAnsi" w:eastAsiaTheme="minorEastAsia" w:hAnsiTheme="minorHAnsi"/>
              <w:noProof/>
              <w:kern w:val="2"/>
              <w:szCs w:val="24"/>
              <w:lang w:val="en-US"/>
              <w14:ligatures w14:val="standardContextual"/>
            </w:rPr>
          </w:pPr>
          <w:hyperlink w:anchor="_Toc238925731" w:history="1">
            <w:r w:rsidRPr="00CC08DB">
              <w:rPr>
                <w:rStyle w:val="Hyperlink"/>
                <w:noProof/>
              </w:rPr>
              <w:t>Marco empírico y diseño experimental</w:t>
            </w:r>
            <w:r>
              <w:rPr>
                <w:noProof/>
                <w:webHidden/>
              </w:rPr>
              <w:tab/>
            </w:r>
            <w:r>
              <w:rPr>
                <w:noProof/>
                <w:webHidden/>
              </w:rPr>
              <w:fldChar w:fldCharType="begin"/>
            </w:r>
            <w:r>
              <w:rPr>
                <w:noProof/>
                <w:webHidden/>
              </w:rPr>
              <w:instrText xml:space="preserve"> PAGEREF _Toc238925731 \h </w:instrText>
            </w:r>
            <w:r>
              <w:rPr>
                <w:noProof/>
                <w:webHidden/>
              </w:rPr>
            </w:r>
            <w:r>
              <w:rPr>
                <w:noProof/>
                <w:webHidden/>
              </w:rPr>
              <w:fldChar w:fldCharType="separate"/>
            </w:r>
            <w:r>
              <w:rPr>
                <w:noProof/>
                <w:webHidden/>
              </w:rPr>
              <w:t>56</w:t>
            </w:r>
            <w:r>
              <w:rPr>
                <w:noProof/>
                <w:webHidden/>
              </w:rPr>
              <w:fldChar w:fldCharType="end"/>
            </w:r>
          </w:hyperlink>
        </w:p>
        <w:p w14:paraId="46675145" w14:textId="7EB0862A" w:rsidR="00A52D0E" w:rsidRDefault="00A52D0E">
          <w:pPr>
            <w:pStyle w:val="TOC2"/>
            <w:tabs>
              <w:tab w:val="right" w:leader="dot" w:pos="9350"/>
            </w:tabs>
            <w:rPr>
              <w:rFonts w:asciiTheme="minorHAnsi" w:eastAsiaTheme="minorEastAsia" w:hAnsiTheme="minorHAnsi"/>
              <w:noProof/>
              <w:kern w:val="2"/>
              <w:szCs w:val="24"/>
              <w:lang w:val="en-US"/>
              <w14:ligatures w14:val="standardContextual"/>
            </w:rPr>
          </w:pPr>
          <w:hyperlink w:anchor="_Toc238925732" w:history="1">
            <w:r w:rsidRPr="00CC08DB">
              <w:rPr>
                <w:rStyle w:val="Hyperlink"/>
                <w:noProof/>
              </w:rPr>
              <w:t>Fases experimentales: EXP1 y EXP2</w:t>
            </w:r>
            <w:r>
              <w:rPr>
                <w:noProof/>
                <w:webHidden/>
              </w:rPr>
              <w:tab/>
            </w:r>
            <w:r>
              <w:rPr>
                <w:noProof/>
                <w:webHidden/>
              </w:rPr>
              <w:fldChar w:fldCharType="begin"/>
            </w:r>
            <w:r>
              <w:rPr>
                <w:noProof/>
                <w:webHidden/>
              </w:rPr>
              <w:instrText xml:space="preserve"> PAGEREF _Toc238925732 \h </w:instrText>
            </w:r>
            <w:r>
              <w:rPr>
                <w:noProof/>
                <w:webHidden/>
              </w:rPr>
            </w:r>
            <w:r>
              <w:rPr>
                <w:noProof/>
                <w:webHidden/>
              </w:rPr>
              <w:fldChar w:fldCharType="separate"/>
            </w:r>
            <w:r>
              <w:rPr>
                <w:noProof/>
                <w:webHidden/>
              </w:rPr>
              <w:t>57</w:t>
            </w:r>
            <w:r>
              <w:rPr>
                <w:noProof/>
                <w:webHidden/>
              </w:rPr>
              <w:fldChar w:fldCharType="end"/>
            </w:r>
          </w:hyperlink>
        </w:p>
        <w:p w14:paraId="04A5AA92" w14:textId="1517669D" w:rsidR="00A52D0E" w:rsidRDefault="00A52D0E">
          <w:pPr>
            <w:pStyle w:val="TOC3"/>
            <w:tabs>
              <w:tab w:val="right" w:leader="dot" w:pos="9350"/>
            </w:tabs>
            <w:rPr>
              <w:rFonts w:asciiTheme="minorHAnsi" w:eastAsiaTheme="minorEastAsia" w:hAnsiTheme="minorHAnsi"/>
              <w:noProof/>
              <w:kern w:val="2"/>
              <w:szCs w:val="24"/>
              <w:lang w:val="en-US"/>
              <w14:ligatures w14:val="standardContextual"/>
            </w:rPr>
          </w:pPr>
          <w:hyperlink w:anchor="_Toc238925733" w:history="1">
            <w:r w:rsidRPr="00CC08DB">
              <w:rPr>
                <w:rStyle w:val="Hyperlink"/>
                <w:noProof/>
              </w:rPr>
              <w:t>Fase de calibración y reproducibilidad (EXP1)</w:t>
            </w:r>
            <w:r>
              <w:rPr>
                <w:noProof/>
                <w:webHidden/>
              </w:rPr>
              <w:tab/>
            </w:r>
            <w:r>
              <w:rPr>
                <w:noProof/>
                <w:webHidden/>
              </w:rPr>
              <w:fldChar w:fldCharType="begin"/>
            </w:r>
            <w:r>
              <w:rPr>
                <w:noProof/>
                <w:webHidden/>
              </w:rPr>
              <w:instrText xml:space="preserve"> PAGEREF _Toc238925733 \h </w:instrText>
            </w:r>
            <w:r>
              <w:rPr>
                <w:noProof/>
                <w:webHidden/>
              </w:rPr>
            </w:r>
            <w:r>
              <w:rPr>
                <w:noProof/>
                <w:webHidden/>
              </w:rPr>
              <w:fldChar w:fldCharType="separate"/>
            </w:r>
            <w:r>
              <w:rPr>
                <w:noProof/>
                <w:webHidden/>
              </w:rPr>
              <w:t>57</w:t>
            </w:r>
            <w:r>
              <w:rPr>
                <w:noProof/>
                <w:webHidden/>
              </w:rPr>
              <w:fldChar w:fldCharType="end"/>
            </w:r>
          </w:hyperlink>
        </w:p>
        <w:p w14:paraId="628D6918" w14:textId="4BA60C51" w:rsidR="00A52D0E" w:rsidRDefault="00A52D0E">
          <w:pPr>
            <w:pStyle w:val="TOC3"/>
            <w:tabs>
              <w:tab w:val="right" w:leader="dot" w:pos="9350"/>
            </w:tabs>
            <w:rPr>
              <w:rFonts w:asciiTheme="minorHAnsi" w:eastAsiaTheme="minorEastAsia" w:hAnsiTheme="minorHAnsi"/>
              <w:noProof/>
              <w:kern w:val="2"/>
              <w:szCs w:val="24"/>
              <w:lang w:val="en-US"/>
              <w14:ligatures w14:val="standardContextual"/>
            </w:rPr>
          </w:pPr>
          <w:hyperlink w:anchor="_Toc238925734" w:history="1">
            <w:r w:rsidRPr="00CC08DB">
              <w:rPr>
                <w:rStyle w:val="Hyperlink"/>
                <w:noProof/>
              </w:rPr>
              <w:t>Fase de benchmark primario de robustez (EXP2)</w:t>
            </w:r>
            <w:r>
              <w:rPr>
                <w:noProof/>
                <w:webHidden/>
              </w:rPr>
              <w:tab/>
            </w:r>
            <w:r>
              <w:rPr>
                <w:noProof/>
                <w:webHidden/>
              </w:rPr>
              <w:fldChar w:fldCharType="begin"/>
            </w:r>
            <w:r>
              <w:rPr>
                <w:noProof/>
                <w:webHidden/>
              </w:rPr>
              <w:instrText xml:space="preserve"> PAGEREF _Toc238925734 \h </w:instrText>
            </w:r>
            <w:r>
              <w:rPr>
                <w:noProof/>
                <w:webHidden/>
              </w:rPr>
            </w:r>
            <w:r>
              <w:rPr>
                <w:noProof/>
                <w:webHidden/>
              </w:rPr>
              <w:fldChar w:fldCharType="separate"/>
            </w:r>
            <w:r>
              <w:rPr>
                <w:noProof/>
                <w:webHidden/>
              </w:rPr>
              <w:t>59</w:t>
            </w:r>
            <w:r>
              <w:rPr>
                <w:noProof/>
                <w:webHidden/>
              </w:rPr>
              <w:fldChar w:fldCharType="end"/>
            </w:r>
          </w:hyperlink>
        </w:p>
        <w:p w14:paraId="6605B78D" w14:textId="18EBB7C4" w:rsidR="00A52D0E" w:rsidRDefault="00A52D0E">
          <w:pPr>
            <w:pStyle w:val="TOC2"/>
            <w:tabs>
              <w:tab w:val="right" w:leader="dot" w:pos="9350"/>
            </w:tabs>
            <w:rPr>
              <w:rFonts w:asciiTheme="minorHAnsi" w:eastAsiaTheme="minorEastAsia" w:hAnsiTheme="minorHAnsi"/>
              <w:noProof/>
              <w:kern w:val="2"/>
              <w:szCs w:val="24"/>
              <w:lang w:val="en-US"/>
              <w14:ligatures w14:val="standardContextual"/>
            </w:rPr>
          </w:pPr>
          <w:hyperlink w:anchor="_Toc238925735" w:history="1">
            <w:r w:rsidRPr="00CC08DB">
              <w:rPr>
                <w:rStyle w:val="Hyperlink"/>
                <w:noProof/>
              </w:rPr>
              <w:t>Conjunto de datos y protocolo de preprocesamiento</w:t>
            </w:r>
            <w:r>
              <w:rPr>
                <w:noProof/>
                <w:webHidden/>
              </w:rPr>
              <w:tab/>
            </w:r>
            <w:r>
              <w:rPr>
                <w:noProof/>
                <w:webHidden/>
              </w:rPr>
              <w:fldChar w:fldCharType="begin"/>
            </w:r>
            <w:r>
              <w:rPr>
                <w:noProof/>
                <w:webHidden/>
              </w:rPr>
              <w:instrText xml:space="preserve"> PAGEREF _Toc238925735 \h </w:instrText>
            </w:r>
            <w:r>
              <w:rPr>
                <w:noProof/>
                <w:webHidden/>
              </w:rPr>
            </w:r>
            <w:r>
              <w:rPr>
                <w:noProof/>
                <w:webHidden/>
              </w:rPr>
              <w:fldChar w:fldCharType="separate"/>
            </w:r>
            <w:r>
              <w:rPr>
                <w:noProof/>
                <w:webHidden/>
              </w:rPr>
              <w:t>59</w:t>
            </w:r>
            <w:r>
              <w:rPr>
                <w:noProof/>
                <w:webHidden/>
              </w:rPr>
              <w:fldChar w:fldCharType="end"/>
            </w:r>
          </w:hyperlink>
        </w:p>
        <w:p w14:paraId="045F8367" w14:textId="5A122952" w:rsidR="00A52D0E" w:rsidRDefault="00A52D0E">
          <w:pPr>
            <w:pStyle w:val="TOC3"/>
            <w:tabs>
              <w:tab w:val="right" w:leader="dot" w:pos="9350"/>
            </w:tabs>
            <w:rPr>
              <w:rFonts w:asciiTheme="minorHAnsi" w:eastAsiaTheme="minorEastAsia" w:hAnsiTheme="minorHAnsi"/>
              <w:noProof/>
              <w:kern w:val="2"/>
              <w:szCs w:val="24"/>
              <w:lang w:val="en-US"/>
              <w14:ligatures w14:val="standardContextual"/>
            </w:rPr>
          </w:pPr>
          <w:hyperlink w:anchor="_Toc238925736" w:history="1">
            <w:r w:rsidRPr="00CC08DB">
              <w:rPr>
                <w:rStyle w:val="Hyperlink"/>
                <w:noProof/>
              </w:rPr>
              <w:t>Descripción del conjunto de datos</w:t>
            </w:r>
            <w:r>
              <w:rPr>
                <w:noProof/>
                <w:webHidden/>
              </w:rPr>
              <w:tab/>
            </w:r>
            <w:r>
              <w:rPr>
                <w:noProof/>
                <w:webHidden/>
              </w:rPr>
              <w:fldChar w:fldCharType="begin"/>
            </w:r>
            <w:r>
              <w:rPr>
                <w:noProof/>
                <w:webHidden/>
              </w:rPr>
              <w:instrText xml:space="preserve"> PAGEREF _Toc238925736 \h </w:instrText>
            </w:r>
            <w:r>
              <w:rPr>
                <w:noProof/>
                <w:webHidden/>
              </w:rPr>
            </w:r>
            <w:r>
              <w:rPr>
                <w:noProof/>
                <w:webHidden/>
              </w:rPr>
              <w:fldChar w:fldCharType="separate"/>
            </w:r>
            <w:r>
              <w:rPr>
                <w:noProof/>
                <w:webHidden/>
              </w:rPr>
              <w:t>59</w:t>
            </w:r>
            <w:r>
              <w:rPr>
                <w:noProof/>
                <w:webHidden/>
              </w:rPr>
              <w:fldChar w:fldCharType="end"/>
            </w:r>
          </w:hyperlink>
        </w:p>
        <w:p w14:paraId="5F40BE76" w14:textId="6578C03D" w:rsidR="00A52D0E" w:rsidRDefault="00A52D0E">
          <w:pPr>
            <w:pStyle w:val="TOC3"/>
            <w:tabs>
              <w:tab w:val="right" w:leader="dot" w:pos="9350"/>
            </w:tabs>
            <w:rPr>
              <w:rFonts w:asciiTheme="minorHAnsi" w:eastAsiaTheme="minorEastAsia" w:hAnsiTheme="minorHAnsi"/>
              <w:noProof/>
              <w:kern w:val="2"/>
              <w:szCs w:val="24"/>
              <w:lang w:val="en-US"/>
              <w14:ligatures w14:val="standardContextual"/>
            </w:rPr>
          </w:pPr>
          <w:hyperlink w:anchor="_Toc238925737" w:history="1">
            <w:r w:rsidRPr="00CC08DB">
              <w:rPr>
                <w:rStyle w:val="Hyperlink"/>
                <w:noProof/>
              </w:rPr>
              <w:t>Carga, limpieza y partición</w:t>
            </w:r>
            <w:r>
              <w:rPr>
                <w:noProof/>
                <w:webHidden/>
              </w:rPr>
              <w:tab/>
            </w:r>
            <w:r>
              <w:rPr>
                <w:noProof/>
                <w:webHidden/>
              </w:rPr>
              <w:fldChar w:fldCharType="begin"/>
            </w:r>
            <w:r>
              <w:rPr>
                <w:noProof/>
                <w:webHidden/>
              </w:rPr>
              <w:instrText xml:space="preserve"> PAGEREF _Toc238925737 \h </w:instrText>
            </w:r>
            <w:r>
              <w:rPr>
                <w:noProof/>
                <w:webHidden/>
              </w:rPr>
            </w:r>
            <w:r>
              <w:rPr>
                <w:noProof/>
                <w:webHidden/>
              </w:rPr>
              <w:fldChar w:fldCharType="separate"/>
            </w:r>
            <w:r>
              <w:rPr>
                <w:noProof/>
                <w:webHidden/>
              </w:rPr>
              <w:t>60</w:t>
            </w:r>
            <w:r>
              <w:rPr>
                <w:noProof/>
                <w:webHidden/>
              </w:rPr>
              <w:fldChar w:fldCharType="end"/>
            </w:r>
          </w:hyperlink>
        </w:p>
        <w:p w14:paraId="51D7AFF9" w14:textId="47837537" w:rsidR="00A52D0E" w:rsidRDefault="00A52D0E">
          <w:pPr>
            <w:pStyle w:val="TOC3"/>
            <w:tabs>
              <w:tab w:val="right" w:leader="dot" w:pos="9350"/>
            </w:tabs>
            <w:rPr>
              <w:rFonts w:asciiTheme="minorHAnsi" w:eastAsiaTheme="minorEastAsia" w:hAnsiTheme="minorHAnsi"/>
              <w:noProof/>
              <w:kern w:val="2"/>
              <w:szCs w:val="24"/>
              <w:lang w:val="en-US"/>
              <w14:ligatures w14:val="standardContextual"/>
            </w:rPr>
          </w:pPr>
          <w:hyperlink w:anchor="_Toc238925738" w:history="1">
            <w:r w:rsidRPr="00CC08DB">
              <w:rPr>
                <w:rStyle w:val="Hyperlink"/>
                <w:noProof/>
              </w:rPr>
              <w:t>Controles de fuga de datos</w:t>
            </w:r>
            <w:r>
              <w:rPr>
                <w:noProof/>
                <w:webHidden/>
              </w:rPr>
              <w:tab/>
            </w:r>
            <w:r>
              <w:rPr>
                <w:noProof/>
                <w:webHidden/>
              </w:rPr>
              <w:fldChar w:fldCharType="begin"/>
            </w:r>
            <w:r>
              <w:rPr>
                <w:noProof/>
                <w:webHidden/>
              </w:rPr>
              <w:instrText xml:space="preserve"> PAGEREF _Toc238925738 \h </w:instrText>
            </w:r>
            <w:r>
              <w:rPr>
                <w:noProof/>
                <w:webHidden/>
              </w:rPr>
            </w:r>
            <w:r>
              <w:rPr>
                <w:noProof/>
                <w:webHidden/>
              </w:rPr>
              <w:fldChar w:fldCharType="separate"/>
            </w:r>
            <w:r>
              <w:rPr>
                <w:noProof/>
                <w:webHidden/>
              </w:rPr>
              <w:t>60</w:t>
            </w:r>
            <w:r>
              <w:rPr>
                <w:noProof/>
                <w:webHidden/>
              </w:rPr>
              <w:fldChar w:fldCharType="end"/>
            </w:r>
          </w:hyperlink>
        </w:p>
        <w:p w14:paraId="5A86CE01" w14:textId="1189E575" w:rsidR="00A52D0E" w:rsidRDefault="00A52D0E">
          <w:pPr>
            <w:pStyle w:val="TOC2"/>
            <w:tabs>
              <w:tab w:val="right" w:leader="dot" w:pos="9350"/>
            </w:tabs>
            <w:rPr>
              <w:rFonts w:asciiTheme="minorHAnsi" w:eastAsiaTheme="minorEastAsia" w:hAnsiTheme="minorHAnsi"/>
              <w:noProof/>
              <w:kern w:val="2"/>
              <w:szCs w:val="24"/>
              <w:lang w:val="en-US"/>
              <w14:ligatures w14:val="standardContextual"/>
            </w:rPr>
          </w:pPr>
          <w:hyperlink w:anchor="_Toc238925739" w:history="1">
            <w:r w:rsidRPr="00CC08DB">
              <w:rPr>
                <w:rStyle w:val="Hyperlink"/>
                <w:noProof/>
              </w:rPr>
              <w:t>Diseño factorial del benchmark primario (EXP2)</w:t>
            </w:r>
            <w:r>
              <w:rPr>
                <w:noProof/>
                <w:webHidden/>
              </w:rPr>
              <w:tab/>
            </w:r>
            <w:r>
              <w:rPr>
                <w:noProof/>
                <w:webHidden/>
              </w:rPr>
              <w:fldChar w:fldCharType="begin"/>
            </w:r>
            <w:r>
              <w:rPr>
                <w:noProof/>
                <w:webHidden/>
              </w:rPr>
              <w:instrText xml:space="preserve"> PAGEREF _Toc238925739 \h </w:instrText>
            </w:r>
            <w:r>
              <w:rPr>
                <w:noProof/>
                <w:webHidden/>
              </w:rPr>
            </w:r>
            <w:r>
              <w:rPr>
                <w:noProof/>
                <w:webHidden/>
              </w:rPr>
              <w:fldChar w:fldCharType="separate"/>
            </w:r>
            <w:r>
              <w:rPr>
                <w:noProof/>
                <w:webHidden/>
              </w:rPr>
              <w:t>61</w:t>
            </w:r>
            <w:r>
              <w:rPr>
                <w:noProof/>
                <w:webHidden/>
              </w:rPr>
              <w:fldChar w:fldCharType="end"/>
            </w:r>
          </w:hyperlink>
        </w:p>
        <w:p w14:paraId="0099E172" w14:textId="5FA1D23A" w:rsidR="00A52D0E" w:rsidRDefault="00A52D0E">
          <w:pPr>
            <w:pStyle w:val="TOC3"/>
            <w:tabs>
              <w:tab w:val="right" w:leader="dot" w:pos="9350"/>
            </w:tabs>
            <w:rPr>
              <w:rFonts w:asciiTheme="minorHAnsi" w:eastAsiaTheme="minorEastAsia" w:hAnsiTheme="minorHAnsi"/>
              <w:noProof/>
              <w:kern w:val="2"/>
              <w:szCs w:val="24"/>
              <w:lang w:val="en-US"/>
              <w14:ligatures w14:val="standardContextual"/>
            </w:rPr>
          </w:pPr>
          <w:hyperlink w:anchor="_Toc238925740" w:history="1">
            <w:r w:rsidRPr="00CC08DB">
              <w:rPr>
                <w:rStyle w:val="Hyperlink"/>
                <w:noProof/>
              </w:rPr>
              <w:t>Jerarquía de análisis y unidad inferencial</w:t>
            </w:r>
            <w:r>
              <w:rPr>
                <w:noProof/>
                <w:webHidden/>
              </w:rPr>
              <w:tab/>
            </w:r>
            <w:r>
              <w:rPr>
                <w:noProof/>
                <w:webHidden/>
              </w:rPr>
              <w:fldChar w:fldCharType="begin"/>
            </w:r>
            <w:r>
              <w:rPr>
                <w:noProof/>
                <w:webHidden/>
              </w:rPr>
              <w:instrText xml:space="preserve"> PAGEREF _Toc238925740 \h </w:instrText>
            </w:r>
            <w:r>
              <w:rPr>
                <w:noProof/>
                <w:webHidden/>
              </w:rPr>
            </w:r>
            <w:r>
              <w:rPr>
                <w:noProof/>
                <w:webHidden/>
              </w:rPr>
              <w:fldChar w:fldCharType="separate"/>
            </w:r>
            <w:r>
              <w:rPr>
                <w:noProof/>
                <w:webHidden/>
              </w:rPr>
              <w:t>61</w:t>
            </w:r>
            <w:r>
              <w:rPr>
                <w:noProof/>
                <w:webHidden/>
              </w:rPr>
              <w:fldChar w:fldCharType="end"/>
            </w:r>
          </w:hyperlink>
        </w:p>
        <w:p w14:paraId="2A6A872A" w14:textId="613D78D0" w:rsidR="00A52D0E" w:rsidRDefault="00A52D0E">
          <w:pPr>
            <w:pStyle w:val="TOC2"/>
            <w:tabs>
              <w:tab w:val="right" w:leader="dot" w:pos="9350"/>
            </w:tabs>
            <w:rPr>
              <w:rFonts w:asciiTheme="minorHAnsi" w:eastAsiaTheme="minorEastAsia" w:hAnsiTheme="minorHAnsi"/>
              <w:noProof/>
              <w:kern w:val="2"/>
              <w:szCs w:val="24"/>
              <w:lang w:val="en-US"/>
              <w14:ligatures w14:val="standardContextual"/>
            </w:rPr>
          </w:pPr>
          <w:hyperlink w:anchor="_Toc238925741" w:history="1">
            <w:r w:rsidRPr="00CC08DB">
              <w:rPr>
                <w:rStyle w:val="Hyperlink"/>
                <w:noProof/>
              </w:rPr>
              <w:t>Protocolo de muestreo de instancias y configuración de explicadores</w:t>
            </w:r>
            <w:r>
              <w:rPr>
                <w:noProof/>
                <w:webHidden/>
              </w:rPr>
              <w:tab/>
            </w:r>
            <w:r>
              <w:rPr>
                <w:noProof/>
                <w:webHidden/>
              </w:rPr>
              <w:fldChar w:fldCharType="begin"/>
            </w:r>
            <w:r>
              <w:rPr>
                <w:noProof/>
                <w:webHidden/>
              </w:rPr>
              <w:instrText xml:space="preserve"> PAGEREF _Toc238925741 \h </w:instrText>
            </w:r>
            <w:r>
              <w:rPr>
                <w:noProof/>
                <w:webHidden/>
              </w:rPr>
            </w:r>
            <w:r>
              <w:rPr>
                <w:noProof/>
                <w:webHidden/>
              </w:rPr>
              <w:fldChar w:fldCharType="separate"/>
            </w:r>
            <w:r>
              <w:rPr>
                <w:noProof/>
                <w:webHidden/>
              </w:rPr>
              <w:t>62</w:t>
            </w:r>
            <w:r>
              <w:rPr>
                <w:noProof/>
                <w:webHidden/>
              </w:rPr>
              <w:fldChar w:fldCharType="end"/>
            </w:r>
          </w:hyperlink>
        </w:p>
        <w:p w14:paraId="53D02B4D" w14:textId="4A0E97E9" w:rsidR="00A52D0E" w:rsidRDefault="00A52D0E">
          <w:pPr>
            <w:pStyle w:val="TOC3"/>
            <w:tabs>
              <w:tab w:val="right" w:leader="dot" w:pos="9350"/>
            </w:tabs>
            <w:rPr>
              <w:rFonts w:asciiTheme="minorHAnsi" w:eastAsiaTheme="minorEastAsia" w:hAnsiTheme="minorHAnsi"/>
              <w:noProof/>
              <w:kern w:val="2"/>
              <w:szCs w:val="24"/>
              <w:lang w:val="en-US"/>
              <w14:ligatures w14:val="standardContextual"/>
            </w:rPr>
          </w:pPr>
          <w:hyperlink w:anchor="_Toc238925742" w:history="1">
            <w:r w:rsidRPr="00CC08DB">
              <w:rPr>
                <w:rStyle w:val="Hyperlink"/>
                <w:noProof/>
              </w:rPr>
              <w:t>Muestreo estratificado por cuadrante de error</w:t>
            </w:r>
            <w:r>
              <w:rPr>
                <w:noProof/>
                <w:webHidden/>
              </w:rPr>
              <w:tab/>
            </w:r>
            <w:r>
              <w:rPr>
                <w:noProof/>
                <w:webHidden/>
              </w:rPr>
              <w:fldChar w:fldCharType="begin"/>
            </w:r>
            <w:r>
              <w:rPr>
                <w:noProof/>
                <w:webHidden/>
              </w:rPr>
              <w:instrText xml:space="preserve"> PAGEREF _Toc238925742 \h </w:instrText>
            </w:r>
            <w:r>
              <w:rPr>
                <w:noProof/>
                <w:webHidden/>
              </w:rPr>
            </w:r>
            <w:r>
              <w:rPr>
                <w:noProof/>
                <w:webHidden/>
              </w:rPr>
              <w:fldChar w:fldCharType="separate"/>
            </w:r>
            <w:r>
              <w:rPr>
                <w:noProof/>
                <w:webHidden/>
              </w:rPr>
              <w:t>62</w:t>
            </w:r>
            <w:r>
              <w:rPr>
                <w:noProof/>
                <w:webHidden/>
              </w:rPr>
              <w:fldChar w:fldCharType="end"/>
            </w:r>
          </w:hyperlink>
        </w:p>
        <w:p w14:paraId="741A1488" w14:textId="28475549" w:rsidR="00A52D0E" w:rsidRDefault="00A52D0E">
          <w:pPr>
            <w:pStyle w:val="TOC3"/>
            <w:tabs>
              <w:tab w:val="right" w:leader="dot" w:pos="9350"/>
            </w:tabs>
            <w:rPr>
              <w:rFonts w:asciiTheme="minorHAnsi" w:eastAsiaTheme="minorEastAsia" w:hAnsiTheme="minorHAnsi"/>
              <w:noProof/>
              <w:kern w:val="2"/>
              <w:szCs w:val="24"/>
              <w:lang w:val="en-US"/>
              <w14:ligatures w14:val="standardContextual"/>
            </w:rPr>
          </w:pPr>
          <w:hyperlink w:anchor="_Toc238925743" w:history="1">
            <w:r w:rsidRPr="00CC08DB">
              <w:rPr>
                <w:rStyle w:val="Hyperlink"/>
                <w:noProof/>
              </w:rPr>
              <w:t>Configuración de los explicadores</w:t>
            </w:r>
            <w:r>
              <w:rPr>
                <w:noProof/>
                <w:webHidden/>
              </w:rPr>
              <w:tab/>
            </w:r>
            <w:r>
              <w:rPr>
                <w:noProof/>
                <w:webHidden/>
              </w:rPr>
              <w:fldChar w:fldCharType="begin"/>
            </w:r>
            <w:r>
              <w:rPr>
                <w:noProof/>
                <w:webHidden/>
              </w:rPr>
              <w:instrText xml:space="preserve"> PAGEREF _Toc238925743 \h </w:instrText>
            </w:r>
            <w:r>
              <w:rPr>
                <w:noProof/>
                <w:webHidden/>
              </w:rPr>
            </w:r>
            <w:r>
              <w:rPr>
                <w:noProof/>
                <w:webHidden/>
              </w:rPr>
              <w:fldChar w:fldCharType="separate"/>
            </w:r>
            <w:r>
              <w:rPr>
                <w:noProof/>
                <w:webHidden/>
              </w:rPr>
              <w:t>62</w:t>
            </w:r>
            <w:r>
              <w:rPr>
                <w:noProof/>
                <w:webHidden/>
              </w:rPr>
              <w:fldChar w:fldCharType="end"/>
            </w:r>
          </w:hyperlink>
        </w:p>
        <w:p w14:paraId="2792889D" w14:textId="2F94B90F" w:rsidR="00A52D0E" w:rsidRDefault="00A52D0E">
          <w:pPr>
            <w:pStyle w:val="TOC2"/>
            <w:tabs>
              <w:tab w:val="right" w:leader="dot" w:pos="9350"/>
            </w:tabs>
            <w:rPr>
              <w:rFonts w:asciiTheme="minorHAnsi" w:eastAsiaTheme="minorEastAsia" w:hAnsiTheme="minorHAnsi"/>
              <w:noProof/>
              <w:kern w:val="2"/>
              <w:szCs w:val="24"/>
              <w:lang w:val="en-US"/>
              <w14:ligatures w14:val="standardContextual"/>
            </w:rPr>
          </w:pPr>
          <w:hyperlink w:anchor="_Toc238925744" w:history="1">
            <w:r w:rsidRPr="00CC08DB">
              <w:rPr>
                <w:rStyle w:val="Hyperlink"/>
                <w:noProof/>
              </w:rPr>
              <w:t>Operacionalización de las métricas</w:t>
            </w:r>
            <w:r>
              <w:rPr>
                <w:noProof/>
                <w:webHidden/>
              </w:rPr>
              <w:tab/>
            </w:r>
            <w:r>
              <w:rPr>
                <w:noProof/>
                <w:webHidden/>
              </w:rPr>
              <w:fldChar w:fldCharType="begin"/>
            </w:r>
            <w:r>
              <w:rPr>
                <w:noProof/>
                <w:webHidden/>
              </w:rPr>
              <w:instrText xml:space="preserve"> PAGEREF _Toc238925744 \h </w:instrText>
            </w:r>
            <w:r>
              <w:rPr>
                <w:noProof/>
                <w:webHidden/>
              </w:rPr>
            </w:r>
            <w:r>
              <w:rPr>
                <w:noProof/>
                <w:webHidden/>
              </w:rPr>
              <w:fldChar w:fldCharType="separate"/>
            </w:r>
            <w:r>
              <w:rPr>
                <w:noProof/>
                <w:webHidden/>
              </w:rPr>
              <w:t>63</w:t>
            </w:r>
            <w:r>
              <w:rPr>
                <w:noProof/>
                <w:webHidden/>
              </w:rPr>
              <w:fldChar w:fldCharType="end"/>
            </w:r>
          </w:hyperlink>
        </w:p>
        <w:p w14:paraId="3B8FB565" w14:textId="5D61F605" w:rsidR="00A52D0E" w:rsidRDefault="00A52D0E">
          <w:pPr>
            <w:pStyle w:val="TOC3"/>
            <w:tabs>
              <w:tab w:val="right" w:leader="dot" w:pos="9350"/>
            </w:tabs>
            <w:rPr>
              <w:rFonts w:asciiTheme="minorHAnsi" w:eastAsiaTheme="minorEastAsia" w:hAnsiTheme="minorHAnsi"/>
              <w:noProof/>
              <w:kern w:val="2"/>
              <w:szCs w:val="24"/>
              <w:lang w:val="en-US"/>
              <w14:ligatures w14:val="standardContextual"/>
            </w:rPr>
          </w:pPr>
          <w:hyperlink w:anchor="_Toc238925745" w:history="1">
            <w:r w:rsidRPr="00CC08DB">
              <w:rPr>
                <w:rStyle w:val="Hyperlink"/>
                <w:noProof/>
              </w:rPr>
              <w:t>Fidelidad</w:t>
            </w:r>
            <w:r>
              <w:rPr>
                <w:noProof/>
                <w:webHidden/>
              </w:rPr>
              <w:tab/>
            </w:r>
            <w:r>
              <w:rPr>
                <w:noProof/>
                <w:webHidden/>
              </w:rPr>
              <w:fldChar w:fldCharType="begin"/>
            </w:r>
            <w:r>
              <w:rPr>
                <w:noProof/>
                <w:webHidden/>
              </w:rPr>
              <w:instrText xml:space="preserve"> PAGEREF _Toc238925745 \h </w:instrText>
            </w:r>
            <w:r>
              <w:rPr>
                <w:noProof/>
                <w:webHidden/>
              </w:rPr>
            </w:r>
            <w:r>
              <w:rPr>
                <w:noProof/>
                <w:webHidden/>
              </w:rPr>
              <w:fldChar w:fldCharType="separate"/>
            </w:r>
            <w:r>
              <w:rPr>
                <w:noProof/>
                <w:webHidden/>
              </w:rPr>
              <w:t>63</w:t>
            </w:r>
            <w:r>
              <w:rPr>
                <w:noProof/>
                <w:webHidden/>
              </w:rPr>
              <w:fldChar w:fldCharType="end"/>
            </w:r>
          </w:hyperlink>
        </w:p>
        <w:p w14:paraId="132EACAD" w14:textId="21BF406E" w:rsidR="00A52D0E" w:rsidRDefault="00A52D0E">
          <w:pPr>
            <w:pStyle w:val="TOC3"/>
            <w:tabs>
              <w:tab w:val="right" w:leader="dot" w:pos="9350"/>
            </w:tabs>
            <w:rPr>
              <w:rFonts w:asciiTheme="minorHAnsi" w:eastAsiaTheme="minorEastAsia" w:hAnsiTheme="minorHAnsi"/>
              <w:noProof/>
              <w:kern w:val="2"/>
              <w:szCs w:val="24"/>
              <w:lang w:val="en-US"/>
              <w14:ligatures w14:val="standardContextual"/>
            </w:rPr>
          </w:pPr>
          <w:hyperlink w:anchor="_Toc238925746" w:history="1">
            <w:r w:rsidRPr="00CC08DB">
              <w:rPr>
                <w:rStyle w:val="Hyperlink"/>
                <w:noProof/>
              </w:rPr>
              <w:t>Estabilidad</w:t>
            </w:r>
            <w:r>
              <w:rPr>
                <w:noProof/>
                <w:webHidden/>
              </w:rPr>
              <w:tab/>
            </w:r>
            <w:r>
              <w:rPr>
                <w:noProof/>
                <w:webHidden/>
              </w:rPr>
              <w:fldChar w:fldCharType="begin"/>
            </w:r>
            <w:r>
              <w:rPr>
                <w:noProof/>
                <w:webHidden/>
              </w:rPr>
              <w:instrText xml:space="preserve"> PAGEREF _Toc238925746 \h </w:instrText>
            </w:r>
            <w:r>
              <w:rPr>
                <w:noProof/>
                <w:webHidden/>
              </w:rPr>
            </w:r>
            <w:r>
              <w:rPr>
                <w:noProof/>
                <w:webHidden/>
              </w:rPr>
              <w:fldChar w:fldCharType="separate"/>
            </w:r>
            <w:r>
              <w:rPr>
                <w:noProof/>
                <w:webHidden/>
              </w:rPr>
              <w:t>63</w:t>
            </w:r>
            <w:r>
              <w:rPr>
                <w:noProof/>
                <w:webHidden/>
              </w:rPr>
              <w:fldChar w:fldCharType="end"/>
            </w:r>
          </w:hyperlink>
        </w:p>
        <w:p w14:paraId="00A3192E" w14:textId="3E680757" w:rsidR="00A52D0E" w:rsidRDefault="00A52D0E">
          <w:pPr>
            <w:pStyle w:val="TOC3"/>
            <w:tabs>
              <w:tab w:val="right" w:leader="dot" w:pos="9350"/>
            </w:tabs>
            <w:rPr>
              <w:rFonts w:asciiTheme="minorHAnsi" w:eastAsiaTheme="minorEastAsia" w:hAnsiTheme="minorHAnsi"/>
              <w:noProof/>
              <w:kern w:val="2"/>
              <w:szCs w:val="24"/>
              <w:lang w:val="en-US"/>
              <w14:ligatures w14:val="standardContextual"/>
            </w:rPr>
          </w:pPr>
          <w:hyperlink w:anchor="_Toc238925747" w:history="1">
            <w:r w:rsidRPr="00CC08DB">
              <w:rPr>
                <w:rStyle w:val="Hyperlink"/>
                <w:noProof/>
              </w:rPr>
              <w:t>Parsimonia</w:t>
            </w:r>
            <w:r>
              <w:rPr>
                <w:noProof/>
                <w:webHidden/>
              </w:rPr>
              <w:tab/>
            </w:r>
            <w:r>
              <w:rPr>
                <w:noProof/>
                <w:webHidden/>
              </w:rPr>
              <w:fldChar w:fldCharType="begin"/>
            </w:r>
            <w:r>
              <w:rPr>
                <w:noProof/>
                <w:webHidden/>
              </w:rPr>
              <w:instrText xml:space="preserve"> PAGEREF _Toc238925747 \h </w:instrText>
            </w:r>
            <w:r>
              <w:rPr>
                <w:noProof/>
                <w:webHidden/>
              </w:rPr>
            </w:r>
            <w:r>
              <w:rPr>
                <w:noProof/>
                <w:webHidden/>
              </w:rPr>
              <w:fldChar w:fldCharType="separate"/>
            </w:r>
            <w:r>
              <w:rPr>
                <w:noProof/>
                <w:webHidden/>
              </w:rPr>
              <w:t>64</w:t>
            </w:r>
            <w:r>
              <w:rPr>
                <w:noProof/>
                <w:webHidden/>
              </w:rPr>
              <w:fldChar w:fldCharType="end"/>
            </w:r>
          </w:hyperlink>
        </w:p>
        <w:p w14:paraId="0C09B342" w14:textId="4DA60467" w:rsidR="00A52D0E" w:rsidRDefault="00A52D0E">
          <w:pPr>
            <w:pStyle w:val="TOC3"/>
            <w:tabs>
              <w:tab w:val="right" w:leader="dot" w:pos="9350"/>
            </w:tabs>
            <w:rPr>
              <w:rFonts w:asciiTheme="minorHAnsi" w:eastAsiaTheme="minorEastAsia" w:hAnsiTheme="minorHAnsi"/>
              <w:noProof/>
              <w:kern w:val="2"/>
              <w:szCs w:val="24"/>
              <w:lang w:val="en-US"/>
              <w14:ligatures w14:val="standardContextual"/>
            </w:rPr>
          </w:pPr>
          <w:hyperlink w:anchor="_Toc238925748" w:history="1">
            <w:r w:rsidRPr="00CC08DB">
              <w:rPr>
                <w:rStyle w:val="Hyperlink"/>
                <w:noProof/>
              </w:rPr>
              <w:t>Brecha de fidelidad</w:t>
            </w:r>
            <w:r>
              <w:rPr>
                <w:noProof/>
                <w:webHidden/>
              </w:rPr>
              <w:tab/>
            </w:r>
            <w:r>
              <w:rPr>
                <w:noProof/>
                <w:webHidden/>
              </w:rPr>
              <w:fldChar w:fldCharType="begin"/>
            </w:r>
            <w:r>
              <w:rPr>
                <w:noProof/>
                <w:webHidden/>
              </w:rPr>
              <w:instrText xml:space="preserve"> PAGEREF _Toc238925748 \h </w:instrText>
            </w:r>
            <w:r>
              <w:rPr>
                <w:noProof/>
                <w:webHidden/>
              </w:rPr>
            </w:r>
            <w:r>
              <w:rPr>
                <w:noProof/>
                <w:webHidden/>
              </w:rPr>
              <w:fldChar w:fldCharType="separate"/>
            </w:r>
            <w:r>
              <w:rPr>
                <w:noProof/>
                <w:webHidden/>
              </w:rPr>
              <w:t>64</w:t>
            </w:r>
            <w:r>
              <w:rPr>
                <w:noProof/>
                <w:webHidden/>
              </w:rPr>
              <w:fldChar w:fldCharType="end"/>
            </w:r>
          </w:hyperlink>
        </w:p>
        <w:p w14:paraId="6B2EB1A2" w14:textId="29753630" w:rsidR="00A52D0E" w:rsidRDefault="00A52D0E">
          <w:pPr>
            <w:pStyle w:val="TOC3"/>
            <w:tabs>
              <w:tab w:val="right" w:leader="dot" w:pos="9350"/>
            </w:tabs>
            <w:rPr>
              <w:rFonts w:asciiTheme="minorHAnsi" w:eastAsiaTheme="minorEastAsia" w:hAnsiTheme="minorHAnsi"/>
              <w:noProof/>
              <w:kern w:val="2"/>
              <w:szCs w:val="24"/>
              <w:lang w:val="en-US"/>
              <w14:ligatures w14:val="standardContextual"/>
            </w:rPr>
          </w:pPr>
          <w:hyperlink w:anchor="_Toc238925749" w:history="1">
            <w:r w:rsidRPr="00CC08DB">
              <w:rPr>
                <w:rStyle w:val="Hyperlink"/>
                <w:noProof/>
              </w:rPr>
              <w:t>Coste computacional</w:t>
            </w:r>
            <w:r>
              <w:rPr>
                <w:noProof/>
                <w:webHidden/>
              </w:rPr>
              <w:tab/>
            </w:r>
            <w:r>
              <w:rPr>
                <w:noProof/>
                <w:webHidden/>
              </w:rPr>
              <w:fldChar w:fldCharType="begin"/>
            </w:r>
            <w:r>
              <w:rPr>
                <w:noProof/>
                <w:webHidden/>
              </w:rPr>
              <w:instrText xml:space="preserve"> PAGEREF _Toc238925749 \h </w:instrText>
            </w:r>
            <w:r>
              <w:rPr>
                <w:noProof/>
                <w:webHidden/>
              </w:rPr>
            </w:r>
            <w:r>
              <w:rPr>
                <w:noProof/>
                <w:webHidden/>
              </w:rPr>
              <w:fldChar w:fldCharType="separate"/>
            </w:r>
            <w:r>
              <w:rPr>
                <w:noProof/>
                <w:webHidden/>
              </w:rPr>
              <w:t>64</w:t>
            </w:r>
            <w:r>
              <w:rPr>
                <w:noProof/>
                <w:webHidden/>
              </w:rPr>
              <w:fldChar w:fldCharType="end"/>
            </w:r>
          </w:hyperlink>
        </w:p>
        <w:p w14:paraId="79618434" w14:textId="484078FC" w:rsidR="00A52D0E" w:rsidRDefault="00A52D0E">
          <w:pPr>
            <w:pStyle w:val="TOC3"/>
            <w:tabs>
              <w:tab w:val="right" w:leader="dot" w:pos="9350"/>
            </w:tabs>
            <w:rPr>
              <w:rFonts w:asciiTheme="minorHAnsi" w:eastAsiaTheme="minorEastAsia" w:hAnsiTheme="minorHAnsi"/>
              <w:noProof/>
              <w:kern w:val="2"/>
              <w:szCs w:val="24"/>
              <w:lang w:val="en-US"/>
              <w14:ligatures w14:val="standardContextual"/>
            </w:rPr>
          </w:pPr>
          <w:hyperlink w:anchor="_Toc238925750" w:history="1">
            <w:r w:rsidRPr="00CC08DB">
              <w:rPr>
                <w:rStyle w:val="Hyperlink"/>
                <w:noProof/>
              </w:rPr>
              <w:t>Resumen de métricas primarias</w:t>
            </w:r>
            <w:r>
              <w:rPr>
                <w:noProof/>
                <w:webHidden/>
              </w:rPr>
              <w:tab/>
            </w:r>
            <w:r>
              <w:rPr>
                <w:noProof/>
                <w:webHidden/>
              </w:rPr>
              <w:fldChar w:fldCharType="begin"/>
            </w:r>
            <w:r>
              <w:rPr>
                <w:noProof/>
                <w:webHidden/>
              </w:rPr>
              <w:instrText xml:space="preserve"> PAGEREF _Toc238925750 \h </w:instrText>
            </w:r>
            <w:r>
              <w:rPr>
                <w:noProof/>
                <w:webHidden/>
              </w:rPr>
            </w:r>
            <w:r>
              <w:rPr>
                <w:noProof/>
                <w:webHidden/>
              </w:rPr>
              <w:fldChar w:fldCharType="separate"/>
            </w:r>
            <w:r>
              <w:rPr>
                <w:noProof/>
                <w:webHidden/>
              </w:rPr>
              <w:t>64</w:t>
            </w:r>
            <w:r>
              <w:rPr>
                <w:noProof/>
                <w:webHidden/>
              </w:rPr>
              <w:fldChar w:fldCharType="end"/>
            </w:r>
          </w:hyperlink>
        </w:p>
        <w:p w14:paraId="2D19BA26" w14:textId="5CF71222" w:rsidR="00A52D0E" w:rsidRDefault="00A52D0E">
          <w:pPr>
            <w:pStyle w:val="TOC2"/>
            <w:tabs>
              <w:tab w:val="right" w:leader="dot" w:pos="9350"/>
            </w:tabs>
            <w:rPr>
              <w:rFonts w:asciiTheme="minorHAnsi" w:eastAsiaTheme="minorEastAsia" w:hAnsiTheme="minorHAnsi"/>
              <w:noProof/>
              <w:kern w:val="2"/>
              <w:szCs w:val="24"/>
              <w:lang w:val="en-US"/>
              <w14:ligatures w14:val="standardContextual"/>
            </w:rPr>
          </w:pPr>
          <w:hyperlink w:anchor="_Toc238925751" w:history="1">
            <w:r w:rsidRPr="00CC08DB">
              <w:rPr>
                <w:rStyle w:val="Hyperlink"/>
                <w:noProof/>
              </w:rPr>
              <w:t>Protocolo de operación FOM-7</w:t>
            </w:r>
            <w:r>
              <w:rPr>
                <w:noProof/>
                <w:webHidden/>
              </w:rPr>
              <w:tab/>
            </w:r>
            <w:r>
              <w:rPr>
                <w:noProof/>
                <w:webHidden/>
              </w:rPr>
              <w:fldChar w:fldCharType="begin"/>
            </w:r>
            <w:r>
              <w:rPr>
                <w:noProof/>
                <w:webHidden/>
              </w:rPr>
              <w:instrText xml:space="preserve"> PAGEREF _Toc238925751 \h </w:instrText>
            </w:r>
            <w:r>
              <w:rPr>
                <w:noProof/>
                <w:webHidden/>
              </w:rPr>
            </w:r>
            <w:r>
              <w:rPr>
                <w:noProof/>
                <w:webHidden/>
              </w:rPr>
              <w:fldChar w:fldCharType="separate"/>
            </w:r>
            <w:r>
              <w:rPr>
                <w:noProof/>
                <w:webHidden/>
              </w:rPr>
              <w:t>65</w:t>
            </w:r>
            <w:r>
              <w:rPr>
                <w:noProof/>
                <w:webHidden/>
              </w:rPr>
              <w:fldChar w:fldCharType="end"/>
            </w:r>
          </w:hyperlink>
        </w:p>
        <w:p w14:paraId="4F071600" w14:textId="708121D0" w:rsidR="00A52D0E" w:rsidRDefault="00A52D0E">
          <w:pPr>
            <w:pStyle w:val="TOC2"/>
            <w:tabs>
              <w:tab w:val="right" w:leader="dot" w:pos="9350"/>
            </w:tabs>
            <w:rPr>
              <w:rFonts w:asciiTheme="minorHAnsi" w:eastAsiaTheme="minorEastAsia" w:hAnsiTheme="minorHAnsi"/>
              <w:noProof/>
              <w:kern w:val="2"/>
              <w:szCs w:val="24"/>
              <w:lang w:val="en-US"/>
              <w14:ligatures w14:val="standardContextual"/>
            </w:rPr>
          </w:pPr>
          <w:hyperlink w:anchor="_Toc238925752" w:history="1">
            <w:r w:rsidRPr="00CC08DB">
              <w:rPr>
                <w:rStyle w:val="Hyperlink"/>
                <w:noProof/>
              </w:rPr>
              <w:t>Cobertura de artefactos y análisis del impacto de datos faltantes</w:t>
            </w:r>
            <w:r>
              <w:rPr>
                <w:noProof/>
                <w:webHidden/>
              </w:rPr>
              <w:tab/>
            </w:r>
            <w:r>
              <w:rPr>
                <w:noProof/>
                <w:webHidden/>
              </w:rPr>
              <w:fldChar w:fldCharType="begin"/>
            </w:r>
            <w:r>
              <w:rPr>
                <w:noProof/>
                <w:webHidden/>
              </w:rPr>
              <w:instrText xml:space="preserve"> PAGEREF _Toc238925752 \h </w:instrText>
            </w:r>
            <w:r>
              <w:rPr>
                <w:noProof/>
                <w:webHidden/>
              </w:rPr>
            </w:r>
            <w:r>
              <w:rPr>
                <w:noProof/>
                <w:webHidden/>
              </w:rPr>
              <w:fldChar w:fldCharType="separate"/>
            </w:r>
            <w:r>
              <w:rPr>
                <w:noProof/>
                <w:webHidden/>
              </w:rPr>
              <w:t>68</w:t>
            </w:r>
            <w:r>
              <w:rPr>
                <w:noProof/>
                <w:webHidden/>
              </w:rPr>
              <w:fldChar w:fldCharType="end"/>
            </w:r>
          </w:hyperlink>
        </w:p>
        <w:p w14:paraId="5DE3E1CE" w14:textId="50638F74" w:rsidR="00A52D0E" w:rsidRDefault="00A52D0E">
          <w:pPr>
            <w:pStyle w:val="TOC3"/>
            <w:tabs>
              <w:tab w:val="right" w:leader="dot" w:pos="9350"/>
            </w:tabs>
            <w:rPr>
              <w:rFonts w:asciiTheme="minorHAnsi" w:eastAsiaTheme="minorEastAsia" w:hAnsiTheme="minorHAnsi"/>
              <w:noProof/>
              <w:kern w:val="2"/>
              <w:szCs w:val="24"/>
              <w:lang w:val="en-US"/>
              <w14:ligatures w14:val="standardContextual"/>
            </w:rPr>
          </w:pPr>
          <w:hyperlink w:anchor="_Toc238925753" w:history="1">
            <w:r w:rsidRPr="00CC08DB">
              <w:rPr>
                <w:rStyle w:val="Hyperlink"/>
                <w:noProof/>
              </w:rPr>
              <w:t>Inventario de cobertura</w:t>
            </w:r>
            <w:r>
              <w:rPr>
                <w:noProof/>
                <w:webHidden/>
              </w:rPr>
              <w:tab/>
            </w:r>
            <w:r>
              <w:rPr>
                <w:noProof/>
                <w:webHidden/>
              </w:rPr>
              <w:fldChar w:fldCharType="begin"/>
            </w:r>
            <w:r>
              <w:rPr>
                <w:noProof/>
                <w:webHidden/>
              </w:rPr>
              <w:instrText xml:space="preserve"> PAGEREF _Toc238925753 \h </w:instrText>
            </w:r>
            <w:r>
              <w:rPr>
                <w:noProof/>
                <w:webHidden/>
              </w:rPr>
            </w:r>
            <w:r>
              <w:rPr>
                <w:noProof/>
                <w:webHidden/>
              </w:rPr>
              <w:fldChar w:fldCharType="separate"/>
            </w:r>
            <w:r>
              <w:rPr>
                <w:noProof/>
                <w:webHidden/>
              </w:rPr>
              <w:t>68</w:t>
            </w:r>
            <w:r>
              <w:rPr>
                <w:noProof/>
                <w:webHidden/>
              </w:rPr>
              <w:fldChar w:fldCharType="end"/>
            </w:r>
          </w:hyperlink>
        </w:p>
        <w:p w14:paraId="0A5A7395" w14:textId="40E20E0A" w:rsidR="00A52D0E" w:rsidRDefault="00A52D0E">
          <w:pPr>
            <w:pStyle w:val="TOC3"/>
            <w:tabs>
              <w:tab w:val="right" w:leader="dot" w:pos="9350"/>
            </w:tabs>
            <w:rPr>
              <w:rFonts w:asciiTheme="minorHAnsi" w:eastAsiaTheme="minorEastAsia" w:hAnsiTheme="minorHAnsi"/>
              <w:noProof/>
              <w:kern w:val="2"/>
              <w:szCs w:val="24"/>
              <w:lang w:val="en-US"/>
              <w14:ligatures w14:val="standardContextual"/>
            </w:rPr>
          </w:pPr>
          <w:hyperlink w:anchor="_Toc238925754" w:history="1">
            <w:r w:rsidRPr="00CC08DB">
              <w:rPr>
                <w:rStyle w:val="Hyperlink"/>
                <w:noProof/>
              </w:rPr>
              <w:t>Evaluación cuantitativa del impacto estadístico</w:t>
            </w:r>
            <w:r>
              <w:rPr>
                <w:noProof/>
                <w:webHidden/>
              </w:rPr>
              <w:tab/>
            </w:r>
            <w:r>
              <w:rPr>
                <w:noProof/>
                <w:webHidden/>
              </w:rPr>
              <w:fldChar w:fldCharType="begin"/>
            </w:r>
            <w:r>
              <w:rPr>
                <w:noProof/>
                <w:webHidden/>
              </w:rPr>
              <w:instrText xml:space="preserve"> PAGEREF _Toc238925754 \h </w:instrText>
            </w:r>
            <w:r>
              <w:rPr>
                <w:noProof/>
                <w:webHidden/>
              </w:rPr>
            </w:r>
            <w:r>
              <w:rPr>
                <w:noProof/>
                <w:webHidden/>
              </w:rPr>
              <w:fldChar w:fldCharType="separate"/>
            </w:r>
            <w:r>
              <w:rPr>
                <w:noProof/>
                <w:webHidden/>
              </w:rPr>
              <w:t>69</w:t>
            </w:r>
            <w:r>
              <w:rPr>
                <w:noProof/>
                <w:webHidden/>
              </w:rPr>
              <w:fldChar w:fldCharType="end"/>
            </w:r>
          </w:hyperlink>
        </w:p>
        <w:p w14:paraId="4B10C324" w14:textId="5628001B" w:rsidR="00A52D0E" w:rsidRDefault="00A52D0E">
          <w:pPr>
            <w:pStyle w:val="TOC2"/>
            <w:tabs>
              <w:tab w:val="right" w:leader="dot" w:pos="9350"/>
            </w:tabs>
            <w:rPr>
              <w:rFonts w:asciiTheme="minorHAnsi" w:eastAsiaTheme="minorEastAsia" w:hAnsiTheme="minorHAnsi"/>
              <w:noProof/>
              <w:kern w:val="2"/>
              <w:szCs w:val="24"/>
              <w:lang w:val="en-US"/>
              <w14:ligatures w14:val="standardContextual"/>
            </w:rPr>
          </w:pPr>
          <w:hyperlink w:anchor="_Toc238925755" w:history="1">
            <w:r w:rsidRPr="00CC08DB">
              <w:rPr>
                <w:rStyle w:val="Hyperlink"/>
                <w:noProof/>
              </w:rPr>
              <w:t>Plan de inferencia estadística</w:t>
            </w:r>
            <w:r>
              <w:rPr>
                <w:noProof/>
                <w:webHidden/>
              </w:rPr>
              <w:tab/>
            </w:r>
            <w:r>
              <w:rPr>
                <w:noProof/>
                <w:webHidden/>
              </w:rPr>
              <w:fldChar w:fldCharType="begin"/>
            </w:r>
            <w:r>
              <w:rPr>
                <w:noProof/>
                <w:webHidden/>
              </w:rPr>
              <w:instrText xml:space="preserve"> PAGEREF _Toc238925755 \h </w:instrText>
            </w:r>
            <w:r>
              <w:rPr>
                <w:noProof/>
                <w:webHidden/>
              </w:rPr>
            </w:r>
            <w:r>
              <w:rPr>
                <w:noProof/>
                <w:webHidden/>
              </w:rPr>
              <w:fldChar w:fldCharType="separate"/>
            </w:r>
            <w:r>
              <w:rPr>
                <w:noProof/>
                <w:webHidden/>
              </w:rPr>
              <w:t>71</w:t>
            </w:r>
            <w:r>
              <w:rPr>
                <w:noProof/>
                <w:webHidden/>
              </w:rPr>
              <w:fldChar w:fldCharType="end"/>
            </w:r>
          </w:hyperlink>
        </w:p>
        <w:p w14:paraId="5D1B15C4" w14:textId="208C3905" w:rsidR="00A52D0E" w:rsidRDefault="00A52D0E">
          <w:pPr>
            <w:pStyle w:val="TOC3"/>
            <w:tabs>
              <w:tab w:val="right" w:leader="dot" w:pos="9350"/>
            </w:tabs>
            <w:rPr>
              <w:rFonts w:asciiTheme="minorHAnsi" w:eastAsiaTheme="minorEastAsia" w:hAnsiTheme="minorHAnsi"/>
              <w:noProof/>
              <w:kern w:val="2"/>
              <w:szCs w:val="24"/>
              <w:lang w:val="en-US"/>
              <w14:ligatures w14:val="standardContextual"/>
            </w:rPr>
          </w:pPr>
          <w:hyperlink w:anchor="_Toc238925756" w:history="1">
            <w:r w:rsidRPr="00CC08DB">
              <w:rPr>
                <w:rStyle w:val="Hyperlink"/>
                <w:noProof/>
              </w:rPr>
              <w:t>Estudio Omnibus Multimétrico: test omnibus de Friedman</w:t>
            </w:r>
            <w:r>
              <w:rPr>
                <w:noProof/>
                <w:webHidden/>
              </w:rPr>
              <w:tab/>
            </w:r>
            <w:r>
              <w:rPr>
                <w:noProof/>
                <w:webHidden/>
              </w:rPr>
              <w:fldChar w:fldCharType="begin"/>
            </w:r>
            <w:r>
              <w:rPr>
                <w:noProof/>
                <w:webHidden/>
              </w:rPr>
              <w:instrText xml:space="preserve"> PAGEREF _Toc238925756 \h </w:instrText>
            </w:r>
            <w:r>
              <w:rPr>
                <w:noProof/>
                <w:webHidden/>
              </w:rPr>
            </w:r>
            <w:r>
              <w:rPr>
                <w:noProof/>
                <w:webHidden/>
              </w:rPr>
              <w:fldChar w:fldCharType="separate"/>
            </w:r>
            <w:r>
              <w:rPr>
                <w:noProof/>
                <w:webHidden/>
              </w:rPr>
              <w:t>71</w:t>
            </w:r>
            <w:r>
              <w:rPr>
                <w:noProof/>
                <w:webHidden/>
              </w:rPr>
              <w:fldChar w:fldCharType="end"/>
            </w:r>
          </w:hyperlink>
        </w:p>
        <w:p w14:paraId="731EEA4C" w14:textId="0D598775" w:rsidR="00A52D0E" w:rsidRDefault="00A52D0E">
          <w:pPr>
            <w:pStyle w:val="TOC3"/>
            <w:tabs>
              <w:tab w:val="right" w:leader="dot" w:pos="9350"/>
            </w:tabs>
            <w:rPr>
              <w:rFonts w:asciiTheme="minorHAnsi" w:eastAsiaTheme="minorEastAsia" w:hAnsiTheme="minorHAnsi"/>
              <w:noProof/>
              <w:kern w:val="2"/>
              <w:szCs w:val="24"/>
              <w:lang w:val="en-US"/>
              <w14:ligatures w14:val="standardContextual"/>
            </w:rPr>
          </w:pPr>
          <w:hyperlink w:anchor="_Toc238925757" w:history="1">
            <w:r w:rsidRPr="00CC08DB">
              <w:rPr>
                <w:rStyle w:val="Hyperlink"/>
                <w:noProof/>
              </w:rPr>
              <w:t>Localización post-hoc: Nemenyi</w:t>
            </w:r>
            <w:r>
              <w:rPr>
                <w:noProof/>
                <w:webHidden/>
              </w:rPr>
              <w:tab/>
            </w:r>
            <w:r>
              <w:rPr>
                <w:noProof/>
                <w:webHidden/>
              </w:rPr>
              <w:fldChar w:fldCharType="begin"/>
            </w:r>
            <w:r>
              <w:rPr>
                <w:noProof/>
                <w:webHidden/>
              </w:rPr>
              <w:instrText xml:space="preserve"> PAGEREF _Toc238925757 \h </w:instrText>
            </w:r>
            <w:r>
              <w:rPr>
                <w:noProof/>
                <w:webHidden/>
              </w:rPr>
            </w:r>
            <w:r>
              <w:rPr>
                <w:noProof/>
                <w:webHidden/>
              </w:rPr>
              <w:fldChar w:fldCharType="separate"/>
            </w:r>
            <w:r>
              <w:rPr>
                <w:noProof/>
                <w:webHidden/>
              </w:rPr>
              <w:t>72</w:t>
            </w:r>
            <w:r>
              <w:rPr>
                <w:noProof/>
                <w:webHidden/>
              </w:rPr>
              <w:fldChar w:fldCharType="end"/>
            </w:r>
          </w:hyperlink>
        </w:p>
        <w:p w14:paraId="040F6D9C" w14:textId="4224977B" w:rsidR="00A52D0E" w:rsidRDefault="00A52D0E">
          <w:pPr>
            <w:pStyle w:val="TOC3"/>
            <w:tabs>
              <w:tab w:val="right" w:leader="dot" w:pos="9350"/>
            </w:tabs>
            <w:rPr>
              <w:rFonts w:asciiTheme="minorHAnsi" w:eastAsiaTheme="minorEastAsia" w:hAnsiTheme="minorHAnsi"/>
              <w:noProof/>
              <w:kern w:val="2"/>
              <w:szCs w:val="24"/>
              <w:lang w:val="en-US"/>
              <w14:ligatures w14:val="standardContextual"/>
            </w:rPr>
          </w:pPr>
          <w:hyperlink w:anchor="_Toc238925758" w:history="1">
            <w:r w:rsidRPr="00CC08DB">
              <w:rPr>
                <w:rStyle w:val="Hyperlink"/>
                <w:noProof/>
              </w:rPr>
              <w:t>Wilcoxon pareado: conjuntos de 45 y 75 celdas</w:t>
            </w:r>
            <w:r>
              <w:rPr>
                <w:noProof/>
                <w:webHidden/>
              </w:rPr>
              <w:tab/>
            </w:r>
            <w:r>
              <w:rPr>
                <w:noProof/>
                <w:webHidden/>
              </w:rPr>
              <w:fldChar w:fldCharType="begin"/>
            </w:r>
            <w:r>
              <w:rPr>
                <w:noProof/>
                <w:webHidden/>
              </w:rPr>
              <w:instrText xml:space="preserve"> PAGEREF _Toc238925758 \h </w:instrText>
            </w:r>
            <w:r>
              <w:rPr>
                <w:noProof/>
                <w:webHidden/>
              </w:rPr>
            </w:r>
            <w:r>
              <w:rPr>
                <w:noProof/>
                <w:webHidden/>
              </w:rPr>
              <w:fldChar w:fldCharType="separate"/>
            </w:r>
            <w:r>
              <w:rPr>
                <w:noProof/>
                <w:webHidden/>
              </w:rPr>
              <w:t>72</w:t>
            </w:r>
            <w:r>
              <w:rPr>
                <w:noProof/>
                <w:webHidden/>
              </w:rPr>
              <w:fldChar w:fldCharType="end"/>
            </w:r>
          </w:hyperlink>
        </w:p>
        <w:p w14:paraId="5EECA0DC" w14:textId="3510411A" w:rsidR="00A52D0E" w:rsidRDefault="00A52D0E">
          <w:pPr>
            <w:pStyle w:val="TOC3"/>
            <w:tabs>
              <w:tab w:val="right" w:leader="dot" w:pos="9350"/>
            </w:tabs>
            <w:rPr>
              <w:rFonts w:asciiTheme="minorHAnsi" w:eastAsiaTheme="minorEastAsia" w:hAnsiTheme="minorHAnsi"/>
              <w:noProof/>
              <w:kern w:val="2"/>
              <w:szCs w:val="24"/>
              <w:lang w:val="en-US"/>
              <w14:ligatures w14:val="standardContextual"/>
            </w:rPr>
          </w:pPr>
          <w:hyperlink w:anchor="_Toc238925759" w:history="1">
            <w:r w:rsidRPr="00CC08DB">
              <w:rPr>
                <w:rStyle w:val="Hyperlink"/>
                <w:noProof/>
              </w:rPr>
              <w:t>Control de multiplicidad</w:t>
            </w:r>
            <w:r>
              <w:rPr>
                <w:noProof/>
                <w:webHidden/>
              </w:rPr>
              <w:tab/>
            </w:r>
            <w:r>
              <w:rPr>
                <w:noProof/>
                <w:webHidden/>
              </w:rPr>
              <w:fldChar w:fldCharType="begin"/>
            </w:r>
            <w:r>
              <w:rPr>
                <w:noProof/>
                <w:webHidden/>
              </w:rPr>
              <w:instrText xml:space="preserve"> PAGEREF _Toc238925759 \h </w:instrText>
            </w:r>
            <w:r>
              <w:rPr>
                <w:noProof/>
                <w:webHidden/>
              </w:rPr>
            </w:r>
            <w:r>
              <w:rPr>
                <w:noProof/>
                <w:webHidden/>
              </w:rPr>
              <w:fldChar w:fldCharType="separate"/>
            </w:r>
            <w:r>
              <w:rPr>
                <w:noProof/>
                <w:webHidden/>
              </w:rPr>
              <w:t>72</w:t>
            </w:r>
            <w:r>
              <w:rPr>
                <w:noProof/>
                <w:webHidden/>
              </w:rPr>
              <w:fldChar w:fldCharType="end"/>
            </w:r>
          </w:hyperlink>
        </w:p>
        <w:p w14:paraId="36E3F1B0" w14:textId="15DF8757" w:rsidR="00A52D0E" w:rsidRDefault="00A52D0E">
          <w:pPr>
            <w:pStyle w:val="TOC3"/>
            <w:tabs>
              <w:tab w:val="right" w:leader="dot" w:pos="9350"/>
            </w:tabs>
            <w:rPr>
              <w:rFonts w:asciiTheme="minorHAnsi" w:eastAsiaTheme="minorEastAsia" w:hAnsiTheme="minorHAnsi"/>
              <w:noProof/>
              <w:kern w:val="2"/>
              <w:szCs w:val="24"/>
              <w:lang w:val="en-US"/>
              <w14:ligatures w14:val="standardContextual"/>
            </w:rPr>
          </w:pPr>
          <w:hyperlink w:anchor="_Toc238925760" w:history="1">
            <w:r w:rsidRPr="00CC08DB">
              <w:rPr>
                <w:rStyle w:val="Hyperlink"/>
                <w:noProof/>
              </w:rPr>
              <w:t>Resumen del plan estadístico por hipótesis</w:t>
            </w:r>
            <w:r>
              <w:rPr>
                <w:noProof/>
                <w:webHidden/>
              </w:rPr>
              <w:tab/>
            </w:r>
            <w:r>
              <w:rPr>
                <w:noProof/>
                <w:webHidden/>
              </w:rPr>
              <w:fldChar w:fldCharType="begin"/>
            </w:r>
            <w:r>
              <w:rPr>
                <w:noProof/>
                <w:webHidden/>
              </w:rPr>
              <w:instrText xml:space="preserve"> PAGEREF _Toc238925760 \h </w:instrText>
            </w:r>
            <w:r>
              <w:rPr>
                <w:noProof/>
                <w:webHidden/>
              </w:rPr>
            </w:r>
            <w:r>
              <w:rPr>
                <w:noProof/>
                <w:webHidden/>
              </w:rPr>
              <w:fldChar w:fldCharType="separate"/>
            </w:r>
            <w:r>
              <w:rPr>
                <w:noProof/>
                <w:webHidden/>
              </w:rPr>
              <w:t>73</w:t>
            </w:r>
            <w:r>
              <w:rPr>
                <w:noProof/>
                <w:webHidden/>
              </w:rPr>
              <w:fldChar w:fldCharType="end"/>
            </w:r>
          </w:hyperlink>
        </w:p>
        <w:p w14:paraId="61BBB7A4" w14:textId="3355ABC6" w:rsidR="00A52D0E" w:rsidRDefault="00A52D0E">
          <w:pPr>
            <w:pStyle w:val="TOC2"/>
            <w:tabs>
              <w:tab w:val="right" w:leader="dot" w:pos="9350"/>
            </w:tabs>
            <w:rPr>
              <w:rFonts w:asciiTheme="minorHAnsi" w:eastAsiaTheme="minorEastAsia" w:hAnsiTheme="minorHAnsi"/>
              <w:noProof/>
              <w:kern w:val="2"/>
              <w:szCs w:val="24"/>
              <w:lang w:val="en-US"/>
              <w14:ligatures w14:val="standardContextual"/>
            </w:rPr>
          </w:pPr>
          <w:hyperlink w:anchor="_Toc238925761" w:history="1">
            <w:r w:rsidRPr="00CC08DB">
              <w:rPr>
                <w:rStyle w:val="Hyperlink"/>
                <w:noProof/>
              </w:rPr>
              <w:t>Amenazas a la validez</w:t>
            </w:r>
            <w:r>
              <w:rPr>
                <w:noProof/>
                <w:webHidden/>
              </w:rPr>
              <w:tab/>
            </w:r>
            <w:r>
              <w:rPr>
                <w:noProof/>
                <w:webHidden/>
              </w:rPr>
              <w:fldChar w:fldCharType="begin"/>
            </w:r>
            <w:r>
              <w:rPr>
                <w:noProof/>
                <w:webHidden/>
              </w:rPr>
              <w:instrText xml:space="preserve"> PAGEREF _Toc238925761 \h </w:instrText>
            </w:r>
            <w:r>
              <w:rPr>
                <w:noProof/>
                <w:webHidden/>
              </w:rPr>
            </w:r>
            <w:r>
              <w:rPr>
                <w:noProof/>
                <w:webHidden/>
              </w:rPr>
              <w:fldChar w:fldCharType="separate"/>
            </w:r>
            <w:r>
              <w:rPr>
                <w:noProof/>
                <w:webHidden/>
              </w:rPr>
              <w:t>73</w:t>
            </w:r>
            <w:r>
              <w:rPr>
                <w:noProof/>
                <w:webHidden/>
              </w:rPr>
              <w:fldChar w:fldCharType="end"/>
            </w:r>
          </w:hyperlink>
        </w:p>
        <w:p w14:paraId="7980EC16" w14:textId="6A86DAA0" w:rsidR="00A52D0E" w:rsidRDefault="00A52D0E">
          <w:pPr>
            <w:pStyle w:val="TOC2"/>
            <w:tabs>
              <w:tab w:val="right" w:leader="dot" w:pos="9350"/>
            </w:tabs>
            <w:rPr>
              <w:rFonts w:asciiTheme="minorHAnsi" w:eastAsiaTheme="minorEastAsia" w:hAnsiTheme="minorHAnsi"/>
              <w:noProof/>
              <w:kern w:val="2"/>
              <w:szCs w:val="24"/>
              <w:lang w:val="en-US"/>
              <w14:ligatures w14:val="standardContextual"/>
            </w:rPr>
          </w:pPr>
          <w:hyperlink w:anchor="_Toc238925762" w:history="1">
            <w:r w:rsidRPr="00CC08DB">
              <w:rPr>
                <w:rStyle w:val="Hyperlink"/>
                <w:noProof/>
              </w:rPr>
              <w:t>Trazabilidad y reproducibilidad</w:t>
            </w:r>
            <w:r>
              <w:rPr>
                <w:noProof/>
                <w:webHidden/>
              </w:rPr>
              <w:tab/>
            </w:r>
            <w:r>
              <w:rPr>
                <w:noProof/>
                <w:webHidden/>
              </w:rPr>
              <w:fldChar w:fldCharType="begin"/>
            </w:r>
            <w:r>
              <w:rPr>
                <w:noProof/>
                <w:webHidden/>
              </w:rPr>
              <w:instrText xml:space="preserve"> PAGEREF _Toc238925762 \h </w:instrText>
            </w:r>
            <w:r>
              <w:rPr>
                <w:noProof/>
                <w:webHidden/>
              </w:rPr>
            </w:r>
            <w:r>
              <w:rPr>
                <w:noProof/>
                <w:webHidden/>
              </w:rPr>
              <w:fldChar w:fldCharType="separate"/>
            </w:r>
            <w:r>
              <w:rPr>
                <w:noProof/>
                <w:webHidden/>
              </w:rPr>
              <w:t>75</w:t>
            </w:r>
            <w:r>
              <w:rPr>
                <w:noProof/>
                <w:webHidden/>
              </w:rPr>
              <w:fldChar w:fldCharType="end"/>
            </w:r>
          </w:hyperlink>
        </w:p>
        <w:p w14:paraId="61EDFC34" w14:textId="4C29F330" w:rsidR="00A52D0E" w:rsidRDefault="00A52D0E">
          <w:pPr>
            <w:pStyle w:val="TOC2"/>
            <w:tabs>
              <w:tab w:val="right" w:leader="dot" w:pos="9350"/>
            </w:tabs>
            <w:rPr>
              <w:rFonts w:asciiTheme="minorHAnsi" w:eastAsiaTheme="minorEastAsia" w:hAnsiTheme="minorHAnsi"/>
              <w:noProof/>
              <w:kern w:val="2"/>
              <w:szCs w:val="24"/>
              <w:lang w:val="en-US"/>
              <w14:ligatures w14:val="standardContextual"/>
            </w:rPr>
          </w:pPr>
          <w:hyperlink w:anchor="_Toc238925763" w:history="1">
            <w:r w:rsidRPr="00CC08DB">
              <w:rPr>
                <w:rStyle w:val="Hyperlink"/>
                <w:noProof/>
              </w:rPr>
              <w:t>Estudios complementarios: EXP3 y EXP4</w:t>
            </w:r>
            <w:r>
              <w:rPr>
                <w:noProof/>
                <w:webHidden/>
              </w:rPr>
              <w:tab/>
            </w:r>
            <w:r>
              <w:rPr>
                <w:noProof/>
                <w:webHidden/>
              </w:rPr>
              <w:fldChar w:fldCharType="begin"/>
            </w:r>
            <w:r>
              <w:rPr>
                <w:noProof/>
                <w:webHidden/>
              </w:rPr>
              <w:instrText xml:space="preserve"> PAGEREF _Toc238925763 \h </w:instrText>
            </w:r>
            <w:r>
              <w:rPr>
                <w:noProof/>
                <w:webHidden/>
              </w:rPr>
            </w:r>
            <w:r>
              <w:rPr>
                <w:noProof/>
                <w:webHidden/>
              </w:rPr>
              <w:fldChar w:fldCharType="separate"/>
            </w:r>
            <w:r>
              <w:rPr>
                <w:noProof/>
                <w:webHidden/>
              </w:rPr>
              <w:t>76</w:t>
            </w:r>
            <w:r>
              <w:rPr>
                <w:noProof/>
                <w:webHidden/>
              </w:rPr>
              <w:fldChar w:fldCharType="end"/>
            </w:r>
          </w:hyperlink>
        </w:p>
        <w:p w14:paraId="01F14C9B" w14:textId="7FED61B7" w:rsidR="00A52D0E" w:rsidRDefault="00A52D0E">
          <w:pPr>
            <w:pStyle w:val="TOC3"/>
            <w:tabs>
              <w:tab w:val="right" w:leader="dot" w:pos="9350"/>
            </w:tabs>
            <w:rPr>
              <w:rFonts w:asciiTheme="minorHAnsi" w:eastAsiaTheme="minorEastAsia" w:hAnsiTheme="minorHAnsi"/>
              <w:noProof/>
              <w:kern w:val="2"/>
              <w:szCs w:val="24"/>
              <w:lang w:val="en-US"/>
              <w14:ligatures w14:val="standardContextual"/>
            </w:rPr>
          </w:pPr>
          <w:hyperlink w:anchor="_Toc238925764" w:history="1">
            <w:r w:rsidRPr="00CC08DB">
              <w:rPr>
                <w:rStyle w:val="Hyperlink"/>
                <w:noProof/>
              </w:rPr>
              <w:t>EXP3: Validación cruzada de fidelidad en datasets adicionales</w:t>
            </w:r>
            <w:r>
              <w:rPr>
                <w:noProof/>
                <w:webHidden/>
              </w:rPr>
              <w:tab/>
            </w:r>
            <w:r>
              <w:rPr>
                <w:noProof/>
                <w:webHidden/>
              </w:rPr>
              <w:fldChar w:fldCharType="begin"/>
            </w:r>
            <w:r>
              <w:rPr>
                <w:noProof/>
                <w:webHidden/>
              </w:rPr>
              <w:instrText xml:space="preserve"> PAGEREF _Toc238925764 \h </w:instrText>
            </w:r>
            <w:r>
              <w:rPr>
                <w:noProof/>
                <w:webHidden/>
              </w:rPr>
            </w:r>
            <w:r>
              <w:rPr>
                <w:noProof/>
                <w:webHidden/>
              </w:rPr>
              <w:fldChar w:fldCharType="separate"/>
            </w:r>
            <w:r>
              <w:rPr>
                <w:noProof/>
                <w:webHidden/>
              </w:rPr>
              <w:t>76</w:t>
            </w:r>
            <w:r>
              <w:rPr>
                <w:noProof/>
                <w:webHidden/>
              </w:rPr>
              <w:fldChar w:fldCharType="end"/>
            </w:r>
          </w:hyperlink>
        </w:p>
        <w:p w14:paraId="21149780" w14:textId="0B7A6C16" w:rsidR="00A52D0E" w:rsidRDefault="00A52D0E">
          <w:pPr>
            <w:pStyle w:val="TOC3"/>
            <w:tabs>
              <w:tab w:val="right" w:leader="dot" w:pos="9350"/>
            </w:tabs>
            <w:rPr>
              <w:rFonts w:asciiTheme="minorHAnsi" w:eastAsiaTheme="minorEastAsia" w:hAnsiTheme="minorHAnsi"/>
              <w:noProof/>
              <w:kern w:val="2"/>
              <w:szCs w:val="24"/>
              <w:lang w:val="en-US"/>
              <w14:ligatures w14:val="standardContextual"/>
            </w:rPr>
          </w:pPr>
          <w:hyperlink w:anchor="_Toc238925765" w:history="1">
            <w:r w:rsidRPr="00CC08DB">
              <w:rPr>
                <w:rStyle w:val="Hyperlink"/>
                <w:noProof/>
              </w:rPr>
              <w:t>EXP4: Estudio de fiabilidad de jueces LLM para evaluación semántica</w:t>
            </w:r>
            <w:r>
              <w:rPr>
                <w:noProof/>
                <w:webHidden/>
              </w:rPr>
              <w:tab/>
            </w:r>
            <w:r>
              <w:rPr>
                <w:noProof/>
                <w:webHidden/>
              </w:rPr>
              <w:fldChar w:fldCharType="begin"/>
            </w:r>
            <w:r>
              <w:rPr>
                <w:noProof/>
                <w:webHidden/>
              </w:rPr>
              <w:instrText xml:space="preserve"> PAGEREF _Toc238925765 \h </w:instrText>
            </w:r>
            <w:r>
              <w:rPr>
                <w:noProof/>
                <w:webHidden/>
              </w:rPr>
            </w:r>
            <w:r>
              <w:rPr>
                <w:noProof/>
                <w:webHidden/>
              </w:rPr>
              <w:fldChar w:fldCharType="separate"/>
            </w:r>
            <w:r>
              <w:rPr>
                <w:noProof/>
                <w:webHidden/>
              </w:rPr>
              <w:t>76</w:t>
            </w:r>
            <w:r>
              <w:rPr>
                <w:noProof/>
                <w:webHidden/>
              </w:rPr>
              <w:fldChar w:fldCharType="end"/>
            </w:r>
          </w:hyperlink>
        </w:p>
        <w:p w14:paraId="2E04BE07" w14:textId="4BF3361D" w:rsidR="00A52D0E" w:rsidRDefault="00A52D0E">
          <w:pPr>
            <w:pStyle w:val="TOC1"/>
            <w:tabs>
              <w:tab w:val="right" w:leader="dot" w:pos="9350"/>
            </w:tabs>
            <w:rPr>
              <w:rFonts w:asciiTheme="minorHAnsi" w:eastAsiaTheme="minorEastAsia" w:hAnsiTheme="minorHAnsi"/>
              <w:noProof/>
              <w:kern w:val="2"/>
              <w:szCs w:val="24"/>
              <w:lang w:val="en-US"/>
              <w14:ligatures w14:val="standardContextual"/>
            </w:rPr>
          </w:pPr>
          <w:hyperlink w:anchor="_Toc238925766" w:history="1">
            <w:r w:rsidRPr="00CC08DB">
              <w:rPr>
                <w:rStyle w:val="Hyperlink"/>
                <w:noProof/>
              </w:rPr>
              <w:t>Resultados y discusión</w:t>
            </w:r>
            <w:r>
              <w:rPr>
                <w:noProof/>
                <w:webHidden/>
              </w:rPr>
              <w:tab/>
            </w:r>
            <w:r>
              <w:rPr>
                <w:noProof/>
                <w:webHidden/>
              </w:rPr>
              <w:fldChar w:fldCharType="begin"/>
            </w:r>
            <w:r>
              <w:rPr>
                <w:noProof/>
                <w:webHidden/>
              </w:rPr>
              <w:instrText xml:space="preserve"> PAGEREF _Toc238925766 \h </w:instrText>
            </w:r>
            <w:r>
              <w:rPr>
                <w:noProof/>
                <w:webHidden/>
              </w:rPr>
            </w:r>
            <w:r>
              <w:rPr>
                <w:noProof/>
                <w:webHidden/>
              </w:rPr>
              <w:fldChar w:fldCharType="separate"/>
            </w:r>
            <w:r>
              <w:rPr>
                <w:noProof/>
                <w:webHidden/>
              </w:rPr>
              <w:t>78</w:t>
            </w:r>
            <w:r>
              <w:rPr>
                <w:noProof/>
                <w:webHidden/>
              </w:rPr>
              <w:fldChar w:fldCharType="end"/>
            </w:r>
          </w:hyperlink>
        </w:p>
        <w:p w14:paraId="06FAE9B0" w14:textId="7A5470A1" w:rsidR="00A52D0E" w:rsidRDefault="00A52D0E">
          <w:pPr>
            <w:pStyle w:val="TOC2"/>
            <w:tabs>
              <w:tab w:val="right" w:leader="dot" w:pos="9350"/>
            </w:tabs>
            <w:rPr>
              <w:rFonts w:asciiTheme="minorHAnsi" w:eastAsiaTheme="minorEastAsia" w:hAnsiTheme="minorHAnsi"/>
              <w:noProof/>
              <w:kern w:val="2"/>
              <w:szCs w:val="24"/>
              <w:lang w:val="en-US"/>
              <w14:ligatures w14:val="standardContextual"/>
            </w:rPr>
          </w:pPr>
          <w:hyperlink w:anchor="_Toc238925767" w:history="1">
            <w:r w:rsidRPr="00CC08DB">
              <w:rPr>
                <w:rStyle w:val="Hyperlink"/>
                <w:noProof/>
              </w:rPr>
              <w:t>Descripción general de la cobertura analítica</w:t>
            </w:r>
            <w:r>
              <w:rPr>
                <w:noProof/>
                <w:webHidden/>
              </w:rPr>
              <w:tab/>
            </w:r>
            <w:r>
              <w:rPr>
                <w:noProof/>
                <w:webHidden/>
              </w:rPr>
              <w:fldChar w:fldCharType="begin"/>
            </w:r>
            <w:r>
              <w:rPr>
                <w:noProof/>
                <w:webHidden/>
              </w:rPr>
              <w:instrText xml:space="preserve"> PAGEREF _Toc238925767 \h </w:instrText>
            </w:r>
            <w:r>
              <w:rPr>
                <w:noProof/>
                <w:webHidden/>
              </w:rPr>
            </w:r>
            <w:r>
              <w:rPr>
                <w:noProof/>
                <w:webHidden/>
              </w:rPr>
              <w:fldChar w:fldCharType="separate"/>
            </w:r>
            <w:r>
              <w:rPr>
                <w:noProof/>
                <w:webHidden/>
              </w:rPr>
              <w:t>78</w:t>
            </w:r>
            <w:r>
              <w:rPr>
                <w:noProof/>
                <w:webHidden/>
              </w:rPr>
              <w:fldChar w:fldCharType="end"/>
            </w:r>
          </w:hyperlink>
        </w:p>
        <w:p w14:paraId="62E3C1ED" w14:textId="6A2F8CC6" w:rsidR="00A52D0E" w:rsidRDefault="00A52D0E">
          <w:pPr>
            <w:pStyle w:val="TOC2"/>
            <w:tabs>
              <w:tab w:val="right" w:leader="dot" w:pos="9350"/>
            </w:tabs>
            <w:rPr>
              <w:rFonts w:asciiTheme="minorHAnsi" w:eastAsiaTheme="minorEastAsia" w:hAnsiTheme="minorHAnsi"/>
              <w:noProof/>
              <w:kern w:val="2"/>
              <w:szCs w:val="24"/>
              <w:lang w:val="en-US"/>
              <w14:ligatures w14:val="standardContextual"/>
            </w:rPr>
          </w:pPr>
          <w:hyperlink w:anchor="_Toc238925768" w:history="1">
            <w:r w:rsidRPr="00CC08DB">
              <w:rPr>
                <w:rStyle w:val="Hyperlink"/>
                <w:noProof/>
              </w:rPr>
              <w:t>Estudio Omnibus Multimétrico: H1 y H2</w:t>
            </w:r>
            <w:r>
              <w:rPr>
                <w:noProof/>
                <w:webHidden/>
              </w:rPr>
              <w:tab/>
            </w:r>
            <w:r>
              <w:rPr>
                <w:noProof/>
                <w:webHidden/>
              </w:rPr>
              <w:fldChar w:fldCharType="begin"/>
            </w:r>
            <w:r>
              <w:rPr>
                <w:noProof/>
                <w:webHidden/>
              </w:rPr>
              <w:instrText xml:space="preserve"> PAGEREF _Toc238925768 \h </w:instrText>
            </w:r>
            <w:r>
              <w:rPr>
                <w:noProof/>
                <w:webHidden/>
              </w:rPr>
            </w:r>
            <w:r>
              <w:rPr>
                <w:noProof/>
                <w:webHidden/>
              </w:rPr>
              <w:fldChar w:fldCharType="separate"/>
            </w:r>
            <w:r>
              <w:rPr>
                <w:noProof/>
                <w:webHidden/>
              </w:rPr>
              <w:t>81</w:t>
            </w:r>
            <w:r>
              <w:rPr>
                <w:noProof/>
                <w:webHidden/>
              </w:rPr>
              <w:fldChar w:fldCharType="end"/>
            </w:r>
          </w:hyperlink>
        </w:p>
        <w:p w14:paraId="56939BC1" w14:textId="3AF1075D" w:rsidR="00A52D0E" w:rsidRDefault="00A52D0E">
          <w:pPr>
            <w:pStyle w:val="TOC3"/>
            <w:tabs>
              <w:tab w:val="right" w:leader="dot" w:pos="9350"/>
            </w:tabs>
            <w:rPr>
              <w:rFonts w:asciiTheme="minorHAnsi" w:eastAsiaTheme="minorEastAsia" w:hAnsiTheme="minorHAnsi"/>
              <w:noProof/>
              <w:kern w:val="2"/>
              <w:szCs w:val="24"/>
              <w:lang w:val="en-US"/>
              <w14:ligatures w14:val="standardContextual"/>
            </w:rPr>
          </w:pPr>
          <w:hyperlink w:anchor="_Toc238925769" w:history="1">
            <w:r w:rsidRPr="00CC08DB">
              <w:rPr>
                <w:rStyle w:val="Hyperlink"/>
                <w:noProof/>
              </w:rPr>
              <w:t>H1: Diferencias entre métodos en fidelidad</w:t>
            </w:r>
            <w:r>
              <w:rPr>
                <w:noProof/>
                <w:webHidden/>
              </w:rPr>
              <w:tab/>
            </w:r>
            <w:r>
              <w:rPr>
                <w:noProof/>
                <w:webHidden/>
              </w:rPr>
              <w:fldChar w:fldCharType="begin"/>
            </w:r>
            <w:r>
              <w:rPr>
                <w:noProof/>
                <w:webHidden/>
              </w:rPr>
              <w:instrText xml:space="preserve"> PAGEREF _Toc238925769 \h </w:instrText>
            </w:r>
            <w:r>
              <w:rPr>
                <w:noProof/>
                <w:webHidden/>
              </w:rPr>
            </w:r>
            <w:r>
              <w:rPr>
                <w:noProof/>
                <w:webHidden/>
              </w:rPr>
              <w:fldChar w:fldCharType="separate"/>
            </w:r>
            <w:r>
              <w:rPr>
                <w:noProof/>
                <w:webHidden/>
              </w:rPr>
              <w:t>81</w:t>
            </w:r>
            <w:r>
              <w:rPr>
                <w:noProof/>
                <w:webHidden/>
              </w:rPr>
              <w:fldChar w:fldCharType="end"/>
            </w:r>
          </w:hyperlink>
        </w:p>
        <w:p w14:paraId="77CB2236" w14:textId="5E78C2CE" w:rsidR="00A52D0E" w:rsidRDefault="00A52D0E">
          <w:pPr>
            <w:pStyle w:val="TOC3"/>
            <w:tabs>
              <w:tab w:val="right" w:leader="dot" w:pos="9350"/>
            </w:tabs>
            <w:rPr>
              <w:rFonts w:asciiTheme="minorHAnsi" w:eastAsiaTheme="minorEastAsia" w:hAnsiTheme="minorHAnsi"/>
              <w:noProof/>
              <w:kern w:val="2"/>
              <w:szCs w:val="24"/>
              <w:lang w:val="en-US"/>
              <w14:ligatures w14:val="standardContextual"/>
            </w:rPr>
          </w:pPr>
          <w:hyperlink w:anchor="_Toc238925770" w:history="1">
            <w:r w:rsidRPr="00CC08DB">
              <w:rPr>
                <w:rStyle w:val="Hyperlink"/>
                <w:noProof/>
              </w:rPr>
              <w:t>H2: Diferencias entre métodos en estabilidad</w:t>
            </w:r>
            <w:r>
              <w:rPr>
                <w:noProof/>
                <w:webHidden/>
              </w:rPr>
              <w:tab/>
            </w:r>
            <w:r>
              <w:rPr>
                <w:noProof/>
                <w:webHidden/>
              </w:rPr>
              <w:fldChar w:fldCharType="begin"/>
            </w:r>
            <w:r>
              <w:rPr>
                <w:noProof/>
                <w:webHidden/>
              </w:rPr>
              <w:instrText xml:space="preserve"> PAGEREF _Toc238925770 \h </w:instrText>
            </w:r>
            <w:r>
              <w:rPr>
                <w:noProof/>
                <w:webHidden/>
              </w:rPr>
            </w:r>
            <w:r>
              <w:rPr>
                <w:noProof/>
                <w:webHidden/>
              </w:rPr>
              <w:fldChar w:fldCharType="separate"/>
            </w:r>
            <w:r>
              <w:rPr>
                <w:noProof/>
                <w:webHidden/>
              </w:rPr>
              <w:t>83</w:t>
            </w:r>
            <w:r>
              <w:rPr>
                <w:noProof/>
                <w:webHidden/>
              </w:rPr>
              <w:fldChar w:fldCharType="end"/>
            </w:r>
          </w:hyperlink>
        </w:p>
        <w:p w14:paraId="46EC6F6C" w14:textId="0DDDD4EC" w:rsidR="00A52D0E" w:rsidRDefault="00A52D0E">
          <w:pPr>
            <w:pStyle w:val="TOC2"/>
            <w:tabs>
              <w:tab w:val="right" w:leader="dot" w:pos="9350"/>
            </w:tabs>
            <w:rPr>
              <w:rFonts w:asciiTheme="minorHAnsi" w:eastAsiaTheme="minorEastAsia" w:hAnsiTheme="minorHAnsi"/>
              <w:noProof/>
              <w:kern w:val="2"/>
              <w:szCs w:val="24"/>
              <w:lang w:val="en-US"/>
              <w14:ligatures w14:val="standardContextual"/>
            </w:rPr>
          </w:pPr>
          <w:hyperlink w:anchor="_Toc238925771" w:history="1">
            <w:r w:rsidRPr="00CC08DB">
              <w:rPr>
                <w:rStyle w:val="Hyperlink"/>
                <w:noProof/>
              </w:rPr>
              <w:t>Estudio Pareado LIME–SHAP: relación calidad-coste (H3)</w:t>
            </w:r>
            <w:r>
              <w:rPr>
                <w:noProof/>
                <w:webHidden/>
              </w:rPr>
              <w:tab/>
            </w:r>
            <w:r>
              <w:rPr>
                <w:noProof/>
                <w:webHidden/>
              </w:rPr>
              <w:fldChar w:fldCharType="begin"/>
            </w:r>
            <w:r>
              <w:rPr>
                <w:noProof/>
                <w:webHidden/>
              </w:rPr>
              <w:instrText xml:space="preserve"> PAGEREF _Toc238925771 \h </w:instrText>
            </w:r>
            <w:r>
              <w:rPr>
                <w:noProof/>
                <w:webHidden/>
              </w:rPr>
            </w:r>
            <w:r>
              <w:rPr>
                <w:noProof/>
                <w:webHidden/>
              </w:rPr>
              <w:fldChar w:fldCharType="separate"/>
            </w:r>
            <w:r>
              <w:rPr>
                <w:noProof/>
                <w:webHidden/>
              </w:rPr>
              <w:t>84</w:t>
            </w:r>
            <w:r>
              <w:rPr>
                <w:noProof/>
                <w:webHidden/>
              </w:rPr>
              <w:fldChar w:fldCharType="end"/>
            </w:r>
          </w:hyperlink>
        </w:p>
        <w:p w14:paraId="777B5B2C" w14:textId="737B61E1" w:rsidR="00A52D0E" w:rsidRDefault="00A52D0E">
          <w:pPr>
            <w:pStyle w:val="TOC3"/>
            <w:tabs>
              <w:tab w:val="right" w:leader="dot" w:pos="9350"/>
            </w:tabs>
            <w:rPr>
              <w:rFonts w:asciiTheme="minorHAnsi" w:eastAsiaTheme="minorEastAsia" w:hAnsiTheme="minorHAnsi"/>
              <w:noProof/>
              <w:kern w:val="2"/>
              <w:szCs w:val="24"/>
              <w:lang w:val="en-US"/>
              <w14:ligatures w14:val="standardContextual"/>
            </w:rPr>
          </w:pPr>
          <w:hyperlink w:anchor="_Toc238925772" w:history="1">
            <w:r w:rsidRPr="00CC08DB">
              <w:rPr>
                <w:rStyle w:val="Hyperlink"/>
                <w:noProof/>
              </w:rPr>
              <w:t>Diferencias en métricas de calidad</w:t>
            </w:r>
            <w:r>
              <w:rPr>
                <w:noProof/>
                <w:webHidden/>
              </w:rPr>
              <w:tab/>
            </w:r>
            <w:r>
              <w:rPr>
                <w:noProof/>
                <w:webHidden/>
              </w:rPr>
              <w:fldChar w:fldCharType="begin"/>
            </w:r>
            <w:r>
              <w:rPr>
                <w:noProof/>
                <w:webHidden/>
              </w:rPr>
              <w:instrText xml:space="preserve"> PAGEREF _Toc238925772 \h </w:instrText>
            </w:r>
            <w:r>
              <w:rPr>
                <w:noProof/>
                <w:webHidden/>
              </w:rPr>
            </w:r>
            <w:r>
              <w:rPr>
                <w:noProof/>
                <w:webHidden/>
              </w:rPr>
              <w:fldChar w:fldCharType="separate"/>
            </w:r>
            <w:r>
              <w:rPr>
                <w:noProof/>
                <w:webHidden/>
              </w:rPr>
              <w:t>84</w:t>
            </w:r>
            <w:r>
              <w:rPr>
                <w:noProof/>
                <w:webHidden/>
              </w:rPr>
              <w:fldChar w:fldCharType="end"/>
            </w:r>
          </w:hyperlink>
        </w:p>
        <w:p w14:paraId="52659820" w14:textId="0BD832FD" w:rsidR="00A52D0E" w:rsidRDefault="00A52D0E">
          <w:pPr>
            <w:pStyle w:val="TOC3"/>
            <w:tabs>
              <w:tab w:val="right" w:leader="dot" w:pos="9350"/>
            </w:tabs>
            <w:rPr>
              <w:rFonts w:asciiTheme="minorHAnsi" w:eastAsiaTheme="minorEastAsia" w:hAnsiTheme="minorHAnsi"/>
              <w:noProof/>
              <w:kern w:val="2"/>
              <w:szCs w:val="24"/>
              <w:lang w:val="en-US"/>
              <w14:ligatures w14:val="standardContextual"/>
            </w:rPr>
          </w:pPr>
          <w:hyperlink w:anchor="_Toc238925773" w:history="1">
            <w:r w:rsidRPr="00CC08DB">
              <w:rPr>
                <w:rStyle w:val="Hyperlink"/>
                <w:noProof/>
              </w:rPr>
              <w:t>Verificación del requisito de multiplicidad</w:t>
            </w:r>
            <w:r>
              <w:rPr>
                <w:noProof/>
                <w:webHidden/>
              </w:rPr>
              <w:tab/>
            </w:r>
            <w:r>
              <w:rPr>
                <w:noProof/>
                <w:webHidden/>
              </w:rPr>
              <w:fldChar w:fldCharType="begin"/>
            </w:r>
            <w:r>
              <w:rPr>
                <w:noProof/>
                <w:webHidden/>
              </w:rPr>
              <w:instrText xml:space="preserve"> PAGEREF _Toc238925773 \h </w:instrText>
            </w:r>
            <w:r>
              <w:rPr>
                <w:noProof/>
                <w:webHidden/>
              </w:rPr>
            </w:r>
            <w:r>
              <w:rPr>
                <w:noProof/>
                <w:webHidden/>
              </w:rPr>
              <w:fldChar w:fldCharType="separate"/>
            </w:r>
            <w:r>
              <w:rPr>
                <w:noProof/>
                <w:webHidden/>
              </w:rPr>
              <w:t>86</w:t>
            </w:r>
            <w:r>
              <w:rPr>
                <w:noProof/>
                <w:webHidden/>
              </w:rPr>
              <w:fldChar w:fldCharType="end"/>
            </w:r>
          </w:hyperlink>
        </w:p>
        <w:p w14:paraId="1E89E842" w14:textId="37A110B3" w:rsidR="00A52D0E" w:rsidRDefault="00A52D0E">
          <w:pPr>
            <w:pStyle w:val="TOC2"/>
            <w:tabs>
              <w:tab w:val="right" w:leader="dot" w:pos="9350"/>
            </w:tabs>
            <w:rPr>
              <w:rFonts w:asciiTheme="minorHAnsi" w:eastAsiaTheme="minorEastAsia" w:hAnsiTheme="minorHAnsi"/>
              <w:noProof/>
              <w:kern w:val="2"/>
              <w:szCs w:val="24"/>
              <w:lang w:val="en-US"/>
              <w14:ligatures w14:val="standardContextual"/>
            </w:rPr>
          </w:pPr>
          <w:hyperlink w:anchor="_Toc238925774" w:history="1">
            <w:r w:rsidRPr="00CC08DB">
              <w:rPr>
                <w:rStyle w:val="Hyperlink"/>
                <w:noProof/>
              </w:rPr>
              <w:t>Proposición P1: Reproducibilidad del protocolo FOM-7</w:t>
            </w:r>
            <w:r>
              <w:rPr>
                <w:noProof/>
                <w:webHidden/>
              </w:rPr>
              <w:tab/>
            </w:r>
            <w:r>
              <w:rPr>
                <w:noProof/>
                <w:webHidden/>
              </w:rPr>
              <w:fldChar w:fldCharType="begin"/>
            </w:r>
            <w:r>
              <w:rPr>
                <w:noProof/>
                <w:webHidden/>
              </w:rPr>
              <w:instrText xml:space="preserve"> PAGEREF _Toc238925774 \h </w:instrText>
            </w:r>
            <w:r>
              <w:rPr>
                <w:noProof/>
                <w:webHidden/>
              </w:rPr>
            </w:r>
            <w:r>
              <w:rPr>
                <w:noProof/>
                <w:webHidden/>
              </w:rPr>
              <w:fldChar w:fldCharType="separate"/>
            </w:r>
            <w:r>
              <w:rPr>
                <w:noProof/>
                <w:webHidden/>
              </w:rPr>
              <w:t>86</w:t>
            </w:r>
            <w:r>
              <w:rPr>
                <w:noProof/>
                <w:webHidden/>
              </w:rPr>
              <w:fldChar w:fldCharType="end"/>
            </w:r>
          </w:hyperlink>
        </w:p>
        <w:p w14:paraId="2B9FDD48" w14:textId="5ED039F6" w:rsidR="00A52D0E" w:rsidRDefault="00A52D0E">
          <w:pPr>
            <w:pStyle w:val="TOC2"/>
            <w:tabs>
              <w:tab w:val="right" w:leader="dot" w:pos="9350"/>
            </w:tabs>
            <w:rPr>
              <w:rFonts w:asciiTheme="minorHAnsi" w:eastAsiaTheme="minorEastAsia" w:hAnsiTheme="minorHAnsi"/>
              <w:noProof/>
              <w:kern w:val="2"/>
              <w:szCs w:val="24"/>
              <w:lang w:val="en-US"/>
              <w14:ligatures w14:val="standardContextual"/>
            </w:rPr>
          </w:pPr>
          <w:hyperlink w:anchor="_Toc238925775" w:history="1">
            <w:r w:rsidRPr="00CC08DB">
              <w:rPr>
                <w:rStyle w:val="Hyperlink"/>
                <w:noProof/>
              </w:rPr>
              <w:t>Perfil multidimensional por método</w:t>
            </w:r>
            <w:r>
              <w:rPr>
                <w:noProof/>
                <w:webHidden/>
              </w:rPr>
              <w:tab/>
            </w:r>
            <w:r>
              <w:rPr>
                <w:noProof/>
                <w:webHidden/>
              </w:rPr>
              <w:fldChar w:fldCharType="begin"/>
            </w:r>
            <w:r>
              <w:rPr>
                <w:noProof/>
                <w:webHidden/>
              </w:rPr>
              <w:instrText xml:space="preserve"> PAGEREF _Toc238925775 \h </w:instrText>
            </w:r>
            <w:r>
              <w:rPr>
                <w:noProof/>
                <w:webHidden/>
              </w:rPr>
            </w:r>
            <w:r>
              <w:rPr>
                <w:noProof/>
                <w:webHidden/>
              </w:rPr>
              <w:fldChar w:fldCharType="separate"/>
            </w:r>
            <w:r>
              <w:rPr>
                <w:noProof/>
                <w:webHidden/>
              </w:rPr>
              <w:t>88</w:t>
            </w:r>
            <w:r>
              <w:rPr>
                <w:noProof/>
                <w:webHidden/>
              </w:rPr>
              <w:fldChar w:fldCharType="end"/>
            </w:r>
          </w:hyperlink>
        </w:p>
        <w:p w14:paraId="2EF8DA90" w14:textId="10A09644" w:rsidR="00A52D0E" w:rsidRDefault="00A52D0E">
          <w:pPr>
            <w:pStyle w:val="TOC3"/>
            <w:tabs>
              <w:tab w:val="right" w:leader="dot" w:pos="9350"/>
            </w:tabs>
            <w:rPr>
              <w:rFonts w:asciiTheme="minorHAnsi" w:eastAsiaTheme="minorEastAsia" w:hAnsiTheme="minorHAnsi"/>
              <w:noProof/>
              <w:kern w:val="2"/>
              <w:szCs w:val="24"/>
              <w:lang w:val="en-US"/>
              <w14:ligatures w14:val="standardContextual"/>
            </w:rPr>
          </w:pPr>
          <w:hyperlink w:anchor="_Toc238925776" w:history="1">
            <w:r w:rsidRPr="00CC08DB">
              <w:rPr>
                <w:rStyle w:val="Hyperlink"/>
                <w:noProof/>
              </w:rPr>
              <w:t>SHAP</w:t>
            </w:r>
            <w:r>
              <w:rPr>
                <w:noProof/>
                <w:webHidden/>
              </w:rPr>
              <w:tab/>
            </w:r>
            <w:r>
              <w:rPr>
                <w:noProof/>
                <w:webHidden/>
              </w:rPr>
              <w:fldChar w:fldCharType="begin"/>
            </w:r>
            <w:r>
              <w:rPr>
                <w:noProof/>
                <w:webHidden/>
              </w:rPr>
              <w:instrText xml:space="preserve"> PAGEREF _Toc238925776 \h </w:instrText>
            </w:r>
            <w:r>
              <w:rPr>
                <w:noProof/>
                <w:webHidden/>
              </w:rPr>
            </w:r>
            <w:r>
              <w:rPr>
                <w:noProof/>
                <w:webHidden/>
              </w:rPr>
              <w:fldChar w:fldCharType="separate"/>
            </w:r>
            <w:r>
              <w:rPr>
                <w:noProof/>
                <w:webHidden/>
              </w:rPr>
              <w:t>88</w:t>
            </w:r>
            <w:r>
              <w:rPr>
                <w:noProof/>
                <w:webHidden/>
              </w:rPr>
              <w:fldChar w:fldCharType="end"/>
            </w:r>
          </w:hyperlink>
        </w:p>
        <w:p w14:paraId="1BE5A420" w14:textId="5DDF9E17" w:rsidR="00A52D0E" w:rsidRDefault="00A52D0E">
          <w:pPr>
            <w:pStyle w:val="TOC3"/>
            <w:tabs>
              <w:tab w:val="right" w:leader="dot" w:pos="9350"/>
            </w:tabs>
            <w:rPr>
              <w:rFonts w:asciiTheme="minorHAnsi" w:eastAsiaTheme="minorEastAsia" w:hAnsiTheme="minorHAnsi"/>
              <w:noProof/>
              <w:kern w:val="2"/>
              <w:szCs w:val="24"/>
              <w:lang w:val="en-US"/>
              <w14:ligatures w14:val="standardContextual"/>
            </w:rPr>
          </w:pPr>
          <w:hyperlink w:anchor="_Toc238925777" w:history="1">
            <w:r w:rsidRPr="00CC08DB">
              <w:rPr>
                <w:rStyle w:val="Hyperlink"/>
                <w:noProof/>
              </w:rPr>
              <w:t>LIME</w:t>
            </w:r>
            <w:r>
              <w:rPr>
                <w:noProof/>
                <w:webHidden/>
              </w:rPr>
              <w:tab/>
            </w:r>
            <w:r>
              <w:rPr>
                <w:noProof/>
                <w:webHidden/>
              </w:rPr>
              <w:fldChar w:fldCharType="begin"/>
            </w:r>
            <w:r>
              <w:rPr>
                <w:noProof/>
                <w:webHidden/>
              </w:rPr>
              <w:instrText xml:space="preserve"> PAGEREF _Toc238925777 \h </w:instrText>
            </w:r>
            <w:r>
              <w:rPr>
                <w:noProof/>
                <w:webHidden/>
              </w:rPr>
            </w:r>
            <w:r>
              <w:rPr>
                <w:noProof/>
                <w:webHidden/>
              </w:rPr>
              <w:fldChar w:fldCharType="separate"/>
            </w:r>
            <w:r>
              <w:rPr>
                <w:noProof/>
                <w:webHidden/>
              </w:rPr>
              <w:t>89</w:t>
            </w:r>
            <w:r>
              <w:rPr>
                <w:noProof/>
                <w:webHidden/>
              </w:rPr>
              <w:fldChar w:fldCharType="end"/>
            </w:r>
          </w:hyperlink>
        </w:p>
        <w:p w14:paraId="53D622FC" w14:textId="0BA8E102" w:rsidR="00A52D0E" w:rsidRDefault="00A52D0E">
          <w:pPr>
            <w:pStyle w:val="TOC3"/>
            <w:tabs>
              <w:tab w:val="right" w:leader="dot" w:pos="9350"/>
            </w:tabs>
            <w:rPr>
              <w:rFonts w:asciiTheme="minorHAnsi" w:eastAsiaTheme="minorEastAsia" w:hAnsiTheme="minorHAnsi"/>
              <w:noProof/>
              <w:kern w:val="2"/>
              <w:szCs w:val="24"/>
              <w:lang w:val="en-US"/>
              <w14:ligatures w14:val="standardContextual"/>
            </w:rPr>
          </w:pPr>
          <w:hyperlink w:anchor="_Toc238925778" w:history="1">
            <w:r w:rsidRPr="00CC08DB">
              <w:rPr>
                <w:rStyle w:val="Hyperlink"/>
                <w:noProof/>
              </w:rPr>
              <w:t>Anchors</w:t>
            </w:r>
            <w:r>
              <w:rPr>
                <w:noProof/>
                <w:webHidden/>
              </w:rPr>
              <w:tab/>
            </w:r>
            <w:r>
              <w:rPr>
                <w:noProof/>
                <w:webHidden/>
              </w:rPr>
              <w:fldChar w:fldCharType="begin"/>
            </w:r>
            <w:r>
              <w:rPr>
                <w:noProof/>
                <w:webHidden/>
              </w:rPr>
              <w:instrText xml:space="preserve"> PAGEREF _Toc238925778 \h </w:instrText>
            </w:r>
            <w:r>
              <w:rPr>
                <w:noProof/>
                <w:webHidden/>
              </w:rPr>
            </w:r>
            <w:r>
              <w:rPr>
                <w:noProof/>
                <w:webHidden/>
              </w:rPr>
              <w:fldChar w:fldCharType="separate"/>
            </w:r>
            <w:r>
              <w:rPr>
                <w:noProof/>
                <w:webHidden/>
              </w:rPr>
              <w:t>90</w:t>
            </w:r>
            <w:r>
              <w:rPr>
                <w:noProof/>
                <w:webHidden/>
              </w:rPr>
              <w:fldChar w:fldCharType="end"/>
            </w:r>
          </w:hyperlink>
        </w:p>
        <w:p w14:paraId="590902B3" w14:textId="1399ED83" w:rsidR="00A52D0E" w:rsidRDefault="00A52D0E">
          <w:pPr>
            <w:pStyle w:val="TOC3"/>
            <w:tabs>
              <w:tab w:val="right" w:leader="dot" w:pos="9350"/>
            </w:tabs>
            <w:rPr>
              <w:rFonts w:asciiTheme="minorHAnsi" w:eastAsiaTheme="minorEastAsia" w:hAnsiTheme="minorHAnsi"/>
              <w:noProof/>
              <w:kern w:val="2"/>
              <w:szCs w:val="24"/>
              <w:lang w:val="en-US"/>
              <w14:ligatures w14:val="standardContextual"/>
            </w:rPr>
          </w:pPr>
          <w:hyperlink w:anchor="_Toc238925779" w:history="1">
            <w:r w:rsidRPr="00CC08DB">
              <w:rPr>
                <w:rStyle w:val="Hyperlink"/>
                <w:noProof/>
              </w:rPr>
              <w:t>DiCE</w:t>
            </w:r>
            <w:r>
              <w:rPr>
                <w:noProof/>
                <w:webHidden/>
              </w:rPr>
              <w:tab/>
            </w:r>
            <w:r>
              <w:rPr>
                <w:noProof/>
                <w:webHidden/>
              </w:rPr>
              <w:fldChar w:fldCharType="begin"/>
            </w:r>
            <w:r>
              <w:rPr>
                <w:noProof/>
                <w:webHidden/>
              </w:rPr>
              <w:instrText xml:space="preserve"> PAGEREF _Toc238925779 \h </w:instrText>
            </w:r>
            <w:r>
              <w:rPr>
                <w:noProof/>
                <w:webHidden/>
              </w:rPr>
            </w:r>
            <w:r>
              <w:rPr>
                <w:noProof/>
                <w:webHidden/>
              </w:rPr>
              <w:fldChar w:fldCharType="separate"/>
            </w:r>
            <w:r>
              <w:rPr>
                <w:noProof/>
                <w:webHidden/>
              </w:rPr>
              <w:t>90</w:t>
            </w:r>
            <w:r>
              <w:rPr>
                <w:noProof/>
                <w:webHidden/>
              </w:rPr>
              <w:fldChar w:fldCharType="end"/>
            </w:r>
          </w:hyperlink>
        </w:p>
        <w:p w14:paraId="49B96F1C" w14:textId="1D4BD355" w:rsidR="00A52D0E" w:rsidRDefault="00A52D0E">
          <w:pPr>
            <w:pStyle w:val="TOC2"/>
            <w:tabs>
              <w:tab w:val="right" w:leader="dot" w:pos="9350"/>
            </w:tabs>
            <w:rPr>
              <w:rFonts w:asciiTheme="minorHAnsi" w:eastAsiaTheme="minorEastAsia" w:hAnsiTheme="minorHAnsi"/>
              <w:noProof/>
              <w:kern w:val="2"/>
              <w:szCs w:val="24"/>
              <w:lang w:val="en-US"/>
              <w14:ligatures w14:val="standardContextual"/>
            </w:rPr>
          </w:pPr>
          <w:hyperlink w:anchor="_Toc238925780" w:history="1">
            <w:r w:rsidRPr="00CC08DB">
              <w:rPr>
                <w:rStyle w:val="Hyperlink"/>
                <w:noProof/>
              </w:rPr>
              <w:t>Análisis transversal: efecto del modelo base y del tamaño de muestra</w:t>
            </w:r>
            <w:r>
              <w:rPr>
                <w:noProof/>
                <w:webHidden/>
              </w:rPr>
              <w:tab/>
            </w:r>
            <w:r>
              <w:rPr>
                <w:noProof/>
                <w:webHidden/>
              </w:rPr>
              <w:fldChar w:fldCharType="begin"/>
            </w:r>
            <w:r>
              <w:rPr>
                <w:noProof/>
                <w:webHidden/>
              </w:rPr>
              <w:instrText xml:space="preserve"> PAGEREF _Toc238925780 \h </w:instrText>
            </w:r>
            <w:r>
              <w:rPr>
                <w:noProof/>
                <w:webHidden/>
              </w:rPr>
            </w:r>
            <w:r>
              <w:rPr>
                <w:noProof/>
                <w:webHidden/>
              </w:rPr>
              <w:fldChar w:fldCharType="separate"/>
            </w:r>
            <w:r>
              <w:rPr>
                <w:noProof/>
                <w:webHidden/>
              </w:rPr>
              <w:t>91</w:t>
            </w:r>
            <w:r>
              <w:rPr>
                <w:noProof/>
                <w:webHidden/>
              </w:rPr>
              <w:fldChar w:fldCharType="end"/>
            </w:r>
          </w:hyperlink>
        </w:p>
        <w:p w14:paraId="69E85618" w14:textId="257DEABF" w:rsidR="00A52D0E" w:rsidRDefault="00A52D0E">
          <w:pPr>
            <w:pStyle w:val="TOC3"/>
            <w:tabs>
              <w:tab w:val="right" w:leader="dot" w:pos="9350"/>
            </w:tabs>
            <w:rPr>
              <w:rFonts w:asciiTheme="minorHAnsi" w:eastAsiaTheme="minorEastAsia" w:hAnsiTheme="minorHAnsi"/>
              <w:noProof/>
              <w:kern w:val="2"/>
              <w:szCs w:val="24"/>
              <w:lang w:val="en-US"/>
              <w14:ligatures w14:val="standardContextual"/>
            </w:rPr>
          </w:pPr>
          <w:hyperlink w:anchor="_Toc238925781" w:history="1">
            <w:r w:rsidRPr="00CC08DB">
              <w:rPr>
                <w:rStyle w:val="Hyperlink"/>
                <w:noProof/>
              </w:rPr>
              <w:t>Efecto del modelo base sobre las métricas</w:t>
            </w:r>
            <w:r>
              <w:rPr>
                <w:noProof/>
                <w:webHidden/>
              </w:rPr>
              <w:tab/>
            </w:r>
            <w:r>
              <w:rPr>
                <w:noProof/>
                <w:webHidden/>
              </w:rPr>
              <w:fldChar w:fldCharType="begin"/>
            </w:r>
            <w:r>
              <w:rPr>
                <w:noProof/>
                <w:webHidden/>
              </w:rPr>
              <w:instrText xml:space="preserve"> PAGEREF _Toc238925781 \h </w:instrText>
            </w:r>
            <w:r>
              <w:rPr>
                <w:noProof/>
                <w:webHidden/>
              </w:rPr>
            </w:r>
            <w:r>
              <w:rPr>
                <w:noProof/>
                <w:webHidden/>
              </w:rPr>
              <w:fldChar w:fldCharType="separate"/>
            </w:r>
            <w:r>
              <w:rPr>
                <w:noProof/>
                <w:webHidden/>
              </w:rPr>
              <w:t>91</w:t>
            </w:r>
            <w:r>
              <w:rPr>
                <w:noProof/>
                <w:webHidden/>
              </w:rPr>
              <w:fldChar w:fldCharType="end"/>
            </w:r>
          </w:hyperlink>
        </w:p>
        <w:p w14:paraId="113BB728" w14:textId="18826DDF" w:rsidR="00A52D0E" w:rsidRDefault="00A52D0E">
          <w:pPr>
            <w:pStyle w:val="TOC3"/>
            <w:tabs>
              <w:tab w:val="right" w:leader="dot" w:pos="9350"/>
            </w:tabs>
            <w:rPr>
              <w:rFonts w:asciiTheme="minorHAnsi" w:eastAsiaTheme="minorEastAsia" w:hAnsiTheme="minorHAnsi"/>
              <w:noProof/>
              <w:kern w:val="2"/>
              <w:szCs w:val="24"/>
              <w:lang w:val="en-US"/>
              <w14:ligatures w14:val="standardContextual"/>
            </w:rPr>
          </w:pPr>
          <w:hyperlink w:anchor="_Toc238925782" w:history="1">
            <w:r w:rsidRPr="00CC08DB">
              <w:rPr>
                <w:rStyle w:val="Hyperlink"/>
                <w:noProof/>
              </w:rPr>
              <w:t>Efecto del tamaño de muestra estratificado</w:t>
            </w:r>
            <w:r>
              <w:rPr>
                <w:noProof/>
                <w:webHidden/>
              </w:rPr>
              <w:tab/>
            </w:r>
            <w:r>
              <w:rPr>
                <w:noProof/>
                <w:webHidden/>
              </w:rPr>
              <w:fldChar w:fldCharType="begin"/>
            </w:r>
            <w:r>
              <w:rPr>
                <w:noProof/>
                <w:webHidden/>
              </w:rPr>
              <w:instrText xml:space="preserve"> PAGEREF _Toc238925782 \h </w:instrText>
            </w:r>
            <w:r>
              <w:rPr>
                <w:noProof/>
                <w:webHidden/>
              </w:rPr>
            </w:r>
            <w:r>
              <w:rPr>
                <w:noProof/>
                <w:webHidden/>
              </w:rPr>
              <w:fldChar w:fldCharType="separate"/>
            </w:r>
            <w:r>
              <w:rPr>
                <w:noProof/>
                <w:webHidden/>
              </w:rPr>
              <w:t>92</w:t>
            </w:r>
            <w:r>
              <w:rPr>
                <w:noProof/>
                <w:webHidden/>
              </w:rPr>
              <w:fldChar w:fldCharType="end"/>
            </w:r>
          </w:hyperlink>
        </w:p>
        <w:p w14:paraId="3AEE243E" w14:textId="339335C6" w:rsidR="00A52D0E" w:rsidRDefault="00A52D0E">
          <w:pPr>
            <w:pStyle w:val="TOC2"/>
            <w:tabs>
              <w:tab w:val="right" w:leader="dot" w:pos="9350"/>
            </w:tabs>
            <w:rPr>
              <w:rFonts w:asciiTheme="minorHAnsi" w:eastAsiaTheme="minorEastAsia" w:hAnsiTheme="minorHAnsi"/>
              <w:noProof/>
              <w:kern w:val="2"/>
              <w:szCs w:val="24"/>
              <w:lang w:val="en-US"/>
              <w14:ligatures w14:val="standardContextual"/>
            </w:rPr>
          </w:pPr>
          <w:hyperlink w:anchor="_Toc238925783" w:history="1">
            <w:r w:rsidRPr="00CC08DB">
              <w:rPr>
                <w:rStyle w:val="Hyperlink"/>
                <w:noProof/>
              </w:rPr>
              <w:t>Trazabilidad de claims principales</w:t>
            </w:r>
            <w:r>
              <w:rPr>
                <w:noProof/>
                <w:webHidden/>
              </w:rPr>
              <w:tab/>
            </w:r>
            <w:r>
              <w:rPr>
                <w:noProof/>
                <w:webHidden/>
              </w:rPr>
              <w:fldChar w:fldCharType="begin"/>
            </w:r>
            <w:r>
              <w:rPr>
                <w:noProof/>
                <w:webHidden/>
              </w:rPr>
              <w:instrText xml:space="preserve"> PAGEREF _Toc238925783 \h </w:instrText>
            </w:r>
            <w:r>
              <w:rPr>
                <w:noProof/>
                <w:webHidden/>
              </w:rPr>
            </w:r>
            <w:r>
              <w:rPr>
                <w:noProof/>
                <w:webHidden/>
              </w:rPr>
              <w:fldChar w:fldCharType="separate"/>
            </w:r>
            <w:r>
              <w:rPr>
                <w:noProof/>
                <w:webHidden/>
              </w:rPr>
              <w:t>92</w:t>
            </w:r>
            <w:r>
              <w:rPr>
                <w:noProof/>
                <w:webHidden/>
              </w:rPr>
              <w:fldChar w:fldCharType="end"/>
            </w:r>
          </w:hyperlink>
        </w:p>
        <w:p w14:paraId="5CF12687" w14:textId="023857EC" w:rsidR="00A52D0E" w:rsidRDefault="00A52D0E">
          <w:pPr>
            <w:pStyle w:val="TOC2"/>
            <w:tabs>
              <w:tab w:val="right" w:leader="dot" w:pos="9350"/>
            </w:tabs>
            <w:rPr>
              <w:rFonts w:asciiTheme="minorHAnsi" w:eastAsiaTheme="minorEastAsia" w:hAnsiTheme="minorHAnsi"/>
              <w:noProof/>
              <w:kern w:val="2"/>
              <w:szCs w:val="24"/>
              <w:lang w:val="en-US"/>
              <w14:ligatures w14:val="standardContextual"/>
            </w:rPr>
          </w:pPr>
          <w:hyperlink w:anchor="_Toc238925784" w:history="1">
            <w:r w:rsidRPr="00CC08DB">
              <w:rPr>
                <w:rStyle w:val="Hyperlink"/>
                <w:noProof/>
              </w:rPr>
              <w:t>Visualizaciones complementarias</w:t>
            </w:r>
            <w:r>
              <w:rPr>
                <w:noProof/>
                <w:webHidden/>
              </w:rPr>
              <w:tab/>
            </w:r>
            <w:r>
              <w:rPr>
                <w:noProof/>
                <w:webHidden/>
              </w:rPr>
              <w:fldChar w:fldCharType="begin"/>
            </w:r>
            <w:r>
              <w:rPr>
                <w:noProof/>
                <w:webHidden/>
              </w:rPr>
              <w:instrText xml:space="preserve"> PAGEREF _Toc238925784 \h </w:instrText>
            </w:r>
            <w:r>
              <w:rPr>
                <w:noProof/>
                <w:webHidden/>
              </w:rPr>
            </w:r>
            <w:r>
              <w:rPr>
                <w:noProof/>
                <w:webHidden/>
              </w:rPr>
              <w:fldChar w:fldCharType="separate"/>
            </w:r>
            <w:r>
              <w:rPr>
                <w:noProof/>
                <w:webHidden/>
              </w:rPr>
              <w:t>94</w:t>
            </w:r>
            <w:r>
              <w:rPr>
                <w:noProof/>
                <w:webHidden/>
              </w:rPr>
              <w:fldChar w:fldCharType="end"/>
            </w:r>
          </w:hyperlink>
        </w:p>
        <w:p w14:paraId="2A5FF83D" w14:textId="5D184A55" w:rsidR="00A52D0E" w:rsidRDefault="00A52D0E">
          <w:pPr>
            <w:pStyle w:val="TOC2"/>
            <w:tabs>
              <w:tab w:val="right" w:leader="dot" w:pos="9350"/>
            </w:tabs>
            <w:rPr>
              <w:rFonts w:asciiTheme="minorHAnsi" w:eastAsiaTheme="minorEastAsia" w:hAnsiTheme="minorHAnsi"/>
              <w:noProof/>
              <w:kern w:val="2"/>
              <w:szCs w:val="24"/>
              <w:lang w:val="en-US"/>
              <w14:ligatures w14:val="standardContextual"/>
            </w:rPr>
          </w:pPr>
          <w:hyperlink w:anchor="_Toc238925785" w:history="1">
            <w:r w:rsidRPr="00CC08DB">
              <w:rPr>
                <w:rStyle w:val="Hyperlink"/>
                <w:noProof/>
              </w:rPr>
              <w:t>Discusión</w:t>
            </w:r>
            <w:r>
              <w:rPr>
                <w:noProof/>
                <w:webHidden/>
              </w:rPr>
              <w:tab/>
            </w:r>
            <w:r>
              <w:rPr>
                <w:noProof/>
                <w:webHidden/>
              </w:rPr>
              <w:fldChar w:fldCharType="begin"/>
            </w:r>
            <w:r>
              <w:rPr>
                <w:noProof/>
                <w:webHidden/>
              </w:rPr>
              <w:instrText xml:space="preserve"> PAGEREF _Toc238925785 \h </w:instrText>
            </w:r>
            <w:r>
              <w:rPr>
                <w:noProof/>
                <w:webHidden/>
              </w:rPr>
            </w:r>
            <w:r>
              <w:rPr>
                <w:noProof/>
                <w:webHidden/>
              </w:rPr>
              <w:fldChar w:fldCharType="separate"/>
            </w:r>
            <w:r>
              <w:rPr>
                <w:noProof/>
                <w:webHidden/>
              </w:rPr>
              <w:t>99</w:t>
            </w:r>
            <w:r>
              <w:rPr>
                <w:noProof/>
                <w:webHidden/>
              </w:rPr>
              <w:fldChar w:fldCharType="end"/>
            </w:r>
          </w:hyperlink>
        </w:p>
        <w:p w14:paraId="3EC304EA" w14:textId="00E4090C" w:rsidR="00A52D0E" w:rsidRDefault="00A52D0E">
          <w:pPr>
            <w:pStyle w:val="TOC3"/>
            <w:tabs>
              <w:tab w:val="right" w:leader="dot" w:pos="9350"/>
            </w:tabs>
            <w:rPr>
              <w:rFonts w:asciiTheme="minorHAnsi" w:eastAsiaTheme="minorEastAsia" w:hAnsiTheme="minorHAnsi"/>
              <w:noProof/>
              <w:kern w:val="2"/>
              <w:szCs w:val="24"/>
              <w:lang w:val="en-US"/>
              <w14:ligatures w14:val="standardContextual"/>
            </w:rPr>
          </w:pPr>
          <w:hyperlink w:anchor="_Toc238925786" w:history="1">
            <w:r w:rsidRPr="00CC08DB">
              <w:rPr>
                <w:rStyle w:val="Hyperlink"/>
                <w:noProof/>
              </w:rPr>
              <w:t>Interpretación conjunta de H1, H2 y H3</w:t>
            </w:r>
            <w:r>
              <w:rPr>
                <w:noProof/>
                <w:webHidden/>
              </w:rPr>
              <w:tab/>
            </w:r>
            <w:r>
              <w:rPr>
                <w:noProof/>
                <w:webHidden/>
              </w:rPr>
              <w:fldChar w:fldCharType="begin"/>
            </w:r>
            <w:r>
              <w:rPr>
                <w:noProof/>
                <w:webHidden/>
              </w:rPr>
              <w:instrText xml:space="preserve"> PAGEREF _Toc238925786 \h </w:instrText>
            </w:r>
            <w:r>
              <w:rPr>
                <w:noProof/>
                <w:webHidden/>
              </w:rPr>
            </w:r>
            <w:r>
              <w:rPr>
                <w:noProof/>
                <w:webHidden/>
              </w:rPr>
              <w:fldChar w:fldCharType="separate"/>
            </w:r>
            <w:r>
              <w:rPr>
                <w:noProof/>
                <w:webHidden/>
              </w:rPr>
              <w:t>99</w:t>
            </w:r>
            <w:r>
              <w:rPr>
                <w:noProof/>
                <w:webHidden/>
              </w:rPr>
              <w:fldChar w:fldCharType="end"/>
            </w:r>
          </w:hyperlink>
        </w:p>
        <w:p w14:paraId="5AA06D28" w14:textId="5C5407E5" w:rsidR="00A52D0E" w:rsidRDefault="00A52D0E">
          <w:pPr>
            <w:pStyle w:val="TOC3"/>
            <w:tabs>
              <w:tab w:val="right" w:leader="dot" w:pos="9350"/>
            </w:tabs>
            <w:rPr>
              <w:rFonts w:asciiTheme="minorHAnsi" w:eastAsiaTheme="minorEastAsia" w:hAnsiTheme="minorHAnsi"/>
              <w:noProof/>
              <w:kern w:val="2"/>
              <w:szCs w:val="24"/>
              <w:lang w:val="en-US"/>
              <w14:ligatures w14:val="standardContextual"/>
            </w:rPr>
          </w:pPr>
          <w:hyperlink w:anchor="_Toc238925787" w:history="1">
            <w:r w:rsidRPr="00CC08DB">
              <w:rPr>
                <w:rStyle w:val="Hyperlink"/>
                <w:noProof/>
              </w:rPr>
              <w:t>Relación calidad-coste y criterios de selección operativa</w:t>
            </w:r>
            <w:r>
              <w:rPr>
                <w:noProof/>
                <w:webHidden/>
              </w:rPr>
              <w:tab/>
            </w:r>
            <w:r>
              <w:rPr>
                <w:noProof/>
                <w:webHidden/>
              </w:rPr>
              <w:fldChar w:fldCharType="begin"/>
            </w:r>
            <w:r>
              <w:rPr>
                <w:noProof/>
                <w:webHidden/>
              </w:rPr>
              <w:instrText xml:space="preserve"> PAGEREF _Toc238925787 \h </w:instrText>
            </w:r>
            <w:r>
              <w:rPr>
                <w:noProof/>
                <w:webHidden/>
              </w:rPr>
            </w:r>
            <w:r>
              <w:rPr>
                <w:noProof/>
                <w:webHidden/>
              </w:rPr>
              <w:fldChar w:fldCharType="separate"/>
            </w:r>
            <w:r>
              <w:rPr>
                <w:noProof/>
                <w:webHidden/>
              </w:rPr>
              <w:t>100</w:t>
            </w:r>
            <w:r>
              <w:rPr>
                <w:noProof/>
                <w:webHidden/>
              </w:rPr>
              <w:fldChar w:fldCharType="end"/>
            </w:r>
          </w:hyperlink>
        </w:p>
        <w:p w14:paraId="578883CD" w14:textId="3DFEA853" w:rsidR="00A52D0E" w:rsidRDefault="00A52D0E">
          <w:pPr>
            <w:pStyle w:val="TOC3"/>
            <w:tabs>
              <w:tab w:val="right" w:leader="dot" w:pos="9350"/>
            </w:tabs>
            <w:rPr>
              <w:rFonts w:asciiTheme="minorHAnsi" w:eastAsiaTheme="minorEastAsia" w:hAnsiTheme="minorHAnsi"/>
              <w:noProof/>
              <w:kern w:val="2"/>
              <w:szCs w:val="24"/>
              <w:lang w:val="en-US"/>
              <w14:ligatures w14:val="standardContextual"/>
            </w:rPr>
          </w:pPr>
          <w:hyperlink w:anchor="_Toc238925788" w:history="1">
            <w:r w:rsidRPr="00CC08DB">
              <w:rPr>
                <w:rStyle w:val="Hyperlink"/>
                <w:noProof/>
              </w:rPr>
              <w:t>Contribuciones, limitaciones y extensiones</w:t>
            </w:r>
            <w:r>
              <w:rPr>
                <w:noProof/>
                <w:webHidden/>
              </w:rPr>
              <w:tab/>
            </w:r>
            <w:r>
              <w:rPr>
                <w:noProof/>
                <w:webHidden/>
              </w:rPr>
              <w:fldChar w:fldCharType="begin"/>
            </w:r>
            <w:r>
              <w:rPr>
                <w:noProof/>
                <w:webHidden/>
              </w:rPr>
              <w:instrText xml:space="preserve"> PAGEREF _Toc238925788 \h </w:instrText>
            </w:r>
            <w:r>
              <w:rPr>
                <w:noProof/>
                <w:webHidden/>
              </w:rPr>
            </w:r>
            <w:r>
              <w:rPr>
                <w:noProof/>
                <w:webHidden/>
              </w:rPr>
              <w:fldChar w:fldCharType="separate"/>
            </w:r>
            <w:r>
              <w:rPr>
                <w:noProof/>
                <w:webHidden/>
              </w:rPr>
              <w:t>101</w:t>
            </w:r>
            <w:r>
              <w:rPr>
                <w:noProof/>
                <w:webHidden/>
              </w:rPr>
              <w:fldChar w:fldCharType="end"/>
            </w:r>
          </w:hyperlink>
        </w:p>
        <w:p w14:paraId="2B353B5F" w14:textId="3C3DA2EB" w:rsidR="00A52D0E" w:rsidRDefault="00A52D0E">
          <w:pPr>
            <w:pStyle w:val="TOC1"/>
            <w:tabs>
              <w:tab w:val="right" w:leader="dot" w:pos="9350"/>
            </w:tabs>
            <w:rPr>
              <w:rFonts w:asciiTheme="minorHAnsi" w:eastAsiaTheme="minorEastAsia" w:hAnsiTheme="minorHAnsi"/>
              <w:noProof/>
              <w:kern w:val="2"/>
              <w:szCs w:val="24"/>
              <w:lang w:val="en-US"/>
              <w14:ligatures w14:val="standardContextual"/>
            </w:rPr>
          </w:pPr>
          <w:hyperlink w:anchor="_Toc238925789" w:history="1">
            <w:r w:rsidRPr="00CC08DB">
              <w:rPr>
                <w:rStyle w:val="Hyperlink"/>
                <w:noProof/>
              </w:rPr>
              <w:t>Taxonomía de métricas y síntesis conceptual</w:t>
            </w:r>
            <w:r>
              <w:rPr>
                <w:noProof/>
                <w:webHidden/>
              </w:rPr>
              <w:tab/>
            </w:r>
            <w:r>
              <w:rPr>
                <w:noProof/>
                <w:webHidden/>
              </w:rPr>
              <w:fldChar w:fldCharType="begin"/>
            </w:r>
            <w:r>
              <w:rPr>
                <w:noProof/>
                <w:webHidden/>
              </w:rPr>
              <w:instrText xml:space="preserve"> PAGEREF _Toc238925789 \h </w:instrText>
            </w:r>
            <w:r>
              <w:rPr>
                <w:noProof/>
                <w:webHidden/>
              </w:rPr>
            </w:r>
            <w:r>
              <w:rPr>
                <w:noProof/>
                <w:webHidden/>
              </w:rPr>
              <w:fldChar w:fldCharType="separate"/>
            </w:r>
            <w:r>
              <w:rPr>
                <w:noProof/>
                <w:webHidden/>
              </w:rPr>
              <w:t>102</w:t>
            </w:r>
            <w:r>
              <w:rPr>
                <w:noProof/>
                <w:webHidden/>
              </w:rPr>
              <w:fldChar w:fldCharType="end"/>
            </w:r>
          </w:hyperlink>
        </w:p>
        <w:p w14:paraId="34337491" w14:textId="490F484A" w:rsidR="00A52D0E" w:rsidRDefault="00A52D0E">
          <w:pPr>
            <w:pStyle w:val="TOC2"/>
            <w:tabs>
              <w:tab w:val="right" w:leader="dot" w:pos="9350"/>
            </w:tabs>
            <w:rPr>
              <w:rFonts w:asciiTheme="minorHAnsi" w:eastAsiaTheme="minorEastAsia" w:hAnsiTheme="minorHAnsi"/>
              <w:noProof/>
              <w:kern w:val="2"/>
              <w:szCs w:val="24"/>
              <w:lang w:val="en-US"/>
              <w14:ligatures w14:val="standardContextual"/>
            </w:rPr>
          </w:pPr>
          <w:hyperlink w:anchor="_Toc238925790" w:history="1">
            <w:r w:rsidRPr="00CC08DB">
              <w:rPr>
                <w:rStyle w:val="Hyperlink"/>
                <w:noProof/>
              </w:rPr>
              <w:t>Método de construcción de la taxonomía</w:t>
            </w:r>
            <w:r>
              <w:rPr>
                <w:noProof/>
                <w:webHidden/>
              </w:rPr>
              <w:tab/>
            </w:r>
            <w:r>
              <w:rPr>
                <w:noProof/>
                <w:webHidden/>
              </w:rPr>
              <w:fldChar w:fldCharType="begin"/>
            </w:r>
            <w:r>
              <w:rPr>
                <w:noProof/>
                <w:webHidden/>
              </w:rPr>
              <w:instrText xml:space="preserve"> PAGEREF _Toc238925790 \h </w:instrText>
            </w:r>
            <w:r>
              <w:rPr>
                <w:noProof/>
                <w:webHidden/>
              </w:rPr>
            </w:r>
            <w:r>
              <w:rPr>
                <w:noProof/>
                <w:webHidden/>
              </w:rPr>
              <w:fldChar w:fldCharType="separate"/>
            </w:r>
            <w:r>
              <w:rPr>
                <w:noProof/>
                <w:webHidden/>
              </w:rPr>
              <w:t>104</w:t>
            </w:r>
            <w:r>
              <w:rPr>
                <w:noProof/>
                <w:webHidden/>
              </w:rPr>
              <w:fldChar w:fldCharType="end"/>
            </w:r>
          </w:hyperlink>
        </w:p>
        <w:p w14:paraId="350BBC56" w14:textId="5D9103A7" w:rsidR="00A52D0E" w:rsidRDefault="00A52D0E">
          <w:pPr>
            <w:pStyle w:val="TOC2"/>
            <w:tabs>
              <w:tab w:val="right" w:leader="dot" w:pos="9350"/>
            </w:tabs>
            <w:rPr>
              <w:rFonts w:asciiTheme="minorHAnsi" w:eastAsiaTheme="minorEastAsia" w:hAnsiTheme="minorHAnsi"/>
              <w:noProof/>
              <w:kern w:val="2"/>
              <w:szCs w:val="24"/>
              <w:lang w:val="en-US"/>
              <w14:ligatures w14:val="standardContextual"/>
            </w:rPr>
          </w:pPr>
          <w:hyperlink w:anchor="_Toc238925791" w:history="1">
            <w:r w:rsidRPr="00CC08DB">
              <w:rPr>
                <w:rStyle w:val="Hyperlink"/>
                <w:noProof/>
              </w:rPr>
              <w:t>Motivación y posicionamiento</w:t>
            </w:r>
            <w:r>
              <w:rPr>
                <w:noProof/>
                <w:webHidden/>
              </w:rPr>
              <w:tab/>
            </w:r>
            <w:r>
              <w:rPr>
                <w:noProof/>
                <w:webHidden/>
              </w:rPr>
              <w:fldChar w:fldCharType="begin"/>
            </w:r>
            <w:r>
              <w:rPr>
                <w:noProof/>
                <w:webHidden/>
              </w:rPr>
              <w:instrText xml:space="preserve"> PAGEREF _Toc238925791 \h </w:instrText>
            </w:r>
            <w:r>
              <w:rPr>
                <w:noProof/>
                <w:webHidden/>
              </w:rPr>
            </w:r>
            <w:r>
              <w:rPr>
                <w:noProof/>
                <w:webHidden/>
              </w:rPr>
              <w:fldChar w:fldCharType="separate"/>
            </w:r>
            <w:r>
              <w:rPr>
                <w:noProof/>
                <w:webHidden/>
              </w:rPr>
              <w:t>106</w:t>
            </w:r>
            <w:r>
              <w:rPr>
                <w:noProof/>
                <w:webHidden/>
              </w:rPr>
              <w:fldChar w:fldCharType="end"/>
            </w:r>
          </w:hyperlink>
        </w:p>
        <w:p w14:paraId="1E450B08" w14:textId="5DD85DFF" w:rsidR="00A52D0E" w:rsidRDefault="00A52D0E">
          <w:pPr>
            <w:pStyle w:val="TOC2"/>
            <w:tabs>
              <w:tab w:val="right" w:leader="dot" w:pos="9350"/>
            </w:tabs>
            <w:rPr>
              <w:rFonts w:asciiTheme="minorHAnsi" w:eastAsiaTheme="minorEastAsia" w:hAnsiTheme="minorHAnsi"/>
              <w:noProof/>
              <w:kern w:val="2"/>
              <w:szCs w:val="24"/>
              <w:lang w:val="en-US"/>
              <w14:ligatures w14:val="standardContextual"/>
            </w:rPr>
          </w:pPr>
          <w:hyperlink w:anchor="_Toc238925792" w:history="1">
            <w:r w:rsidRPr="00CC08DB">
              <w:rPr>
                <w:rStyle w:val="Hyperlink"/>
                <w:noProof/>
              </w:rPr>
              <w:t>Los cuatro ejes de la taxonomía</w:t>
            </w:r>
            <w:r>
              <w:rPr>
                <w:noProof/>
                <w:webHidden/>
              </w:rPr>
              <w:tab/>
            </w:r>
            <w:r>
              <w:rPr>
                <w:noProof/>
                <w:webHidden/>
              </w:rPr>
              <w:fldChar w:fldCharType="begin"/>
            </w:r>
            <w:r>
              <w:rPr>
                <w:noProof/>
                <w:webHidden/>
              </w:rPr>
              <w:instrText xml:space="preserve"> PAGEREF _Toc238925792 \h </w:instrText>
            </w:r>
            <w:r>
              <w:rPr>
                <w:noProof/>
                <w:webHidden/>
              </w:rPr>
            </w:r>
            <w:r>
              <w:rPr>
                <w:noProof/>
                <w:webHidden/>
              </w:rPr>
              <w:fldChar w:fldCharType="separate"/>
            </w:r>
            <w:r>
              <w:rPr>
                <w:noProof/>
                <w:webHidden/>
              </w:rPr>
              <w:t>107</w:t>
            </w:r>
            <w:r>
              <w:rPr>
                <w:noProof/>
                <w:webHidden/>
              </w:rPr>
              <w:fldChar w:fldCharType="end"/>
            </w:r>
          </w:hyperlink>
        </w:p>
        <w:p w14:paraId="59C4F8F0" w14:textId="60A422D5" w:rsidR="00A52D0E" w:rsidRDefault="00A52D0E">
          <w:pPr>
            <w:pStyle w:val="TOC2"/>
            <w:tabs>
              <w:tab w:val="right" w:leader="dot" w:pos="9350"/>
            </w:tabs>
            <w:rPr>
              <w:rFonts w:asciiTheme="minorHAnsi" w:eastAsiaTheme="minorEastAsia" w:hAnsiTheme="minorHAnsi"/>
              <w:noProof/>
              <w:kern w:val="2"/>
              <w:szCs w:val="24"/>
              <w:lang w:val="en-US"/>
              <w14:ligatures w14:val="standardContextual"/>
            </w:rPr>
          </w:pPr>
          <w:hyperlink w:anchor="_Toc238925793" w:history="1">
            <w:r w:rsidRPr="00CC08DB">
              <w:rPr>
                <w:rStyle w:val="Hyperlink"/>
                <w:noProof/>
              </w:rPr>
              <w:t>Matriz taxonómica de métricas XAI</w:t>
            </w:r>
            <w:r>
              <w:rPr>
                <w:noProof/>
                <w:webHidden/>
              </w:rPr>
              <w:tab/>
            </w:r>
            <w:r>
              <w:rPr>
                <w:noProof/>
                <w:webHidden/>
              </w:rPr>
              <w:fldChar w:fldCharType="begin"/>
            </w:r>
            <w:r>
              <w:rPr>
                <w:noProof/>
                <w:webHidden/>
              </w:rPr>
              <w:instrText xml:space="preserve"> PAGEREF _Toc238925793 \h </w:instrText>
            </w:r>
            <w:r>
              <w:rPr>
                <w:noProof/>
                <w:webHidden/>
              </w:rPr>
            </w:r>
            <w:r>
              <w:rPr>
                <w:noProof/>
                <w:webHidden/>
              </w:rPr>
              <w:fldChar w:fldCharType="separate"/>
            </w:r>
            <w:r>
              <w:rPr>
                <w:noProof/>
                <w:webHidden/>
              </w:rPr>
              <w:t>109</w:t>
            </w:r>
            <w:r>
              <w:rPr>
                <w:noProof/>
                <w:webHidden/>
              </w:rPr>
              <w:fldChar w:fldCharType="end"/>
            </w:r>
          </w:hyperlink>
        </w:p>
        <w:p w14:paraId="748EF084" w14:textId="10AE3E0C" w:rsidR="00A52D0E" w:rsidRDefault="00A52D0E">
          <w:pPr>
            <w:pStyle w:val="TOC2"/>
            <w:tabs>
              <w:tab w:val="right" w:leader="dot" w:pos="9350"/>
            </w:tabs>
            <w:rPr>
              <w:rFonts w:asciiTheme="minorHAnsi" w:eastAsiaTheme="minorEastAsia" w:hAnsiTheme="minorHAnsi"/>
              <w:noProof/>
              <w:kern w:val="2"/>
              <w:szCs w:val="24"/>
              <w:lang w:val="en-US"/>
              <w14:ligatures w14:val="standardContextual"/>
            </w:rPr>
          </w:pPr>
          <w:hyperlink w:anchor="_Toc238925794" w:history="1">
            <w:r w:rsidRPr="00CC08DB">
              <w:rPr>
                <w:rStyle w:val="Hyperlink"/>
                <w:noProof/>
              </w:rPr>
              <w:t>Mapeo del benchmark a la taxonomía</w:t>
            </w:r>
            <w:r>
              <w:rPr>
                <w:noProof/>
                <w:webHidden/>
              </w:rPr>
              <w:tab/>
            </w:r>
            <w:r>
              <w:rPr>
                <w:noProof/>
                <w:webHidden/>
              </w:rPr>
              <w:fldChar w:fldCharType="begin"/>
            </w:r>
            <w:r>
              <w:rPr>
                <w:noProof/>
                <w:webHidden/>
              </w:rPr>
              <w:instrText xml:space="preserve"> PAGEREF _Toc238925794 \h </w:instrText>
            </w:r>
            <w:r>
              <w:rPr>
                <w:noProof/>
                <w:webHidden/>
              </w:rPr>
            </w:r>
            <w:r>
              <w:rPr>
                <w:noProof/>
                <w:webHidden/>
              </w:rPr>
              <w:fldChar w:fldCharType="separate"/>
            </w:r>
            <w:r>
              <w:rPr>
                <w:noProof/>
                <w:webHidden/>
              </w:rPr>
              <w:t>111</w:t>
            </w:r>
            <w:r>
              <w:rPr>
                <w:noProof/>
                <w:webHidden/>
              </w:rPr>
              <w:fldChar w:fldCharType="end"/>
            </w:r>
          </w:hyperlink>
        </w:p>
        <w:p w14:paraId="2AADF649" w14:textId="14E57429" w:rsidR="00A52D0E" w:rsidRDefault="00A52D0E">
          <w:pPr>
            <w:pStyle w:val="TOC2"/>
            <w:tabs>
              <w:tab w:val="right" w:leader="dot" w:pos="9350"/>
            </w:tabs>
            <w:rPr>
              <w:rFonts w:asciiTheme="minorHAnsi" w:eastAsiaTheme="minorEastAsia" w:hAnsiTheme="minorHAnsi"/>
              <w:noProof/>
              <w:kern w:val="2"/>
              <w:szCs w:val="24"/>
              <w:lang w:val="en-US"/>
              <w14:ligatures w14:val="standardContextual"/>
            </w:rPr>
          </w:pPr>
          <w:hyperlink w:anchor="_Toc238925795" w:history="1">
            <w:r w:rsidRPr="00CC08DB">
              <w:rPr>
                <w:rStyle w:val="Hyperlink"/>
                <w:noProof/>
              </w:rPr>
              <w:t>Brechas de constructo que la taxonomía hace explícitas</w:t>
            </w:r>
            <w:r>
              <w:rPr>
                <w:noProof/>
                <w:webHidden/>
              </w:rPr>
              <w:tab/>
            </w:r>
            <w:r>
              <w:rPr>
                <w:noProof/>
                <w:webHidden/>
              </w:rPr>
              <w:fldChar w:fldCharType="begin"/>
            </w:r>
            <w:r>
              <w:rPr>
                <w:noProof/>
                <w:webHidden/>
              </w:rPr>
              <w:instrText xml:space="preserve"> PAGEREF _Toc238925795 \h </w:instrText>
            </w:r>
            <w:r>
              <w:rPr>
                <w:noProof/>
                <w:webHidden/>
              </w:rPr>
            </w:r>
            <w:r>
              <w:rPr>
                <w:noProof/>
                <w:webHidden/>
              </w:rPr>
              <w:fldChar w:fldCharType="separate"/>
            </w:r>
            <w:r>
              <w:rPr>
                <w:noProof/>
                <w:webHidden/>
              </w:rPr>
              <w:t>112</w:t>
            </w:r>
            <w:r>
              <w:rPr>
                <w:noProof/>
                <w:webHidden/>
              </w:rPr>
              <w:fldChar w:fldCharType="end"/>
            </w:r>
          </w:hyperlink>
        </w:p>
        <w:p w14:paraId="6ECE0B95" w14:textId="16822930" w:rsidR="00A52D0E" w:rsidRDefault="00A52D0E">
          <w:pPr>
            <w:pStyle w:val="TOC2"/>
            <w:tabs>
              <w:tab w:val="right" w:leader="dot" w:pos="9350"/>
            </w:tabs>
            <w:rPr>
              <w:rFonts w:asciiTheme="minorHAnsi" w:eastAsiaTheme="minorEastAsia" w:hAnsiTheme="minorHAnsi"/>
              <w:noProof/>
              <w:kern w:val="2"/>
              <w:szCs w:val="24"/>
              <w:lang w:val="en-US"/>
              <w14:ligatures w14:val="standardContextual"/>
            </w:rPr>
          </w:pPr>
          <w:hyperlink w:anchor="_Toc238925796" w:history="1">
            <w:r w:rsidRPr="00CC08DB">
              <w:rPr>
                <w:rStyle w:val="Hyperlink"/>
                <w:noProof/>
              </w:rPr>
              <w:t>Contribución teórica de la taxonomía</w:t>
            </w:r>
            <w:r>
              <w:rPr>
                <w:noProof/>
                <w:webHidden/>
              </w:rPr>
              <w:tab/>
            </w:r>
            <w:r>
              <w:rPr>
                <w:noProof/>
                <w:webHidden/>
              </w:rPr>
              <w:fldChar w:fldCharType="begin"/>
            </w:r>
            <w:r>
              <w:rPr>
                <w:noProof/>
                <w:webHidden/>
              </w:rPr>
              <w:instrText xml:space="preserve"> PAGEREF _Toc238925796 \h </w:instrText>
            </w:r>
            <w:r>
              <w:rPr>
                <w:noProof/>
                <w:webHidden/>
              </w:rPr>
            </w:r>
            <w:r>
              <w:rPr>
                <w:noProof/>
                <w:webHidden/>
              </w:rPr>
              <w:fldChar w:fldCharType="separate"/>
            </w:r>
            <w:r>
              <w:rPr>
                <w:noProof/>
                <w:webHidden/>
              </w:rPr>
              <w:t>113</w:t>
            </w:r>
            <w:r>
              <w:rPr>
                <w:noProof/>
                <w:webHidden/>
              </w:rPr>
              <w:fldChar w:fldCharType="end"/>
            </w:r>
          </w:hyperlink>
        </w:p>
        <w:p w14:paraId="719F54C1" w14:textId="434E09EF" w:rsidR="00A52D0E" w:rsidRDefault="00A52D0E">
          <w:pPr>
            <w:pStyle w:val="TOC2"/>
            <w:tabs>
              <w:tab w:val="right" w:leader="dot" w:pos="9350"/>
            </w:tabs>
            <w:rPr>
              <w:rFonts w:asciiTheme="minorHAnsi" w:eastAsiaTheme="minorEastAsia" w:hAnsiTheme="minorHAnsi"/>
              <w:noProof/>
              <w:kern w:val="2"/>
              <w:szCs w:val="24"/>
              <w:lang w:val="en-US"/>
              <w14:ligatures w14:val="standardContextual"/>
            </w:rPr>
          </w:pPr>
          <w:hyperlink w:anchor="_Toc238925797" w:history="1">
            <w:r w:rsidRPr="00CC08DB">
              <w:rPr>
                <w:rStyle w:val="Hyperlink"/>
                <w:noProof/>
              </w:rPr>
              <w:t>Estudio de Fiabilidad Inter-juez (EXP4)</w:t>
            </w:r>
            <w:r>
              <w:rPr>
                <w:noProof/>
                <w:webHidden/>
              </w:rPr>
              <w:tab/>
            </w:r>
            <w:r>
              <w:rPr>
                <w:noProof/>
                <w:webHidden/>
              </w:rPr>
              <w:fldChar w:fldCharType="begin"/>
            </w:r>
            <w:r>
              <w:rPr>
                <w:noProof/>
                <w:webHidden/>
              </w:rPr>
              <w:instrText xml:space="preserve"> PAGEREF _Toc238925797 \h </w:instrText>
            </w:r>
            <w:r>
              <w:rPr>
                <w:noProof/>
                <w:webHidden/>
              </w:rPr>
            </w:r>
            <w:r>
              <w:rPr>
                <w:noProof/>
                <w:webHidden/>
              </w:rPr>
              <w:fldChar w:fldCharType="separate"/>
            </w:r>
            <w:r>
              <w:rPr>
                <w:noProof/>
                <w:webHidden/>
              </w:rPr>
              <w:t>114</w:t>
            </w:r>
            <w:r>
              <w:rPr>
                <w:noProof/>
                <w:webHidden/>
              </w:rPr>
              <w:fldChar w:fldCharType="end"/>
            </w:r>
          </w:hyperlink>
        </w:p>
        <w:p w14:paraId="0883533F" w14:textId="62980BCE" w:rsidR="00A52D0E" w:rsidRDefault="00A52D0E">
          <w:pPr>
            <w:pStyle w:val="TOC1"/>
            <w:tabs>
              <w:tab w:val="right" w:leader="dot" w:pos="9350"/>
            </w:tabs>
            <w:rPr>
              <w:rFonts w:asciiTheme="minorHAnsi" w:eastAsiaTheme="minorEastAsia" w:hAnsiTheme="minorHAnsi"/>
              <w:noProof/>
              <w:kern w:val="2"/>
              <w:szCs w:val="24"/>
              <w:lang w:val="en-US"/>
              <w14:ligatures w14:val="standardContextual"/>
            </w:rPr>
          </w:pPr>
          <w:hyperlink w:anchor="_Toc238925798" w:history="1">
            <w:r w:rsidRPr="00CC08DB">
              <w:rPr>
                <w:rStyle w:val="Hyperlink"/>
                <w:noProof/>
              </w:rPr>
              <w:t>Conclusiones</w:t>
            </w:r>
            <w:r>
              <w:rPr>
                <w:noProof/>
                <w:webHidden/>
              </w:rPr>
              <w:tab/>
            </w:r>
            <w:r>
              <w:rPr>
                <w:noProof/>
                <w:webHidden/>
              </w:rPr>
              <w:fldChar w:fldCharType="begin"/>
            </w:r>
            <w:r>
              <w:rPr>
                <w:noProof/>
                <w:webHidden/>
              </w:rPr>
              <w:instrText xml:space="preserve"> PAGEREF _Toc238925798 \h </w:instrText>
            </w:r>
            <w:r>
              <w:rPr>
                <w:noProof/>
                <w:webHidden/>
              </w:rPr>
            </w:r>
            <w:r>
              <w:rPr>
                <w:noProof/>
                <w:webHidden/>
              </w:rPr>
              <w:fldChar w:fldCharType="separate"/>
            </w:r>
            <w:r>
              <w:rPr>
                <w:noProof/>
                <w:webHidden/>
              </w:rPr>
              <w:t>116</w:t>
            </w:r>
            <w:r>
              <w:rPr>
                <w:noProof/>
                <w:webHidden/>
              </w:rPr>
              <w:fldChar w:fldCharType="end"/>
            </w:r>
          </w:hyperlink>
        </w:p>
        <w:p w14:paraId="311D575A" w14:textId="58D4D71E" w:rsidR="00A52D0E" w:rsidRDefault="00A52D0E">
          <w:pPr>
            <w:pStyle w:val="TOC2"/>
            <w:tabs>
              <w:tab w:val="right" w:leader="dot" w:pos="9350"/>
            </w:tabs>
            <w:rPr>
              <w:rFonts w:asciiTheme="minorHAnsi" w:eastAsiaTheme="minorEastAsia" w:hAnsiTheme="minorHAnsi"/>
              <w:noProof/>
              <w:kern w:val="2"/>
              <w:szCs w:val="24"/>
              <w:lang w:val="en-US"/>
              <w14:ligatures w14:val="standardContextual"/>
            </w:rPr>
          </w:pPr>
          <w:hyperlink w:anchor="_Toc238925799" w:history="1">
            <w:r w:rsidRPr="00CC08DB">
              <w:rPr>
                <w:rStyle w:val="Hyperlink"/>
                <w:noProof/>
              </w:rPr>
              <w:t>Respuesta al problema de investigación e hipótesis</w:t>
            </w:r>
            <w:r>
              <w:rPr>
                <w:noProof/>
                <w:webHidden/>
              </w:rPr>
              <w:tab/>
            </w:r>
            <w:r>
              <w:rPr>
                <w:noProof/>
                <w:webHidden/>
              </w:rPr>
              <w:fldChar w:fldCharType="begin"/>
            </w:r>
            <w:r>
              <w:rPr>
                <w:noProof/>
                <w:webHidden/>
              </w:rPr>
              <w:instrText xml:space="preserve"> PAGEREF _Toc238925799 \h </w:instrText>
            </w:r>
            <w:r>
              <w:rPr>
                <w:noProof/>
                <w:webHidden/>
              </w:rPr>
            </w:r>
            <w:r>
              <w:rPr>
                <w:noProof/>
                <w:webHidden/>
              </w:rPr>
              <w:fldChar w:fldCharType="separate"/>
            </w:r>
            <w:r>
              <w:rPr>
                <w:noProof/>
                <w:webHidden/>
              </w:rPr>
              <w:t>116</w:t>
            </w:r>
            <w:r>
              <w:rPr>
                <w:noProof/>
                <w:webHidden/>
              </w:rPr>
              <w:fldChar w:fldCharType="end"/>
            </w:r>
          </w:hyperlink>
        </w:p>
        <w:p w14:paraId="4DACEBC4" w14:textId="50BF4FEA" w:rsidR="00A52D0E" w:rsidRDefault="00A52D0E">
          <w:pPr>
            <w:pStyle w:val="TOC2"/>
            <w:tabs>
              <w:tab w:val="right" w:leader="dot" w:pos="9350"/>
            </w:tabs>
            <w:rPr>
              <w:rFonts w:asciiTheme="minorHAnsi" w:eastAsiaTheme="minorEastAsia" w:hAnsiTheme="minorHAnsi"/>
              <w:noProof/>
              <w:kern w:val="2"/>
              <w:szCs w:val="24"/>
              <w:lang w:val="en-US"/>
              <w14:ligatures w14:val="standardContextual"/>
            </w:rPr>
          </w:pPr>
          <w:hyperlink w:anchor="_Toc238925800" w:history="1">
            <w:r w:rsidRPr="00CC08DB">
              <w:rPr>
                <w:rStyle w:val="Hyperlink"/>
                <w:noProof/>
              </w:rPr>
              <w:t>Contribuciones científicas</w:t>
            </w:r>
            <w:r>
              <w:rPr>
                <w:noProof/>
                <w:webHidden/>
              </w:rPr>
              <w:tab/>
            </w:r>
            <w:r>
              <w:rPr>
                <w:noProof/>
                <w:webHidden/>
              </w:rPr>
              <w:fldChar w:fldCharType="begin"/>
            </w:r>
            <w:r>
              <w:rPr>
                <w:noProof/>
                <w:webHidden/>
              </w:rPr>
              <w:instrText xml:space="preserve"> PAGEREF _Toc238925800 \h </w:instrText>
            </w:r>
            <w:r>
              <w:rPr>
                <w:noProof/>
                <w:webHidden/>
              </w:rPr>
            </w:r>
            <w:r>
              <w:rPr>
                <w:noProof/>
                <w:webHidden/>
              </w:rPr>
              <w:fldChar w:fldCharType="separate"/>
            </w:r>
            <w:r>
              <w:rPr>
                <w:noProof/>
                <w:webHidden/>
              </w:rPr>
              <w:t>119</w:t>
            </w:r>
            <w:r>
              <w:rPr>
                <w:noProof/>
                <w:webHidden/>
              </w:rPr>
              <w:fldChar w:fldCharType="end"/>
            </w:r>
          </w:hyperlink>
        </w:p>
        <w:p w14:paraId="7DDD9065" w14:textId="2E1B5105" w:rsidR="00A52D0E" w:rsidRDefault="00A52D0E">
          <w:pPr>
            <w:pStyle w:val="TOC3"/>
            <w:tabs>
              <w:tab w:val="right" w:leader="dot" w:pos="9350"/>
            </w:tabs>
            <w:rPr>
              <w:rFonts w:asciiTheme="minorHAnsi" w:eastAsiaTheme="minorEastAsia" w:hAnsiTheme="minorHAnsi"/>
              <w:noProof/>
              <w:kern w:val="2"/>
              <w:szCs w:val="24"/>
              <w:lang w:val="en-US"/>
              <w14:ligatures w14:val="standardContextual"/>
            </w:rPr>
          </w:pPr>
          <w:hyperlink w:anchor="_Toc238925801" w:history="1">
            <w:r w:rsidRPr="00CC08DB">
              <w:rPr>
                <w:rStyle w:val="Hyperlink"/>
                <w:noProof/>
              </w:rPr>
              <w:t>Contribución metodológica: protocolo FOM-7</w:t>
            </w:r>
            <w:r>
              <w:rPr>
                <w:noProof/>
                <w:webHidden/>
              </w:rPr>
              <w:tab/>
            </w:r>
            <w:r>
              <w:rPr>
                <w:noProof/>
                <w:webHidden/>
              </w:rPr>
              <w:fldChar w:fldCharType="begin"/>
            </w:r>
            <w:r>
              <w:rPr>
                <w:noProof/>
                <w:webHidden/>
              </w:rPr>
              <w:instrText xml:space="preserve"> PAGEREF _Toc238925801 \h </w:instrText>
            </w:r>
            <w:r>
              <w:rPr>
                <w:noProof/>
                <w:webHidden/>
              </w:rPr>
            </w:r>
            <w:r>
              <w:rPr>
                <w:noProof/>
                <w:webHidden/>
              </w:rPr>
              <w:fldChar w:fldCharType="separate"/>
            </w:r>
            <w:r>
              <w:rPr>
                <w:noProof/>
                <w:webHidden/>
              </w:rPr>
              <w:t>119</w:t>
            </w:r>
            <w:r>
              <w:rPr>
                <w:noProof/>
                <w:webHidden/>
              </w:rPr>
              <w:fldChar w:fldCharType="end"/>
            </w:r>
          </w:hyperlink>
        </w:p>
        <w:p w14:paraId="37F97CDC" w14:textId="40CCEF8C" w:rsidR="00A52D0E" w:rsidRDefault="00A52D0E">
          <w:pPr>
            <w:pStyle w:val="TOC3"/>
            <w:tabs>
              <w:tab w:val="right" w:leader="dot" w:pos="9350"/>
            </w:tabs>
            <w:rPr>
              <w:rFonts w:asciiTheme="minorHAnsi" w:eastAsiaTheme="minorEastAsia" w:hAnsiTheme="minorHAnsi"/>
              <w:noProof/>
              <w:kern w:val="2"/>
              <w:szCs w:val="24"/>
              <w:lang w:val="en-US"/>
              <w14:ligatures w14:val="standardContextual"/>
            </w:rPr>
          </w:pPr>
          <w:hyperlink w:anchor="_Toc238925802" w:history="1">
            <w:r w:rsidRPr="00CC08DB">
              <w:rPr>
                <w:rStyle w:val="Hyperlink"/>
                <w:noProof/>
              </w:rPr>
              <w:t>Contribución teórica: disociación fidelidad-estabilidad y taxonomía de métricas</w:t>
            </w:r>
            <w:r>
              <w:rPr>
                <w:noProof/>
                <w:webHidden/>
              </w:rPr>
              <w:tab/>
            </w:r>
            <w:r>
              <w:rPr>
                <w:noProof/>
                <w:webHidden/>
              </w:rPr>
              <w:fldChar w:fldCharType="begin"/>
            </w:r>
            <w:r>
              <w:rPr>
                <w:noProof/>
                <w:webHidden/>
              </w:rPr>
              <w:instrText xml:space="preserve"> PAGEREF _Toc238925802 \h </w:instrText>
            </w:r>
            <w:r>
              <w:rPr>
                <w:noProof/>
                <w:webHidden/>
              </w:rPr>
            </w:r>
            <w:r>
              <w:rPr>
                <w:noProof/>
                <w:webHidden/>
              </w:rPr>
              <w:fldChar w:fldCharType="separate"/>
            </w:r>
            <w:r>
              <w:rPr>
                <w:noProof/>
                <w:webHidden/>
              </w:rPr>
              <w:t>120</w:t>
            </w:r>
            <w:r>
              <w:rPr>
                <w:noProof/>
                <w:webHidden/>
              </w:rPr>
              <w:fldChar w:fldCharType="end"/>
            </w:r>
          </w:hyperlink>
        </w:p>
        <w:p w14:paraId="7937DBA9" w14:textId="7C49B86B" w:rsidR="00A52D0E" w:rsidRDefault="00A52D0E">
          <w:pPr>
            <w:pStyle w:val="TOC3"/>
            <w:tabs>
              <w:tab w:val="right" w:leader="dot" w:pos="9350"/>
            </w:tabs>
            <w:rPr>
              <w:rFonts w:asciiTheme="minorHAnsi" w:eastAsiaTheme="minorEastAsia" w:hAnsiTheme="minorHAnsi"/>
              <w:noProof/>
              <w:kern w:val="2"/>
              <w:szCs w:val="24"/>
              <w:lang w:val="en-US"/>
              <w14:ligatures w14:val="standardContextual"/>
            </w:rPr>
          </w:pPr>
          <w:hyperlink w:anchor="_Toc238925803" w:history="1">
            <w:r w:rsidRPr="00CC08DB">
              <w:rPr>
                <w:rStyle w:val="Hyperlink"/>
                <w:noProof/>
              </w:rPr>
              <w:t>Contribución aplicada: criterios prescriptivos de selección de métodos XAI</w:t>
            </w:r>
            <w:r>
              <w:rPr>
                <w:noProof/>
                <w:webHidden/>
              </w:rPr>
              <w:tab/>
            </w:r>
            <w:r>
              <w:rPr>
                <w:noProof/>
                <w:webHidden/>
              </w:rPr>
              <w:fldChar w:fldCharType="begin"/>
            </w:r>
            <w:r>
              <w:rPr>
                <w:noProof/>
                <w:webHidden/>
              </w:rPr>
              <w:instrText xml:space="preserve"> PAGEREF _Toc238925803 \h </w:instrText>
            </w:r>
            <w:r>
              <w:rPr>
                <w:noProof/>
                <w:webHidden/>
              </w:rPr>
            </w:r>
            <w:r>
              <w:rPr>
                <w:noProof/>
                <w:webHidden/>
              </w:rPr>
              <w:fldChar w:fldCharType="separate"/>
            </w:r>
            <w:r>
              <w:rPr>
                <w:noProof/>
                <w:webHidden/>
              </w:rPr>
              <w:t>121</w:t>
            </w:r>
            <w:r>
              <w:rPr>
                <w:noProof/>
                <w:webHidden/>
              </w:rPr>
              <w:fldChar w:fldCharType="end"/>
            </w:r>
          </w:hyperlink>
        </w:p>
        <w:p w14:paraId="6EF2D721" w14:textId="0CABBEAC" w:rsidR="00A52D0E" w:rsidRDefault="00A52D0E">
          <w:pPr>
            <w:pStyle w:val="TOC2"/>
            <w:tabs>
              <w:tab w:val="right" w:leader="dot" w:pos="9350"/>
            </w:tabs>
            <w:rPr>
              <w:rFonts w:asciiTheme="minorHAnsi" w:eastAsiaTheme="minorEastAsia" w:hAnsiTheme="minorHAnsi"/>
              <w:noProof/>
              <w:kern w:val="2"/>
              <w:szCs w:val="24"/>
              <w:lang w:val="en-US"/>
              <w14:ligatures w14:val="standardContextual"/>
            </w:rPr>
          </w:pPr>
          <w:hyperlink w:anchor="_Toc238925804" w:history="1">
            <w:r w:rsidRPr="00CC08DB">
              <w:rPr>
                <w:rStyle w:val="Hyperlink"/>
                <w:noProof/>
              </w:rPr>
              <w:t>Posicionamiento respecto a la literatura y separación de contribuciones</w:t>
            </w:r>
            <w:r>
              <w:rPr>
                <w:noProof/>
                <w:webHidden/>
              </w:rPr>
              <w:tab/>
            </w:r>
            <w:r>
              <w:rPr>
                <w:noProof/>
                <w:webHidden/>
              </w:rPr>
              <w:fldChar w:fldCharType="begin"/>
            </w:r>
            <w:r>
              <w:rPr>
                <w:noProof/>
                <w:webHidden/>
              </w:rPr>
              <w:instrText xml:space="preserve"> PAGEREF _Toc238925804 \h </w:instrText>
            </w:r>
            <w:r>
              <w:rPr>
                <w:noProof/>
                <w:webHidden/>
              </w:rPr>
            </w:r>
            <w:r>
              <w:rPr>
                <w:noProof/>
                <w:webHidden/>
              </w:rPr>
              <w:fldChar w:fldCharType="separate"/>
            </w:r>
            <w:r>
              <w:rPr>
                <w:noProof/>
                <w:webHidden/>
              </w:rPr>
              <w:t>122</w:t>
            </w:r>
            <w:r>
              <w:rPr>
                <w:noProof/>
                <w:webHidden/>
              </w:rPr>
              <w:fldChar w:fldCharType="end"/>
            </w:r>
          </w:hyperlink>
        </w:p>
        <w:p w14:paraId="75340D30" w14:textId="2FEC1EC5" w:rsidR="00A52D0E" w:rsidRDefault="00A52D0E">
          <w:pPr>
            <w:pStyle w:val="TOC2"/>
            <w:tabs>
              <w:tab w:val="right" w:leader="dot" w:pos="9350"/>
            </w:tabs>
            <w:rPr>
              <w:rFonts w:asciiTheme="minorHAnsi" w:eastAsiaTheme="minorEastAsia" w:hAnsiTheme="minorHAnsi"/>
              <w:noProof/>
              <w:kern w:val="2"/>
              <w:szCs w:val="24"/>
              <w:lang w:val="en-US"/>
              <w14:ligatures w14:val="standardContextual"/>
            </w:rPr>
          </w:pPr>
          <w:hyperlink w:anchor="_Toc238925805" w:history="1">
            <w:r w:rsidRPr="00CC08DB">
              <w:rPr>
                <w:rStyle w:val="Hyperlink"/>
                <w:noProof/>
              </w:rPr>
              <w:t>Limitaciones del estudio</w:t>
            </w:r>
            <w:r>
              <w:rPr>
                <w:noProof/>
                <w:webHidden/>
              </w:rPr>
              <w:tab/>
            </w:r>
            <w:r>
              <w:rPr>
                <w:noProof/>
                <w:webHidden/>
              </w:rPr>
              <w:fldChar w:fldCharType="begin"/>
            </w:r>
            <w:r>
              <w:rPr>
                <w:noProof/>
                <w:webHidden/>
              </w:rPr>
              <w:instrText xml:space="preserve"> PAGEREF _Toc238925805 \h </w:instrText>
            </w:r>
            <w:r>
              <w:rPr>
                <w:noProof/>
                <w:webHidden/>
              </w:rPr>
            </w:r>
            <w:r>
              <w:rPr>
                <w:noProof/>
                <w:webHidden/>
              </w:rPr>
              <w:fldChar w:fldCharType="separate"/>
            </w:r>
            <w:r>
              <w:rPr>
                <w:noProof/>
                <w:webHidden/>
              </w:rPr>
              <w:t>125</w:t>
            </w:r>
            <w:r>
              <w:rPr>
                <w:noProof/>
                <w:webHidden/>
              </w:rPr>
              <w:fldChar w:fldCharType="end"/>
            </w:r>
          </w:hyperlink>
        </w:p>
        <w:p w14:paraId="68EAE28C" w14:textId="180A999F" w:rsidR="00A52D0E" w:rsidRDefault="00A52D0E">
          <w:pPr>
            <w:pStyle w:val="TOC2"/>
            <w:tabs>
              <w:tab w:val="right" w:leader="dot" w:pos="9350"/>
            </w:tabs>
            <w:rPr>
              <w:rFonts w:asciiTheme="minorHAnsi" w:eastAsiaTheme="minorEastAsia" w:hAnsiTheme="minorHAnsi"/>
              <w:noProof/>
              <w:kern w:val="2"/>
              <w:szCs w:val="24"/>
              <w:lang w:val="en-US"/>
              <w14:ligatures w14:val="standardContextual"/>
            </w:rPr>
          </w:pPr>
          <w:hyperlink w:anchor="_Toc238925806" w:history="1">
            <w:r w:rsidRPr="00CC08DB">
              <w:rPr>
                <w:rStyle w:val="Hyperlink"/>
                <w:noProof/>
              </w:rPr>
              <w:t>Fronteras de generalización</w:t>
            </w:r>
            <w:r>
              <w:rPr>
                <w:noProof/>
                <w:webHidden/>
              </w:rPr>
              <w:tab/>
            </w:r>
            <w:r>
              <w:rPr>
                <w:noProof/>
                <w:webHidden/>
              </w:rPr>
              <w:fldChar w:fldCharType="begin"/>
            </w:r>
            <w:r>
              <w:rPr>
                <w:noProof/>
                <w:webHidden/>
              </w:rPr>
              <w:instrText xml:space="preserve"> PAGEREF _Toc238925806 \h </w:instrText>
            </w:r>
            <w:r>
              <w:rPr>
                <w:noProof/>
                <w:webHidden/>
              </w:rPr>
            </w:r>
            <w:r>
              <w:rPr>
                <w:noProof/>
                <w:webHidden/>
              </w:rPr>
              <w:fldChar w:fldCharType="separate"/>
            </w:r>
            <w:r>
              <w:rPr>
                <w:noProof/>
                <w:webHidden/>
              </w:rPr>
              <w:t>127</w:t>
            </w:r>
            <w:r>
              <w:rPr>
                <w:noProof/>
                <w:webHidden/>
              </w:rPr>
              <w:fldChar w:fldCharType="end"/>
            </w:r>
          </w:hyperlink>
        </w:p>
        <w:p w14:paraId="1601F54C" w14:textId="3D6A04CF" w:rsidR="00A52D0E" w:rsidRDefault="00A52D0E">
          <w:pPr>
            <w:pStyle w:val="TOC3"/>
            <w:tabs>
              <w:tab w:val="right" w:leader="dot" w:pos="9350"/>
            </w:tabs>
            <w:rPr>
              <w:rFonts w:asciiTheme="minorHAnsi" w:eastAsiaTheme="minorEastAsia" w:hAnsiTheme="minorHAnsi"/>
              <w:noProof/>
              <w:kern w:val="2"/>
              <w:szCs w:val="24"/>
              <w:lang w:val="en-US"/>
              <w14:ligatures w14:val="standardContextual"/>
            </w:rPr>
          </w:pPr>
          <w:hyperlink w:anchor="_Toc238925807" w:history="1">
            <w:r w:rsidRPr="00CC08DB">
              <w:rPr>
                <w:rStyle w:val="Hyperlink"/>
                <w:noProof/>
              </w:rPr>
              <w:t>Nota sobre la validación externa parcial: EXP3</w:t>
            </w:r>
            <w:r>
              <w:rPr>
                <w:noProof/>
                <w:webHidden/>
              </w:rPr>
              <w:tab/>
            </w:r>
            <w:r>
              <w:rPr>
                <w:noProof/>
                <w:webHidden/>
              </w:rPr>
              <w:fldChar w:fldCharType="begin"/>
            </w:r>
            <w:r>
              <w:rPr>
                <w:noProof/>
                <w:webHidden/>
              </w:rPr>
              <w:instrText xml:space="preserve"> PAGEREF _Toc238925807 \h </w:instrText>
            </w:r>
            <w:r>
              <w:rPr>
                <w:noProof/>
                <w:webHidden/>
              </w:rPr>
            </w:r>
            <w:r>
              <w:rPr>
                <w:noProof/>
                <w:webHidden/>
              </w:rPr>
              <w:fldChar w:fldCharType="separate"/>
            </w:r>
            <w:r>
              <w:rPr>
                <w:noProof/>
                <w:webHidden/>
              </w:rPr>
              <w:t>130</w:t>
            </w:r>
            <w:r>
              <w:rPr>
                <w:noProof/>
                <w:webHidden/>
              </w:rPr>
              <w:fldChar w:fldCharType="end"/>
            </w:r>
          </w:hyperlink>
        </w:p>
        <w:p w14:paraId="642C0F51" w14:textId="732D3C20" w:rsidR="00A52D0E" w:rsidRDefault="00A52D0E">
          <w:pPr>
            <w:pStyle w:val="TOC2"/>
            <w:tabs>
              <w:tab w:val="right" w:leader="dot" w:pos="9350"/>
            </w:tabs>
            <w:rPr>
              <w:rFonts w:asciiTheme="minorHAnsi" w:eastAsiaTheme="minorEastAsia" w:hAnsiTheme="minorHAnsi"/>
              <w:noProof/>
              <w:kern w:val="2"/>
              <w:szCs w:val="24"/>
              <w:lang w:val="en-US"/>
              <w14:ligatures w14:val="standardContextual"/>
            </w:rPr>
          </w:pPr>
          <w:hyperlink w:anchor="_Toc238925808" w:history="1">
            <w:r w:rsidRPr="00CC08DB">
              <w:rPr>
                <w:rStyle w:val="Hyperlink"/>
                <w:noProof/>
              </w:rPr>
              <w:t>Líneas de investigación futura</w:t>
            </w:r>
            <w:r>
              <w:rPr>
                <w:noProof/>
                <w:webHidden/>
              </w:rPr>
              <w:tab/>
            </w:r>
            <w:r>
              <w:rPr>
                <w:noProof/>
                <w:webHidden/>
              </w:rPr>
              <w:fldChar w:fldCharType="begin"/>
            </w:r>
            <w:r>
              <w:rPr>
                <w:noProof/>
                <w:webHidden/>
              </w:rPr>
              <w:instrText xml:space="preserve"> PAGEREF _Toc238925808 \h </w:instrText>
            </w:r>
            <w:r>
              <w:rPr>
                <w:noProof/>
                <w:webHidden/>
              </w:rPr>
            </w:r>
            <w:r>
              <w:rPr>
                <w:noProof/>
                <w:webHidden/>
              </w:rPr>
              <w:fldChar w:fldCharType="separate"/>
            </w:r>
            <w:r>
              <w:rPr>
                <w:noProof/>
                <w:webHidden/>
              </w:rPr>
              <w:t>131</w:t>
            </w:r>
            <w:r>
              <w:rPr>
                <w:noProof/>
                <w:webHidden/>
              </w:rPr>
              <w:fldChar w:fldCharType="end"/>
            </w:r>
          </w:hyperlink>
        </w:p>
        <w:p w14:paraId="095484CC" w14:textId="2B1CE2A1" w:rsidR="00A52D0E" w:rsidRDefault="00A52D0E">
          <w:pPr>
            <w:pStyle w:val="TOC2"/>
            <w:tabs>
              <w:tab w:val="right" w:leader="dot" w:pos="9350"/>
            </w:tabs>
            <w:rPr>
              <w:rFonts w:asciiTheme="minorHAnsi" w:eastAsiaTheme="minorEastAsia" w:hAnsiTheme="minorHAnsi"/>
              <w:noProof/>
              <w:kern w:val="2"/>
              <w:szCs w:val="24"/>
              <w:lang w:val="en-US"/>
              <w14:ligatures w14:val="standardContextual"/>
            </w:rPr>
          </w:pPr>
          <w:hyperlink w:anchor="_Toc238925809" w:history="1">
            <w:r w:rsidRPr="00CC08DB">
              <w:rPr>
                <w:rStyle w:val="Hyperlink"/>
                <w:noProof/>
              </w:rPr>
              <w:t>Síntesis final</w:t>
            </w:r>
            <w:r>
              <w:rPr>
                <w:noProof/>
                <w:webHidden/>
              </w:rPr>
              <w:tab/>
            </w:r>
            <w:r>
              <w:rPr>
                <w:noProof/>
                <w:webHidden/>
              </w:rPr>
              <w:fldChar w:fldCharType="begin"/>
            </w:r>
            <w:r>
              <w:rPr>
                <w:noProof/>
                <w:webHidden/>
              </w:rPr>
              <w:instrText xml:space="preserve"> PAGEREF _Toc238925809 \h </w:instrText>
            </w:r>
            <w:r>
              <w:rPr>
                <w:noProof/>
                <w:webHidden/>
              </w:rPr>
            </w:r>
            <w:r>
              <w:rPr>
                <w:noProof/>
                <w:webHidden/>
              </w:rPr>
              <w:fldChar w:fldCharType="separate"/>
            </w:r>
            <w:r>
              <w:rPr>
                <w:noProof/>
                <w:webHidden/>
              </w:rPr>
              <w:t>133</w:t>
            </w:r>
            <w:r>
              <w:rPr>
                <w:noProof/>
                <w:webHidden/>
              </w:rPr>
              <w:fldChar w:fldCharType="end"/>
            </w:r>
          </w:hyperlink>
        </w:p>
        <w:p w14:paraId="0A774EF1" w14:textId="3F84C82E" w:rsidR="00A52D0E" w:rsidRDefault="00A52D0E">
          <w:pPr>
            <w:pStyle w:val="TOC1"/>
            <w:tabs>
              <w:tab w:val="right" w:leader="dot" w:pos="9350"/>
            </w:tabs>
            <w:rPr>
              <w:rFonts w:asciiTheme="minorHAnsi" w:eastAsiaTheme="minorEastAsia" w:hAnsiTheme="minorHAnsi"/>
              <w:noProof/>
              <w:kern w:val="2"/>
              <w:szCs w:val="24"/>
              <w:lang w:val="en-US"/>
              <w14:ligatures w14:val="standardContextual"/>
            </w:rPr>
          </w:pPr>
          <w:hyperlink w:anchor="_Toc238925810" w:history="1">
            <w:r w:rsidRPr="00CC08DB">
              <w:rPr>
                <w:rStyle w:val="Hyperlink"/>
                <w:noProof/>
              </w:rPr>
              <w:t>Referencias</w:t>
            </w:r>
            <w:r>
              <w:rPr>
                <w:noProof/>
                <w:webHidden/>
              </w:rPr>
              <w:tab/>
            </w:r>
            <w:r>
              <w:rPr>
                <w:noProof/>
                <w:webHidden/>
              </w:rPr>
              <w:fldChar w:fldCharType="begin"/>
            </w:r>
            <w:r>
              <w:rPr>
                <w:noProof/>
                <w:webHidden/>
              </w:rPr>
              <w:instrText xml:space="preserve"> PAGEREF _Toc238925810 \h </w:instrText>
            </w:r>
            <w:r>
              <w:rPr>
                <w:noProof/>
                <w:webHidden/>
              </w:rPr>
            </w:r>
            <w:r>
              <w:rPr>
                <w:noProof/>
                <w:webHidden/>
              </w:rPr>
              <w:fldChar w:fldCharType="separate"/>
            </w:r>
            <w:r>
              <w:rPr>
                <w:noProof/>
                <w:webHidden/>
              </w:rPr>
              <w:t>134</w:t>
            </w:r>
            <w:r>
              <w:rPr>
                <w:noProof/>
                <w:webHidden/>
              </w:rPr>
              <w:fldChar w:fldCharType="end"/>
            </w:r>
          </w:hyperlink>
        </w:p>
        <w:p w14:paraId="1E1C3C4F" w14:textId="7C73F786" w:rsidR="00A52D0E" w:rsidRDefault="00A52D0E">
          <w:pPr>
            <w:pStyle w:val="TOC1"/>
            <w:tabs>
              <w:tab w:val="right" w:leader="dot" w:pos="9350"/>
            </w:tabs>
            <w:rPr>
              <w:rFonts w:asciiTheme="minorHAnsi" w:eastAsiaTheme="minorEastAsia" w:hAnsiTheme="minorHAnsi"/>
              <w:noProof/>
              <w:kern w:val="2"/>
              <w:szCs w:val="24"/>
              <w:lang w:val="en-US"/>
              <w14:ligatures w14:val="standardContextual"/>
            </w:rPr>
          </w:pPr>
          <w:hyperlink w:anchor="_Toc238925811" w:history="1">
            <w:r w:rsidRPr="00CC08DB">
              <w:rPr>
                <w:rStyle w:val="Hyperlink"/>
                <w:noProof/>
              </w:rPr>
              <w:t>Apéndices</w:t>
            </w:r>
            <w:r>
              <w:rPr>
                <w:noProof/>
                <w:webHidden/>
              </w:rPr>
              <w:tab/>
            </w:r>
            <w:r>
              <w:rPr>
                <w:noProof/>
                <w:webHidden/>
              </w:rPr>
              <w:fldChar w:fldCharType="begin"/>
            </w:r>
            <w:r>
              <w:rPr>
                <w:noProof/>
                <w:webHidden/>
              </w:rPr>
              <w:instrText xml:space="preserve"> PAGEREF _Toc238925811 \h </w:instrText>
            </w:r>
            <w:r>
              <w:rPr>
                <w:noProof/>
                <w:webHidden/>
              </w:rPr>
            </w:r>
            <w:r>
              <w:rPr>
                <w:noProof/>
                <w:webHidden/>
              </w:rPr>
              <w:fldChar w:fldCharType="separate"/>
            </w:r>
            <w:r>
              <w:rPr>
                <w:noProof/>
                <w:webHidden/>
              </w:rPr>
              <w:t>150</w:t>
            </w:r>
            <w:r>
              <w:rPr>
                <w:noProof/>
                <w:webHidden/>
              </w:rPr>
              <w:fldChar w:fldCharType="end"/>
            </w:r>
          </w:hyperlink>
        </w:p>
        <w:p w14:paraId="3C42647D" w14:textId="7B599104" w:rsidR="00A52D0E" w:rsidRDefault="00A52D0E">
          <w:pPr>
            <w:pStyle w:val="TOC2"/>
            <w:tabs>
              <w:tab w:val="right" w:leader="dot" w:pos="9350"/>
            </w:tabs>
            <w:rPr>
              <w:rFonts w:asciiTheme="minorHAnsi" w:eastAsiaTheme="minorEastAsia" w:hAnsiTheme="minorHAnsi"/>
              <w:noProof/>
              <w:kern w:val="2"/>
              <w:szCs w:val="24"/>
              <w:lang w:val="en-US"/>
              <w14:ligatures w14:val="standardContextual"/>
            </w:rPr>
          </w:pPr>
          <w:hyperlink w:anchor="_Toc238925812" w:history="1">
            <w:r w:rsidRPr="00CC08DB">
              <w:rPr>
                <w:rStyle w:val="Hyperlink"/>
                <w:noProof/>
              </w:rPr>
              <w:t>Apéndice A: Corpus de datos, partición y preprocesamiento</w:t>
            </w:r>
            <w:r>
              <w:rPr>
                <w:noProof/>
                <w:webHidden/>
              </w:rPr>
              <w:tab/>
            </w:r>
            <w:r>
              <w:rPr>
                <w:noProof/>
                <w:webHidden/>
              </w:rPr>
              <w:fldChar w:fldCharType="begin"/>
            </w:r>
            <w:r>
              <w:rPr>
                <w:noProof/>
                <w:webHidden/>
              </w:rPr>
              <w:instrText xml:space="preserve"> PAGEREF _Toc238925812 \h </w:instrText>
            </w:r>
            <w:r>
              <w:rPr>
                <w:noProof/>
                <w:webHidden/>
              </w:rPr>
            </w:r>
            <w:r>
              <w:rPr>
                <w:noProof/>
                <w:webHidden/>
              </w:rPr>
              <w:fldChar w:fldCharType="separate"/>
            </w:r>
            <w:r>
              <w:rPr>
                <w:noProof/>
                <w:webHidden/>
              </w:rPr>
              <w:t>150</w:t>
            </w:r>
            <w:r>
              <w:rPr>
                <w:noProof/>
                <w:webHidden/>
              </w:rPr>
              <w:fldChar w:fldCharType="end"/>
            </w:r>
          </w:hyperlink>
        </w:p>
        <w:p w14:paraId="5A15D551" w14:textId="1C8588D9" w:rsidR="00A52D0E" w:rsidRDefault="00A52D0E">
          <w:pPr>
            <w:pStyle w:val="TOC2"/>
            <w:tabs>
              <w:tab w:val="right" w:leader="dot" w:pos="9350"/>
            </w:tabs>
            <w:rPr>
              <w:rFonts w:asciiTheme="minorHAnsi" w:eastAsiaTheme="minorEastAsia" w:hAnsiTheme="minorHAnsi"/>
              <w:noProof/>
              <w:kern w:val="2"/>
              <w:szCs w:val="24"/>
              <w:lang w:val="en-US"/>
              <w14:ligatures w14:val="standardContextual"/>
            </w:rPr>
          </w:pPr>
          <w:hyperlink w:anchor="_Toc238925813" w:history="1">
            <w:r w:rsidRPr="00CC08DB">
              <w:rPr>
                <w:rStyle w:val="Hyperlink"/>
                <w:noProof/>
              </w:rPr>
              <w:t>Apéndice B: Modelos predictivos y artefactos</w:t>
            </w:r>
            <w:r>
              <w:rPr>
                <w:noProof/>
                <w:webHidden/>
              </w:rPr>
              <w:tab/>
            </w:r>
            <w:r>
              <w:rPr>
                <w:noProof/>
                <w:webHidden/>
              </w:rPr>
              <w:fldChar w:fldCharType="begin"/>
            </w:r>
            <w:r>
              <w:rPr>
                <w:noProof/>
                <w:webHidden/>
              </w:rPr>
              <w:instrText xml:space="preserve"> PAGEREF _Toc238925813 \h </w:instrText>
            </w:r>
            <w:r>
              <w:rPr>
                <w:noProof/>
                <w:webHidden/>
              </w:rPr>
            </w:r>
            <w:r>
              <w:rPr>
                <w:noProof/>
                <w:webHidden/>
              </w:rPr>
              <w:fldChar w:fldCharType="separate"/>
            </w:r>
            <w:r>
              <w:rPr>
                <w:noProof/>
                <w:webHidden/>
              </w:rPr>
              <w:t>151</w:t>
            </w:r>
            <w:r>
              <w:rPr>
                <w:noProof/>
                <w:webHidden/>
              </w:rPr>
              <w:fldChar w:fldCharType="end"/>
            </w:r>
          </w:hyperlink>
        </w:p>
        <w:p w14:paraId="12A57053" w14:textId="233566F3" w:rsidR="00A52D0E" w:rsidRDefault="00A52D0E">
          <w:pPr>
            <w:pStyle w:val="TOC2"/>
            <w:tabs>
              <w:tab w:val="right" w:leader="dot" w:pos="9350"/>
            </w:tabs>
            <w:rPr>
              <w:rFonts w:asciiTheme="minorHAnsi" w:eastAsiaTheme="minorEastAsia" w:hAnsiTheme="minorHAnsi"/>
              <w:noProof/>
              <w:kern w:val="2"/>
              <w:szCs w:val="24"/>
              <w:lang w:val="en-US"/>
              <w14:ligatures w14:val="standardContextual"/>
            </w:rPr>
          </w:pPr>
          <w:hyperlink w:anchor="_Toc238925814" w:history="1">
            <w:r w:rsidRPr="00CC08DB">
              <w:rPr>
                <w:rStyle w:val="Hyperlink"/>
                <w:noProof/>
              </w:rPr>
              <w:t>Apéndice C: Configuración de explicadores</w:t>
            </w:r>
            <w:r>
              <w:rPr>
                <w:noProof/>
                <w:webHidden/>
              </w:rPr>
              <w:tab/>
            </w:r>
            <w:r>
              <w:rPr>
                <w:noProof/>
                <w:webHidden/>
              </w:rPr>
              <w:fldChar w:fldCharType="begin"/>
            </w:r>
            <w:r>
              <w:rPr>
                <w:noProof/>
                <w:webHidden/>
              </w:rPr>
              <w:instrText xml:space="preserve"> PAGEREF _Toc238925814 \h </w:instrText>
            </w:r>
            <w:r>
              <w:rPr>
                <w:noProof/>
                <w:webHidden/>
              </w:rPr>
            </w:r>
            <w:r>
              <w:rPr>
                <w:noProof/>
                <w:webHidden/>
              </w:rPr>
              <w:fldChar w:fldCharType="separate"/>
            </w:r>
            <w:r>
              <w:rPr>
                <w:noProof/>
                <w:webHidden/>
              </w:rPr>
              <w:t>152</w:t>
            </w:r>
            <w:r>
              <w:rPr>
                <w:noProof/>
                <w:webHidden/>
              </w:rPr>
              <w:fldChar w:fldCharType="end"/>
            </w:r>
          </w:hyperlink>
        </w:p>
        <w:p w14:paraId="6FD2E934" w14:textId="762D875F" w:rsidR="00A52D0E" w:rsidRDefault="00A52D0E">
          <w:pPr>
            <w:pStyle w:val="TOC3"/>
            <w:tabs>
              <w:tab w:val="right" w:leader="dot" w:pos="9350"/>
            </w:tabs>
            <w:rPr>
              <w:rFonts w:asciiTheme="minorHAnsi" w:eastAsiaTheme="minorEastAsia" w:hAnsiTheme="minorHAnsi"/>
              <w:noProof/>
              <w:kern w:val="2"/>
              <w:szCs w:val="24"/>
              <w:lang w:val="en-US"/>
              <w14:ligatures w14:val="standardContextual"/>
            </w:rPr>
          </w:pPr>
          <w:hyperlink w:anchor="_Toc238925815" w:history="1">
            <w:r w:rsidRPr="00CC08DB">
              <w:rPr>
                <w:rStyle w:val="Hyperlink"/>
                <w:noProof/>
              </w:rPr>
              <w:t>C.1 Análisis exploratorio de sensibilidad a hiperparámetros</w:t>
            </w:r>
            <w:r>
              <w:rPr>
                <w:noProof/>
                <w:webHidden/>
              </w:rPr>
              <w:tab/>
            </w:r>
            <w:r>
              <w:rPr>
                <w:noProof/>
                <w:webHidden/>
              </w:rPr>
              <w:fldChar w:fldCharType="begin"/>
            </w:r>
            <w:r>
              <w:rPr>
                <w:noProof/>
                <w:webHidden/>
              </w:rPr>
              <w:instrText xml:space="preserve"> PAGEREF _Toc238925815 \h </w:instrText>
            </w:r>
            <w:r>
              <w:rPr>
                <w:noProof/>
                <w:webHidden/>
              </w:rPr>
            </w:r>
            <w:r>
              <w:rPr>
                <w:noProof/>
                <w:webHidden/>
              </w:rPr>
              <w:fldChar w:fldCharType="separate"/>
            </w:r>
            <w:r>
              <w:rPr>
                <w:noProof/>
                <w:webHidden/>
              </w:rPr>
              <w:t>153</w:t>
            </w:r>
            <w:r>
              <w:rPr>
                <w:noProof/>
                <w:webHidden/>
              </w:rPr>
              <w:fldChar w:fldCharType="end"/>
            </w:r>
          </w:hyperlink>
        </w:p>
        <w:p w14:paraId="094973EB" w14:textId="1C344244" w:rsidR="00A52D0E" w:rsidRDefault="00A52D0E">
          <w:pPr>
            <w:pStyle w:val="TOC2"/>
            <w:tabs>
              <w:tab w:val="right" w:leader="dot" w:pos="9350"/>
            </w:tabs>
            <w:rPr>
              <w:rFonts w:asciiTheme="minorHAnsi" w:eastAsiaTheme="minorEastAsia" w:hAnsiTheme="minorHAnsi"/>
              <w:noProof/>
              <w:kern w:val="2"/>
              <w:szCs w:val="24"/>
              <w:lang w:val="en-US"/>
              <w14:ligatures w14:val="standardContextual"/>
            </w:rPr>
          </w:pPr>
          <w:hyperlink w:anchor="_Toc238925816" w:history="1">
            <w:r w:rsidRPr="00CC08DB">
              <w:rPr>
                <w:rStyle w:val="Hyperlink"/>
                <w:noProof/>
              </w:rPr>
              <w:t>Apéndice D: Salidas estadísticas y trazabilidad</w:t>
            </w:r>
            <w:r>
              <w:rPr>
                <w:noProof/>
                <w:webHidden/>
              </w:rPr>
              <w:tab/>
            </w:r>
            <w:r>
              <w:rPr>
                <w:noProof/>
                <w:webHidden/>
              </w:rPr>
              <w:fldChar w:fldCharType="begin"/>
            </w:r>
            <w:r>
              <w:rPr>
                <w:noProof/>
                <w:webHidden/>
              </w:rPr>
              <w:instrText xml:space="preserve"> PAGEREF _Toc238925816 \h </w:instrText>
            </w:r>
            <w:r>
              <w:rPr>
                <w:noProof/>
                <w:webHidden/>
              </w:rPr>
            </w:r>
            <w:r>
              <w:rPr>
                <w:noProof/>
                <w:webHidden/>
              </w:rPr>
              <w:fldChar w:fldCharType="separate"/>
            </w:r>
            <w:r>
              <w:rPr>
                <w:noProof/>
                <w:webHidden/>
              </w:rPr>
              <w:t>157</w:t>
            </w:r>
            <w:r>
              <w:rPr>
                <w:noProof/>
                <w:webHidden/>
              </w:rPr>
              <w:fldChar w:fldCharType="end"/>
            </w:r>
          </w:hyperlink>
        </w:p>
        <w:p w14:paraId="61F0B3F1" w14:textId="5079F6D2" w:rsidR="00A52D0E" w:rsidRDefault="00A52D0E">
          <w:pPr>
            <w:pStyle w:val="TOC3"/>
            <w:tabs>
              <w:tab w:val="right" w:leader="dot" w:pos="9350"/>
            </w:tabs>
            <w:rPr>
              <w:rFonts w:asciiTheme="minorHAnsi" w:eastAsiaTheme="minorEastAsia" w:hAnsiTheme="minorHAnsi"/>
              <w:noProof/>
              <w:kern w:val="2"/>
              <w:szCs w:val="24"/>
              <w:lang w:val="en-US"/>
              <w14:ligatures w14:val="standardContextual"/>
            </w:rPr>
          </w:pPr>
          <w:hyperlink w:anchor="_Toc238925817" w:history="1">
            <w:r w:rsidRPr="00CC08DB">
              <w:rPr>
                <w:rStyle w:val="Hyperlink"/>
                <w:noProof/>
              </w:rPr>
              <w:t>D.1 Resultados completos de la prueba de Friedman</w:t>
            </w:r>
            <w:r>
              <w:rPr>
                <w:noProof/>
                <w:webHidden/>
              </w:rPr>
              <w:tab/>
            </w:r>
            <w:r>
              <w:rPr>
                <w:noProof/>
                <w:webHidden/>
              </w:rPr>
              <w:fldChar w:fldCharType="begin"/>
            </w:r>
            <w:r>
              <w:rPr>
                <w:noProof/>
                <w:webHidden/>
              </w:rPr>
              <w:instrText xml:space="preserve"> PAGEREF _Toc238925817 \h </w:instrText>
            </w:r>
            <w:r>
              <w:rPr>
                <w:noProof/>
                <w:webHidden/>
              </w:rPr>
            </w:r>
            <w:r>
              <w:rPr>
                <w:noProof/>
                <w:webHidden/>
              </w:rPr>
              <w:fldChar w:fldCharType="separate"/>
            </w:r>
            <w:r>
              <w:rPr>
                <w:noProof/>
                <w:webHidden/>
              </w:rPr>
              <w:t>158</w:t>
            </w:r>
            <w:r>
              <w:rPr>
                <w:noProof/>
                <w:webHidden/>
              </w:rPr>
              <w:fldChar w:fldCharType="end"/>
            </w:r>
          </w:hyperlink>
        </w:p>
        <w:p w14:paraId="6A341FE1" w14:textId="54D6FB37" w:rsidR="00A52D0E" w:rsidRDefault="00A52D0E">
          <w:pPr>
            <w:pStyle w:val="TOC3"/>
            <w:tabs>
              <w:tab w:val="right" w:leader="dot" w:pos="9350"/>
            </w:tabs>
            <w:rPr>
              <w:rFonts w:asciiTheme="minorHAnsi" w:eastAsiaTheme="minorEastAsia" w:hAnsiTheme="minorHAnsi"/>
              <w:noProof/>
              <w:kern w:val="2"/>
              <w:szCs w:val="24"/>
              <w:lang w:val="en-US"/>
              <w14:ligatures w14:val="standardContextual"/>
            </w:rPr>
          </w:pPr>
          <w:hyperlink w:anchor="_Toc238925818" w:history="1">
            <w:r w:rsidRPr="00CC08DB">
              <w:rPr>
                <w:rStyle w:val="Hyperlink"/>
                <w:noProof/>
              </w:rPr>
              <w:t>D.2 Comparaciones post-hoc de Nemenyi (fidelidad y estabilidad)</w:t>
            </w:r>
            <w:r>
              <w:rPr>
                <w:noProof/>
                <w:webHidden/>
              </w:rPr>
              <w:tab/>
            </w:r>
            <w:r>
              <w:rPr>
                <w:noProof/>
                <w:webHidden/>
              </w:rPr>
              <w:fldChar w:fldCharType="begin"/>
            </w:r>
            <w:r>
              <w:rPr>
                <w:noProof/>
                <w:webHidden/>
              </w:rPr>
              <w:instrText xml:space="preserve"> PAGEREF _Toc238925818 \h </w:instrText>
            </w:r>
            <w:r>
              <w:rPr>
                <w:noProof/>
                <w:webHidden/>
              </w:rPr>
            </w:r>
            <w:r>
              <w:rPr>
                <w:noProof/>
                <w:webHidden/>
              </w:rPr>
              <w:fldChar w:fldCharType="separate"/>
            </w:r>
            <w:r>
              <w:rPr>
                <w:noProof/>
                <w:webHidden/>
              </w:rPr>
              <w:t>159</w:t>
            </w:r>
            <w:r>
              <w:rPr>
                <w:noProof/>
                <w:webHidden/>
              </w:rPr>
              <w:fldChar w:fldCharType="end"/>
            </w:r>
          </w:hyperlink>
        </w:p>
        <w:p w14:paraId="6CB7FA30" w14:textId="304D8A71" w:rsidR="00A52D0E" w:rsidRDefault="00A52D0E">
          <w:pPr>
            <w:pStyle w:val="TOC3"/>
            <w:tabs>
              <w:tab w:val="right" w:leader="dot" w:pos="9350"/>
            </w:tabs>
            <w:rPr>
              <w:rFonts w:asciiTheme="minorHAnsi" w:eastAsiaTheme="minorEastAsia" w:hAnsiTheme="minorHAnsi"/>
              <w:noProof/>
              <w:kern w:val="2"/>
              <w:szCs w:val="24"/>
              <w:lang w:val="en-US"/>
              <w14:ligatures w14:val="standardContextual"/>
            </w:rPr>
          </w:pPr>
          <w:hyperlink w:anchor="_Toc238925819" w:history="1">
            <w:r w:rsidRPr="00CC08DB">
              <w:rPr>
                <w:rStyle w:val="Hyperlink"/>
                <w:noProof/>
              </w:rPr>
              <w:t>D.3 Resultados completos del análisis pareado Wilcoxon (H3)</w:t>
            </w:r>
            <w:r>
              <w:rPr>
                <w:noProof/>
                <w:webHidden/>
              </w:rPr>
              <w:tab/>
            </w:r>
            <w:r>
              <w:rPr>
                <w:noProof/>
                <w:webHidden/>
              </w:rPr>
              <w:fldChar w:fldCharType="begin"/>
            </w:r>
            <w:r>
              <w:rPr>
                <w:noProof/>
                <w:webHidden/>
              </w:rPr>
              <w:instrText xml:space="preserve"> PAGEREF _Toc238925819 \h </w:instrText>
            </w:r>
            <w:r>
              <w:rPr>
                <w:noProof/>
                <w:webHidden/>
              </w:rPr>
            </w:r>
            <w:r>
              <w:rPr>
                <w:noProof/>
                <w:webHidden/>
              </w:rPr>
              <w:fldChar w:fldCharType="separate"/>
            </w:r>
            <w:r>
              <w:rPr>
                <w:noProof/>
                <w:webHidden/>
              </w:rPr>
              <w:t>160</w:t>
            </w:r>
            <w:r>
              <w:rPr>
                <w:noProof/>
                <w:webHidden/>
              </w:rPr>
              <w:fldChar w:fldCharType="end"/>
            </w:r>
          </w:hyperlink>
        </w:p>
        <w:p w14:paraId="69060284" w14:textId="7DB6F512" w:rsidR="00A52D0E" w:rsidRDefault="00A52D0E">
          <w:pPr>
            <w:pStyle w:val="TOC2"/>
            <w:tabs>
              <w:tab w:val="right" w:leader="dot" w:pos="9350"/>
            </w:tabs>
            <w:rPr>
              <w:rFonts w:asciiTheme="minorHAnsi" w:eastAsiaTheme="minorEastAsia" w:hAnsiTheme="minorHAnsi"/>
              <w:noProof/>
              <w:kern w:val="2"/>
              <w:szCs w:val="24"/>
              <w:lang w:val="en-US"/>
              <w14:ligatures w14:val="standardContextual"/>
            </w:rPr>
          </w:pPr>
          <w:hyperlink w:anchor="_Toc238925820" w:history="1">
            <w:r w:rsidRPr="00CC08DB">
              <w:rPr>
                <w:rStyle w:val="Hyperlink"/>
                <w:noProof/>
              </w:rPr>
              <w:t>Apéndice E: Entorno computacional y reproducción</w:t>
            </w:r>
            <w:r>
              <w:rPr>
                <w:noProof/>
                <w:webHidden/>
              </w:rPr>
              <w:tab/>
            </w:r>
            <w:r>
              <w:rPr>
                <w:noProof/>
                <w:webHidden/>
              </w:rPr>
              <w:fldChar w:fldCharType="begin"/>
            </w:r>
            <w:r>
              <w:rPr>
                <w:noProof/>
                <w:webHidden/>
              </w:rPr>
              <w:instrText xml:space="preserve"> PAGEREF _Toc238925820 \h </w:instrText>
            </w:r>
            <w:r>
              <w:rPr>
                <w:noProof/>
                <w:webHidden/>
              </w:rPr>
            </w:r>
            <w:r>
              <w:rPr>
                <w:noProof/>
                <w:webHidden/>
              </w:rPr>
              <w:fldChar w:fldCharType="separate"/>
            </w:r>
            <w:r>
              <w:rPr>
                <w:noProof/>
                <w:webHidden/>
              </w:rPr>
              <w:t>161</w:t>
            </w:r>
            <w:r>
              <w:rPr>
                <w:noProof/>
                <w:webHidden/>
              </w:rPr>
              <w:fldChar w:fldCharType="end"/>
            </w:r>
          </w:hyperlink>
        </w:p>
        <w:p w14:paraId="269B5E31" w14:textId="58A7BC8F" w:rsidR="00A52D0E" w:rsidRDefault="00A52D0E">
          <w:pPr>
            <w:pStyle w:val="TOC2"/>
            <w:tabs>
              <w:tab w:val="right" w:leader="dot" w:pos="9350"/>
            </w:tabs>
            <w:rPr>
              <w:rFonts w:asciiTheme="minorHAnsi" w:eastAsiaTheme="minorEastAsia" w:hAnsiTheme="minorHAnsi"/>
              <w:noProof/>
              <w:kern w:val="2"/>
              <w:szCs w:val="24"/>
              <w:lang w:val="en-US"/>
              <w14:ligatures w14:val="standardContextual"/>
            </w:rPr>
          </w:pPr>
          <w:hyperlink w:anchor="_Toc238925821" w:history="1">
            <w:r w:rsidRPr="00CC08DB">
              <w:rPr>
                <w:rStyle w:val="Hyperlink"/>
                <w:noProof/>
              </w:rPr>
              <w:t>Apéndice F: Artefactos del Estudio EXP4 (fiabilidad de jueces LLM)</w:t>
            </w:r>
            <w:r>
              <w:rPr>
                <w:noProof/>
                <w:webHidden/>
              </w:rPr>
              <w:tab/>
            </w:r>
            <w:r>
              <w:rPr>
                <w:noProof/>
                <w:webHidden/>
              </w:rPr>
              <w:fldChar w:fldCharType="begin"/>
            </w:r>
            <w:r>
              <w:rPr>
                <w:noProof/>
                <w:webHidden/>
              </w:rPr>
              <w:instrText xml:space="preserve"> PAGEREF _Toc238925821 \h </w:instrText>
            </w:r>
            <w:r>
              <w:rPr>
                <w:noProof/>
                <w:webHidden/>
              </w:rPr>
            </w:r>
            <w:r>
              <w:rPr>
                <w:noProof/>
                <w:webHidden/>
              </w:rPr>
              <w:fldChar w:fldCharType="separate"/>
            </w:r>
            <w:r>
              <w:rPr>
                <w:noProof/>
                <w:webHidden/>
              </w:rPr>
              <w:t>162</w:t>
            </w:r>
            <w:r>
              <w:rPr>
                <w:noProof/>
                <w:webHidden/>
              </w:rPr>
              <w:fldChar w:fldCharType="end"/>
            </w:r>
          </w:hyperlink>
        </w:p>
        <w:p w14:paraId="39B3BD16" w14:textId="31794848" w:rsidR="00D762DD" w:rsidRDefault="00000000">
          <w:r>
            <w:fldChar w:fldCharType="end"/>
          </w:r>
        </w:p>
      </w:sdtContent>
    </w:sdt>
    <w:p w14:paraId="3F69D1FB" w14:textId="77777777" w:rsidR="00D762DD" w:rsidRDefault="00000000">
      <w:pPr>
        <w:pStyle w:val="Heading1"/>
      </w:pPr>
      <w:bookmarkStart w:id="0" w:name="X9879de00516a950326abd0572f192803626eb50"/>
      <w:bookmarkStart w:id="1" w:name="_Toc238925696"/>
      <w:r>
        <w:t xml:space="preserve">Marco para la Evaluación Multinivel de la </w:t>
      </w:r>
      <w:proofErr w:type="spellStart"/>
      <w:r>
        <w:t>Explicabilidad</w:t>
      </w:r>
      <w:proofErr w:type="spellEnd"/>
      <w:r>
        <w:t xml:space="preserve"> en IA</w:t>
      </w:r>
      <w:bookmarkEnd w:id="1"/>
    </w:p>
    <w:p w14:paraId="59A94D9E" w14:textId="77777777" w:rsidR="00D762DD" w:rsidRDefault="00000000">
      <w:r>
        <w:t>Integración de Benchmarking Técnico, Protocolo Reproducible (FOM-7) y Taxonomía de Métricas</w:t>
      </w:r>
    </w:p>
    <w:p w14:paraId="4F139285" w14:textId="77777777" w:rsidR="00D762DD" w:rsidRDefault="00000000">
      <w:pPr>
        <w:pStyle w:val="BodyText"/>
      </w:pPr>
      <w:r>
        <w:br/>
      </w:r>
    </w:p>
    <w:p w14:paraId="3CE8D647" w14:textId="77777777" w:rsidR="00D762DD" w:rsidRDefault="00000000">
      <w:pPr>
        <w:pStyle w:val="Heading1"/>
      </w:pPr>
      <w:bookmarkStart w:id="2" w:name="resumen"/>
      <w:bookmarkStart w:id="3" w:name="_Toc238925697"/>
      <w:bookmarkEnd w:id="0"/>
      <w:r>
        <w:t>Resumen</w:t>
      </w:r>
      <w:bookmarkEnd w:id="3"/>
    </w:p>
    <w:p w14:paraId="4B713317" w14:textId="77777777" w:rsidR="00D762DD" w:rsidRDefault="00000000">
      <w:r>
        <w:t xml:space="preserve">Esta tesis propone un marco de evaluación multinivel para la Inteligencia Artificial Explicable (XAI) orientado a comparar métodos agnósticos al modelo bajo condiciones de benchmarking </w:t>
      </w:r>
      <w:r>
        <w:lastRenderedPageBreak/>
        <w:t>controladas y reproducibles. El trabajo responde a la “crisis de evaluación” en XAI articulando tres componentes complementarios: (i) un protocolo de operación reproducible de siete puertas (FOM-7) que conecta diseño experimental, calificación de artefactos e inferencia estadística admisible; (</w:t>
      </w:r>
      <w:proofErr w:type="spellStart"/>
      <w:r>
        <w:t>ii</w:t>
      </w:r>
      <w:proofErr w:type="spellEnd"/>
      <w:r>
        <w:t xml:space="preserve">) un </w:t>
      </w:r>
      <w:proofErr w:type="spellStart"/>
      <w:r>
        <w:t>benchmark</w:t>
      </w:r>
      <w:proofErr w:type="spellEnd"/>
      <w:r>
        <w:t xml:space="preserve"> cuantitativo </w:t>
      </w:r>
      <w:proofErr w:type="spellStart"/>
      <w:r>
        <w:t>multi-métrico</w:t>
      </w:r>
      <w:proofErr w:type="spellEnd"/>
      <w:r>
        <w:t xml:space="preserve"> sobre datos tabulares reales que evalúa SHAP, LIME, Anchors y </w:t>
      </w:r>
      <w:proofErr w:type="spellStart"/>
      <w:r>
        <w:t>DiCE</w:t>
      </w:r>
      <w:proofErr w:type="spellEnd"/>
      <w:r>
        <w:t xml:space="preserve"> en cinco familias de modelos; y (</w:t>
      </w:r>
      <w:proofErr w:type="spellStart"/>
      <w:r>
        <w:t>iii</w:t>
      </w:r>
      <w:proofErr w:type="spellEnd"/>
      <w:r>
        <w:t>) una taxonomía estructurada del espacio de métricas de evaluación XAI organizada en cuatro ejes (objetivo de evaluación, fuente de evidencia, propiedad de calidad y contexto de tarea).</w:t>
      </w:r>
    </w:p>
    <w:p w14:paraId="50C1D644" w14:textId="77777777" w:rsidR="00D762DD" w:rsidRDefault="00000000">
      <w:pPr>
        <w:pStyle w:val="BodyText"/>
      </w:pPr>
      <w:r>
        <w:t xml:space="preserve">El estudio empírico se realiza sobre el conjunto </w:t>
      </w:r>
      <w:proofErr w:type="spellStart"/>
      <w:r>
        <w:t>Adult</w:t>
      </w:r>
      <w:proofErr w:type="spellEnd"/>
      <w:r>
        <w:t xml:space="preserve"> (UCI </w:t>
      </w:r>
      <w:proofErr w:type="spellStart"/>
      <w:r>
        <w:t>Adult</w:t>
      </w:r>
      <w:proofErr w:type="spellEnd"/>
      <w:r>
        <w:t xml:space="preserve"> </w:t>
      </w:r>
      <w:proofErr w:type="spellStart"/>
      <w:r>
        <w:t>Income</w:t>
      </w:r>
      <w:proofErr w:type="spellEnd"/>
      <w:r>
        <w:t>) y operacionaliza cinco métricas primarias: fidelidad, estabilidad, parsimonia, brecha de fidelidad (</w:t>
      </w:r>
      <w:proofErr w:type="spellStart"/>
      <w:r>
        <w:rPr>
          <w:i/>
          <w:iCs/>
        </w:rPr>
        <w:t>faithfulness</w:t>
      </w:r>
      <w:proofErr w:type="spellEnd"/>
      <w:r>
        <w:rPr>
          <w:i/>
          <w:iCs/>
        </w:rPr>
        <w:t xml:space="preserve"> gap</w:t>
      </w:r>
      <w:r>
        <w:t xml:space="preserve">) y coste computacional. La inferencia confirmativa se apoya en comparaciones no paramétricas con control de multiplicidad y en un análisis pareado SHAP–LIME para cuantificar el </w:t>
      </w:r>
      <w:proofErr w:type="spellStart"/>
      <w:r>
        <w:t>trade</w:t>
      </w:r>
      <w:proofErr w:type="spellEnd"/>
      <w:r>
        <w:t xml:space="preserve">-off calidad–coste. Los resultados muestran diferencias grandes y consistentes entre métodos: SHAP domina en fidelidad y estabilidad en los contextos evaluados, mientras que LIME resulta competitivo cuando la latencia es crítica, a costa de explicaciones estructuralmente inestables. Anchors y </w:t>
      </w:r>
      <w:proofErr w:type="spellStart"/>
      <w:r>
        <w:t>DiCE</w:t>
      </w:r>
      <w:proofErr w:type="spellEnd"/>
      <w:r>
        <w:t xml:space="preserve"> se posicionan como enfoques con objetivos explicativos cualitativamente distintos a la atribución de características. En conjunto, la tesis aporta un protocolo portable y un marco conceptual que permiten seleccionar métodos XAI en función de objetivos operativos y acumular evidencia de forma reproducible.</w:t>
      </w:r>
    </w:p>
    <w:p w14:paraId="3745D189" w14:textId="77777777" w:rsidR="00D762DD" w:rsidRDefault="00000000">
      <w:pPr>
        <w:pStyle w:val="BodyText"/>
      </w:pPr>
      <w:r>
        <w:rPr>
          <w:b/>
          <w:bCs/>
        </w:rPr>
        <w:t>Palabras clave:</w:t>
      </w:r>
      <w:r>
        <w:t xml:space="preserve"> inteligencia artificial explicable (XAI); evaluación </w:t>
      </w:r>
      <w:proofErr w:type="spellStart"/>
      <w:r>
        <w:t>multimétrica</w:t>
      </w:r>
      <w:proofErr w:type="spellEnd"/>
      <w:r>
        <w:t>; benchmarking reproducible; protocolo FOM-7; atribución de características; explicaciones contrafactuales; datos tabulares.</w:t>
      </w:r>
    </w:p>
    <w:p w14:paraId="0C843EA7" w14:textId="77777777" w:rsidR="00D762DD" w:rsidRPr="00AC5577" w:rsidRDefault="00000000">
      <w:pPr>
        <w:pStyle w:val="Heading1"/>
        <w:rPr>
          <w:lang w:val="en-US"/>
        </w:rPr>
      </w:pPr>
      <w:bookmarkStart w:id="4" w:name="abstract"/>
      <w:bookmarkStart w:id="5" w:name="_Toc238925698"/>
      <w:bookmarkEnd w:id="2"/>
      <w:r w:rsidRPr="00AC5577">
        <w:rPr>
          <w:lang w:val="en-US"/>
        </w:rPr>
        <w:t>Abstract</w:t>
      </w:r>
      <w:bookmarkEnd w:id="5"/>
    </w:p>
    <w:p w14:paraId="486443E4" w14:textId="77777777" w:rsidR="00D762DD" w:rsidRPr="00AC5577" w:rsidRDefault="00000000">
      <w:pPr>
        <w:rPr>
          <w:lang w:val="en-US"/>
        </w:rPr>
      </w:pPr>
      <w:r w:rsidRPr="00AC5577">
        <w:rPr>
          <w:lang w:val="en-US"/>
        </w:rPr>
        <w:t>This thesis proposes a multilevel evaluation framework for Explainable Artificial Intelligence (XAI) aimed at comparing model-agnostic explainers under controlled and reproducible benchmarking conditions. To address the evaluation fragmentation in XAI, the framework integrates three complementary components: (</w:t>
      </w:r>
      <w:proofErr w:type="spellStart"/>
      <w:r w:rsidRPr="00AC5577">
        <w:rPr>
          <w:lang w:val="en-US"/>
        </w:rPr>
        <w:t>i</w:t>
      </w:r>
      <w:proofErr w:type="spellEnd"/>
      <w:r w:rsidRPr="00AC5577">
        <w:rPr>
          <w:lang w:val="en-US"/>
        </w:rPr>
        <w:t xml:space="preserve">) a seven-gate operational protocol (FOM-7) that links experimental design, artifact qualification, and statistically admissible inference; (ii) a multi-metric quantitative benchmark on real-world tabular data evaluating SHAP, LIME, </w:t>
      </w:r>
      <w:r w:rsidRPr="00AC5577">
        <w:rPr>
          <w:lang w:val="en-US"/>
        </w:rPr>
        <w:lastRenderedPageBreak/>
        <w:t xml:space="preserve">Anchors, and </w:t>
      </w:r>
      <w:proofErr w:type="spellStart"/>
      <w:r w:rsidRPr="00AC5577">
        <w:rPr>
          <w:lang w:val="en-US"/>
        </w:rPr>
        <w:t>DiCE</w:t>
      </w:r>
      <w:proofErr w:type="spellEnd"/>
      <w:r w:rsidRPr="00AC5577">
        <w:rPr>
          <w:lang w:val="en-US"/>
        </w:rPr>
        <w:t xml:space="preserve"> across five model families; and (iii) a structured taxonomy of XAI evaluation metrics organized along four axes (evaluation target, evidence source, quality property, and task context).</w:t>
      </w:r>
    </w:p>
    <w:p w14:paraId="498D56A6" w14:textId="77777777" w:rsidR="00D762DD" w:rsidRPr="00AC5577" w:rsidRDefault="00000000">
      <w:pPr>
        <w:pStyle w:val="BodyText"/>
        <w:rPr>
          <w:lang w:val="en-US"/>
        </w:rPr>
      </w:pPr>
      <w:r w:rsidRPr="00AC5577">
        <w:rPr>
          <w:lang w:val="en-US"/>
        </w:rPr>
        <w:t xml:space="preserve">The empirical study uses the Adult (UCI Adult Income) dataset and operationalizes five primary metrics: faithfulness, stability, parsimony, faithfulness gap, and computational cost. Confirmatory inference relies on nonparametric comparisons with multiplicity control and on a paired SHAP–LIME analysis to quantify the quality–cost trade-off. Results show large and consistent differences across methods: SHAP dominates in faithfulness and stability in the evaluated settings, whereas LIME becomes attractive when latency constraints dominate, at the cost of structurally unstable explanations. Anchors and </w:t>
      </w:r>
      <w:proofErr w:type="spellStart"/>
      <w:r w:rsidRPr="00AC5577">
        <w:rPr>
          <w:lang w:val="en-US"/>
        </w:rPr>
        <w:t>DiCE</w:t>
      </w:r>
      <w:proofErr w:type="spellEnd"/>
      <w:r w:rsidRPr="00AC5577">
        <w:rPr>
          <w:lang w:val="en-US"/>
        </w:rPr>
        <w:t xml:space="preserve"> address qualitatively different explanatory objectives than feature attribution. Overall, the thesis contributes a portable protocol and a conceptual framework to support operationally grounded XAI method selection and reproducible evidence accumulation.</w:t>
      </w:r>
    </w:p>
    <w:p w14:paraId="4E41E975" w14:textId="77777777" w:rsidR="00D762DD" w:rsidRPr="00AC5577" w:rsidRDefault="00000000">
      <w:pPr>
        <w:pStyle w:val="BodyText"/>
        <w:rPr>
          <w:lang w:val="en-US"/>
        </w:rPr>
      </w:pPr>
      <w:r w:rsidRPr="00AC5577">
        <w:rPr>
          <w:b/>
          <w:bCs/>
          <w:lang w:val="en-US"/>
        </w:rPr>
        <w:t>Keywords:</w:t>
      </w:r>
      <w:r w:rsidRPr="00AC5577">
        <w:rPr>
          <w:lang w:val="en-US"/>
        </w:rPr>
        <w:t xml:space="preserve"> explainable AI (XAI); multi-metric evaluation; reproducible benchmarking; FOM-7 protocol; feature attribution; counterfactual explanations; tabular data.</w:t>
      </w:r>
    </w:p>
    <w:p w14:paraId="51A60E76" w14:textId="77777777" w:rsidR="00D762DD" w:rsidRDefault="00000000">
      <w:pPr>
        <w:pStyle w:val="Heading1"/>
      </w:pPr>
      <w:bookmarkStart w:id="6" w:name="introducción"/>
      <w:bookmarkStart w:id="7" w:name="_Toc238925699"/>
      <w:bookmarkEnd w:id="4"/>
      <w:r>
        <w:t>Introducción</w:t>
      </w:r>
      <w:bookmarkEnd w:id="7"/>
    </w:p>
    <w:p w14:paraId="6A85A05A" w14:textId="77777777" w:rsidR="00D762DD" w:rsidRDefault="00000000">
      <w:r>
        <w:t xml:space="preserve">El rápido avance de la inteligencia artificial (IA), particularmente en el ámbito del aprendizaje profundo y los modelos complejos de aprendizaje automático, ha transformado radicalmente la capacidad predictiva en dominios tan diversos como la atención médica, las finanzas y los sistemas autónomos. Sin embargo, esta evolución tecnológica ha traído consigo una problemática fundamental: la naturaleza de “caja negra” de estos modelos, la cual plantea serias preocupaciones respecto a la confianza, la transparencia y la responsabilidad algorítmica. En este escenario, la interpretabilidad emerge no solo como un desafío técnico de primer orden, sino como un requisito ético y legal indispensable para el despliegue de soluciones en el mundo real. Para abordar esta opacidad, los métodos de explicación agnósticos al modelo —tales como LIME (Ribeiro 2016), SHAP (Lundberg 2017), Anchors (Ribeiro 2018) y </w:t>
      </w:r>
      <w:proofErr w:type="spellStart"/>
      <w:r>
        <w:t>DiCE</w:t>
      </w:r>
      <w:proofErr w:type="spellEnd"/>
      <w:r>
        <w:t xml:space="preserve"> (</w:t>
      </w:r>
      <w:proofErr w:type="spellStart"/>
      <w:r>
        <w:t>Mothilal</w:t>
      </w:r>
      <w:proofErr w:type="spellEnd"/>
      <w:r>
        <w:t xml:space="preserve"> 2020)— han ganado protagonismo al intentar proporcionar explicaciones </w:t>
      </w:r>
      <w:proofErr w:type="spellStart"/>
      <w:r>
        <w:rPr>
          <w:i/>
          <w:iCs/>
        </w:rPr>
        <w:t>post-hoc</w:t>
      </w:r>
      <w:proofErr w:type="spellEnd"/>
      <w:r>
        <w:t xml:space="preserve"> sin necesidad </w:t>
      </w:r>
      <w:r>
        <w:lastRenderedPageBreak/>
        <w:t>de alterar los componentes internos del modelo, facilitando así la detección de sesgos y la validación de resultados en aplicaciones críticas.</w:t>
      </w:r>
    </w:p>
    <w:p w14:paraId="23659495" w14:textId="77777777" w:rsidR="00D762DD" w:rsidRDefault="00000000">
      <w:pPr>
        <w:pStyle w:val="BodyText"/>
      </w:pPr>
      <w:r>
        <w:t xml:space="preserve">La urgencia de esta investigación se amplifica por un contexto regulatorio en rápida evolución. El Reglamento General de Protección de Datos de la Unión Europea (GDPR) establece en su Artículo 22 el derecho de las personas a obtener explicaciones significativas sobre decisiones automatizadas que les afecten (Voigt and </w:t>
      </w:r>
      <w:proofErr w:type="spellStart"/>
      <w:r>
        <w:t>Bussche</w:t>
      </w:r>
      <w:proofErr w:type="spellEnd"/>
      <w:r>
        <w:t xml:space="preserve"> 2017). La Ley de Inteligencia Artificial de la Unión Europea (EU AI </w:t>
      </w:r>
      <w:proofErr w:type="spellStart"/>
      <w:r>
        <w:t>Act</w:t>
      </w:r>
      <w:proofErr w:type="spellEnd"/>
      <w:r>
        <w:t xml:space="preserve">, 2024) va más lejos: clasifica ciertos sistemas de IA como de alto riesgo y exige requisitos de transparencia, trazabilidad y supervisión humana que dependen directamente de la disponibilidad de métodos de explicación verificables. En el ámbito financiero, la Directiva de Crédito Hipotecario y la regulación bancaria (Basilea IV) demandan modelos auditables. En el sector sanitario, la FDA norteamericana y la EMA europea han publicado marcos de gobernanza que vinculan aprobación de sistemas de IA con </w:t>
      </w:r>
      <w:proofErr w:type="spellStart"/>
      <w:r>
        <w:t>explicabilidad</w:t>
      </w:r>
      <w:proofErr w:type="spellEnd"/>
      <w:r>
        <w:t xml:space="preserve"> comprobable. Esta confluencia normativa convierte la evaluación rigurosa de métodos de explicación en una necesidad operativa, no solo académica.</w:t>
      </w:r>
    </w:p>
    <w:p w14:paraId="0B01E396" w14:textId="77777777" w:rsidR="00D762DD" w:rsidRDefault="00000000">
      <w:pPr>
        <w:pStyle w:val="BodyText"/>
      </w:pPr>
      <w:r>
        <w:t xml:space="preserve">A pesar de su potencial, los enfoques actuales de </w:t>
      </w:r>
      <w:proofErr w:type="spellStart"/>
      <w:r>
        <w:t>explicabilidad</w:t>
      </w:r>
      <w:proofErr w:type="spellEnd"/>
      <w:r>
        <w:t xml:space="preserve"> adolecen de limitaciones significativas que restringen su aplicabilidad práctica. En primer lugar, la comunidad científica enfrenta lo que se ha denominado una “crisis de evaluación”, caracterizada por una proliferación de métricas inconexas que a menudo generan resultados duplicados o contradictorios (Pawlicki et al. 2024). Revisiones sistemáticas recientes (Abdul Kadir et al. 2023) revelan que, a pesar del auge de la disciplina, solo una pequeña fracción del corpus de investigación —aproximadamente el 14%— incorpora evaluaciones cuantitativas rigurosas. Esta carencia de estándares se ve agravada por la falta de consenso formal sobre las propiedades fundamentales de una “buena” explicación, lo que dificulta la comparación objetiva entre métodos (Canha et al. 2025; Nizam and Zafar 2023). La ausencia de criterios consensuados provoca que, a menudo, se ignore la “validez semántica” de la explicación, priorizando métricas matemáticas proxy que no siempre logran capturar el juicio comprensible para un experto humano.</w:t>
      </w:r>
    </w:p>
    <w:p w14:paraId="6284A198" w14:textId="77777777" w:rsidR="00D762DD" w:rsidRDefault="00000000">
      <w:pPr>
        <w:pStyle w:val="BodyText"/>
      </w:pPr>
      <w:r>
        <w:t xml:space="preserve">A los desafíos de estandarización se suman debilidades técnicas críticas en los marcos de evaluación vigentes. Estudios recientes han identificado que muchas de las métricas de fidelidad </w:t>
      </w:r>
      <w:r>
        <w:lastRenderedPageBreak/>
        <w:t>tradicionales sufren del problema de datos “fuera de la distribución” (</w:t>
      </w:r>
      <w:proofErr w:type="spellStart"/>
      <w:r>
        <w:t>Out-of-Distribution</w:t>
      </w:r>
      <w:proofErr w:type="spellEnd"/>
      <w:r>
        <w:t xml:space="preserve"> o OOD), donde la eliminación o perturbación de características genera instancias que el modelo original nunca encontró durante su entrenamiento, invalidando así sus respuestas y las puntuaciones de fiabilidad resultantes (Zheng et al. 2025). Si bien han surgido ecosistemas de benchmarking integrales como </w:t>
      </w:r>
      <w:proofErr w:type="spellStart"/>
      <w:r>
        <w:t>Quantus</w:t>
      </w:r>
      <w:proofErr w:type="spellEnd"/>
      <w:r>
        <w:t xml:space="preserve"> (Hedström et al. 2023) y </w:t>
      </w:r>
      <w:proofErr w:type="spellStart"/>
      <w:r>
        <w:t>OpenXAI</w:t>
      </w:r>
      <w:proofErr w:type="spellEnd"/>
      <w:r>
        <w:t xml:space="preserve"> (Agarwal et al. 2022) para intentar unificar el campo, todavía persiste una brecha significativa: ninguno de estos marcos ofrece un protocolo operativo completo que conecte diseño experimental, calificación de artefactos, admisibilidad estadística, reproducibilidad y trazabilidad de afirmaciones en una secuencia auditable (Pawlicki et al. 2024; Canha et al. 2025). Esa brecha es el problema central de esta tesis.</w:t>
      </w:r>
    </w:p>
    <w:p w14:paraId="15383597" w14:textId="77777777" w:rsidR="00D762DD" w:rsidRDefault="00000000">
      <w:pPr>
        <w:pStyle w:val="BodyText"/>
      </w:pPr>
      <w:r>
        <w:t xml:space="preserve">Esta investigación responde a la brecha con tres contribuciones articuladas. La </w:t>
      </w:r>
      <w:r>
        <w:rPr>
          <w:b/>
          <w:bCs/>
        </w:rPr>
        <w:t>contribución metodológica</w:t>
      </w:r>
      <w:r>
        <w:t xml:space="preserve"> es el protocolo FOM-7 (</w:t>
      </w:r>
      <w:r>
        <w:rPr>
          <w:i/>
          <w:iCs/>
        </w:rPr>
        <w:t xml:space="preserve">Framework </w:t>
      </w:r>
      <w:proofErr w:type="spellStart"/>
      <w:r>
        <w:rPr>
          <w:i/>
          <w:iCs/>
        </w:rPr>
        <w:t>Operation</w:t>
      </w:r>
      <w:proofErr w:type="spellEnd"/>
      <w:r>
        <w:rPr>
          <w:i/>
          <w:iCs/>
        </w:rPr>
        <w:t xml:space="preserve"> Method</w:t>
      </w:r>
      <w:r>
        <w:t xml:space="preserve">, siete puertas), una secuencia operativa reproducible que gobierna el ciclo completo de evidencia en evaluación XAI comparativa: desde la congelación del protocolo experimental hasta la trazabilidad de afirmaciones inferenciales. La </w:t>
      </w:r>
      <w:r>
        <w:rPr>
          <w:b/>
          <w:bCs/>
        </w:rPr>
        <w:t>contribución empírica</w:t>
      </w:r>
      <w:r>
        <w:t xml:space="preserve"> es un </w:t>
      </w:r>
      <w:proofErr w:type="spellStart"/>
      <w:r>
        <w:t>benchmark</w:t>
      </w:r>
      <w:proofErr w:type="spellEnd"/>
      <w:r>
        <w:t xml:space="preserve"> </w:t>
      </w:r>
      <w:proofErr w:type="spellStart"/>
      <w:r>
        <w:t>multi-métrico</w:t>
      </w:r>
      <w:proofErr w:type="spellEnd"/>
      <w:r>
        <w:t xml:space="preserve"> sobre datos tabulares reales que compara SHAP, LIME, Anchors y </w:t>
      </w:r>
      <w:proofErr w:type="spellStart"/>
      <w:r>
        <w:t>DiCE</w:t>
      </w:r>
      <w:proofErr w:type="spellEnd"/>
      <w:r>
        <w:t xml:space="preserve"> bajo cinco modelos, cinco semillas y tres tamaños de muestra, produciendo 275 artefactos calificados con análisis estadístico mediante pruebas no paramétricas con control de multiplicidad. La </w:t>
      </w:r>
      <w:r>
        <w:rPr>
          <w:b/>
          <w:bCs/>
        </w:rPr>
        <w:t>contribución teórica</w:t>
      </w:r>
      <w:r>
        <w:t xml:space="preserve"> es una taxonomía estructurada de cuatro ejes que organiza el espacio de métricas de evaluación XAI, localiza explícitamente las dimensiones cubiertas y no cubiertas por el </w:t>
      </w:r>
      <w:proofErr w:type="spellStart"/>
      <w:r>
        <w:t>benchmark</w:t>
      </w:r>
      <w:proofErr w:type="spellEnd"/>
      <w:r>
        <w:t>, y vincula cada métrica a su alcance inferencial admisible. Juntas, estas tres contribuciones avanzan el campo desde la proliferación de métricas hacia la acumulación sistemática de evidencia defendible.</w:t>
      </w:r>
    </w:p>
    <w:p w14:paraId="286C8E84" w14:textId="77777777" w:rsidR="00D762DD" w:rsidRDefault="00000000">
      <w:pPr>
        <w:pStyle w:val="BodyText"/>
      </w:pPr>
      <w:r>
        <w:t xml:space="preserve">Para alcanzar estos objetivos, el documento se estructura en seis capítulos y dos elementos complementarios. Tras esta introducción, el </w:t>
      </w:r>
      <w:r>
        <w:rPr>
          <w:b/>
          <w:bCs/>
        </w:rPr>
        <w:t>Capítulo 1</w:t>
      </w:r>
      <w:r>
        <w:t xml:space="preserve"> formaliza el problema de investigación, los objetivos específicos y las hipótesis estadísticas. El </w:t>
      </w:r>
      <w:r>
        <w:rPr>
          <w:b/>
          <w:bCs/>
        </w:rPr>
        <w:t>Capítulo 2</w:t>
      </w:r>
      <w:r>
        <w:t xml:space="preserve"> establece el marco teórico: desarrolla el desarrollo histórico de la XAI, las distinciones conceptuales fundamentales, los cuatro métodos evaluados y los marcos de evaluación existentes, cerrando con la síntesis crítica </w:t>
      </w:r>
      <w:r>
        <w:lastRenderedPageBreak/>
        <w:t xml:space="preserve">que justifica FOM-7. El </w:t>
      </w:r>
      <w:r>
        <w:rPr>
          <w:b/>
          <w:bCs/>
        </w:rPr>
        <w:t>Capítulo 3</w:t>
      </w:r>
      <w:r>
        <w:t xml:space="preserve"> describe el diseño experimental: el protocolo FOM-7, el conjunto de datos, el diseño factorial, la operacionalización de métricas, el análisis de cobertura y el plan de inferencia estadística. El </w:t>
      </w:r>
      <w:r>
        <w:rPr>
          <w:b/>
          <w:bCs/>
        </w:rPr>
        <w:t>Capítulo 4</w:t>
      </w:r>
      <w:r>
        <w:t xml:space="preserve"> expone y discute los resultados empíricos del Estudio </w:t>
      </w:r>
      <w:proofErr w:type="spellStart"/>
      <w:r>
        <w:t>Omnibus</w:t>
      </w:r>
      <w:proofErr w:type="spellEnd"/>
      <w:r>
        <w:t xml:space="preserve"> </w:t>
      </w:r>
      <w:proofErr w:type="spellStart"/>
      <w:r>
        <w:t>Multimétrico</w:t>
      </w:r>
      <w:proofErr w:type="spellEnd"/>
      <w:r>
        <w:t xml:space="preserve"> y del Estudio Pareado LIME–SHAP, con plena trazabilidad de afirmaciones. El </w:t>
      </w:r>
      <w:r>
        <w:rPr>
          <w:b/>
          <w:bCs/>
        </w:rPr>
        <w:t>Capítulo 5</w:t>
      </w:r>
      <w:r>
        <w:t xml:space="preserve"> desarrolla la taxonomía de métricas XAI como contribución teórica autónoma. El </w:t>
      </w:r>
      <w:r>
        <w:rPr>
          <w:b/>
          <w:bCs/>
        </w:rPr>
        <w:t>Capítulo 6</w:t>
      </w:r>
      <w:r>
        <w:t xml:space="preserve"> sintetiza las conclusiones, separa las contribuciones de la literatura previa, reconoce las limitaciones y propone líneas de investigación futura. Los apéndices documentan los datos, modelos, configuraciones, salidas estadísticas y entorno de reproducción.</w:t>
      </w:r>
    </w:p>
    <w:p w14:paraId="67A41B51" w14:textId="77777777" w:rsidR="00D762DD" w:rsidRDefault="00000000">
      <w:pPr>
        <w:pStyle w:val="Heading1"/>
      </w:pPr>
      <w:bookmarkStart w:id="8" w:name="X13574bcfb14bbd4e095f2c559ff6b33999e5b97"/>
      <w:bookmarkStart w:id="9" w:name="_Toc238925700"/>
      <w:bookmarkEnd w:id="6"/>
      <w:r>
        <w:t>Problema, objetivos y diseño general de la investigación</w:t>
      </w:r>
      <w:bookmarkEnd w:id="9"/>
    </w:p>
    <w:p w14:paraId="1DB8E990" w14:textId="77777777" w:rsidR="00D762DD" w:rsidRDefault="00000000">
      <w:r>
        <w:t xml:space="preserve">Este capítulo establece el posicionamiento investigativo de la tesis. Se articula en cuatro ejes: el problema de investigación que motiva el trabajo, la justificación de su relevancia científica y práctica, los objetivos e hipótesis formales que orientan la indagación empírica, y la metodología general que estructura el diseño de los estudios. La exposición detallada de los fundamentos conceptuales —incluyendo las bases técnicas de los métodos de </w:t>
      </w:r>
      <w:proofErr w:type="spellStart"/>
      <w:r>
        <w:t>explicabilidad</w:t>
      </w:r>
      <w:proofErr w:type="spellEnd"/>
      <w:r>
        <w:t xml:space="preserve"> y los criterios de evaluación— se desarrolla en el Capítulo 2.</w:t>
      </w:r>
    </w:p>
    <w:p w14:paraId="59E50BCF" w14:textId="77777777" w:rsidR="00D762DD" w:rsidRDefault="00000000">
      <w:pPr>
        <w:pStyle w:val="Heading2"/>
      </w:pPr>
      <w:bookmarkStart w:id="10" w:name="problema-de-investigación"/>
      <w:bookmarkStart w:id="11" w:name="_Toc238925701"/>
      <w:r>
        <w:t>Problema de investigación</w:t>
      </w:r>
      <w:bookmarkEnd w:id="11"/>
    </w:p>
    <w:p w14:paraId="4302DD84" w14:textId="77777777" w:rsidR="00D762DD" w:rsidRDefault="00000000">
      <w:r>
        <w:t xml:space="preserve">La Inteligencia Artificial Explicable (XAI) ha consolidado un ecosistema de métodos </w:t>
      </w:r>
      <w:proofErr w:type="spellStart"/>
      <w:r>
        <w:rPr>
          <w:i/>
          <w:iCs/>
        </w:rPr>
        <w:t>post-hoc</w:t>
      </w:r>
      <w:proofErr w:type="spellEnd"/>
      <w:r>
        <w:t xml:space="preserve"> agnósticos al modelo cuya adopción en dominios de alto riesgo crece de forma sostenida (</w:t>
      </w:r>
      <w:proofErr w:type="spellStart"/>
      <w:r>
        <w:t>Adadi</w:t>
      </w:r>
      <w:proofErr w:type="spellEnd"/>
      <w:r>
        <w:t xml:space="preserve"> 2018; Arrieta 2019; Angelov 2021; Schwalbe 2023; Ali 2023; Belle 2021; </w:t>
      </w:r>
      <w:proofErr w:type="spellStart"/>
      <w:r>
        <w:t>Linardatos</w:t>
      </w:r>
      <w:proofErr w:type="spellEnd"/>
      <w:r>
        <w:t xml:space="preserve"> 2020; Saarela 2024; </w:t>
      </w:r>
      <w:proofErr w:type="spellStart"/>
      <w:r>
        <w:t>Malwade</w:t>
      </w:r>
      <w:proofErr w:type="spellEnd"/>
      <w:r>
        <w:t xml:space="preserve"> 2023). Sin embargo, la capacidad del campo para </w:t>
      </w:r>
      <w:r>
        <w:rPr>
          <w:i/>
          <w:iCs/>
        </w:rPr>
        <w:t>evaluar</w:t>
      </w:r>
      <w:r>
        <w:t xml:space="preserve"> esos métodos de manera comparativa, rigurosa y reproducible no ha avanzado al mismo ritmo (Doshi-</w:t>
      </w:r>
      <w:proofErr w:type="spellStart"/>
      <w:r>
        <w:t>Velez</w:t>
      </w:r>
      <w:proofErr w:type="spellEnd"/>
      <w:r>
        <w:t xml:space="preserve"> 2017; Samek 2019; Canha et al. 2025). En la práctica, esta tensión se observa incluso en explicadores locales ampliamente utilizados —como LIME y SHAP— cuyo uso extensivo contrasta con la variabilidad de criterios de evaluación reportados entre estudios (Ribeiro 2016; Lundberg 2017; Pawlicki et al. 2024). Revisiones sistemáticas recientes identifican una marcada proliferación de métricas inconexas, inconsistencia en los criterios de inclusión de instancias y ausencia de protocolos que conecten la ejecución experimental con la inferencia estadística admisible (Pawlicki et al. 2024; Abdul Kadir et al. 2023; </w:t>
      </w:r>
      <w:proofErr w:type="spellStart"/>
      <w:r>
        <w:t>Altukhi</w:t>
      </w:r>
      <w:proofErr w:type="spellEnd"/>
      <w:r>
        <w:t xml:space="preserve"> 2025; Bhattacharya and </w:t>
      </w:r>
      <w:proofErr w:type="spellStart"/>
      <w:r>
        <w:lastRenderedPageBreak/>
        <w:t>Verbert</w:t>
      </w:r>
      <w:proofErr w:type="spellEnd"/>
      <w:r>
        <w:t xml:space="preserve"> 2024; Lipton 2018). Las revisiones panorámicas del campo coinciden en el diagnóstico: el catálogo de técnicas ha crecido con rapidez (Dwivedi 2022), mientras que los retos abiertos de evaluación permanecen en buena medida sin resolver a lo largo de sucesivas meta-revisiones (Saeed 2023). Como resultado, los estudios publicados son frecuentemente inconmensurables entre sí y no permiten la acumulación sistemática de evidencia (Doshi-</w:t>
      </w:r>
      <w:proofErr w:type="spellStart"/>
      <w:r>
        <w:t>Velez</w:t>
      </w:r>
      <w:proofErr w:type="spellEnd"/>
      <w:r>
        <w:t xml:space="preserve"> 2017; Canha et al. 2025).</w:t>
      </w:r>
    </w:p>
    <w:p w14:paraId="5FF8D835" w14:textId="77777777" w:rsidR="00D762DD" w:rsidRDefault="00000000">
      <w:pPr>
        <w:pStyle w:val="BodyText"/>
      </w:pPr>
      <w:r>
        <w:t xml:space="preserve">La raíz técnica de este problema es doble. Por un lado, las métricas de fidelidad —las más ampliamente utilizadas— no capturan dimensiones igualmente relevantes para el despliegue práctico: la estabilidad ante perturbaciones de entrada, la parsimonia de las explicaciones producidas y el coste computacional por instancia (Bhattacharya and </w:t>
      </w:r>
      <w:proofErr w:type="spellStart"/>
      <w:r>
        <w:t>Verbert</w:t>
      </w:r>
      <w:proofErr w:type="spellEnd"/>
      <w:r>
        <w:t xml:space="preserve"> 2024; Abdul Kadir et al. 2023; Canha et al. 2025; Hedström et al. 2023). Por otro lado, muchas de estas métricas sufren del problema de datos fuera de la distribución (</w:t>
      </w:r>
      <w:proofErr w:type="spellStart"/>
      <w:r>
        <w:rPr>
          <w:i/>
          <w:iCs/>
        </w:rPr>
        <w:t>Out-of</w:t>
      </w:r>
      <w:proofErr w:type="spellEnd"/>
      <w:r>
        <w:rPr>
          <w:i/>
          <w:iCs/>
        </w:rPr>
        <w:t xml:space="preserve">- </w:t>
      </w:r>
      <w:proofErr w:type="spellStart"/>
      <w:r>
        <w:rPr>
          <w:i/>
          <w:iCs/>
        </w:rPr>
        <w:t>Distribution</w:t>
      </w:r>
      <w:proofErr w:type="spellEnd"/>
      <w:r>
        <w:t xml:space="preserve">, OOD): la perturbación de características genera instancias que el modelo nunca encontró durante el entrenamiento, invalidando las puntuaciones de fidelidad resultantes (Alvarez-Melis and Jaakkola 2018; Zheng et al. 2025). La disponibilidad de herramientas de benchmarking como </w:t>
      </w:r>
      <w:proofErr w:type="spellStart"/>
      <w:r>
        <w:t>Quantus</w:t>
      </w:r>
      <w:proofErr w:type="spellEnd"/>
      <w:r>
        <w:t xml:space="preserve"> (Hedström et al. 2023) y </w:t>
      </w:r>
      <w:proofErr w:type="spellStart"/>
      <w:r>
        <w:t>OpenXAI</w:t>
      </w:r>
      <w:proofErr w:type="spellEnd"/>
      <w:r>
        <w:t xml:space="preserve"> (Agarwal et al. 2022) ha mejorado la estandarización de la medición, pero no resuelve la ausencia de un protocolo de operación que discipline la trazabilidad de artefactos y la corrección de multiplicidad en la inferencia (Doshi-</w:t>
      </w:r>
      <w:proofErr w:type="spellStart"/>
      <w:r>
        <w:t>Velez</w:t>
      </w:r>
      <w:proofErr w:type="spellEnd"/>
      <w:r>
        <w:t xml:space="preserve"> 2017; Canha et al. 2025).</w:t>
      </w:r>
    </w:p>
    <w:p w14:paraId="688B5F7D" w14:textId="77777777" w:rsidR="00D762DD" w:rsidRDefault="00000000">
      <w:pPr>
        <w:pStyle w:val="BodyText"/>
      </w:pPr>
      <w:r>
        <w:t xml:space="preserve">El problema de investigación de esta tesis se formula en los siguientes términos: </w:t>
      </w:r>
      <w:r>
        <w:rPr>
          <w:b/>
          <w:bCs/>
        </w:rPr>
        <w:t xml:space="preserve">¿En qué medida difieren los métodos de </w:t>
      </w:r>
      <w:proofErr w:type="spellStart"/>
      <w:r>
        <w:rPr>
          <w:b/>
          <w:bCs/>
        </w:rPr>
        <w:t>explicabilidad</w:t>
      </w:r>
      <w:proofErr w:type="spellEnd"/>
      <w:r>
        <w:rPr>
          <w:b/>
          <w:bCs/>
        </w:rPr>
        <w:t xml:space="preserve"> agnósticos al modelo en un conjunto multidimensional de métricas de calidad bajo condiciones de benchmarking controladas y reproducibles, y qué criterios técnicos permiten orientar su selección en función de los objetivos operativos?</w:t>
      </w:r>
    </w:p>
    <w:p w14:paraId="45DB3060" w14:textId="77777777" w:rsidR="00D762DD" w:rsidRDefault="00000000">
      <w:pPr>
        <w:pStyle w:val="Heading2"/>
      </w:pPr>
      <w:bookmarkStart w:id="12" w:name="justificación-científica-y-práctica"/>
      <w:bookmarkStart w:id="13" w:name="_Toc238925702"/>
      <w:bookmarkEnd w:id="10"/>
      <w:r>
        <w:t>Justificación científica y práctica</w:t>
      </w:r>
      <w:bookmarkEnd w:id="13"/>
    </w:p>
    <w:p w14:paraId="04DBB748" w14:textId="77777777" w:rsidR="00D762DD" w:rsidRDefault="00000000">
      <w:r>
        <w:t xml:space="preserve">Desde el punto de vista científico, esta investigación responde a una necesidad metodológica identificada de forma recurrente en la literatura: la falta de un protocolo unificado que conecte el diseño experimental, la calificación de artefactos y la inferencia estadística controlada (Hedström </w:t>
      </w:r>
      <w:r>
        <w:lastRenderedPageBreak/>
        <w:t>et al. 2023; Agarwal et al. 2022; Zheng et al. 2025; Doshi-</w:t>
      </w:r>
      <w:proofErr w:type="spellStart"/>
      <w:r>
        <w:t>Velez</w:t>
      </w:r>
      <w:proofErr w:type="spellEnd"/>
      <w:r>
        <w:t xml:space="preserve"> 2017; Allen 2024). La formalización de ese protocolo como un método de operación de siete puertas (FOM-7) constituye en sí misma una contribución al campo de la metodología de evaluación en XAI (Canha et al. 2025). Complementariamente, la construcción de una taxonomía estructurada del espacio de métricas de evaluación proporciona un marco conceptual que organiza las brechas de constructo actualmente dispersas en la literatura (Pawlicki et al. 2024; Abdul Kadir et al. 2023; Nizam and Zafar 2023; </w:t>
      </w:r>
      <w:proofErr w:type="spellStart"/>
      <w:r>
        <w:t>Marcinkevičs</w:t>
      </w:r>
      <w:proofErr w:type="spellEnd"/>
      <w:r>
        <w:t xml:space="preserve"> 2023; Schwalbe 2023).</w:t>
      </w:r>
    </w:p>
    <w:p w14:paraId="7C1307EA" w14:textId="77777777" w:rsidR="00D762DD" w:rsidRDefault="00000000">
      <w:pPr>
        <w:pStyle w:val="BodyText"/>
      </w:pPr>
      <w:r>
        <w:t xml:space="preserve">Desde el punto de vista práctico, los sistemas de IA se despliegan de forma creciente en dominios donde la </w:t>
      </w:r>
      <w:proofErr w:type="spellStart"/>
      <w:r>
        <w:t>explicabilidad</w:t>
      </w:r>
      <w:proofErr w:type="spellEnd"/>
      <w:r>
        <w:t xml:space="preserve"> no es opcional, sino un requisito normativo y ético (Mittelstadt 2019; </w:t>
      </w:r>
      <w:proofErr w:type="spellStart"/>
      <w:r>
        <w:t>Floridi</w:t>
      </w:r>
      <w:proofErr w:type="spellEnd"/>
      <w:r>
        <w:t xml:space="preserve"> 2018; </w:t>
      </w:r>
      <w:proofErr w:type="spellStart"/>
      <w:r>
        <w:t>Hassija</w:t>
      </w:r>
      <w:proofErr w:type="spellEnd"/>
      <w:r>
        <w:t xml:space="preserve"> 2023; Ali 2023). En este contexto, los profesionales y organizaciones necesitan criterios técnicos fundamentados que orienten la selección de métodos XAI en función de objetivos operativos concretos —p. ej., alta fiabilidad auditora frente a baja latencia de respuesta— y de las preferencias y expectativas de los usuarios (Murdoch 2019; Rudin 2022; Belle 2021; Tripathy 2024; Hoffman et al. 2023; </w:t>
      </w:r>
      <w:proofErr w:type="spellStart"/>
      <w:r>
        <w:t>Nussberger</w:t>
      </w:r>
      <w:proofErr w:type="spellEnd"/>
      <w:r>
        <w:t xml:space="preserve"> 2022). Esta tesis provee esa orientación a través de un análisis empírico pareado, reproducible y estadísticamente riguroso sobre datos tabulares reales.</w:t>
      </w:r>
    </w:p>
    <w:p w14:paraId="01239625" w14:textId="77777777" w:rsidR="00D762DD" w:rsidRDefault="00000000">
      <w:pPr>
        <w:pStyle w:val="BodyText"/>
      </w:pPr>
      <w:r>
        <w:t xml:space="preserve">La amplitud de dominios en que la </w:t>
      </w:r>
      <w:proofErr w:type="spellStart"/>
      <w:r>
        <w:t>explicabilidad</w:t>
      </w:r>
      <w:proofErr w:type="spellEnd"/>
      <w:r>
        <w:t xml:space="preserve"> se despliega refuerza la necesidad de criterios de selección fundamentados. La literatura reciente documenta aplicaciones en seguridad informática —análisis de programas maliciosos (Saqib et al. 2024), detección de URL fraudulentas (Mittal 2023) y robustez frente a ejemplos adversarios (Gafur et al. 2024)—, en educación (</w:t>
      </w:r>
      <w:proofErr w:type="spellStart"/>
      <w:r>
        <w:t>Iatrellis</w:t>
      </w:r>
      <w:proofErr w:type="spellEnd"/>
      <w:r>
        <w:t xml:space="preserve"> et al. 2023; Gomez et al. 2024), en agricultura digital (Porfírio 2024), en biología estructural (Tan and Zhang 2023), en la auditoría de sesgos en sistemas de clasificación de texto (Muntasir and Noor 2024) y en la anticipación de necesidades formativas (</w:t>
      </w:r>
      <w:proofErr w:type="spellStart"/>
      <w:r>
        <w:t>Bobitan</w:t>
      </w:r>
      <w:proofErr w:type="spellEnd"/>
      <w:r>
        <w:t xml:space="preserve"> et al. 2024). El mismo desplazamiento alcanza a la simulación (Feldkamp and Strassburger 2023), a la computación evolutiva (</w:t>
      </w:r>
      <w:proofErr w:type="spellStart"/>
      <w:r>
        <w:t>Bacardit</w:t>
      </w:r>
      <w:proofErr w:type="spellEnd"/>
      <w:r>
        <w:t xml:space="preserve"> et al. 2024) y al diseño de agentes autónomos, donde la exigencia de </w:t>
      </w:r>
      <w:proofErr w:type="spellStart"/>
      <w:r>
        <w:t>explicabilidad</w:t>
      </w:r>
      <w:proofErr w:type="spellEnd"/>
      <w:r>
        <w:t xml:space="preserve"> se plantea ya como requisito arquitectónico (Rodriguez and </w:t>
      </w:r>
      <w:proofErr w:type="spellStart"/>
      <w:r>
        <w:t>Thangarajah</w:t>
      </w:r>
      <w:proofErr w:type="spellEnd"/>
      <w:r>
        <w:t xml:space="preserve"> 2024; Hosseini and </w:t>
      </w:r>
      <w:proofErr w:type="spellStart"/>
      <w:r>
        <w:t>Seilani</w:t>
      </w:r>
      <w:proofErr w:type="spellEnd"/>
      <w:r>
        <w:t xml:space="preserve"> 2025). En todos estos contextos la pregunta operativa es la misma —qué método explicador elegir y con qué garantías— y en ninguno se responde con un </w:t>
      </w:r>
      <w:r>
        <w:lastRenderedPageBreak/>
        <w:t>criterio único: cada dominio prioriza dimensiones de calidad distintas, lo que justifica un marco de evaluación multidimensional en lugar de un ranking absoluto.</w:t>
      </w:r>
    </w:p>
    <w:p w14:paraId="4D43BFEA" w14:textId="77777777" w:rsidR="00D762DD" w:rsidRDefault="00000000">
      <w:pPr>
        <w:pStyle w:val="Heading2"/>
      </w:pPr>
      <w:bookmarkStart w:id="14" w:name="objetivos-e-hipótesis"/>
      <w:bookmarkStart w:id="15" w:name="_Toc238925703"/>
      <w:bookmarkEnd w:id="12"/>
      <w:r>
        <w:t>Objetivos e hipótesis</w:t>
      </w:r>
      <w:bookmarkEnd w:id="15"/>
    </w:p>
    <w:p w14:paraId="3B264FDF" w14:textId="77777777" w:rsidR="00D762DD" w:rsidRDefault="00000000">
      <w:pPr>
        <w:pStyle w:val="Heading3"/>
      </w:pPr>
      <w:bookmarkStart w:id="16" w:name="objetivo-general"/>
      <w:bookmarkStart w:id="17" w:name="_Toc238925704"/>
      <w:r>
        <w:t>Objetivo general</w:t>
      </w:r>
      <w:bookmarkEnd w:id="17"/>
    </w:p>
    <w:p w14:paraId="47D2F77A" w14:textId="77777777" w:rsidR="00D762DD" w:rsidRDefault="00000000">
      <w:r>
        <w:t xml:space="preserve">Desarrollar y validar un marco de evaluación multinivel y reproducible para métodos de </w:t>
      </w:r>
      <w:proofErr w:type="spellStart"/>
      <w:r>
        <w:t>explicabilidad</w:t>
      </w:r>
      <w:proofErr w:type="spellEnd"/>
      <w:r>
        <w:t xml:space="preserve"> agnósticos al modelo, que integre un protocolo de benchmarking cuantitativo </w:t>
      </w:r>
      <w:proofErr w:type="spellStart"/>
      <w:r>
        <w:t>multi-métrico</w:t>
      </w:r>
      <w:proofErr w:type="spellEnd"/>
      <w:r>
        <w:t xml:space="preserve"> y un análisis taxonómico estructurado, con el fin de establecer criterios técnicamente rigurosos para la selección y comparación de métodos XAI en contextos de datos tabulares.</w:t>
      </w:r>
    </w:p>
    <w:p w14:paraId="036CD885" w14:textId="77777777" w:rsidR="00D762DD" w:rsidRDefault="00000000">
      <w:pPr>
        <w:pStyle w:val="Heading3"/>
      </w:pPr>
      <w:bookmarkStart w:id="18" w:name="objetivos-específicos"/>
      <w:bookmarkStart w:id="19" w:name="_Toc238925705"/>
      <w:bookmarkEnd w:id="16"/>
      <w:r>
        <w:t>Objetivos específicos</w:t>
      </w:r>
      <w:bookmarkEnd w:id="19"/>
    </w:p>
    <w:p w14:paraId="01BB0797" w14:textId="77777777" w:rsidR="00D762DD" w:rsidRDefault="00000000">
      <w:pPr>
        <w:numPr>
          <w:ilvl w:val="0"/>
          <w:numId w:val="1"/>
        </w:numPr>
      </w:pPr>
      <w:r>
        <w:t>Diseñar y formalizar un protocolo de benchmarking reproducible (FOM-7) que garantice trazabilidad entre artefactos de ejecución, calificación de evidencia e inferencia estadística admisible (Canha et al. 2025; Hedström et al. 2023; Agarwal et al. 2022).</w:t>
      </w:r>
    </w:p>
    <w:p w14:paraId="7F1ED1D7" w14:textId="77777777" w:rsidR="00D762DD" w:rsidRPr="00AC5577" w:rsidRDefault="00000000">
      <w:pPr>
        <w:numPr>
          <w:ilvl w:val="0"/>
          <w:numId w:val="1"/>
        </w:numPr>
        <w:rPr>
          <w:lang w:val="en-US"/>
        </w:rPr>
      </w:pPr>
      <w:r>
        <w:t xml:space="preserve">Evaluar comparativamente cuatro métodos agnósticos —SHAP, LIME, Anchors y </w:t>
      </w:r>
      <w:proofErr w:type="spellStart"/>
      <w:r>
        <w:t>DiCE</w:t>
      </w:r>
      <w:proofErr w:type="spellEnd"/>
      <w:r>
        <w:t xml:space="preserve">— sobre cinco familias de modelos en el conjunto de datos UCI </w:t>
      </w:r>
      <w:proofErr w:type="spellStart"/>
      <w:r>
        <w:t>Adult</w:t>
      </w:r>
      <w:proofErr w:type="spellEnd"/>
      <w:r>
        <w:t xml:space="preserve"> </w:t>
      </w:r>
      <w:proofErr w:type="spellStart"/>
      <w:r>
        <w:t>Income</w:t>
      </w:r>
      <w:proofErr w:type="spellEnd"/>
      <w:r>
        <w:t xml:space="preserve">, utilizando un conjunto multidimensional de métricas: fidelidad, estabilidad, parsimonia, brecha de fidelidad y coste computacional. </w:t>
      </w:r>
      <w:r w:rsidRPr="00AC5577">
        <w:rPr>
          <w:lang w:val="en-US"/>
        </w:rPr>
        <w:t xml:space="preserve">(Lundberg 2017; Ribeiro 2016, 2018; </w:t>
      </w:r>
      <w:proofErr w:type="spellStart"/>
      <w:r w:rsidRPr="00AC5577">
        <w:rPr>
          <w:lang w:val="en-US"/>
        </w:rPr>
        <w:t>Mothilal</w:t>
      </w:r>
      <w:proofErr w:type="spellEnd"/>
      <w:r w:rsidRPr="00AC5577">
        <w:rPr>
          <w:lang w:val="en-US"/>
        </w:rPr>
        <w:t xml:space="preserve"> 2020; Wachter 2017; Kohavi and Becker 1996; Abdul Kadir et al. 2023; Bhattacharya and </w:t>
      </w:r>
      <w:proofErr w:type="spellStart"/>
      <w:r w:rsidRPr="00AC5577">
        <w:rPr>
          <w:lang w:val="en-US"/>
        </w:rPr>
        <w:t>Verbert</w:t>
      </w:r>
      <w:proofErr w:type="spellEnd"/>
      <w:r w:rsidRPr="00AC5577">
        <w:rPr>
          <w:lang w:val="en-US"/>
        </w:rPr>
        <w:t xml:space="preserve"> 2024)</w:t>
      </w:r>
    </w:p>
    <w:p w14:paraId="5C6528D5" w14:textId="77777777" w:rsidR="00D762DD" w:rsidRDefault="00000000">
      <w:pPr>
        <w:numPr>
          <w:ilvl w:val="0"/>
          <w:numId w:val="1"/>
        </w:numPr>
      </w:pPr>
      <w:r>
        <w:t>Cuantificar las diferencias en la relación calidad-coste entre LIME y SHAP mediante pruebas estadísticas pareadas sobre celdas coincidentes de modelo, semilla y tamaño de muestra.</w:t>
      </w:r>
    </w:p>
    <w:p w14:paraId="2FDC4A5F" w14:textId="77777777" w:rsidR="00D762DD" w:rsidRDefault="00000000">
      <w:pPr>
        <w:numPr>
          <w:ilvl w:val="0"/>
          <w:numId w:val="1"/>
        </w:numPr>
      </w:pPr>
      <w:r>
        <w:t>Caracterizar el perfil de reproducibilidad del protocolo de benchmarking mediante el análisis de la dispersión métrica bajo ejecuciones repetidas con semillas distintas.</w:t>
      </w:r>
    </w:p>
    <w:p w14:paraId="311DF3EE" w14:textId="77777777" w:rsidR="00D762DD" w:rsidRDefault="00000000">
      <w:pPr>
        <w:numPr>
          <w:ilvl w:val="0"/>
          <w:numId w:val="1"/>
        </w:numPr>
      </w:pPr>
      <w:r>
        <w:t xml:space="preserve">Construir una taxonomía estructurada del espacio de métricas de evaluación XAI organizada en cuatro ejes —objetivo de evaluación, fuente de evidencia, propiedad de calidad y contexto de tarea— que sirva de marco conceptual integrador para el Estudio </w:t>
      </w:r>
      <w:proofErr w:type="spellStart"/>
      <w:r>
        <w:lastRenderedPageBreak/>
        <w:t>Omnibus</w:t>
      </w:r>
      <w:proofErr w:type="spellEnd"/>
      <w:r>
        <w:t xml:space="preserve"> </w:t>
      </w:r>
      <w:proofErr w:type="spellStart"/>
      <w:r>
        <w:t>Multimétrico</w:t>
      </w:r>
      <w:proofErr w:type="spellEnd"/>
      <w:r>
        <w:t xml:space="preserve"> —la comparación de los cuatro métodos agnósticos— y el Estudio Pareado LIME–SHAP, y que haga explícitas las brechas de constructo del campo (Abdul Kadir et al. 2023; Pawlicki et al. 2024; Nizam and Zafar 2023; </w:t>
      </w:r>
      <w:proofErr w:type="spellStart"/>
      <w:r>
        <w:t>Marcinkevičs</w:t>
      </w:r>
      <w:proofErr w:type="spellEnd"/>
      <w:r>
        <w:t xml:space="preserve"> 2023; Schwalbe 2023).</w:t>
      </w:r>
    </w:p>
    <w:p w14:paraId="6523CDFF" w14:textId="77777777" w:rsidR="00D762DD" w:rsidRDefault="00000000">
      <w:pPr>
        <w:numPr>
          <w:ilvl w:val="0"/>
          <w:numId w:val="1"/>
        </w:numPr>
      </w:pPr>
      <w:r>
        <w:t xml:space="preserve">Cuantificar la fiabilidad </w:t>
      </w:r>
      <w:proofErr w:type="spellStart"/>
      <w:r>
        <w:t>inter-juez</w:t>
      </w:r>
      <w:proofErr w:type="spellEnd"/>
      <w:r>
        <w:t xml:space="preserve"> de evaluadores semánticos basados en modelos de lenguaje sobre explicaciones del corpus experimental, con el fin de determinar si dicho instrumento alcanza la convergencia necesaria para sostener afirmaciones confirmativas. Derivado de la Brecha 3 del Capítulo 5, su alcance es exploratorio y de calibración instrumental, no confirmativo; el estatuto epistémico de la proposición asociada se argumenta junto a P2 (Koo and Li 2016; Bhattacharya and </w:t>
      </w:r>
      <w:proofErr w:type="spellStart"/>
      <w:r>
        <w:t>Verbert</w:t>
      </w:r>
      <w:proofErr w:type="spellEnd"/>
      <w:r>
        <w:t xml:space="preserve"> 2024).</w:t>
      </w:r>
    </w:p>
    <w:p w14:paraId="29A295FE" w14:textId="77777777" w:rsidR="00D762DD" w:rsidRDefault="00000000">
      <w:pPr>
        <w:pStyle w:val="Heading3"/>
      </w:pPr>
      <w:bookmarkStart w:id="20" w:name="nomenclatura-de-los-estudios"/>
      <w:bookmarkStart w:id="21" w:name="_Toc238925706"/>
      <w:bookmarkEnd w:id="18"/>
      <w:r>
        <w:t>Nomenclatura de los estudios</w:t>
      </w:r>
      <w:bookmarkEnd w:id="21"/>
    </w:p>
    <w:p w14:paraId="5D60E965" w14:textId="77777777" w:rsidR="00D762DD" w:rsidRDefault="00000000">
      <w:r>
        <w:t>La investigación se articula en cuatro estudios, cuya denominación se emplea de forma uniforme en el resto del documento. Los objetivos 1 y 4 —formalización del protocolo FOM-7 y caracterización de su reproducibilidad— son transversales a los dos estudios empíricos y no se adscriben a uno solo de ellos.</w:t>
      </w:r>
    </w:p>
    <w:tbl>
      <w:tblPr>
        <w:tblW w:w="5000" w:type="pct"/>
        <w:tblLayout w:type="fixed"/>
        <w:tblLook w:val="0000" w:firstRow="0" w:lastRow="0" w:firstColumn="0" w:lastColumn="0" w:noHBand="0" w:noVBand="0"/>
      </w:tblPr>
      <w:tblGrid>
        <w:gridCol w:w="9576"/>
      </w:tblGrid>
      <w:tr w:rsidR="00D762DD" w14:paraId="28E10164" w14:textId="77777777">
        <w:tc>
          <w:tcPr>
            <w:tcW w:w="7920" w:type="dxa"/>
          </w:tcPr>
          <w:p w14:paraId="69E6A367" w14:textId="77777777" w:rsidR="00D762DD" w:rsidRDefault="00000000">
            <w:pPr>
              <w:spacing w:before="200"/>
              <w:jc w:val="left"/>
            </w:pPr>
            <w:bookmarkStart w:id="22" w:name="tbl-estudios"/>
            <w:r>
              <w:t>Table 2.1: Nomenclatura, alcance y trazabilidad de los cuatro estudios.</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588"/>
              <w:gridCol w:w="4058"/>
              <w:gridCol w:w="1764"/>
              <w:gridCol w:w="1940"/>
            </w:tblGrid>
            <w:tr w:rsidR="00D762DD" w14:paraId="2AEBE893" w14:textId="77777777" w:rsidTr="00A52D0E">
              <w:trPr>
                <w:tblHeader/>
                <w:jc w:val="center"/>
              </w:trPr>
              <w:tc>
                <w:tcPr>
                  <w:tcW w:w="1344" w:type="dxa"/>
                </w:tcPr>
                <w:p w14:paraId="50178CD8" w14:textId="77777777" w:rsidR="00D762DD" w:rsidRPr="00A52D0E" w:rsidRDefault="00000000">
                  <w:pPr>
                    <w:jc w:val="center"/>
                    <w:rPr>
                      <w:b/>
                      <w:bCs/>
                    </w:rPr>
                  </w:pPr>
                  <w:r w:rsidRPr="00A52D0E">
                    <w:rPr>
                      <w:b/>
                      <w:bCs/>
                    </w:rPr>
                    <w:t>Estudio</w:t>
                  </w:r>
                </w:p>
              </w:tc>
              <w:tc>
                <w:tcPr>
                  <w:tcW w:w="3436" w:type="dxa"/>
                </w:tcPr>
                <w:p w14:paraId="32831FEC" w14:textId="77777777" w:rsidR="00D762DD" w:rsidRPr="00A52D0E" w:rsidRDefault="00000000">
                  <w:pPr>
                    <w:jc w:val="center"/>
                    <w:rPr>
                      <w:b/>
                      <w:bCs/>
                    </w:rPr>
                  </w:pPr>
                  <w:r w:rsidRPr="00A52D0E">
                    <w:rPr>
                      <w:b/>
                      <w:bCs/>
                    </w:rPr>
                    <w:t>Pregunta que responde</w:t>
                  </w:r>
                </w:p>
              </w:tc>
              <w:tc>
                <w:tcPr>
                  <w:tcW w:w="1494" w:type="dxa"/>
                </w:tcPr>
                <w:p w14:paraId="6B6C7853" w14:textId="77777777" w:rsidR="00D762DD" w:rsidRPr="00A52D0E" w:rsidRDefault="00000000">
                  <w:pPr>
                    <w:jc w:val="center"/>
                    <w:rPr>
                      <w:b/>
                      <w:bCs/>
                    </w:rPr>
                  </w:pPr>
                  <w:r w:rsidRPr="00A52D0E">
                    <w:rPr>
                      <w:b/>
                      <w:bCs/>
                    </w:rPr>
                    <w:t>Objetivo</w:t>
                  </w:r>
                </w:p>
              </w:tc>
              <w:tc>
                <w:tcPr>
                  <w:tcW w:w="1643" w:type="dxa"/>
                </w:tcPr>
                <w:p w14:paraId="3B50EEF4" w14:textId="77777777" w:rsidR="00D762DD" w:rsidRPr="00A52D0E" w:rsidRDefault="00000000">
                  <w:pPr>
                    <w:jc w:val="center"/>
                    <w:rPr>
                      <w:b/>
                      <w:bCs/>
                    </w:rPr>
                  </w:pPr>
                  <w:r w:rsidRPr="00A52D0E">
                    <w:rPr>
                      <w:b/>
                      <w:bCs/>
                    </w:rPr>
                    <w:t>Capítulos</w:t>
                  </w:r>
                </w:p>
              </w:tc>
            </w:tr>
            <w:tr w:rsidR="00D762DD" w14:paraId="2C5354C6" w14:textId="77777777" w:rsidTr="00A52D0E">
              <w:trPr>
                <w:jc w:val="center"/>
              </w:trPr>
              <w:tc>
                <w:tcPr>
                  <w:tcW w:w="1344" w:type="dxa"/>
                </w:tcPr>
                <w:p w14:paraId="37461264" w14:textId="77777777" w:rsidR="00D762DD" w:rsidRDefault="00000000">
                  <w:pPr>
                    <w:jc w:val="center"/>
                  </w:pPr>
                  <w:r>
                    <w:rPr>
                      <w:b/>
                      <w:bCs/>
                    </w:rPr>
                    <w:t xml:space="preserve">Estudio </w:t>
                  </w:r>
                  <w:proofErr w:type="spellStart"/>
                  <w:r>
                    <w:rPr>
                      <w:b/>
                      <w:bCs/>
                    </w:rPr>
                    <w:t>Omnibus</w:t>
                  </w:r>
                  <w:proofErr w:type="spellEnd"/>
                  <w:r>
                    <w:rPr>
                      <w:b/>
                      <w:bCs/>
                    </w:rPr>
                    <w:t xml:space="preserve"> </w:t>
                  </w:r>
                  <w:proofErr w:type="spellStart"/>
                  <w:r>
                    <w:rPr>
                      <w:b/>
                      <w:bCs/>
                    </w:rPr>
                    <w:t>Multimétrico</w:t>
                  </w:r>
                  <w:proofErr w:type="spellEnd"/>
                </w:p>
              </w:tc>
              <w:tc>
                <w:tcPr>
                  <w:tcW w:w="3436" w:type="dxa"/>
                </w:tcPr>
                <w:p w14:paraId="163C48A4" w14:textId="77777777" w:rsidR="00D762DD" w:rsidRDefault="00000000">
                  <w:pPr>
                    <w:jc w:val="center"/>
                  </w:pPr>
                  <w:r>
                    <w:t xml:space="preserve">¿Difieren SHAP, </w:t>
                  </w:r>
                  <w:proofErr w:type="gramStart"/>
                  <w:r>
                    <w:t xml:space="preserve">LIME, Anchors y </w:t>
                  </w:r>
                  <w:proofErr w:type="spellStart"/>
                  <w:r>
                    <w:t>DiCE</w:t>
                  </w:r>
                  <w:proofErr w:type="spellEnd"/>
                  <w:r>
                    <w:t xml:space="preserve"> en las cinco métricas de calidad sobre el diseño factorial completo?</w:t>
                  </w:r>
                  <w:proofErr w:type="gramEnd"/>
                </w:p>
              </w:tc>
              <w:tc>
                <w:tcPr>
                  <w:tcW w:w="1494" w:type="dxa"/>
                </w:tcPr>
                <w:p w14:paraId="21BB8BE7" w14:textId="77777777" w:rsidR="00D762DD" w:rsidRDefault="00000000">
                  <w:pPr>
                    <w:jc w:val="center"/>
                  </w:pPr>
                  <w:r>
                    <w:t>OE2</w:t>
                  </w:r>
                </w:p>
              </w:tc>
              <w:tc>
                <w:tcPr>
                  <w:tcW w:w="1643" w:type="dxa"/>
                </w:tcPr>
                <w:p w14:paraId="32F2EBF8" w14:textId="77777777" w:rsidR="00D762DD" w:rsidRDefault="00000000">
                  <w:pPr>
                    <w:jc w:val="center"/>
                  </w:pPr>
                  <w:r>
                    <w:t>3 y 4</w:t>
                  </w:r>
                </w:p>
              </w:tc>
            </w:tr>
            <w:tr w:rsidR="00D762DD" w14:paraId="1D28AAF4" w14:textId="77777777" w:rsidTr="00A52D0E">
              <w:trPr>
                <w:jc w:val="center"/>
              </w:trPr>
              <w:tc>
                <w:tcPr>
                  <w:tcW w:w="1344" w:type="dxa"/>
                </w:tcPr>
                <w:p w14:paraId="13E7F4F1" w14:textId="77777777" w:rsidR="00D762DD" w:rsidRDefault="00000000">
                  <w:pPr>
                    <w:jc w:val="center"/>
                  </w:pPr>
                  <w:r>
                    <w:rPr>
                      <w:b/>
                      <w:bCs/>
                    </w:rPr>
                    <w:t>Estudio Pareado LIME–SHAP</w:t>
                  </w:r>
                </w:p>
              </w:tc>
              <w:tc>
                <w:tcPr>
                  <w:tcW w:w="3436" w:type="dxa"/>
                </w:tcPr>
                <w:p w14:paraId="44AC8031" w14:textId="77777777" w:rsidR="00D762DD" w:rsidRDefault="00000000">
                  <w:pPr>
                    <w:jc w:val="center"/>
                  </w:pPr>
                  <w:r>
                    <w:t>¿Cómo se comporta la relación calidad-coste entre LIME y SHAP sobre celdas coincidentes de modelo, semilla y tamaño de muestra?</w:t>
                  </w:r>
                </w:p>
              </w:tc>
              <w:tc>
                <w:tcPr>
                  <w:tcW w:w="1494" w:type="dxa"/>
                </w:tcPr>
                <w:p w14:paraId="28BEABF2" w14:textId="77777777" w:rsidR="00D762DD" w:rsidRDefault="00000000">
                  <w:pPr>
                    <w:jc w:val="center"/>
                  </w:pPr>
                  <w:r>
                    <w:t>OE3</w:t>
                  </w:r>
                </w:p>
              </w:tc>
              <w:tc>
                <w:tcPr>
                  <w:tcW w:w="1643" w:type="dxa"/>
                </w:tcPr>
                <w:p w14:paraId="35D73C14" w14:textId="77777777" w:rsidR="00D762DD" w:rsidRDefault="00000000">
                  <w:pPr>
                    <w:jc w:val="center"/>
                  </w:pPr>
                  <w:r>
                    <w:t>3 y 4</w:t>
                  </w:r>
                </w:p>
              </w:tc>
            </w:tr>
            <w:tr w:rsidR="00D762DD" w14:paraId="57BF05B4" w14:textId="77777777" w:rsidTr="00A52D0E">
              <w:trPr>
                <w:jc w:val="center"/>
              </w:trPr>
              <w:tc>
                <w:tcPr>
                  <w:tcW w:w="1344" w:type="dxa"/>
                </w:tcPr>
                <w:p w14:paraId="3C330465" w14:textId="77777777" w:rsidR="00D762DD" w:rsidRDefault="00000000">
                  <w:pPr>
                    <w:jc w:val="center"/>
                  </w:pPr>
                  <w:r>
                    <w:rPr>
                      <w:b/>
                      <w:bCs/>
                    </w:rPr>
                    <w:t xml:space="preserve">Estudio </w:t>
                  </w:r>
                  <w:r>
                    <w:rPr>
                      <w:b/>
                      <w:bCs/>
                    </w:rPr>
                    <w:lastRenderedPageBreak/>
                    <w:t>Taxonómico</w:t>
                  </w:r>
                </w:p>
              </w:tc>
              <w:tc>
                <w:tcPr>
                  <w:tcW w:w="3436" w:type="dxa"/>
                </w:tcPr>
                <w:p w14:paraId="0C3C618C" w14:textId="77777777" w:rsidR="00D762DD" w:rsidRDefault="00000000">
                  <w:pPr>
                    <w:jc w:val="center"/>
                  </w:pPr>
                  <w:r>
                    <w:lastRenderedPageBreak/>
                    <w:t xml:space="preserve">¿Qué estructura conceptual organiza el </w:t>
                  </w:r>
                  <w:r>
                    <w:lastRenderedPageBreak/>
                    <w:t>espacio de métricas de evaluación XAI y qué brechas de constructo revela?</w:t>
                  </w:r>
                </w:p>
              </w:tc>
              <w:tc>
                <w:tcPr>
                  <w:tcW w:w="1494" w:type="dxa"/>
                </w:tcPr>
                <w:p w14:paraId="0376FCF3" w14:textId="77777777" w:rsidR="00D762DD" w:rsidRDefault="00000000">
                  <w:pPr>
                    <w:jc w:val="center"/>
                  </w:pPr>
                  <w:r>
                    <w:lastRenderedPageBreak/>
                    <w:t>OE5</w:t>
                  </w:r>
                </w:p>
              </w:tc>
              <w:tc>
                <w:tcPr>
                  <w:tcW w:w="1643" w:type="dxa"/>
                </w:tcPr>
                <w:p w14:paraId="06D29587" w14:textId="77777777" w:rsidR="00D762DD" w:rsidRDefault="00000000">
                  <w:pPr>
                    <w:jc w:val="center"/>
                  </w:pPr>
                  <w:r>
                    <w:t>5</w:t>
                  </w:r>
                </w:p>
              </w:tc>
            </w:tr>
            <w:tr w:rsidR="00D762DD" w14:paraId="2DB4C264" w14:textId="77777777" w:rsidTr="00A52D0E">
              <w:trPr>
                <w:jc w:val="center"/>
              </w:trPr>
              <w:tc>
                <w:tcPr>
                  <w:tcW w:w="1344" w:type="dxa"/>
                </w:tcPr>
                <w:p w14:paraId="564AA3EE" w14:textId="77777777" w:rsidR="00D762DD" w:rsidRDefault="00000000">
                  <w:pPr>
                    <w:jc w:val="center"/>
                  </w:pPr>
                  <w:r>
                    <w:rPr>
                      <w:b/>
                      <w:bCs/>
                    </w:rPr>
                    <w:t xml:space="preserve">Estudio de Fiabilidad </w:t>
                  </w:r>
                  <w:proofErr w:type="spellStart"/>
                  <w:r>
                    <w:rPr>
                      <w:b/>
                      <w:bCs/>
                    </w:rPr>
                    <w:t>Inter-juez</w:t>
                  </w:r>
                  <w:proofErr w:type="spellEnd"/>
                </w:p>
              </w:tc>
              <w:tc>
                <w:tcPr>
                  <w:tcW w:w="3436" w:type="dxa"/>
                </w:tcPr>
                <w:p w14:paraId="087FBDA0" w14:textId="77777777" w:rsidR="00D762DD" w:rsidRDefault="00000000">
                  <w:pPr>
                    <w:jc w:val="center"/>
                  </w:pPr>
                  <w:r>
                    <w:t xml:space="preserve">¿Alcanzan los evaluadores semánticos basados en LLM la convergencia </w:t>
                  </w:r>
                  <w:proofErr w:type="spellStart"/>
                  <w:r>
                    <w:t>inter-juez</w:t>
                  </w:r>
                  <w:proofErr w:type="spellEnd"/>
                  <w:r>
                    <w:t xml:space="preserve"> necesaria para sostener afirmaciones confirmativas?</w:t>
                  </w:r>
                </w:p>
              </w:tc>
              <w:tc>
                <w:tcPr>
                  <w:tcW w:w="1494" w:type="dxa"/>
                </w:tcPr>
                <w:p w14:paraId="279A66A3" w14:textId="77777777" w:rsidR="00D762DD" w:rsidRDefault="00000000">
                  <w:pPr>
                    <w:jc w:val="center"/>
                  </w:pPr>
                  <w:r>
                    <w:t>OE6</w:t>
                  </w:r>
                </w:p>
              </w:tc>
              <w:tc>
                <w:tcPr>
                  <w:tcW w:w="1643" w:type="dxa"/>
                </w:tcPr>
                <w:p w14:paraId="696047F0" w14:textId="77777777" w:rsidR="00D762DD" w:rsidRDefault="00000000">
                  <w:pPr>
                    <w:jc w:val="center"/>
                  </w:pPr>
                  <w:r>
                    <w:t>3 y 5</w:t>
                  </w:r>
                </w:p>
              </w:tc>
            </w:tr>
            <w:bookmarkEnd w:id="22"/>
          </w:tbl>
          <w:p w14:paraId="0A924801" w14:textId="77777777" w:rsidR="00D762DD" w:rsidRDefault="00D762DD"/>
        </w:tc>
      </w:tr>
    </w:tbl>
    <w:p w14:paraId="099D3E58" w14:textId="77777777" w:rsidR="00D762DD" w:rsidRDefault="00000000">
      <w:pPr>
        <w:pStyle w:val="Heading3"/>
      </w:pPr>
      <w:bookmarkStart w:id="23" w:name="hipótesis-o-proposiciones-de-trabajo"/>
      <w:bookmarkStart w:id="24" w:name="_Toc238925707"/>
      <w:bookmarkEnd w:id="20"/>
      <w:r>
        <w:lastRenderedPageBreak/>
        <w:t>Hipótesis o proposiciones de trabajo</w:t>
      </w:r>
      <w:bookmarkEnd w:id="24"/>
    </w:p>
    <w:p w14:paraId="706D5B95" w14:textId="77777777" w:rsidR="00D762DD" w:rsidRDefault="00000000">
      <w:r>
        <w:t>Las hipótesis estadísticas formales se estructuran en torno a los tres ejes confirmatorios de la investigación empírica (H1–H3), acompañados de una proposición de reproducibilidad del protocolo (P1). A estas se añade una proposición de carácter exploratorio (P2), cuyo estatuto diferenciado se declara explícitamente al final de esta sección.</w:t>
      </w:r>
    </w:p>
    <w:p w14:paraId="2E5F4403" w14:textId="77777777" w:rsidR="00D762DD" w:rsidRDefault="00000000">
      <w:pPr>
        <w:pStyle w:val="BodyText"/>
      </w:pPr>
      <w:r>
        <w:rPr>
          <w:b/>
          <w:bCs/>
        </w:rPr>
        <w:t>H1 — Diferencias globales entre métodos (fidelidad)</w:t>
      </w:r>
    </w:p>
    <w:p w14:paraId="17C0FBB0" w14:textId="77777777" w:rsidR="00D762DD" w:rsidRDefault="00000000">
      <w:pPr>
        <w:pStyle w:val="BodyText"/>
      </w:pPr>
      <m:oMath>
        <m:sSub>
          <m:sSubPr>
            <m:ctrlPr>
              <w:rPr>
                <w:rFonts w:ascii="Cambria Math" w:hAnsi="Cambria Math"/>
              </w:rPr>
            </m:ctrlPr>
          </m:sSubPr>
          <m:e>
            <m:r>
              <w:rPr>
                <w:rFonts w:ascii="Cambria Math" w:hAnsi="Cambria Math"/>
              </w:rPr>
              <m:t>H</m:t>
            </m:r>
          </m:e>
          <m:sub>
            <m:r>
              <w:rPr>
                <w:rFonts w:ascii="Cambria Math" w:hAnsi="Cambria Math"/>
              </w:rPr>
              <m:t>0</m:t>
            </m:r>
            <m:r>
              <m:rPr>
                <m:sty m:val="p"/>
              </m:rPr>
              <w:rPr>
                <w:rFonts w:ascii="Cambria Math" w:hAnsi="Cambria Math"/>
              </w:rPr>
              <m:t>,</m:t>
            </m:r>
            <m:r>
              <w:rPr>
                <w:rFonts w:ascii="Cambria Math" w:hAnsi="Cambria Math"/>
              </w:rPr>
              <m:t>1</m:t>
            </m:r>
          </m:sub>
        </m:sSub>
      </m:oMath>
      <w:r>
        <w:t>: No existen diferencias significativas entre los métodos XAI en la métrica de fidelidad bajo el diseño de bloques emparejados.</w:t>
      </w:r>
    </w:p>
    <w:p w14:paraId="6184452F" w14:textId="77777777" w:rsidR="00D762DD" w:rsidRDefault="00000000">
      <w:pPr>
        <w:pStyle w:val="BodyText"/>
      </w:pPr>
      <m:oMath>
        <m:sSub>
          <m:sSubPr>
            <m:ctrlPr>
              <w:rPr>
                <w:rFonts w:ascii="Cambria Math" w:hAnsi="Cambria Math"/>
              </w:rPr>
            </m:ctrlPr>
          </m:sSubPr>
          <m:e>
            <m:r>
              <w:rPr>
                <w:rFonts w:ascii="Cambria Math" w:hAnsi="Cambria Math"/>
              </w:rPr>
              <m:t>H</m:t>
            </m:r>
          </m:e>
          <m:sub>
            <m:r>
              <w:rPr>
                <w:rFonts w:ascii="Cambria Math" w:hAnsi="Cambria Math"/>
              </w:rPr>
              <m:t>1</m:t>
            </m:r>
            <m:r>
              <m:rPr>
                <m:sty m:val="p"/>
              </m:rPr>
              <w:rPr>
                <w:rFonts w:ascii="Cambria Math" w:hAnsi="Cambria Math"/>
              </w:rPr>
              <m:t>,</m:t>
            </m:r>
            <m:r>
              <w:rPr>
                <w:rFonts w:ascii="Cambria Math" w:hAnsi="Cambria Math"/>
              </w:rPr>
              <m:t>1</m:t>
            </m:r>
          </m:sub>
        </m:sSub>
      </m:oMath>
      <w:r>
        <w:t>: Al menos un par de métodos difiere significativamente en fidelidad.</w:t>
      </w:r>
    </w:p>
    <w:p w14:paraId="2A5F0965" w14:textId="77777777" w:rsidR="00D762DD" w:rsidRDefault="00000000">
      <w:pPr>
        <w:pStyle w:val="BodyText"/>
      </w:pPr>
      <w:r>
        <w:rPr>
          <w:b/>
          <w:bCs/>
        </w:rPr>
        <w:t>H2 — Diferencias globales entre métodos (estabilidad)</w:t>
      </w:r>
    </w:p>
    <w:p w14:paraId="1AF8420F" w14:textId="77777777" w:rsidR="00D762DD" w:rsidRDefault="00000000">
      <w:pPr>
        <w:pStyle w:val="BodyText"/>
      </w:pPr>
      <m:oMath>
        <m:sSub>
          <m:sSubPr>
            <m:ctrlPr>
              <w:rPr>
                <w:rFonts w:ascii="Cambria Math" w:hAnsi="Cambria Math"/>
              </w:rPr>
            </m:ctrlPr>
          </m:sSubPr>
          <m:e>
            <m:r>
              <w:rPr>
                <w:rFonts w:ascii="Cambria Math" w:hAnsi="Cambria Math"/>
              </w:rPr>
              <m:t>H</m:t>
            </m:r>
          </m:e>
          <m:sub>
            <m:r>
              <w:rPr>
                <w:rFonts w:ascii="Cambria Math" w:hAnsi="Cambria Math"/>
              </w:rPr>
              <m:t>0</m:t>
            </m:r>
            <m:r>
              <m:rPr>
                <m:sty m:val="p"/>
              </m:rPr>
              <w:rPr>
                <w:rFonts w:ascii="Cambria Math" w:hAnsi="Cambria Math"/>
              </w:rPr>
              <m:t>,</m:t>
            </m:r>
            <m:r>
              <w:rPr>
                <w:rFonts w:ascii="Cambria Math" w:hAnsi="Cambria Math"/>
              </w:rPr>
              <m:t>2</m:t>
            </m:r>
          </m:sub>
        </m:sSub>
      </m:oMath>
      <w:r>
        <w:t>: No existen diferencias significativas entre los métodos XAI en la métrica de estabilidad bajo el diseño de bloques emparejados.</w:t>
      </w:r>
    </w:p>
    <w:p w14:paraId="410AEF2C" w14:textId="77777777" w:rsidR="00D762DD" w:rsidRDefault="00000000">
      <w:pPr>
        <w:pStyle w:val="BodyText"/>
      </w:pPr>
      <m:oMath>
        <m:sSub>
          <m:sSubPr>
            <m:ctrlPr>
              <w:rPr>
                <w:rFonts w:ascii="Cambria Math" w:hAnsi="Cambria Math"/>
              </w:rPr>
            </m:ctrlPr>
          </m:sSubPr>
          <m:e>
            <m:r>
              <w:rPr>
                <w:rFonts w:ascii="Cambria Math" w:hAnsi="Cambria Math"/>
              </w:rPr>
              <m:t>H</m:t>
            </m:r>
          </m:e>
          <m:sub>
            <m:r>
              <w:rPr>
                <w:rFonts w:ascii="Cambria Math" w:hAnsi="Cambria Math"/>
              </w:rPr>
              <m:t>1</m:t>
            </m:r>
            <m:r>
              <m:rPr>
                <m:sty m:val="p"/>
              </m:rPr>
              <w:rPr>
                <w:rFonts w:ascii="Cambria Math" w:hAnsi="Cambria Math"/>
              </w:rPr>
              <m:t>,</m:t>
            </m:r>
            <m:r>
              <w:rPr>
                <w:rFonts w:ascii="Cambria Math" w:hAnsi="Cambria Math"/>
              </w:rPr>
              <m:t>2</m:t>
            </m:r>
          </m:sub>
        </m:sSub>
      </m:oMath>
      <w:r>
        <w:t>: Al menos un par de métodos difiere significativamente en estabilidad.</w:t>
      </w:r>
    </w:p>
    <w:p w14:paraId="5B864DE3" w14:textId="77777777" w:rsidR="00D762DD" w:rsidRDefault="00000000">
      <w:pPr>
        <w:pStyle w:val="BodyText"/>
      </w:pPr>
      <w:r>
        <w:rPr>
          <w:b/>
          <w:bCs/>
        </w:rPr>
        <w:t>H3 — Relación calidad-coste SHAP vs. LIME</w:t>
      </w:r>
    </w:p>
    <w:p w14:paraId="4A66F4AD" w14:textId="77777777" w:rsidR="00D762DD" w:rsidRDefault="00000000">
      <w:pPr>
        <w:pStyle w:val="BodyText"/>
      </w:pPr>
      <m:oMath>
        <m:sSub>
          <m:sSubPr>
            <m:ctrlPr>
              <w:rPr>
                <w:rFonts w:ascii="Cambria Math" w:hAnsi="Cambria Math"/>
              </w:rPr>
            </m:ctrlPr>
          </m:sSubPr>
          <m:e>
            <m:r>
              <w:rPr>
                <w:rFonts w:ascii="Cambria Math" w:hAnsi="Cambria Math"/>
              </w:rPr>
              <m:t>H</m:t>
            </m:r>
          </m:e>
          <m:sub>
            <m:r>
              <w:rPr>
                <w:rFonts w:ascii="Cambria Math" w:hAnsi="Cambria Math"/>
              </w:rPr>
              <m:t>0</m:t>
            </m:r>
            <m:r>
              <m:rPr>
                <m:sty m:val="p"/>
              </m:rPr>
              <w:rPr>
                <w:rFonts w:ascii="Cambria Math" w:hAnsi="Cambria Math"/>
              </w:rPr>
              <m:t>,</m:t>
            </m:r>
            <m:r>
              <w:rPr>
                <w:rFonts w:ascii="Cambria Math" w:hAnsi="Cambria Math"/>
              </w:rPr>
              <m:t>3</m:t>
            </m:r>
          </m:sub>
        </m:sSub>
      </m:oMath>
      <w:r>
        <w:t>: SHAP y LIME no difieren en las métricas de calidad ni en el coste computacional sobre celdas pareadas.</w:t>
      </w:r>
    </w:p>
    <w:p w14:paraId="6AC56A4F" w14:textId="77777777" w:rsidR="00D762DD" w:rsidRDefault="00000000">
      <w:pPr>
        <w:pStyle w:val="BodyText"/>
      </w:pPr>
      <m:oMath>
        <m:sSub>
          <m:sSubPr>
            <m:ctrlPr>
              <w:rPr>
                <w:rFonts w:ascii="Cambria Math" w:hAnsi="Cambria Math"/>
              </w:rPr>
            </m:ctrlPr>
          </m:sSubPr>
          <m:e>
            <m:r>
              <w:rPr>
                <w:rFonts w:ascii="Cambria Math" w:hAnsi="Cambria Math"/>
              </w:rPr>
              <m:t>H</m:t>
            </m:r>
          </m:e>
          <m:sub>
            <m:r>
              <w:rPr>
                <w:rFonts w:ascii="Cambria Math" w:hAnsi="Cambria Math"/>
              </w:rPr>
              <m:t>1</m:t>
            </m:r>
            <m:r>
              <m:rPr>
                <m:sty m:val="p"/>
              </m:rPr>
              <w:rPr>
                <w:rFonts w:ascii="Cambria Math" w:hAnsi="Cambria Math"/>
              </w:rPr>
              <m:t>,</m:t>
            </m:r>
            <m:r>
              <w:rPr>
                <w:rFonts w:ascii="Cambria Math" w:hAnsi="Cambria Math"/>
              </w:rPr>
              <m:t>3</m:t>
            </m:r>
          </m:sub>
        </m:sSub>
      </m:oMath>
      <w:r>
        <w:t>: SHAP y LIME difieren significativamente en al menos una métrica de calidad o en el coste computacional sobre celdas pareadas.</w:t>
      </w:r>
    </w:p>
    <w:p w14:paraId="328C5442" w14:textId="77777777" w:rsidR="00D762DD" w:rsidRDefault="00000000">
      <w:pPr>
        <w:pStyle w:val="BodyText"/>
      </w:pPr>
      <w:r>
        <w:rPr>
          <w:b/>
          <w:bCs/>
        </w:rPr>
        <w:t>P1 — Reproducibilidad del protocolo (proposición)</w:t>
      </w:r>
    </w:p>
    <w:p w14:paraId="4C892FAF" w14:textId="77777777" w:rsidR="00D762DD" w:rsidRDefault="00000000">
      <w:pPr>
        <w:pStyle w:val="BodyText"/>
      </w:pPr>
      <w:r>
        <w:lastRenderedPageBreak/>
        <w:t>El protocolo FOM-7 produce un coeficiente de variación (CV) inferior al 15% en las métricas primarias bajo ejecuciones repetidas con semillas distintas en condiciones de configuración idéntica, lo que constituye evidencia de estabilidad operativa del benchmarking.</w:t>
      </w:r>
    </w:p>
    <w:p w14:paraId="45F71FE5" w14:textId="77777777" w:rsidR="00D762DD" w:rsidRDefault="00000000">
      <w:pPr>
        <w:pStyle w:val="BodyText"/>
      </w:pPr>
      <w:r>
        <w:t xml:space="preserve">Las hipótesis H1 y H2 se contrastan mediante la prueba de Friedman con bloques </w:t>
      </w:r>
      <m:oMath>
        <m:r>
          <m:rPr>
            <m:sty m:val="p"/>
          </m:rPr>
          <w:rPr>
            <w:rFonts w:ascii="Cambria Math" w:hAnsi="Cambria Math"/>
          </w:rPr>
          <m:t>(</m:t>
        </m:r>
        <m:r>
          <w:rPr>
            <w:rFonts w:ascii="Cambria Math" w:hAnsi="Cambria Math"/>
          </w:rPr>
          <m:t>g</m:t>
        </m:r>
        <m:r>
          <m:rPr>
            <m:sty m:val="p"/>
          </m:rPr>
          <w:rPr>
            <w:rFonts w:ascii="Cambria Math" w:hAnsi="Cambria Math"/>
          </w:rPr>
          <m:t>,</m:t>
        </m:r>
        <m:r>
          <w:rPr>
            <w:rFonts w:ascii="Cambria Math" w:hAnsi="Cambria Math"/>
          </w:rPr>
          <m:t>n</m:t>
        </m:r>
        <m:r>
          <m:rPr>
            <m:sty m:val="p"/>
          </m:rPr>
          <w:rPr>
            <w:rFonts w:ascii="Cambria Math" w:hAnsi="Cambria Math"/>
          </w:rPr>
          <m:t>)</m:t>
        </m:r>
      </m:oMath>
      <w:r>
        <w:t xml:space="preserve"> y localización </w:t>
      </w:r>
      <w:proofErr w:type="spellStart"/>
      <w:r>
        <w:rPr>
          <w:i/>
          <w:iCs/>
        </w:rPr>
        <w:t>post-hoc</w:t>
      </w:r>
      <w:proofErr w:type="spellEnd"/>
      <w:r>
        <w:t xml:space="preserve"> de Nemenyi. La hipótesis H3 se contrasta mediante pruebas de Wilcoxon bilaterales pareadas sobre 75 celdas coincidentes SHAP-LIME, con corrección de Holm-Bonferroni para multiplicidad (Friedman 1937; Demšar 2006; </w:t>
      </w:r>
      <w:proofErr w:type="spellStart"/>
      <w:r>
        <w:t>Nemenyi</w:t>
      </w:r>
      <w:proofErr w:type="spellEnd"/>
      <w:r>
        <w:t xml:space="preserve"> 1963; Wilcoxon 1945).</w:t>
      </w:r>
    </w:p>
    <w:p w14:paraId="348F6D6F" w14:textId="77777777" w:rsidR="00D762DD" w:rsidRDefault="00000000">
      <w:pPr>
        <w:pStyle w:val="BodyText"/>
      </w:pPr>
      <w:r>
        <w:rPr>
          <w:b/>
          <w:bCs/>
        </w:rPr>
        <w:t>P2 — Fiabilidad de los evaluadores semánticos (proposición exploratoria)</w:t>
      </w:r>
    </w:p>
    <w:p w14:paraId="7D65FB9C" w14:textId="77777777" w:rsidR="00D762DD" w:rsidRDefault="00000000">
      <w:pPr>
        <w:pStyle w:val="BodyText"/>
      </w:pPr>
      <w:r>
        <w:t xml:space="preserve">Un conjunto de jueces basados en modelos de lenguaje, operando sobre una rúbrica multidimensional sin especificación de destinatario ni criterio de corrección verificable, alcanza una fiabilidad </w:t>
      </w:r>
      <w:proofErr w:type="spellStart"/>
      <w:r>
        <w:t>inter-juez</w:t>
      </w:r>
      <w:proofErr w:type="spellEnd"/>
      <w:r>
        <w:t xml:space="preserve"> igual o superior al umbral convencionalmente aceptable de </w:t>
      </w:r>
      <m:oMath>
        <m:r>
          <w:rPr>
            <w:rFonts w:ascii="Cambria Math" w:hAnsi="Cambria Math"/>
          </w:rPr>
          <m:t>0.75</m:t>
        </m:r>
      </m:oMath>
      <w:r>
        <w:t xml:space="preserve"> (Koo and Li 2016), medida mediante la correlación intraclase y el </w:t>
      </w:r>
      <m:oMath>
        <m:r>
          <w:rPr>
            <w:rFonts w:ascii="Cambria Math" w:hAnsi="Cambria Math"/>
          </w:rPr>
          <m:t>α</m:t>
        </m:r>
      </m:oMath>
      <w:r>
        <w:t xml:space="preserve"> de Krippendorff (Krippendorff 2018). La proposición se considera refutada si alguna dimensión de la rúbrica queda por debajo de ese umbral.</w:t>
      </w:r>
    </w:p>
    <w:p w14:paraId="4C728A08" w14:textId="77777777" w:rsidR="00D762DD" w:rsidRDefault="00000000">
      <w:pPr>
        <w:pStyle w:val="BodyText"/>
      </w:pPr>
      <w:r>
        <w:rPr>
          <w:b/>
          <w:bCs/>
        </w:rPr>
        <w:t>Estatuto epistémico diferenciado de P2.</w:t>
      </w:r>
      <w:r>
        <w:t xml:space="preserve"> P2 no forma parte del plan inferencial congelado en la puerta 1 del protocolo FOM-7 y no comparte el estatuto confirmativo de H1–H3 y P1. Se formuló con posterioridad, una vez que la taxonomía del Capítulo 5 identificó la Brecha 3 —la evaluación semántica crece más rápido que su base de validación empírica— y su función es calibrar un </w:t>
      </w:r>
      <w:r>
        <w:rPr>
          <w:i/>
          <w:iCs/>
        </w:rPr>
        <w:t>instrumento de medida</w:t>
      </w:r>
      <w:r>
        <w:t xml:space="preserve">, no evaluar los métodos explicadores. Esta distinción se declara aquí de forma explícita, y no </w:t>
      </w:r>
      <w:r>
        <w:rPr>
          <w:i/>
          <w:iCs/>
        </w:rPr>
        <w:t>a posteriori</w:t>
      </w:r>
      <w:r>
        <w:t xml:space="preserve">, porque el propio protocolo que esta tesis propone exige que el alcance inferencial admisible de cada afirmación sea declarado junto con la afirmación misma: presentar P2 como si hubiera sido preespecificada junto a H1–H3 sería precisamente el modo de fallo que la puerta 7 está diseñada para impedir. En consecuencia, el resultado de P2 —cualquiera que sea— no modifica las conclusiones confirmativas del Estudio </w:t>
      </w:r>
      <w:proofErr w:type="spellStart"/>
      <w:r>
        <w:t>Omnibus</w:t>
      </w:r>
      <w:proofErr w:type="spellEnd"/>
      <w:r>
        <w:t xml:space="preserve"> </w:t>
      </w:r>
      <w:proofErr w:type="spellStart"/>
      <w:r>
        <w:t>Multimétrico</w:t>
      </w:r>
      <w:proofErr w:type="spellEnd"/>
      <w:r>
        <w:t xml:space="preserve"> ni del Estudio Pareado LIME–SHAP, y se reporta como evidencia de calibración del instrumento semántico (Capítulos 3, 5 y 6).</w:t>
      </w:r>
    </w:p>
    <w:p w14:paraId="61262035" w14:textId="77777777" w:rsidR="00D762DD" w:rsidRDefault="00000000">
      <w:pPr>
        <w:pStyle w:val="Heading2"/>
      </w:pPr>
      <w:bookmarkStart w:id="25" w:name="metodología-general-de-la-investigación"/>
      <w:bookmarkStart w:id="26" w:name="_Toc238925708"/>
      <w:bookmarkEnd w:id="14"/>
      <w:bookmarkEnd w:id="23"/>
      <w:r>
        <w:lastRenderedPageBreak/>
        <w:t>Metodología general de la investigación</w:t>
      </w:r>
      <w:bookmarkEnd w:id="26"/>
    </w:p>
    <w:p w14:paraId="0EAE8027" w14:textId="77777777" w:rsidR="00D762DD" w:rsidRDefault="00000000">
      <w:pPr>
        <w:pStyle w:val="Heading3"/>
      </w:pPr>
      <w:bookmarkStart w:id="27" w:name="enfoque"/>
      <w:bookmarkStart w:id="28" w:name="_Toc238925709"/>
      <w:r>
        <w:t>Enfoque</w:t>
      </w:r>
      <w:bookmarkEnd w:id="28"/>
    </w:p>
    <w:p w14:paraId="5777050D" w14:textId="77777777" w:rsidR="00D762DD" w:rsidRDefault="00000000">
      <w:r>
        <w:t xml:space="preserve">Esta investigación adopta un enfoque cuantitativo-empírico con componente teórico-taxonómico. El núcleo empírico del Estudio </w:t>
      </w:r>
      <w:proofErr w:type="spellStart"/>
      <w:r>
        <w:t>Omnibus</w:t>
      </w:r>
      <w:proofErr w:type="spellEnd"/>
      <w:r>
        <w:t xml:space="preserve"> </w:t>
      </w:r>
      <w:proofErr w:type="spellStart"/>
      <w:r>
        <w:t>Multimétrico</w:t>
      </w:r>
      <w:proofErr w:type="spellEnd"/>
      <w:r>
        <w:t xml:space="preserve"> y del Estudio Pareado LIME–SHAP descansa en el análisis estadístico de métricas computadas sobre experimentos controlados y reproducibles, siguiendo una lógica hipotético-deductiva. El Estudio Taxonómico —que actúa como puente conceptual integrador— adopta una metodología de revisión estructurada con codificación explícita de dimensiones, siguiendo protocolos de síntesis narrativa rigurosa (</w:t>
      </w:r>
      <w:proofErr w:type="spellStart"/>
      <w:r>
        <w:t>Linardatos</w:t>
      </w:r>
      <w:proofErr w:type="spellEnd"/>
      <w:r>
        <w:t xml:space="preserve"> 2020; Gilpin 2018; Schwalbe 2023; Abdul Kadir et al. 2023).</w:t>
      </w:r>
    </w:p>
    <w:p w14:paraId="0C0995FF" w14:textId="77777777" w:rsidR="00D762DD" w:rsidRDefault="00000000">
      <w:pPr>
        <w:pStyle w:val="Heading3"/>
      </w:pPr>
      <w:bookmarkStart w:id="29" w:name="tipo-de-investigación"/>
      <w:bookmarkStart w:id="30" w:name="_Toc238925710"/>
      <w:bookmarkEnd w:id="27"/>
      <w:r>
        <w:t>Tipo de investigación</w:t>
      </w:r>
      <w:bookmarkEnd w:id="30"/>
    </w:p>
    <w:p w14:paraId="66CC1C0B" w14:textId="77777777" w:rsidR="00D762DD" w:rsidRDefault="00000000">
      <w:r>
        <w:t xml:space="preserve">El Estudio </w:t>
      </w:r>
      <w:proofErr w:type="spellStart"/>
      <w:r>
        <w:t>Omnibus</w:t>
      </w:r>
      <w:proofErr w:type="spellEnd"/>
      <w:r>
        <w:t xml:space="preserve"> </w:t>
      </w:r>
      <w:proofErr w:type="spellStart"/>
      <w:r>
        <w:t>Multimétrico</w:t>
      </w:r>
      <w:proofErr w:type="spellEnd"/>
      <w:r>
        <w:t xml:space="preserve"> y el Estudio Pareado LIME–SHAP corresponden a investigación comparativa-experimental no </w:t>
      </w:r>
      <w:proofErr w:type="spellStart"/>
      <w:r>
        <w:t>intervencional</w:t>
      </w:r>
      <w:proofErr w:type="spellEnd"/>
      <w:r>
        <w:t>: los métodos XAI son los factores de tratamiento, los modelos predictivos son el contexto experimental y las métricas de calidad son las variables de resultado. El Estudio Taxonómico corresponde a una revisión sistemática estructurada con propósito taxonómico y de síntesis de brechas de constructo en el campo de la evaluación XAI.</w:t>
      </w:r>
    </w:p>
    <w:p w14:paraId="3F5CCBFB" w14:textId="77777777" w:rsidR="00D762DD" w:rsidRDefault="00000000">
      <w:pPr>
        <w:pStyle w:val="Heading3"/>
      </w:pPr>
      <w:bookmarkStart w:id="31" w:name="universo-y-contexto-experimental"/>
      <w:bookmarkStart w:id="32" w:name="_Toc238925711"/>
      <w:bookmarkEnd w:id="29"/>
      <w:r>
        <w:t>Universo y contexto experimental</w:t>
      </w:r>
      <w:bookmarkEnd w:id="32"/>
    </w:p>
    <w:p w14:paraId="660A2AEE" w14:textId="77777777" w:rsidR="00D762DD" w:rsidRDefault="00000000">
      <w:r>
        <w:t xml:space="preserve">El universo experimental está constituido por el conjunto de problemas de clasificación tabular supervisada en los que es necesario generar explicaciones </w:t>
      </w:r>
      <w:proofErr w:type="spellStart"/>
      <w:r>
        <w:rPr>
          <w:i/>
          <w:iCs/>
        </w:rPr>
        <w:t>post-hoc</w:t>
      </w:r>
      <w:proofErr w:type="spellEnd"/>
      <w:r>
        <w:t xml:space="preserve"> locales mediante métodos agnósticos al modelo. El contexto operativo se acota al conjunto de datos </w:t>
      </w:r>
      <w:proofErr w:type="spellStart"/>
      <w:r>
        <w:t>Adult</w:t>
      </w:r>
      <w:proofErr w:type="spellEnd"/>
      <w:r>
        <w:t xml:space="preserve"> (UCI </w:t>
      </w:r>
      <w:proofErr w:type="spellStart"/>
      <w:r>
        <w:t>Adult</w:t>
      </w:r>
      <w:proofErr w:type="spellEnd"/>
      <w:r>
        <w:t xml:space="preserve"> </w:t>
      </w:r>
      <w:proofErr w:type="spellStart"/>
      <w:r>
        <w:t>Income</w:t>
      </w:r>
      <w:proofErr w:type="spellEnd"/>
      <w:r>
        <w:t>) (</w:t>
      </w:r>
      <w:proofErr w:type="spellStart"/>
      <w:r>
        <w:t>Kohavi</w:t>
      </w:r>
      <w:proofErr w:type="spellEnd"/>
      <w:r>
        <w:t xml:space="preserve"> and Becker 1996), que contiene 48,842 instancias, 14 características (numéricas y categóricas) y una variable binaria de predicción (ingreso anual superior o inferior a 50,000 USD). Este conjunto es ampliamente utilizado en estudios de benchmarking XAI, lo que facilita la comparación externa de resultados y la verificación de reproducibilidad (Agarwal et al. 2022; Hedström et al. 2023; Canha et al. 2025).</w:t>
      </w:r>
    </w:p>
    <w:p w14:paraId="2F1DE8FE" w14:textId="77777777" w:rsidR="00D762DD" w:rsidRDefault="00000000">
      <w:pPr>
        <w:pStyle w:val="Heading3"/>
      </w:pPr>
      <w:bookmarkStart w:id="33" w:name="Xdcd1be9d99c262f87a75615ad9164d40f630ac9"/>
      <w:bookmarkStart w:id="34" w:name="_Toc238925712"/>
      <w:bookmarkEnd w:id="31"/>
      <w:r>
        <w:t xml:space="preserve">Muestra de </w:t>
      </w:r>
      <w:proofErr w:type="spellStart"/>
      <w:r>
        <w:t>datasets</w:t>
      </w:r>
      <w:proofErr w:type="spellEnd"/>
      <w:r>
        <w:t>, modelos y métodos XAI</w:t>
      </w:r>
      <w:bookmarkEnd w:id="34"/>
    </w:p>
    <w:p w14:paraId="29802DC5" w14:textId="77777777" w:rsidR="00D762DD" w:rsidRDefault="00000000">
      <w:r>
        <w:t>El diseño experimental adopta una estructura factorial cruzada. Las familias de modelos predictivos son: regresión logística (</w:t>
      </w:r>
      <w:proofErr w:type="spellStart"/>
      <w:r>
        <w:t>logreg</w:t>
      </w:r>
      <w:proofErr w:type="spellEnd"/>
      <w:r>
        <w:t>), bosque aleatorio (</w:t>
      </w:r>
      <w:proofErr w:type="spellStart"/>
      <w:r>
        <w:t>rf</w:t>
      </w:r>
      <w:proofErr w:type="spellEnd"/>
      <w:r>
        <w:t>) (</w:t>
      </w:r>
      <w:proofErr w:type="spellStart"/>
      <w:r>
        <w:t>Breiman</w:t>
      </w:r>
      <w:proofErr w:type="spellEnd"/>
      <w:r>
        <w:t xml:space="preserve"> 2001), </w:t>
      </w:r>
      <w:proofErr w:type="spellStart"/>
      <w:r>
        <w:rPr>
          <w:i/>
          <w:iCs/>
        </w:rPr>
        <w:t>gradient</w:t>
      </w:r>
      <w:proofErr w:type="spellEnd"/>
      <w:r>
        <w:rPr>
          <w:i/>
          <w:iCs/>
        </w:rPr>
        <w:t xml:space="preserve"> </w:t>
      </w:r>
      <w:proofErr w:type="spellStart"/>
      <w:r>
        <w:rPr>
          <w:i/>
          <w:iCs/>
        </w:rPr>
        <w:lastRenderedPageBreak/>
        <w:t>boosting</w:t>
      </w:r>
      <w:proofErr w:type="spellEnd"/>
      <w:r>
        <w:t xml:space="preserve"> </w:t>
      </w:r>
      <w:proofErr w:type="spellStart"/>
      <w:r>
        <w:t>XGBoost</w:t>
      </w:r>
      <w:proofErr w:type="spellEnd"/>
      <w:r>
        <w:t xml:space="preserve"> (</w:t>
      </w:r>
      <w:proofErr w:type="spellStart"/>
      <w:r>
        <w:t>xgb</w:t>
      </w:r>
      <w:proofErr w:type="spellEnd"/>
      <w:r>
        <w:t>) (Friedman 2001), máquina de vectores soporte (</w:t>
      </w:r>
      <w:proofErr w:type="spellStart"/>
      <w:r>
        <w:t>svm</w:t>
      </w:r>
      <w:proofErr w:type="spellEnd"/>
      <w:r>
        <w:t>) y perceptrón multicapa (</w:t>
      </w:r>
      <w:proofErr w:type="spellStart"/>
      <w:r>
        <w:t>mlp</w:t>
      </w:r>
      <w:proofErr w:type="spellEnd"/>
      <w:r>
        <w:t xml:space="preserve">). Los métodos de </w:t>
      </w:r>
      <w:proofErr w:type="spellStart"/>
      <w:r>
        <w:t>explicabilidad</w:t>
      </w:r>
      <w:proofErr w:type="spellEnd"/>
      <w:r>
        <w:t xml:space="preserve"> evaluados son SHAP (Lundberg 2017), LIME (Ribeiro 2016), Anchors (Ribeiro 2018) y </w:t>
      </w:r>
      <w:proofErr w:type="spellStart"/>
      <w:r>
        <w:t>DiCE</w:t>
      </w:r>
      <w:proofErr w:type="spellEnd"/>
      <w:r>
        <w:t xml:space="preserve"> (</w:t>
      </w:r>
      <w:proofErr w:type="spellStart"/>
      <w:r>
        <w:t>Mothilal</w:t>
      </w:r>
      <w:proofErr w:type="spellEnd"/>
      <w:r>
        <w:t xml:space="preserve"> 2020; Wachter 2017). El tamaño de muestra por estrato se varía en tres niveles: </w:t>
      </w:r>
      <m:oMath>
        <m:r>
          <w:rPr>
            <w:rFonts w:ascii="Cambria Math" w:hAnsi="Cambria Math"/>
          </w:rPr>
          <m:t>N</m:t>
        </m:r>
        <m:r>
          <m:rPr>
            <m:sty m:val="p"/>
          </m:rPr>
          <w:rPr>
            <w:rFonts w:ascii="Cambria Math" w:hAnsi="Cambria Math"/>
          </w:rPr>
          <m:t>∈{</m:t>
        </m:r>
        <m:r>
          <w:rPr>
            <w:rFonts w:ascii="Cambria Math" w:hAnsi="Cambria Math"/>
          </w:rPr>
          <m:t>50</m:t>
        </m:r>
        <m:r>
          <m:rPr>
            <m:sty m:val="p"/>
          </m:rPr>
          <w:rPr>
            <w:rFonts w:ascii="Cambria Math" w:hAnsi="Cambria Math"/>
          </w:rPr>
          <m:t>,</m:t>
        </m:r>
        <m:r>
          <w:rPr>
            <w:rFonts w:ascii="Cambria Math" w:hAnsi="Cambria Math"/>
          </w:rPr>
          <m:t>100</m:t>
        </m:r>
        <m:r>
          <m:rPr>
            <m:sty m:val="p"/>
          </m:rPr>
          <w:rPr>
            <w:rFonts w:ascii="Cambria Math" w:hAnsi="Cambria Math"/>
          </w:rPr>
          <m:t>,</m:t>
        </m:r>
        <m:r>
          <w:rPr>
            <w:rFonts w:ascii="Cambria Math" w:hAnsi="Cambria Math"/>
          </w:rPr>
          <m:t>200</m:t>
        </m:r>
        <m:r>
          <m:rPr>
            <m:sty m:val="p"/>
          </m:rPr>
          <w:rPr>
            <w:rFonts w:ascii="Cambria Math" w:hAnsi="Cambria Math"/>
          </w:rPr>
          <m:t>}</m:t>
        </m:r>
      </m:oMath>
      <w:r>
        <w:t xml:space="preserve">. Cada celda del diseño se replica con cinco semillas de aleatoriedad: </w:t>
      </w:r>
      <m:oMath>
        <m:r>
          <w:rPr>
            <w:rFonts w:ascii="Cambria Math" w:hAnsi="Cambria Math"/>
          </w:rPr>
          <m:t>s</m:t>
        </m:r>
        <m:r>
          <m:rPr>
            <m:sty m:val="p"/>
          </m:rPr>
          <w:rPr>
            <w:rFonts w:ascii="Cambria Math" w:hAnsi="Cambria Math"/>
          </w:rPr>
          <m:t>∈{</m:t>
        </m:r>
        <m:r>
          <w:rPr>
            <w:rFonts w:ascii="Cambria Math" w:hAnsi="Cambria Math"/>
          </w:rPr>
          <m:t>42</m:t>
        </m:r>
        <m:r>
          <m:rPr>
            <m:sty m:val="p"/>
          </m:rPr>
          <w:rPr>
            <w:rFonts w:ascii="Cambria Math" w:hAnsi="Cambria Math"/>
          </w:rPr>
          <m:t>,</m:t>
        </m:r>
        <m:r>
          <w:rPr>
            <w:rFonts w:ascii="Cambria Math" w:hAnsi="Cambria Math"/>
          </w:rPr>
          <m:t>123</m:t>
        </m:r>
        <m:r>
          <m:rPr>
            <m:sty m:val="p"/>
          </m:rPr>
          <w:rPr>
            <w:rFonts w:ascii="Cambria Math" w:hAnsi="Cambria Math"/>
          </w:rPr>
          <m:t>,</m:t>
        </m:r>
        <m:r>
          <w:rPr>
            <w:rFonts w:ascii="Cambria Math" w:hAnsi="Cambria Math"/>
          </w:rPr>
          <m:t>456</m:t>
        </m:r>
        <m:r>
          <m:rPr>
            <m:sty m:val="p"/>
          </m:rPr>
          <w:rPr>
            <w:rFonts w:ascii="Cambria Math" w:hAnsi="Cambria Math"/>
          </w:rPr>
          <m:t>,</m:t>
        </m:r>
        <m:r>
          <w:rPr>
            <w:rFonts w:ascii="Cambria Math" w:hAnsi="Cambria Math"/>
          </w:rPr>
          <m:t>789</m:t>
        </m:r>
        <m:r>
          <m:rPr>
            <m:sty m:val="p"/>
          </m:rPr>
          <w:rPr>
            <w:rFonts w:ascii="Cambria Math" w:hAnsi="Cambria Math"/>
          </w:rPr>
          <m:t>,</m:t>
        </m:r>
        <m:r>
          <w:rPr>
            <w:rFonts w:ascii="Cambria Math" w:hAnsi="Cambria Math"/>
          </w:rPr>
          <m:t>999</m:t>
        </m:r>
        <m:r>
          <m:rPr>
            <m:sty m:val="p"/>
          </m:rPr>
          <w:rPr>
            <w:rFonts w:ascii="Cambria Math" w:hAnsi="Cambria Math"/>
          </w:rPr>
          <m:t>}</m:t>
        </m:r>
      </m:oMath>
      <w:r>
        <w:t xml:space="preserve">. El tamaño planificado del benchmark primario (Estudio Omnibus Multimétrico) es </w:t>
      </w:r>
      <m:oMath>
        <m:r>
          <w:rPr>
            <w:rFonts w:ascii="Cambria Math" w:hAnsi="Cambria Math"/>
          </w:rPr>
          <m:t>5</m:t>
        </m:r>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300</m:t>
        </m:r>
      </m:oMath>
      <w:r>
        <w:t xml:space="preserve"> ejecuciones; el Estudio Pareado LIME–SHAP opera sobre 75 celdas coincidentes.</w:t>
      </w:r>
    </w:p>
    <w:p w14:paraId="35689BB5" w14:textId="77777777" w:rsidR="00D762DD" w:rsidRDefault="00000000">
      <w:pPr>
        <w:pStyle w:val="Heading3"/>
      </w:pPr>
      <w:bookmarkStart w:id="35" w:name="criterios-de-inclusión-y-exclusión"/>
      <w:bookmarkStart w:id="36" w:name="_Toc238925713"/>
      <w:bookmarkEnd w:id="33"/>
      <w:r>
        <w:t>Criterios de inclusión y exclusión</w:t>
      </w:r>
      <w:bookmarkEnd w:id="36"/>
    </w:p>
    <w:p w14:paraId="092A50FD" w14:textId="77777777" w:rsidR="00D762DD" w:rsidRDefault="00000000">
      <w:r>
        <w:rPr>
          <w:b/>
          <w:bCs/>
        </w:rPr>
        <w:t>Criterios de inclusión:</w:t>
      </w:r>
    </w:p>
    <w:p w14:paraId="3771B268" w14:textId="77777777" w:rsidR="00D762DD" w:rsidRDefault="00000000">
      <w:pPr>
        <w:numPr>
          <w:ilvl w:val="0"/>
          <w:numId w:val="2"/>
        </w:numPr>
      </w:pPr>
      <w:r>
        <w:t>Artefactos de resultado (</w:t>
      </w:r>
      <w:proofErr w:type="spellStart"/>
      <w:proofErr w:type="gramStart"/>
      <w:r>
        <w:t>results.json</w:t>
      </w:r>
      <w:proofErr w:type="spellEnd"/>
      <w:proofErr w:type="gramEnd"/>
      <w:r>
        <w:t>) con esquema completo y valores numéricos válidos en todas las métricas primarias.</w:t>
      </w:r>
    </w:p>
    <w:p w14:paraId="1FD617F9" w14:textId="77777777" w:rsidR="00D762DD" w:rsidRDefault="00000000">
      <w:pPr>
        <w:numPr>
          <w:ilvl w:val="0"/>
          <w:numId w:val="2"/>
        </w:numPr>
      </w:pPr>
      <w:r>
        <w:t xml:space="preserve">Ejecuciones pertenecientes al </w:t>
      </w:r>
      <w:proofErr w:type="spellStart"/>
      <w:r>
        <w:t>benchmark</w:t>
      </w:r>
      <w:proofErr w:type="spellEnd"/>
      <w:r>
        <w:t xml:space="preserve"> primario de robustez (EXP2), cuya configuración ha sido congelada antes del inicio de la inferencia confirmativa.</w:t>
      </w:r>
    </w:p>
    <w:p w14:paraId="73627D47" w14:textId="77777777" w:rsidR="00D762DD" w:rsidRDefault="00000000">
      <w:pPr>
        <w:numPr>
          <w:ilvl w:val="0"/>
          <w:numId w:val="2"/>
        </w:numPr>
      </w:pPr>
      <w:r>
        <w:t>Celdas para las que existen artefactos en ambos métodos comparados (SHAP y LIME) para el Estudio Pareado LIME–SHAP.</w:t>
      </w:r>
    </w:p>
    <w:p w14:paraId="246CF41F" w14:textId="77777777" w:rsidR="00D762DD" w:rsidRDefault="00000000">
      <w:r>
        <w:rPr>
          <w:b/>
          <w:bCs/>
        </w:rPr>
        <w:t>Criterios de exclusión:</w:t>
      </w:r>
    </w:p>
    <w:p w14:paraId="02DE0F53" w14:textId="77777777" w:rsidR="00D762DD" w:rsidRDefault="00000000">
      <w:pPr>
        <w:numPr>
          <w:ilvl w:val="0"/>
          <w:numId w:val="3"/>
        </w:numPr>
      </w:pPr>
      <w:r>
        <w:t>Artefactos vacíos o con esquema incompatible detectados en la auditoría de integridad (puerta 3 del protocolo FOM-7).</w:t>
      </w:r>
    </w:p>
    <w:p w14:paraId="1BFE9043" w14:textId="77777777" w:rsidR="00D762DD" w:rsidRDefault="00000000">
      <w:pPr>
        <w:numPr>
          <w:ilvl w:val="0"/>
          <w:numId w:val="3"/>
        </w:numPr>
      </w:pPr>
      <w:r>
        <w:t>Ejecuciones pertenecientes a la fase de calibración (EXP1), que tienen rol de reproducibilidad y no se emplean para inferencia confirmativa.</w:t>
      </w:r>
    </w:p>
    <w:p w14:paraId="0FF11B29" w14:textId="77777777" w:rsidR="00D762DD" w:rsidRDefault="00000000">
      <w:pPr>
        <w:numPr>
          <w:ilvl w:val="0"/>
          <w:numId w:val="3"/>
        </w:numPr>
      </w:pPr>
      <w:r>
        <w:t xml:space="preserve">Reconstrucciones sintéticas de artefactos faltantes; únicamente se acepta como excepción la superposición de recuperación documentada sobre las celdas </w:t>
      </w:r>
      <w:proofErr w:type="spellStart"/>
      <w:r>
        <w:t>mlp_shap</w:t>
      </w:r>
      <w:proofErr w:type="spellEnd"/>
      <w:r>
        <w:t>/</w:t>
      </w:r>
      <w:proofErr w:type="spellStart"/>
      <w:r>
        <w:t>svm_shap</w:t>
      </w:r>
      <w:proofErr w:type="spellEnd"/>
      <w:r>
        <w:t>.</w:t>
      </w:r>
    </w:p>
    <w:p w14:paraId="2FAB9C95" w14:textId="77777777" w:rsidR="00D762DD" w:rsidRDefault="00000000">
      <w:pPr>
        <w:pStyle w:val="Heading3"/>
      </w:pPr>
      <w:bookmarkStart w:id="37" w:name="variables-dimensiones-y-métricas"/>
      <w:bookmarkStart w:id="38" w:name="_Toc238925714"/>
      <w:bookmarkEnd w:id="35"/>
      <w:r>
        <w:lastRenderedPageBreak/>
        <w:t>Variables, dimensiones y métricas</w:t>
      </w:r>
      <w:bookmarkEnd w:id="38"/>
    </w:p>
    <w:p w14:paraId="65A2CBCE" w14:textId="77777777" w:rsidR="00D762DD" w:rsidRDefault="00000000">
      <w:r>
        <w:t xml:space="preserve">Las </w:t>
      </w:r>
      <w:r>
        <w:rPr>
          <w:b/>
          <w:bCs/>
        </w:rPr>
        <w:t>variables independientes</w:t>
      </w:r>
      <w:r>
        <w:t xml:space="preserve"> del diseño son: familia de modelo (</w:t>
      </w:r>
      <m:oMath>
        <m:r>
          <w:rPr>
            <w:rFonts w:ascii="Cambria Math" w:hAnsi="Cambria Math"/>
          </w:rPr>
          <m:t>g</m:t>
        </m:r>
      </m:oMath>
      <w:r>
        <w:t>), método XAI (</w:t>
      </w:r>
      <m:oMath>
        <m:r>
          <w:rPr>
            <w:rFonts w:ascii="Cambria Math" w:hAnsi="Cambria Math"/>
          </w:rPr>
          <m:t>k</m:t>
        </m:r>
      </m:oMath>
      <w:r>
        <w:t>), semilla de aleatoriedad (</w:t>
      </w:r>
      <m:oMath>
        <m:r>
          <w:rPr>
            <w:rFonts w:ascii="Cambria Math" w:hAnsi="Cambria Math"/>
          </w:rPr>
          <m:t>s</m:t>
        </m:r>
      </m:oMath>
      <w:r>
        <w:t>) y tamaño de muestra por estrato (</w:t>
      </w:r>
      <m:oMath>
        <m:r>
          <w:rPr>
            <w:rFonts w:ascii="Cambria Math" w:hAnsi="Cambria Math"/>
          </w:rPr>
          <m:t>n</m:t>
        </m:r>
      </m:oMath>
      <w:r>
        <w:t xml:space="preserve">). Las </w:t>
      </w:r>
      <w:r>
        <w:rPr>
          <w:b/>
          <w:bCs/>
        </w:rPr>
        <w:t>variables dependientes</w:t>
      </w:r>
      <w:r>
        <w:t xml:space="preserve"> son cinco métricas primarias:</w:t>
      </w:r>
    </w:p>
    <w:p w14:paraId="31718936" w14:textId="77777777" w:rsidR="00D762DD" w:rsidRDefault="00000000">
      <w:pPr>
        <w:numPr>
          <w:ilvl w:val="0"/>
          <w:numId w:val="4"/>
        </w:numPr>
      </w:pPr>
      <w:r>
        <w:rPr>
          <w:b/>
          <w:bCs/>
        </w:rPr>
        <w:t>Fidelidad</w:t>
      </w:r>
      <w:r>
        <w:t>: correlación entre los pesos de importancia asignados por el explicador y el efecto observado al enmascarar las características de mayor peso (dirección: mayor es mejor).</w:t>
      </w:r>
    </w:p>
    <w:p w14:paraId="6BA99B41" w14:textId="77777777" w:rsidR="00D762DD" w:rsidRDefault="00000000">
      <w:pPr>
        <w:numPr>
          <w:ilvl w:val="0"/>
          <w:numId w:val="4"/>
        </w:numPr>
      </w:pPr>
      <w:r>
        <w:rPr>
          <w:b/>
          <w:bCs/>
        </w:rPr>
        <w:t>Estabilidad</w:t>
      </w:r>
      <w:r>
        <w:t>: similitud coseno media entre explicaciones generadas sobre instancias perturbadas con ruido gaussiano (dirección: mayor es mejor).</w:t>
      </w:r>
    </w:p>
    <w:p w14:paraId="64B6071E" w14:textId="77777777" w:rsidR="00D762DD" w:rsidRDefault="00000000">
      <w:pPr>
        <w:numPr>
          <w:ilvl w:val="0"/>
          <w:numId w:val="4"/>
        </w:numPr>
      </w:pPr>
      <w:r>
        <w:rPr>
          <w:b/>
          <w:bCs/>
        </w:rPr>
        <w:t>Parsimonia</w:t>
      </w:r>
      <w:r>
        <w:t xml:space="preserve"> (</w:t>
      </w:r>
      <w:proofErr w:type="spellStart"/>
      <w:r>
        <w:rPr>
          <w:i/>
          <w:iCs/>
        </w:rPr>
        <w:t>sparsity</w:t>
      </w:r>
      <w:proofErr w:type="spellEnd"/>
      <w:r>
        <w:t>): proporción de características activas en la explicación (dirección: menor es mejor).</w:t>
      </w:r>
    </w:p>
    <w:p w14:paraId="363C0981" w14:textId="77777777" w:rsidR="00D762DD" w:rsidRDefault="00000000">
      <w:pPr>
        <w:numPr>
          <w:ilvl w:val="0"/>
          <w:numId w:val="4"/>
        </w:numPr>
      </w:pPr>
      <w:r>
        <w:rPr>
          <w:b/>
          <w:bCs/>
        </w:rPr>
        <w:t>Brecha de fidelidad</w:t>
      </w:r>
      <w:r>
        <w:t xml:space="preserve"> (</w:t>
      </w:r>
      <w:proofErr w:type="spellStart"/>
      <w:r>
        <w:rPr>
          <w:i/>
          <w:iCs/>
        </w:rPr>
        <w:t>faithfulness</w:t>
      </w:r>
      <w:proofErr w:type="spellEnd"/>
      <w:r>
        <w:rPr>
          <w:i/>
          <w:iCs/>
        </w:rPr>
        <w:t xml:space="preserve"> gap</w:t>
      </w:r>
      <w:r>
        <w:t>): diferencia en la salida del modelo entre la instancia original y la instancia con las características principales enmascaradas (dirección: mayor es mejor).</w:t>
      </w:r>
    </w:p>
    <w:p w14:paraId="38455A27" w14:textId="77777777" w:rsidR="00D762DD" w:rsidRDefault="00000000">
      <w:pPr>
        <w:numPr>
          <w:ilvl w:val="0"/>
          <w:numId w:val="4"/>
        </w:numPr>
      </w:pPr>
      <w:r>
        <w:rPr>
          <w:b/>
          <w:bCs/>
        </w:rPr>
        <w:t>Coste computacional</w:t>
      </w:r>
      <w:r>
        <w:t>: tiempo de ejecución en milisegundos por instancia (dirección: menor es mejor).</w:t>
      </w:r>
    </w:p>
    <w:p w14:paraId="57A05E29" w14:textId="77777777" w:rsidR="00D762DD" w:rsidRDefault="00000000">
      <w:r>
        <w:t xml:space="preserve">La unidad de análisis inferencial es la ejecución agregada a nivel de bloque </w:t>
      </w:r>
      <m:oMath>
        <m:r>
          <m:rPr>
            <m:sty m:val="p"/>
          </m:rPr>
          <w:rPr>
            <w:rFonts w:ascii="Cambria Math" w:hAnsi="Cambria Math"/>
          </w:rPr>
          <m:t>(</m:t>
        </m:r>
        <m:r>
          <w:rPr>
            <w:rFonts w:ascii="Cambria Math" w:hAnsi="Cambria Math"/>
          </w:rPr>
          <m:t>g</m:t>
        </m:r>
        <m:r>
          <m:rPr>
            <m:sty m:val="p"/>
          </m:rPr>
          <w:rPr>
            <w:rFonts w:ascii="Cambria Math" w:hAnsi="Cambria Math"/>
          </w:rPr>
          <m:t>,</m:t>
        </m:r>
        <m:r>
          <w:rPr>
            <w:rFonts w:ascii="Cambria Math" w:hAnsi="Cambria Math"/>
          </w:rPr>
          <m:t>n</m:t>
        </m:r>
        <m:r>
          <m:rPr>
            <m:sty m:val="p"/>
          </m:rPr>
          <w:rPr>
            <w:rFonts w:ascii="Cambria Math" w:hAnsi="Cambria Math"/>
          </w:rPr>
          <m:t>)</m:t>
        </m:r>
      </m:oMath>
      <w:r>
        <w:t>, evitando la pseudorreplicación a nivel de instancia.</w:t>
      </w:r>
    </w:p>
    <w:p w14:paraId="3E493C7C" w14:textId="77777777" w:rsidR="00D762DD" w:rsidRDefault="00000000">
      <w:pPr>
        <w:pStyle w:val="BodyText"/>
      </w:pPr>
      <w:r>
        <w:t xml:space="preserve">La definición operativa de estas dimensiones y sus modos de medición sigue las taxonomías y recomendaciones recientes de evaluación </w:t>
      </w:r>
      <w:proofErr w:type="spellStart"/>
      <w:r>
        <w:t>multi-métrica</w:t>
      </w:r>
      <w:proofErr w:type="spellEnd"/>
      <w:r>
        <w:t xml:space="preserve"> para XAI (Abdul Kadir et al. 2023; Bhattacharya and </w:t>
      </w:r>
      <w:proofErr w:type="spellStart"/>
      <w:r>
        <w:t>Verbert</w:t>
      </w:r>
      <w:proofErr w:type="spellEnd"/>
      <w:r>
        <w:t xml:space="preserve"> 2024; Canha et al. 2025; Zheng et al. 2025).</w:t>
      </w:r>
    </w:p>
    <w:p w14:paraId="1AA248FA" w14:textId="77777777" w:rsidR="00D762DD" w:rsidRDefault="00000000">
      <w:pPr>
        <w:pStyle w:val="Heading3"/>
      </w:pPr>
      <w:bookmarkStart w:id="39" w:name="estrategia-procedimental"/>
      <w:bookmarkStart w:id="40" w:name="_Toc238925715"/>
      <w:bookmarkEnd w:id="37"/>
      <w:r>
        <w:t>Estrategia procedimental</w:t>
      </w:r>
      <w:bookmarkEnd w:id="40"/>
    </w:p>
    <w:p w14:paraId="5ED64FD2" w14:textId="77777777" w:rsidR="00D762DD" w:rsidRDefault="00000000">
      <w:r>
        <w:t>La estrategia procedimental se organiza en torno al protocolo FOM-7 (</w:t>
      </w:r>
      <w:r>
        <w:rPr>
          <w:i/>
          <w:iCs/>
        </w:rPr>
        <w:t xml:space="preserve">Framework </w:t>
      </w:r>
      <w:proofErr w:type="spellStart"/>
      <w:r>
        <w:rPr>
          <w:i/>
          <w:iCs/>
        </w:rPr>
        <w:t>Operation</w:t>
      </w:r>
      <w:proofErr w:type="spellEnd"/>
      <w:r>
        <w:rPr>
          <w:i/>
          <w:iCs/>
        </w:rPr>
        <w:t xml:space="preserve"> Method</w:t>
      </w:r>
      <w:r>
        <w:t>, siete puertas), derivado de los requisitos de benchmarking reproducible identificados en la literatura (Canha et al. 2025; Agarwal et al. 2022; Hedström et al. 2023) y de los modos de fallo observados durante la fase de calibración piloto.</w:t>
      </w:r>
    </w:p>
    <w:p w14:paraId="5EC1238C" w14:textId="77777777" w:rsidR="00D762DD" w:rsidRDefault="00000000">
      <w:pPr>
        <w:pStyle w:val="BodyText"/>
      </w:pPr>
      <w:r>
        <w:lastRenderedPageBreak/>
        <w:t>Las siete puertas secuenciales son:</w:t>
      </w:r>
    </w:p>
    <w:p w14:paraId="327DA028" w14:textId="77777777" w:rsidR="00D762DD" w:rsidRDefault="00000000">
      <w:pPr>
        <w:numPr>
          <w:ilvl w:val="0"/>
          <w:numId w:val="5"/>
        </w:numPr>
      </w:pPr>
      <w:r>
        <w:rPr>
          <w:b/>
          <w:bCs/>
        </w:rPr>
        <w:t>Congelación del protocolo</w:t>
      </w:r>
      <w:r>
        <w:t>: bloqueo de versiones de código, configuraciones, factores y plan de inferencia antes de las ejecuciones confirmativas.</w:t>
      </w:r>
    </w:p>
    <w:p w14:paraId="1875E065" w14:textId="77777777" w:rsidR="00D762DD" w:rsidRDefault="00000000">
      <w:pPr>
        <w:numPr>
          <w:ilvl w:val="0"/>
          <w:numId w:val="5"/>
        </w:numPr>
      </w:pPr>
      <w:r>
        <w:rPr>
          <w:b/>
          <w:bCs/>
        </w:rPr>
        <w:t>Ejecución por lotes controlada</w:t>
      </w:r>
      <w:r>
        <w:t>: ejecución desde manifiestos declarativos con semillas fijas y registro del contexto de tiempo de ejecución.</w:t>
      </w:r>
    </w:p>
    <w:p w14:paraId="7D2E4F90" w14:textId="77777777" w:rsidR="00D762DD" w:rsidRDefault="00000000">
      <w:pPr>
        <w:numPr>
          <w:ilvl w:val="0"/>
          <w:numId w:val="5"/>
        </w:numPr>
      </w:pPr>
      <w:r>
        <w:rPr>
          <w:b/>
          <w:bCs/>
        </w:rPr>
        <w:t>Auditoría de integridad de artefactos</w:t>
      </w:r>
      <w:r>
        <w:t>: detección y exclusión de salidas malformadas, vacías o con esquema incompatible.</w:t>
      </w:r>
    </w:p>
    <w:p w14:paraId="74AF5573" w14:textId="77777777" w:rsidR="00D762DD" w:rsidRDefault="00000000">
      <w:pPr>
        <w:numPr>
          <w:ilvl w:val="0"/>
          <w:numId w:val="5"/>
        </w:numPr>
      </w:pPr>
      <w:r>
        <w:rPr>
          <w:b/>
          <w:bCs/>
        </w:rPr>
        <w:t>Armonización a tablas listas para el análisis</w:t>
      </w:r>
      <w:r>
        <w:t>: estandarización de claves y campos de métricas en tablas de inferencia deterministas.</w:t>
      </w:r>
    </w:p>
    <w:p w14:paraId="056E0CA6" w14:textId="77777777" w:rsidR="00D762DD" w:rsidRDefault="00000000">
      <w:pPr>
        <w:numPr>
          <w:ilvl w:val="0"/>
          <w:numId w:val="5"/>
        </w:numPr>
      </w:pPr>
      <w:r>
        <w:rPr>
          <w:b/>
          <w:bCs/>
        </w:rPr>
        <w:t>Exportación inferencial</w:t>
      </w:r>
      <w:r>
        <w:t xml:space="preserve">: generación determinista de tablas </w:t>
      </w:r>
      <w:proofErr w:type="spellStart"/>
      <w:r>
        <w:t>omnibus</w:t>
      </w:r>
      <w:proofErr w:type="spellEnd"/>
      <w:r>
        <w:t xml:space="preserve"> y de pruebas pareadas a partir exclusivamente de entradas calificadas.</w:t>
      </w:r>
    </w:p>
    <w:p w14:paraId="69E7F71F" w14:textId="77777777" w:rsidR="00D762DD" w:rsidRDefault="00000000">
      <w:pPr>
        <w:numPr>
          <w:ilvl w:val="0"/>
          <w:numId w:val="5"/>
        </w:numPr>
      </w:pPr>
      <w:r>
        <w:rPr>
          <w:b/>
          <w:bCs/>
        </w:rPr>
        <w:t>Perfilado de reproducibilidad</w:t>
      </w:r>
      <w:r>
        <w:t>: cuantificación de la dispersión entre ejecuciones y del comportamiento del coeficiente de variación en configuraciones replicadas.</w:t>
      </w:r>
    </w:p>
    <w:p w14:paraId="030050A8" w14:textId="77777777" w:rsidR="00D762DD" w:rsidRDefault="00000000">
      <w:pPr>
        <w:numPr>
          <w:ilvl w:val="0"/>
          <w:numId w:val="5"/>
        </w:numPr>
      </w:pPr>
      <w:r>
        <w:rPr>
          <w:b/>
          <w:bCs/>
        </w:rPr>
        <w:t>Reporte con trazabilidad de afirmaciones</w:t>
      </w:r>
      <w:r>
        <w:t>: las afirmaciones inferenciales solo se permiten cuando todas las puertas previas están satisfechas y son trazables a artefactos fuente.</w:t>
      </w:r>
    </w:p>
    <w:p w14:paraId="3E230231" w14:textId="77777777" w:rsidR="00D762DD" w:rsidRDefault="00000000">
      <w:r>
        <w:t xml:space="preserve">Este capítulo ha establecido el problema doctoral, la pregunta de investigación, los objetivos, las hipótesis y el diseño general que articula los tres estudios. La consecuencia metodológica es que la tesis no puede limitarse a comparar promedios de métodos XAI: debe justificar qué constructos se miden, </w:t>
      </w:r>
      <w:proofErr w:type="gramStart"/>
      <w:r>
        <w:t>bajo qué condiciones</w:t>
      </w:r>
      <w:proofErr w:type="gramEnd"/>
      <w:r>
        <w:t xml:space="preserve"> y con qué alcance inferencial. El siguiente capítulo desarrolla ese marco conceptual y convierte la necesidad empírica identificada aquí en una brecha teórica que justifica FOM-7.</w:t>
      </w:r>
    </w:p>
    <w:p w14:paraId="6017DE61" w14:textId="77777777" w:rsidR="00D762DD" w:rsidRDefault="00000000">
      <w:pPr>
        <w:pStyle w:val="BodyText"/>
      </w:pPr>
      <w:r>
        <w:t xml:space="preserve">La secuencia experimental distingue dos cohortes de evidencia con roles diferenciados: la etapa de calibración y reproducibilidad (EXP1), destinada a la verificación de implementación y al perfilado de dispersión; y el </w:t>
      </w:r>
      <w:proofErr w:type="spellStart"/>
      <w:r>
        <w:t>benchmark</w:t>
      </w:r>
      <w:proofErr w:type="spellEnd"/>
      <w:r>
        <w:t xml:space="preserve"> primario de robustez (EXP2), destinado a la inferencia confirmativa. Esta separación reduce la contaminación entre actividades exploratorias y </w:t>
      </w:r>
      <w:r>
        <w:lastRenderedPageBreak/>
        <w:t>afirmaciones confirmativas, en línea con las recomendaciones de disciplina de partición de evidencia discutidas en trabajos recientes sobre fidelidad de evaluación (Zheng et al. 2025).</w:t>
      </w:r>
    </w:p>
    <w:p w14:paraId="0EBB1226" w14:textId="77777777" w:rsidR="00D762DD" w:rsidRDefault="00000000">
      <w:pPr>
        <w:pStyle w:val="Heading1"/>
      </w:pPr>
      <w:bookmarkStart w:id="41" w:name="X5df853d312351836bad75f10c25fdcfe7ebc358"/>
      <w:bookmarkStart w:id="42" w:name="_Toc238925716"/>
      <w:bookmarkEnd w:id="8"/>
      <w:bookmarkEnd w:id="25"/>
      <w:bookmarkEnd w:id="39"/>
      <w:r>
        <w:t>Marco teórico específico / fundamentos conceptuales</w:t>
      </w:r>
      <w:bookmarkEnd w:id="42"/>
    </w:p>
    <w:p w14:paraId="39B3E64A" w14:textId="77777777" w:rsidR="00D762DD" w:rsidRDefault="00000000">
      <w:pPr>
        <w:pStyle w:val="Heading2"/>
      </w:pPr>
      <w:bookmarkStart w:id="43" w:name="propósito-del-capítulo"/>
      <w:bookmarkStart w:id="44" w:name="_Toc238925717"/>
      <w:r>
        <w:t>Propósito del capítulo</w:t>
      </w:r>
      <w:bookmarkEnd w:id="44"/>
    </w:p>
    <w:p w14:paraId="45967E59" w14:textId="77777777" w:rsidR="00D762DD" w:rsidRDefault="00000000">
      <w:r>
        <w:t xml:space="preserve">Este capítulo establece el marco conceptual específico que sostiene la propuesta FOM-7. Su función no es solamente definir la Inteligencia Artificial Explicable (XAI), sino mostrar por qué la evaluación de explicaciones requiere un protocolo operativo que conecte diseño experimental, calificación de artefactos, selección de métricas, admisibilidad estadística, reproducibilidad y trazabilidad de afirmaciones. La tesis parte de una observación central: la literatura dispone de métodos de explicación maduros y de </w:t>
      </w:r>
      <w:proofErr w:type="spellStart"/>
      <w:r>
        <w:t>toolkits</w:t>
      </w:r>
      <w:proofErr w:type="spellEnd"/>
      <w:r>
        <w:t xml:space="preserve"> de evaluación cada vez más sofisticados, pero aún persiste una brecha entre la existencia de métricas y la construcción de evidencia doctoralmente defendible.</w:t>
      </w:r>
    </w:p>
    <w:p w14:paraId="3979F187" w14:textId="77777777" w:rsidR="00D762DD" w:rsidRDefault="00000000">
      <w:pPr>
        <w:pStyle w:val="BodyText"/>
      </w:pPr>
      <w:r>
        <w:t xml:space="preserve">En este sentido, el capítulo organiza la revisión en siete ejes. Primero, reconstruye el desarrollo histórico desde modelos transparentes hacia explicaciones </w:t>
      </w:r>
      <w:proofErr w:type="spellStart"/>
      <w:r>
        <w:t>post-hoc</w:t>
      </w:r>
      <w:proofErr w:type="spellEnd"/>
      <w:r>
        <w:t xml:space="preserve"> y enfoques human-</w:t>
      </w:r>
      <w:proofErr w:type="spellStart"/>
      <w:r>
        <w:t>centered</w:t>
      </w:r>
      <w:proofErr w:type="spellEnd"/>
      <w:r>
        <w:t xml:space="preserve">. Segundo, fija distinciones conceptuales indispensables para evitar </w:t>
      </w:r>
      <w:proofErr w:type="spellStart"/>
      <w:r>
        <w:t>sobreinterpretaciones</w:t>
      </w:r>
      <w:proofErr w:type="spellEnd"/>
      <w:r>
        <w:t xml:space="preserve">. Tercero, examina los cuatro métodos evaluados en esta tesis: LIME, SHAP, Anchors y </w:t>
      </w:r>
      <w:proofErr w:type="spellStart"/>
      <w:r>
        <w:t>DiCE</w:t>
      </w:r>
      <w:proofErr w:type="spellEnd"/>
      <w:r>
        <w:t xml:space="preserve">. Cuarto, analiza marcos de evaluación como </w:t>
      </w:r>
      <w:proofErr w:type="spellStart"/>
      <w:r>
        <w:t>Quantus</w:t>
      </w:r>
      <w:proofErr w:type="spellEnd"/>
      <w:r>
        <w:t xml:space="preserve">, </w:t>
      </w:r>
      <w:proofErr w:type="spellStart"/>
      <w:r>
        <w:t>OpenXAI</w:t>
      </w:r>
      <w:proofErr w:type="spellEnd"/>
      <w:r>
        <w:t xml:space="preserve"> y la taxonomía de evaluación propuesta por Doshi-</w:t>
      </w:r>
      <w:proofErr w:type="spellStart"/>
      <w:r>
        <w:t>Velez</w:t>
      </w:r>
      <w:proofErr w:type="spellEnd"/>
      <w:r>
        <w:t xml:space="preserve"> (2017). Quinto, sintetiza familias de métricas y brechas de constructo. Sexto, vincula reproducibilidad y trazabilidad con benchmarking XAI. Finalmente, formula la brecha crítica que justifica FOM-7.</w:t>
      </w:r>
    </w:p>
    <w:p w14:paraId="16338FAD" w14:textId="77777777" w:rsidR="00D762DD" w:rsidRDefault="00000000">
      <w:pPr>
        <w:pStyle w:val="Heading2"/>
      </w:pPr>
      <w:bookmarkStart w:id="45" w:name="Xe6760546a452d6306b93a783545f3c51ee07c22"/>
      <w:bookmarkStart w:id="46" w:name="_Toc238925718"/>
      <w:bookmarkEnd w:id="43"/>
      <w:r>
        <w:t>Desarrollo histórico de la interpretabilidad y la XAI</w:t>
      </w:r>
      <w:bookmarkEnd w:id="46"/>
    </w:p>
    <w:p w14:paraId="531BAC33" w14:textId="77777777" w:rsidR="00D762DD" w:rsidRDefault="00000000">
      <w:r>
        <w:t xml:space="preserve">La interpretabilidad en aprendizaje automático no surge como una preocupación posterior a los modelos modernos, sino como una condición histórica de muchos modelos estadísticos y simbólicos. La regresión lineal, los árboles de decisión pequeños, los sistemas basados en reglas y algunos modelos aditivos permiten inspeccionar directamente los parámetros, reglas o relaciones que conducen a una predicción. En estos casos, la transparencia forma parte de la arquitectura del modelo: el analista puede seguir el mecanismo inferencial sin construir un </w:t>
      </w:r>
      <w:r>
        <w:lastRenderedPageBreak/>
        <w:t>artefacto explicativo externo. Esta tradición se asocia con modelos intrínsecamente interpretables (Lipton 2018; Arrieta 2019).</w:t>
      </w:r>
    </w:p>
    <w:p w14:paraId="67A9FDE3" w14:textId="77777777" w:rsidR="00D762DD" w:rsidRDefault="00000000">
      <w:pPr>
        <w:pStyle w:val="BodyText"/>
      </w:pPr>
      <w:r>
        <w:t>El punto doctoralmente relevante es que la interpretabilidad inicial estaba ligada a una relación directa entre representación, inferencia y comunicación. Cuando un modelo lineal asigna coeficientes a variables observables, la explicación puede apoyarse en el mismo lenguaje que el modelo utiliza para predecir. Cuando un árbol de decisión pequeño separa casos mediante reglas, el camino desde la raíz hasta una hoja puede funcionar como una narración de la decisión. Esta cercanía entre mecanismo y explicación reduce la necesidad de un segundo artefacto interpretativo. Sin embargo, también limita la clase de patrones que el modelo puede capturar. La historia de la XAI se entiende mejor como una tensión continua entre expresividad predictiva, transparencia estructural y utilidad humana (Arrieta 2019; Lipton 2018).</w:t>
      </w:r>
    </w:p>
    <w:p w14:paraId="7F7DD3BD" w14:textId="77777777" w:rsidR="00D762DD" w:rsidRDefault="00000000">
      <w:pPr>
        <w:pStyle w:val="BodyText"/>
      </w:pPr>
      <w:r>
        <w:t xml:space="preserve">El desplazamiento hacia modelos de mayor capacidad predictiva modificó este equilibrio. Los ensambles, los métodos </w:t>
      </w:r>
      <w:proofErr w:type="spellStart"/>
      <w:r>
        <w:t>kernel</w:t>
      </w:r>
      <w:proofErr w:type="spellEnd"/>
      <w:r>
        <w:t xml:space="preserve">, las redes neuronales profundas y otros modelos de alta dimensionalidad aumentaron la precisión en tareas complejas, pero hicieron menos accesible la lógica interna de decisión. La opacidad no implica necesariamente ausencia de estructura; implica que la estructura aprendida no se presenta en una forma cognitivamente manejable para un humano. Esta tensión entre rendimiento y comprensibilidad aparece de forma recurrente en revisiones de XAI e interpretabilidad (Arrieta 2019; </w:t>
      </w:r>
      <w:proofErr w:type="spellStart"/>
      <w:r>
        <w:t>Linardatos</w:t>
      </w:r>
      <w:proofErr w:type="spellEnd"/>
      <w:r>
        <w:t xml:space="preserve"> 2020; Canha et al. 2025).</w:t>
      </w:r>
    </w:p>
    <w:p w14:paraId="1930F78B" w14:textId="77777777" w:rsidR="00D762DD" w:rsidRDefault="00000000">
      <w:pPr>
        <w:pStyle w:val="BodyText"/>
      </w:pPr>
      <w:r>
        <w:t xml:space="preserve">Este desplazamiento no debe interpretarse como una oposición simple entre modelos “buenos pero opacos” y modelos “malos pero transparentes”. La literatura crítica ha mostrado que la interpretabilidad es una noción plural: puede referirse a </w:t>
      </w:r>
      <w:proofErr w:type="spellStart"/>
      <w:r>
        <w:t>simulabilidad</w:t>
      </w:r>
      <w:proofErr w:type="spellEnd"/>
      <w:r>
        <w:t xml:space="preserve">, </w:t>
      </w:r>
      <w:proofErr w:type="spellStart"/>
      <w:r>
        <w:t>descomponibilidad</w:t>
      </w:r>
      <w:proofErr w:type="spellEnd"/>
      <w:r>
        <w:t>, transparencia algorítmica, explicaciones locales, explicaciones globales, visualizaciones, reglas, atribuciones o ejemplos contrafactuales (Lipton 2018; Arrieta 2019). Por tanto, un modelo no es interpretable o no interpretable en abstracto; lo es respecto a un destinatario, una tarea, una escala de análisis y un criterio de éxito. Esta observación será importante para FOM-7, porque impide convertir la evaluación XAI en una competencia única donde todos los métodos se ordenan bajo una misma noción de calidad.</w:t>
      </w:r>
    </w:p>
    <w:p w14:paraId="069548F8" w14:textId="77777777" w:rsidR="00D762DD" w:rsidRDefault="00000000">
      <w:pPr>
        <w:pStyle w:val="BodyText"/>
      </w:pPr>
      <w:r>
        <w:lastRenderedPageBreak/>
        <w:t>La expansión de modelos de caja negra también modificó la forma en que se construyen responsabilidades epistémicas. En un modelo transparente, el analista puede examinar directamente parte del mecanismo. En un modelo de caja negra, la explicación se vuelve mediada: depende de consultas, perturbaciones, gradientes, aproximaciones locales, reglas inducidas o contrafactuales generados. Esa mediación introduce una pregunta adicional: no basta con saber si el predictor funciona; debe evaluarse si el artefacto que lo explica es confiable bajo las condiciones en que se usa. La XAI moderna nace, en buena medida, de esta separación entre modelo predictivo y artefacto explicativo (</w:t>
      </w:r>
      <w:proofErr w:type="spellStart"/>
      <w:r>
        <w:t>Linardatos</w:t>
      </w:r>
      <w:proofErr w:type="spellEnd"/>
      <w:r>
        <w:t xml:space="preserve"> 2020; Doshi-</w:t>
      </w:r>
      <w:proofErr w:type="spellStart"/>
      <w:r>
        <w:t>Velez</w:t>
      </w:r>
      <w:proofErr w:type="spellEnd"/>
      <w:r>
        <w:t xml:space="preserve"> 2017).</w:t>
      </w:r>
    </w:p>
    <w:p w14:paraId="281D11C9" w14:textId="77777777" w:rsidR="00D762DD" w:rsidRDefault="00000000">
      <w:pPr>
        <w:pStyle w:val="BodyText"/>
      </w:pPr>
      <w:r>
        <w:t xml:space="preserve">La respuesta metodológica dominante ha sido el desarrollo de explicaciones </w:t>
      </w:r>
      <w:proofErr w:type="spellStart"/>
      <w:r>
        <w:t>post-hoc</w:t>
      </w:r>
      <w:proofErr w:type="spellEnd"/>
      <w:r>
        <w:t xml:space="preserve">. En vez de exigir que el modelo predictivo sea transparente, se construye un segundo artefacto que describe aspectos de su comportamiento. LIME aproxima localmente la frontera de decisión mediante modelos sustitutos simples (Ribeiro 2016). SHAP interpreta predicciones mediante atribuciones aditivas inspiradas en el valor de Shapley (Lundberg 2017). Anchors produce reglas de alta precisión que buscan condiciones suficientes para una predicción local (Ribeiro 2018). </w:t>
      </w:r>
      <w:proofErr w:type="spellStart"/>
      <w:r>
        <w:t>DiCE</w:t>
      </w:r>
      <w:proofErr w:type="spellEnd"/>
      <w:r>
        <w:t xml:space="preserve"> desplaza el foco hacia explicaciones contrafactuales: cambios alternativos que permitirían obtener una decisión diferente (</w:t>
      </w:r>
      <w:proofErr w:type="spellStart"/>
      <w:r>
        <w:t>Mothilal</w:t>
      </w:r>
      <w:proofErr w:type="spellEnd"/>
      <w:r>
        <w:t xml:space="preserve"> 2020). Estos métodos no explican el modelo en el mismo sentido; producen objetos explicativos distintos, con supuestos y criterios de evaluación diferentes.</w:t>
      </w:r>
    </w:p>
    <w:p w14:paraId="7E400EA1" w14:textId="77777777" w:rsidR="00D762DD" w:rsidRDefault="00000000">
      <w:pPr>
        <w:pStyle w:val="BodyText"/>
      </w:pPr>
      <w:r>
        <w:t xml:space="preserve">La alternativa a explicar </w:t>
      </w:r>
      <w:r>
        <w:rPr>
          <w:i/>
          <w:iCs/>
        </w:rPr>
        <w:t>a posteriori</w:t>
      </w:r>
      <w:r>
        <w:t xml:space="preserve"> es diseñar modelos intrínsecamente interpretables. Esta posición ha sido defendida con fuerza para decisiones de alto riesgo, argumentando que la explicación </w:t>
      </w:r>
      <w:proofErr w:type="spellStart"/>
      <w:r>
        <w:t>post-hoc</w:t>
      </w:r>
      <w:proofErr w:type="spellEnd"/>
      <w:r>
        <w:t xml:space="preserve"> de una caja negra no sustituye a un modelo comprensible por construcción (Rudin 2019), y se ha materializado en arquitecturas que incorporan la interpretabilidad como restricción de diseño: modelos con cuello de botella conceptual (Koh et al. 2020), redes con características monótonas (Nguyen and </w:t>
      </w:r>
      <w:proofErr w:type="spellStart"/>
      <w:r>
        <w:t>Martinez</w:t>
      </w:r>
      <w:proofErr w:type="spellEnd"/>
      <w:r>
        <w:t xml:space="preserve"> 2019), arquitecturas prototípicas (Hess and Ditzler 2023) o representaciones funcionales explícitas (Liu et al. 2024). En paralelo, una línea formal explora la </w:t>
      </w:r>
      <w:proofErr w:type="spellStart"/>
      <w:r>
        <w:t>explicabilidad</w:t>
      </w:r>
      <w:proofErr w:type="spellEnd"/>
      <w:r>
        <w:t xml:space="preserve"> basada en lógica, con garantías de corrección de las que carecen los métodos aproximados (Marques-Silva 2024). Esta tesis no adopta esa vía —su objeto son explicadores agnósticos aplicados a modelos ya entrenados— pero la frontera importa para </w:t>
      </w:r>
      <w:r>
        <w:lastRenderedPageBreak/>
        <w:t>interpretar sus resultados: la crítica de fondo, que las explicaciones aproximadas pueden ser plausibles sin ser fieles, es exactamente la que motiva medir fidelidad en lugar de suponerla. Advertencias equivalentes se han formulado sobre el uso de mecanismos internos del modelo, como la atención, en calidad de explicación (</w:t>
      </w:r>
      <w:proofErr w:type="spellStart"/>
      <w:r>
        <w:t>Bastings</w:t>
      </w:r>
      <w:proofErr w:type="spellEnd"/>
      <w:r>
        <w:t xml:space="preserve"> and Filippova 2020).</w:t>
      </w:r>
    </w:p>
    <w:p w14:paraId="7A7E22AE" w14:textId="77777777" w:rsidR="00D762DD" w:rsidRDefault="00000000">
      <w:pPr>
        <w:pStyle w:val="BodyText"/>
      </w:pPr>
      <w:r>
        <w:t xml:space="preserve">La categoría </w:t>
      </w:r>
      <w:proofErr w:type="spellStart"/>
      <w:r>
        <w:t>post-hoc</w:t>
      </w:r>
      <w:proofErr w:type="spellEnd"/>
      <w:r>
        <w:t>, sin embargo, cubre familias heterogéneas. Las atribuciones asignan importancia a características; las reglas buscan condiciones suficientes o patrones comprensibles; los sustitutos locales aproximan el comportamiento del modelo en un vecindario; los contrafactuales describen alternativas que cambiarían una decisión; las visualizaciones representan patrones agregados o activaciones —como las curvas de expectativa condicional individual (Goldstein 2014) o los gráficos de efectos locales acumulados (Apley 2020), que describen el efecto marginal de una característica sobre el conjunto de datos en lugar de atribuir importancia a una predicción concreta—. Esta pluralidad es una fortaleza del campo, porque permite adaptar la explicación a objetivos distintos. Pero también es una fuente de dificultad evaluativa: una métrica apropiada para atribuciones no necesariamente evalúa bien reglas, y una métrica orientada a validez contrafactual no necesariamente mide fidelidad local de un sustituto (Arrieta 2019; Hedström et al. 2023). Esta tesis acota su evaluación a explicaciones locales por instancia, de modo que las familias de visualización global antes citadas quedan fuera de su alcance experimental.</w:t>
      </w:r>
    </w:p>
    <w:p w14:paraId="54057880" w14:textId="77777777" w:rsidR="00D762DD" w:rsidRDefault="00000000">
      <w:pPr>
        <w:pStyle w:val="BodyText"/>
      </w:pPr>
      <w:r>
        <w:t xml:space="preserve">La literatura también distingue métodos agnósticos y específicos del modelo (Arrieta 2019; </w:t>
      </w:r>
      <w:proofErr w:type="spellStart"/>
      <w:r>
        <w:t>Linardatos</w:t>
      </w:r>
      <w:proofErr w:type="spellEnd"/>
      <w:r>
        <w:t xml:space="preserve"> 2020). Los métodos agnósticos tratan al predictor como una caja negra y solo requieren consultar entradas y salidas. Esta propiedad permite aplicar un mismo explicador a diversos clasificadores, pero introduce riesgos: el explicador puede capturar regularidades de las consultas realizadas, no necesariamente el mecanismo interno del modelo. Los métodos específicos aprovechan propiedades internas de familias concretas de modelos, por </w:t>
      </w:r>
      <w:proofErr w:type="gramStart"/>
      <w:r>
        <w:t>ejemplo</w:t>
      </w:r>
      <w:proofErr w:type="gramEnd"/>
      <w:r>
        <w:t xml:space="preserve"> estructuras de árboles o gradientes en redes neuronales. La tensión entre generalidad y fidelidad es una de las razones por las que la evaluación XAI no puede reducirse a una sola métrica (Doshi-</w:t>
      </w:r>
      <w:proofErr w:type="spellStart"/>
      <w:r>
        <w:t>Velez</w:t>
      </w:r>
      <w:proofErr w:type="spellEnd"/>
      <w:r>
        <w:t xml:space="preserve"> 2017; Hedström et al. 2023).</w:t>
      </w:r>
    </w:p>
    <w:p w14:paraId="70ECBA1D" w14:textId="77777777" w:rsidR="00D762DD" w:rsidRDefault="00000000">
      <w:pPr>
        <w:pStyle w:val="BodyText"/>
      </w:pPr>
      <w:r>
        <w:lastRenderedPageBreak/>
        <w:t xml:space="preserve">Esta distinción histórica es especialmente importante para la tesis porque los métodos agnósticos suelen ganar en portabilidad experimental. Un mismo pipeline puede aplicarse a clasificadores distintos, lo que facilita el benchmarking. Pero esa portabilidad no elimina la necesidad de controles: si el explicador solo observa entradas y salidas, su conocimiento del modelo es indirecto y dependiente de la muestra consultada. En cambio, los métodos específicos pueden explotar información interna para mejorar eficiencia o precisión, aunque pagan el precio de una menor generalidad. FOM-7 debe mantener visible esta relación: no comparar solamente valores métricos, sino interpretar esos valores según el tipo de acceso que cada explicador tiene al modelo (Arrieta 2019; </w:t>
      </w:r>
      <w:proofErr w:type="spellStart"/>
      <w:r>
        <w:t>Linardatos</w:t>
      </w:r>
      <w:proofErr w:type="spellEnd"/>
      <w:r>
        <w:t xml:space="preserve"> 2020).</w:t>
      </w:r>
    </w:p>
    <w:p w14:paraId="44ACCECA" w14:textId="77777777" w:rsidR="00D762DD" w:rsidRDefault="00000000">
      <w:pPr>
        <w:pStyle w:val="BodyText"/>
      </w:pPr>
      <w:r>
        <w:t xml:space="preserve">Otra distinción histórica relevante es la diferencia entre explicaciones locales y globales (Arrieta 2019; </w:t>
      </w:r>
      <w:proofErr w:type="spellStart"/>
      <w:r>
        <w:t>Linardatos</w:t>
      </w:r>
      <w:proofErr w:type="spellEnd"/>
      <w:r>
        <w:t xml:space="preserve"> 2020). Una explicación local describe el comportamiento del modelo alrededor de una instancia o decisión particular. Una explicación global intenta describir patrones generales del modelo en el dominio completo o en regiones amplias del espacio de entrada. LIME, SHAP y Anchors suelen emplearse en configuraciones locales, aunque pueden agregarse para obtener resúmenes globales (Ribeiro 2016, 2018; Lundberg 2017). Esta agregación, sin embargo, no elimina el problema conceptual: una colección de explicaciones locales no equivale automáticamente a una teoría global del modelo.</w:t>
      </w:r>
    </w:p>
    <w:p w14:paraId="3485F6B9" w14:textId="77777777" w:rsidR="00D762DD" w:rsidRDefault="00000000">
      <w:pPr>
        <w:pStyle w:val="BodyText"/>
      </w:pPr>
      <w:r>
        <w:t xml:space="preserve">El nivel local resulta atractivo porque muchas decisiones de alto impacto se formulan caso por caso: por qué se rechazó una solicitud, por qué una instancia fue clasificada como riesgosa, por qué un modelo asignó una etiqueta. Sin embargo, una explicación local tiene un alcance limitado por definición. Puede ser válida alrededor de una instancia y no describir otras regiones del espacio de datos. La explicación global, por su parte, promete una visión más amplia, pero puede ocultar heterogeneidad local o subgrupos con comportamientos distintos. Este problema conecta directamente con la trazabilidad de </w:t>
      </w:r>
      <w:proofErr w:type="spellStart"/>
      <w:r>
        <w:t>claims</w:t>
      </w:r>
      <w:proofErr w:type="spellEnd"/>
      <w:r>
        <w:t>: una afirmación local no debe presentarse como global, y una tendencia global no debe usarse para justificar decisiones individuales sin evidencia adicional (Doshi-</w:t>
      </w:r>
      <w:proofErr w:type="spellStart"/>
      <w:r>
        <w:t>Velez</w:t>
      </w:r>
      <w:proofErr w:type="spellEnd"/>
      <w:r>
        <w:t xml:space="preserve"> 2017; Hedström et al. 2023).</w:t>
      </w:r>
    </w:p>
    <w:p w14:paraId="1256DACC" w14:textId="77777777" w:rsidR="00D762DD" w:rsidRDefault="00000000">
      <w:pPr>
        <w:pStyle w:val="BodyText"/>
      </w:pPr>
      <w:r>
        <w:t>Finalmente, el campo ha incorporado una orientación human-</w:t>
      </w:r>
      <w:proofErr w:type="spellStart"/>
      <w:r>
        <w:t>centered</w:t>
      </w:r>
      <w:proofErr w:type="spellEnd"/>
      <w:r>
        <w:t xml:space="preserve">. La pregunta ya no es solo si una explicación se parece al comportamiento del modelo, sino si apoya una tarea humana </w:t>
      </w:r>
      <w:r>
        <w:lastRenderedPageBreak/>
        <w:t>concreta sin inducir confianza injustificada. Esta perspectiva enfatiza destinatarios, contexto de uso, carga cognitiva, calibración de confianza y utilidad para la toma de decisiones (Hoffman et al. 2023; Mohseni et al. 2021). Para esta tesis, esta evolución histórica es clave: FOM-7 no se justifica por la ausencia de explicaciones, sino por la necesidad de evaluar explicaciones como artefactos técnicos, estadísticos y comunicables.</w:t>
      </w:r>
    </w:p>
    <w:p w14:paraId="29147171" w14:textId="77777777" w:rsidR="00D762DD" w:rsidRDefault="00000000">
      <w:pPr>
        <w:pStyle w:val="BodyText"/>
      </w:pPr>
      <w:r>
        <w:t>La orientación human-</w:t>
      </w:r>
      <w:proofErr w:type="spellStart"/>
      <w:r>
        <w:t>centered</w:t>
      </w:r>
      <w:proofErr w:type="spellEnd"/>
      <w:r>
        <w:t xml:space="preserve"> introduce una corrección necesaria al entusiasmo puramente algorítmico. Una explicación no circula en el vacío: aparece en una interfaz, ante un usuario con objetivos concretos, bajo restricciones de tiempo, con ciertos conocimientos previos y con riesgos de confianza excesiva o desconfianza injustificada. Mohseni et al. (2021) proponen pensar el diseño y la evaluación de XAI como una relación entre objetivos, grupos de usuarios y métodos de evaluación. Hoffman et al. (2023), desde una perspectiva psicológica, insisten en que el valor de una explicación depende de cómo apoya comprensión, calibración y acción. Esto no convierte a la presente tesis en un estudio de usuarios, pero sí obliga a delimitar el tipo de evidencia producida: FOM-7 evalúa propiedades técnicas y reproducibles de explicaciones </w:t>
      </w:r>
      <w:proofErr w:type="spellStart"/>
      <w:r>
        <w:t>post-hoc</w:t>
      </w:r>
      <w:proofErr w:type="spellEnd"/>
      <w:r>
        <w:t>, y deja claros los límites de inferir utilidad humana directa a partir de métricas computacionales.</w:t>
      </w:r>
    </w:p>
    <w:p w14:paraId="1050D1C6" w14:textId="77777777" w:rsidR="00D762DD" w:rsidRDefault="00000000">
      <w:pPr>
        <w:pStyle w:val="BodyText"/>
      </w:pPr>
      <w:r>
        <w:t xml:space="preserve">Así, el desarrollo histórico de la XAI puede leerse como una serie de desplazamientos: de transparencia intrínseca a explicación </w:t>
      </w:r>
      <w:proofErr w:type="spellStart"/>
      <w:r>
        <w:t>post-hoc</w:t>
      </w:r>
      <w:proofErr w:type="spellEnd"/>
      <w:r>
        <w:t xml:space="preserve">; de modelos simples a modelos de alta capacidad; de descripciones globales a explicaciones locales; de evaluaciones cualitativas a </w:t>
      </w:r>
      <w:proofErr w:type="spellStart"/>
      <w:r>
        <w:t>toolkits</w:t>
      </w:r>
      <w:proofErr w:type="spellEnd"/>
      <w:r>
        <w:t xml:space="preserve"> métricos; y de una mirada centrada en el algoritmo a una mirada que incluye usuarios, contexto y responsabilidad. La contribución de FOM-7 se ubica después de esos desplazamientos. No regresa nostálgicamente a modelos simples ni promete una explicación universal. Propone gobernar la evaluación de explicaciones en un escenario donde los objetos explicativos son plurales, los criterios son multidimensionales y las conclusiones deben ser rastreables (Doshi-</w:t>
      </w:r>
      <w:proofErr w:type="spellStart"/>
      <w:r>
        <w:t>Velez</w:t>
      </w:r>
      <w:proofErr w:type="spellEnd"/>
      <w:r>
        <w:t xml:space="preserve"> 2017; Hedström et al. 2023; Nauta et al. 2023).</w:t>
      </w:r>
    </w:p>
    <w:p w14:paraId="078C449E" w14:textId="77777777" w:rsidR="00D762DD" w:rsidRDefault="00000000">
      <w:pPr>
        <w:pStyle w:val="Heading2"/>
      </w:pPr>
      <w:bookmarkStart w:id="47" w:name="distinciones-conceptuales-fundamentales"/>
      <w:bookmarkStart w:id="48" w:name="_Toc238925719"/>
      <w:bookmarkEnd w:id="45"/>
      <w:r>
        <w:t>Distinciones conceptuales fundamentales</w:t>
      </w:r>
      <w:bookmarkEnd w:id="48"/>
    </w:p>
    <w:p w14:paraId="2B3110E8" w14:textId="77777777" w:rsidR="00D762DD" w:rsidRDefault="00000000">
      <w:r>
        <w:t xml:space="preserve">La literatura XAI utiliza con frecuencia términos cercanos como interpretabilidad, </w:t>
      </w:r>
      <w:proofErr w:type="spellStart"/>
      <w:r>
        <w:t>explicabilidad</w:t>
      </w:r>
      <w:proofErr w:type="spellEnd"/>
      <w:r>
        <w:t xml:space="preserve">, transparencia, fidelidad, plausibilidad, robustez y utilidad. Sin una delimitación </w:t>
      </w:r>
      <w:r>
        <w:lastRenderedPageBreak/>
        <w:t>conceptual, estos términos pueden producir inferencias demasiado amplias. Un resultado alto en una métrica de estabilidad, por ejemplo, no prueba que una explicación sea causalmente correcta ni que sea útil para un usuario experto. Por ello, la tesis adopta distinciones operativas que protegen la validez de las afirmaciones (Lipton 2018; Doshi-</w:t>
      </w:r>
      <w:proofErr w:type="spellStart"/>
      <w:r>
        <w:t>Velez</w:t>
      </w:r>
      <w:proofErr w:type="spellEnd"/>
      <w:r>
        <w:t xml:space="preserve"> 2017; Nauta et al. 2023).</w:t>
      </w:r>
    </w:p>
    <w:p w14:paraId="14624DE7" w14:textId="77777777" w:rsidR="00D762DD" w:rsidRDefault="00000000">
      <w:pPr>
        <w:pStyle w:val="BodyText"/>
      </w:pPr>
      <w:r>
        <w:t xml:space="preserve">Estas distinciones cumplen una función metodológica, no solamente terminológica. En una tesis doctoral, los conceptos deben controlar el alcance de las conclusiones. Si se afirma que un explicador es “mejor”, debe indicarse mejor respecto a qué propiedad: fidelidad, estabilidad, robustez, complejidad, coste, </w:t>
      </w:r>
      <w:proofErr w:type="spellStart"/>
      <w:r>
        <w:t>accionabilidad</w:t>
      </w:r>
      <w:proofErr w:type="spellEnd"/>
      <w:r>
        <w:t xml:space="preserve"> o utilidad para un usuario. Si se afirma que una explicación es “correcta”, debe aclararse si la corrección se refiere al comportamiento observable del modelo, a una estructura causal del dominio, a la aceptabilidad humana de la narrativa o a la consistencia con una métrica. El valor de estas distinciones es evitar que un resultado empírico local se transforme en una afirmación teórica excesiva (Doshi-</w:t>
      </w:r>
      <w:proofErr w:type="spellStart"/>
      <w:r>
        <w:t>Velez</w:t>
      </w:r>
      <w:proofErr w:type="spellEnd"/>
      <w:r>
        <w:t xml:space="preserve"> 2017; Lipton 2018).</w:t>
      </w:r>
    </w:p>
    <w:p w14:paraId="1A53648C" w14:textId="77777777" w:rsidR="00D762DD" w:rsidRDefault="00000000">
      <w:pPr>
        <w:pStyle w:val="BodyText"/>
      </w:pPr>
      <w:r>
        <w:t xml:space="preserve">La primera distinción separa interpretabilidad y </w:t>
      </w:r>
      <w:proofErr w:type="spellStart"/>
      <w:r>
        <w:t>explicabilidad</w:t>
      </w:r>
      <w:proofErr w:type="spellEnd"/>
      <w:r>
        <w:t xml:space="preserve">. La interpretabilidad se asocia con la posibilidad de comprender la estructura o mecánica de un modelo. En modelos transparentes, esta comprensión puede derivarse directamente del objeto predictivo. La </w:t>
      </w:r>
      <w:proofErr w:type="spellStart"/>
      <w:r>
        <w:t>explicabilidad</w:t>
      </w:r>
      <w:proofErr w:type="spellEnd"/>
      <w:r>
        <w:t xml:space="preserve">, en cambio, puede entenderse como la producción de razones, artefactos o representaciones que hacen comprensible una predicción para un destinatario. </w:t>
      </w:r>
      <w:proofErr w:type="spellStart"/>
      <w:r>
        <w:t>Linardatos</w:t>
      </w:r>
      <w:proofErr w:type="spellEnd"/>
      <w:r>
        <w:t xml:space="preserve"> (2020) presentan esta diferencia como parte del vocabulario central de los métodos de interpretabilidad en aprendizaje automático. Para esta tesis, la distinción permite evaluar explicadores </w:t>
      </w:r>
      <w:proofErr w:type="spellStart"/>
      <w:r>
        <w:t>post-hoc</w:t>
      </w:r>
      <w:proofErr w:type="spellEnd"/>
      <w:r>
        <w:t xml:space="preserve"> sin tratarlos como si fueran equivalentes a modelos transparentes.</w:t>
      </w:r>
    </w:p>
    <w:p w14:paraId="0C45093B" w14:textId="77777777" w:rsidR="00D762DD" w:rsidRDefault="00000000">
      <w:pPr>
        <w:pStyle w:val="BodyText"/>
      </w:pPr>
      <w:r>
        <w:t xml:space="preserve">La interpretabilidad puede entenderse como una propiedad relacional: algo es interpretable para alguien, con cierto conocimiento, respecto a una tarea y en un nivel determinado de detalle. Esta lectura coincide con advertencias críticas de la literatura: el término “interpretable” puede volverse ambiguo si no se explicita qué aspecto del sistema se vuelve comprensible (Lipton 2018). La </w:t>
      </w:r>
      <w:proofErr w:type="spellStart"/>
      <w:r>
        <w:t>explicabilidad</w:t>
      </w:r>
      <w:proofErr w:type="spellEnd"/>
      <w:r>
        <w:t>, en cambio, suele remitir al proceso de producir una explicación utilizable. Esta tesis adopta una posición operacional: evalúa artefactos explicativos generados por métodos concretos, no la interpretabilidad total del sistema sociotécnico. Esa delimitación es deliberada y evita prometer más de lo que el experimento puede sostener.</w:t>
      </w:r>
    </w:p>
    <w:p w14:paraId="4F7FE304" w14:textId="77777777" w:rsidR="00D762DD" w:rsidRDefault="00000000">
      <w:pPr>
        <w:pStyle w:val="BodyText"/>
      </w:pPr>
      <w:r>
        <w:lastRenderedPageBreak/>
        <w:t xml:space="preserve">La segunda distinción separa transparencia y explicación. Un modelo transparente expone su lógica interna de forma relativamente directa; una explicación puede ser una aproximación, simplificación, regla local, atribución o contrafactual generado después de entrenar el modelo. La transparencia pertenece al modelo; la explicación pertenece al ecosistema de interpretación. Esta diferencia es importante porque una explicación puede ser comprensible y aun así no reflejar con precisión el mecanismo decisional (Arrieta 2019; </w:t>
      </w:r>
      <w:proofErr w:type="spellStart"/>
      <w:r>
        <w:t>Linardatos</w:t>
      </w:r>
      <w:proofErr w:type="spellEnd"/>
      <w:r>
        <w:t xml:space="preserve"> 2020).</w:t>
      </w:r>
    </w:p>
    <w:p w14:paraId="7834EE56" w14:textId="77777777" w:rsidR="00D762DD" w:rsidRDefault="00000000">
      <w:pPr>
        <w:pStyle w:val="BodyText"/>
      </w:pPr>
      <w:r>
        <w:t xml:space="preserve">La transparencia tampoco es un valor absoluto. Un modelo puede ser transparente en su forma matemática y aun así difícil de comprender si contiene miles de variables, interacciones o reglas. De forma inversa, una explicación </w:t>
      </w:r>
      <w:proofErr w:type="spellStart"/>
      <w:r>
        <w:t>post-hoc</w:t>
      </w:r>
      <w:proofErr w:type="spellEnd"/>
      <w:r>
        <w:t xml:space="preserve"> puede ser muy legible y, sin embargo, alejarse del mecanismo real. La transparencia se refiere a la accesibilidad del objeto predictivo; la explicación se refiere al artefacto construido para hacerlo inteligible. Esta diferencia tiene consecuencias para el benchmarking: no se debe evaluar una explicación </w:t>
      </w:r>
      <w:proofErr w:type="spellStart"/>
      <w:r>
        <w:t>post-hoc</w:t>
      </w:r>
      <w:proofErr w:type="spellEnd"/>
      <w:r>
        <w:t xml:space="preserve"> como si ofreciera acceso directo al interior del modelo, sino como una representación cuya fidelidad y estabilidad deben probarse bajo condiciones específicas (Arrieta 2019; </w:t>
      </w:r>
      <w:proofErr w:type="spellStart"/>
      <w:r>
        <w:t>Linardatos</w:t>
      </w:r>
      <w:proofErr w:type="spellEnd"/>
      <w:r>
        <w:t xml:space="preserve"> 2020).</w:t>
      </w:r>
    </w:p>
    <w:p w14:paraId="21A849F0" w14:textId="77777777" w:rsidR="00D762DD" w:rsidRDefault="00000000">
      <w:pPr>
        <w:pStyle w:val="BodyText"/>
      </w:pPr>
      <w:r>
        <w:t xml:space="preserve">La tercera distinción separa fidelidad y </w:t>
      </w:r>
      <w:proofErr w:type="spellStart"/>
      <w:r>
        <w:t>faithfulness</w:t>
      </w:r>
      <w:proofErr w:type="spellEnd"/>
      <w:r>
        <w:t xml:space="preserve">. En esta tesis, fidelidad se refiere al grado en que el artefacto explicativo reproduce o aproxima el comportamiento observable del modelo bajo condiciones definidas. La </w:t>
      </w:r>
      <w:proofErr w:type="spellStart"/>
      <w:r>
        <w:t>faithfulness</w:t>
      </w:r>
      <w:proofErr w:type="spellEnd"/>
      <w:r>
        <w:t xml:space="preserve">, o fehaciencia, apunta a una exigencia más fuerte: que la explicación represente aspectos relevantes del verdadero proceso decisional. Una explicación puede tener alta fidelidad local en un vecindario muestreado y </w:t>
      </w:r>
      <w:proofErr w:type="spellStart"/>
      <w:r>
        <w:t>aún</w:t>
      </w:r>
      <w:proofErr w:type="spellEnd"/>
      <w:r>
        <w:t xml:space="preserve"> así no capturar la lógica que el modelo utiliza en regiones no observadas o ante perturbaciones fuera de distribución (Zheng et al. 2025).</w:t>
      </w:r>
    </w:p>
    <w:p w14:paraId="502936DB" w14:textId="77777777" w:rsidR="00D762DD" w:rsidRDefault="00000000">
      <w:pPr>
        <w:pStyle w:val="BodyText"/>
      </w:pPr>
      <w:r>
        <w:t xml:space="preserve">La diferencia es sutil pero central. La fidelidad puede evaluarse mediante comparaciones observables: si el sustituto predice de forma similar al modelo de caja negra en las instancias evaluadas, se obtiene evidencia de acuerdo local o global. La </w:t>
      </w:r>
      <w:proofErr w:type="spellStart"/>
      <w:r>
        <w:t>faithfulness</w:t>
      </w:r>
      <w:proofErr w:type="spellEnd"/>
      <w:r>
        <w:t xml:space="preserve"> exige una correspondencia más profunda entre la explicación y los factores que realmente gobiernan la decisión. En modelos complejos, esta correspondencia suele ser difícil de demostrar de forma directa. Por ello, FOM-7 trata la fidelidad como un constructo medible y la </w:t>
      </w:r>
      <w:proofErr w:type="spellStart"/>
      <w:r>
        <w:t>faithfulness</w:t>
      </w:r>
      <w:proofErr w:type="spellEnd"/>
      <w:r>
        <w:t xml:space="preserve"> como </w:t>
      </w:r>
      <w:r>
        <w:lastRenderedPageBreak/>
        <w:t>una aspiración interpretativa que requiere cautela. El protocolo no debe convertir una métrica de acuerdo en una afirmación fuerte sobre verdad causal.</w:t>
      </w:r>
    </w:p>
    <w:p w14:paraId="582A5203" w14:textId="77777777" w:rsidR="00D762DD" w:rsidRDefault="00000000">
      <w:pPr>
        <w:pStyle w:val="BodyText"/>
      </w:pPr>
      <w:r>
        <w:t xml:space="preserve">La cuarta distinción separa plausibilidad y corrección. Una explicación plausible coincide con expectativas humanas, conocimiento de dominio o patrones narrativamente convincentes. Pero la plausibilidad no garantiza corrección. Esta distinción es especialmente delicada en XAI porque explicaciones persuasivas pueden aumentar confianza </w:t>
      </w:r>
      <w:proofErr w:type="spellStart"/>
      <w:r>
        <w:t>aún</w:t>
      </w:r>
      <w:proofErr w:type="spellEnd"/>
      <w:r>
        <w:t xml:space="preserve"> cuando no sean técnicamente adecuadas. La literatura crítica sobre interpretabilidad advierte que el campo debe evitar confundir comprensibilidad con verdad del mecanismo (Lipton 2018; Hoffman et al. 2023).</w:t>
      </w:r>
    </w:p>
    <w:p w14:paraId="6A9930DA" w14:textId="77777777" w:rsidR="00D762DD" w:rsidRDefault="00000000">
      <w:pPr>
        <w:pStyle w:val="BodyText"/>
      </w:pPr>
      <w:r>
        <w:t>Esta distinción protege especialmente contra explicaciones persuasivas. En entornos de decisión, una explicación que “suena razonable” puede aumentar la confianza del usuario, incluso si el modelo usó patrones espurios o si el explicador produjo una aproximación inestable. La plausibilidad pertenece al encuentro entre explicación y expectativas humanas; la corrección pertenece a la relación entre explicación, modelo y dominio. Ambas propiedades pueden coincidir, pero no deben fusionarse. En la práctica, esta tesis puede medir propiedades computacionales y discutir plausibilidad semántica con cautela, pero no puede afirmar corrección humana o causal sin evidencia específica de ese tipo (Mohseni et al. 2021; Hoffman et al. 2023).</w:t>
      </w:r>
    </w:p>
    <w:p w14:paraId="11F40D64" w14:textId="77777777" w:rsidR="00D762DD" w:rsidRDefault="00000000">
      <w:pPr>
        <w:pStyle w:val="BodyText"/>
      </w:pPr>
      <w:r>
        <w:t xml:space="preserve">La quinta distinción separa robustez y estabilidad. La estabilidad evalúa si pequeños cambios en la entrada, que no modifican la predicción, producen explicaciones similares. La robustez evalúa la resistencia del explicador ante cambios más agresivos, distribuciones atípicas, ataques o condiciones de despliegue no ideales. Esta tesis usa ambas nociones como constructos </w:t>
      </w:r>
      <w:proofErr w:type="gramStart"/>
      <w:r>
        <w:t>relacionados</w:t>
      </w:r>
      <w:proofErr w:type="gramEnd"/>
      <w:r>
        <w:t xml:space="preserve"> pero no intercambiables. Una explicación puede ser estable ante ruido leve y frágil ante casos fuera de distribución (Zheng et al. 2025; Burger et al. 2023).</w:t>
      </w:r>
    </w:p>
    <w:p w14:paraId="5AB261E9" w14:textId="77777777" w:rsidR="00D762DD" w:rsidRDefault="00000000">
      <w:pPr>
        <w:pStyle w:val="BodyText"/>
      </w:pPr>
      <w:r>
        <w:t xml:space="preserve">La estabilidad es especialmente importante para comparaciones locales. Si dos instancias casi idénticas reciben explicaciones radicalmente distintas, el explicador puede fallar como instrumento de análisis, aunque el modelo predictivo sea estable. La robustez amplía el foco hacia condiciones más exigentes: cambios de distribución, perturbaciones adversarias, datos atípicos o supuestos violados. La evaluación XAI necesita ambas dimensiones porque responden a preguntas distintas. La estabilidad pregunta por consistencia en proximidad; la robustez </w:t>
      </w:r>
      <w:r>
        <w:lastRenderedPageBreak/>
        <w:t xml:space="preserve">pregunta por resistencia ante condiciones que ponen a prueba el método. FOM-7 debe reportar estas dimensiones como parte de un perfil, no como </w:t>
      </w:r>
      <w:proofErr w:type="spellStart"/>
      <w:r>
        <w:t>sinonimos</w:t>
      </w:r>
      <w:proofErr w:type="spellEnd"/>
      <w:r>
        <w:t xml:space="preserve"> (Hedström et al. 2023; Zheng et al. 2025).</w:t>
      </w:r>
    </w:p>
    <w:p w14:paraId="08630469" w14:textId="77777777" w:rsidR="00D762DD" w:rsidRDefault="00000000">
      <w:pPr>
        <w:pStyle w:val="BodyText"/>
      </w:pPr>
      <w:r>
        <w:t>La sexta distinción separa utilidad de la explicación y verdad de la explicación. Una explicación puede ser útil para depurar, comunicar o seleccionar instancias sin demostrar que captura causalmente el funcionamiento del modelo. De forma inversa, una explicación técnicamente rigurosa puede no ser útil para un usuario no experto si excede su contexto cognitivo. Esta separación permite ubicar las métricas de FOM-7: no pretenden agotar la verdad semántica de una explicación, sino establecer evidencia operacional sobre propiedades medibles y trazables.</w:t>
      </w:r>
    </w:p>
    <w:p w14:paraId="59ACDEAC" w14:textId="77777777" w:rsidR="00D762DD" w:rsidRDefault="00000000">
      <w:pPr>
        <w:pStyle w:val="BodyText"/>
      </w:pPr>
      <w:r>
        <w:t>La utilidad depende del uso. Un científico de datos puede necesitar una explicación para depurar variables, un experto de dominio para contrastar una hipótesis, un regulador para auditar una decisión y un usuario final para comprender opciones. La misma explicación puede ser adecuada para un grupo y deficiente para otro. Esta es una de las razones por las que la literatura human-</w:t>
      </w:r>
      <w:proofErr w:type="spellStart"/>
      <w:r>
        <w:t>centered</w:t>
      </w:r>
      <w:proofErr w:type="spellEnd"/>
      <w:r>
        <w:t xml:space="preserve"> insiste en conectar objetivos, usuarios y métodos de evaluación (Mohseni et al. 2021; Hoffman et al. 2023). En esta tesis, la utilidad se interpreta de forma limitada: una explicación es útil para el protocolo si permite construir evidencia comparativa, reproducible y trazable sobre métodos </w:t>
      </w:r>
      <w:proofErr w:type="spellStart"/>
      <w:r>
        <w:t>post-hoc</w:t>
      </w:r>
      <w:proofErr w:type="spellEnd"/>
      <w:r>
        <w:t>. Otras formas de utilidad, como satisfacción de usuario o mejora de decisiones humanas, quedan fuera del alcance empírico principal.</w:t>
      </w:r>
    </w:p>
    <w:p w14:paraId="57E764F8" w14:textId="77777777" w:rsidR="00D762DD" w:rsidRDefault="00000000">
      <w:pPr>
        <w:pStyle w:val="BodyText"/>
      </w:pPr>
      <w:r>
        <w:t xml:space="preserve">En conjunto, estas distinciones convierten el marco teórico en una defensa de la prudencia inferencial. La tesis no busca demostrar que un explicador es universalmente superior, ni que una métrica representa la verdad completa de una explicación. Busca producir afirmaciones condicionadas: bajo este diseño, con estos artefactos, estas métricas y estos criterios estadísticos, se observan determinadas propiedades comparativas. Esta forma de razonamiento es menos espectacular que un ranking absoluto, pero es mucho más defendible al nivel de un doctorado. Precisamente por eso la arquitectura FOM-7 exige trazabilidad de </w:t>
      </w:r>
      <w:proofErr w:type="spellStart"/>
      <w:r>
        <w:t>claims</w:t>
      </w:r>
      <w:proofErr w:type="spellEnd"/>
      <w:r>
        <w:t>: cada conclusión debe indicar qué constructo evalúa, qué evidencia la sostiene y qué límites conserva.</w:t>
      </w:r>
    </w:p>
    <w:p w14:paraId="63195AEE" w14:textId="77777777" w:rsidR="00D762DD" w:rsidRDefault="00000000">
      <w:pPr>
        <w:pStyle w:val="Heading2"/>
      </w:pPr>
      <w:bookmarkStart w:id="49" w:name="Xa854bcdfe02171eee67e88340a3233edf48569f"/>
      <w:bookmarkStart w:id="50" w:name="_Toc238925720"/>
      <w:bookmarkEnd w:id="47"/>
      <w:r>
        <w:lastRenderedPageBreak/>
        <w:t>Métodos de explicación evaluados en esta tesis</w:t>
      </w:r>
      <w:bookmarkEnd w:id="50"/>
    </w:p>
    <w:p w14:paraId="5EC23852" w14:textId="77777777" w:rsidR="00D762DD" w:rsidRDefault="00000000">
      <w:pPr>
        <w:pStyle w:val="Heading3"/>
      </w:pPr>
      <w:bookmarkStart w:id="51" w:name="Xbbcfa782e2d35f160f8750f56befcd9ee8cf14e"/>
      <w:bookmarkStart w:id="52" w:name="_Toc238925721"/>
      <w:r>
        <w:t>LIME: sustitutos locales, muestreo e inestabilidad</w:t>
      </w:r>
      <w:bookmarkEnd w:id="52"/>
    </w:p>
    <w:p w14:paraId="5BF79627" w14:textId="77777777" w:rsidR="00D762DD" w:rsidRDefault="00000000">
      <w:r>
        <w:t>LIME propone explicar predicciones individuales aproximando localmente el modelo de caja negra con un modelo interpretable, usualmente lineal (Ribeiro 2016). Su intuición es poderosa: aunque el modelo global sea complejo, una región cercana a una instancia puede ser aproximada por una frontera más simple. Para construir esta aproximación, el método genera perturbaciones alrededor de la instancia, consulta el modelo original y ajusta un sustituto ponderado por proximidad. La explicación resultante identifica características con mayor influencia local.</w:t>
      </w:r>
    </w:p>
    <w:p w14:paraId="44483361" w14:textId="77777777" w:rsidR="00D762DD" w:rsidRDefault="00000000">
      <w:pPr>
        <w:pStyle w:val="BodyText"/>
      </w:pPr>
      <w:r>
        <w:t xml:space="preserve">Esta lógica convierte a LIME en un método flexible y agnóstico. Puede aplicarse a clasificadores diversos y produce salidas comprensibles para usuarios técnicos. Sin embargo, su fuerza también es una fuente de riesgo. La explicación depende del esquema de muestreo, de la definición de vecindario, del </w:t>
      </w:r>
      <w:proofErr w:type="spellStart"/>
      <w:r>
        <w:t>kernel</w:t>
      </w:r>
      <w:proofErr w:type="spellEnd"/>
      <w:r>
        <w:t xml:space="preserve"> de proximidad, del número de perturbaciones y del modelo interpretable elegido. Si estos elementos cambian, la explicación puede variar de forma sustancial. Por ello, la estabilidad de LIME debe evaluarse </w:t>
      </w:r>
      <w:proofErr w:type="spellStart"/>
      <w:r>
        <w:t>explicitamente</w:t>
      </w:r>
      <w:proofErr w:type="spellEnd"/>
      <w:r>
        <w:t>, no asumirse como una propiedad garantizada (Burger et al. 2023).</w:t>
      </w:r>
    </w:p>
    <w:p w14:paraId="20E7E895" w14:textId="77777777" w:rsidR="00D762DD" w:rsidRDefault="00000000">
      <w:pPr>
        <w:pStyle w:val="BodyText"/>
      </w:pPr>
      <w:r>
        <w:t>En el marco de esta tesis, LIME representa la familia de explicaciones por sustitución local. Su evaluación debe considerar fidelidad local, estabilidad, coste computacional y sensibilidad al muestreo. No es suficiente afirmar que una explicación LIME es interpretable porque sea lineal; debe demostrarse que el sustituto es una aproximación adecuada bajo condiciones experimentales controladas (Ribeiro 2016; Guidotti et al. 2018).</w:t>
      </w:r>
    </w:p>
    <w:p w14:paraId="7BD25585" w14:textId="77777777" w:rsidR="00D762DD" w:rsidRDefault="00000000">
      <w:pPr>
        <w:pStyle w:val="BodyText"/>
      </w:pPr>
      <w:r>
        <w:t xml:space="preserve">La literatura posterior ha mostrado que esta exigencia no es secundaria. LIME puede ser una herramienta poderosa para comunicar patrones locales, pero su salida no es independiente del proceso que genera el vecindario artificial. En términos de evaluación, esto significa que el experimento no solo compara “LIME” como etiqueta, sino una configuración concreta de LIME: estrategia de perturbación, </w:t>
      </w:r>
      <w:proofErr w:type="spellStart"/>
      <w:r>
        <w:t>kernel</w:t>
      </w:r>
      <w:proofErr w:type="spellEnd"/>
      <w:r>
        <w:t xml:space="preserve">, número de muestras, selección de variables y modelo sustituto. Si esos elementos no se congelan y documentan, la explicación deja de ser un artefacto reproducible y se convierte en una </w:t>
      </w:r>
      <w:proofErr w:type="spellStart"/>
      <w:r>
        <w:t>realizacion</w:t>
      </w:r>
      <w:proofErr w:type="spellEnd"/>
      <w:r>
        <w:t xml:space="preserve"> contingente del pipeline. Este punto conecta con la </w:t>
      </w:r>
      <w:r>
        <w:lastRenderedPageBreak/>
        <w:t xml:space="preserve">crítica más amplia a las explicaciones </w:t>
      </w:r>
      <w:proofErr w:type="spellStart"/>
      <w:r>
        <w:t>post-hoc</w:t>
      </w:r>
      <w:proofErr w:type="spellEnd"/>
      <w:r>
        <w:t>: su aparente simplicidad puede ocultar supuestos fuertes sobre la región local que se está aproximando (Guidotti et al. 2018; Carvalho et al. 2019).</w:t>
      </w:r>
    </w:p>
    <w:p w14:paraId="4F27D4C3" w14:textId="77777777" w:rsidR="00D762DD" w:rsidRDefault="00000000">
      <w:pPr>
        <w:pStyle w:val="BodyText"/>
      </w:pPr>
      <w:r>
        <w:t xml:space="preserve">Además, la estabilidad de LIME no debe confundirse con su plausibilidad visual. Una explicación puede seleccionar variables intuitivas y aun así variar ante perturbaciones pequeñas, cambios de semilla o modificaciones en la muestra de consulta. Estudios sobre confiabilidad de LIME y ataques a explicadores </w:t>
      </w:r>
      <w:proofErr w:type="spellStart"/>
      <w:r>
        <w:t>post-hoc</w:t>
      </w:r>
      <w:proofErr w:type="spellEnd"/>
      <w:r>
        <w:t xml:space="preserve"> muestran que la </w:t>
      </w:r>
      <w:proofErr w:type="spellStart"/>
      <w:r>
        <w:t>frágilidad</w:t>
      </w:r>
      <w:proofErr w:type="spellEnd"/>
      <w:r>
        <w:t xml:space="preserve"> puede tener consecuencias epistémicas importantes: el usuario puede recibir una narrativa convincente sin saber que otra ejecución razonable produciría una narrativa distinta (Burger et al. 2023; Slack et al. 2020). Por ello, FOM-7 debe tratar LIME como un caso ejemplar de método agnóstico con alta utilidad comunicativa, pero que requiere controles de estabilidad, trazabilidad de parámetros y delimitación estricta del alcance local.</w:t>
      </w:r>
    </w:p>
    <w:p w14:paraId="461A2A03" w14:textId="77777777" w:rsidR="00D762DD" w:rsidRDefault="00000000">
      <w:pPr>
        <w:pStyle w:val="Heading3"/>
      </w:pPr>
      <w:bookmarkStart w:id="53" w:name="X187de0a2f0f332efaa60a19888eaffd7cc2e7b5"/>
      <w:bookmarkStart w:id="54" w:name="_Toc238925722"/>
      <w:bookmarkEnd w:id="51"/>
      <w:r>
        <w:t>SHAP: valores de Shapley y atribución aditiva</w:t>
      </w:r>
      <w:bookmarkEnd w:id="54"/>
    </w:p>
    <w:p w14:paraId="74CA8184" w14:textId="77777777" w:rsidR="00D762DD" w:rsidRDefault="00000000">
      <w:r>
        <w:t>SHAP conecta métodos de atribución de características con fundamentos de teoría de juegos, especialmente el valor de Shapley (Shapley 1952), formulado originalmente para repartir de forma única la ganancia de un juego cooperativo entre sus participantes y trasladado por Lundberg (2017) al problema de atribuir importancia entre características. La predicción se expresa como una suma de contribuciones atribuibles a cada característica, bajo un conjunto de propiedades deseables para explicaciones aditivas.</w:t>
      </w:r>
    </w:p>
    <w:p w14:paraId="17D78949" w14:textId="77777777" w:rsidR="00D762DD" w:rsidRDefault="00000000">
      <w:pPr>
        <w:pStyle w:val="BodyText"/>
      </w:pPr>
      <w:r>
        <w:t xml:space="preserve">El coste de calcular exactamente el valor de Shapley crece de forma exponencial con el número de características, de modo que su uso práctico descansa en estimadores muestrales cuyas garantías han sido estudiadas de forma específica (Mitchell et al. 2022), y su complejidad computacional se ha caracterizado también para familias de funciones concretas (Karmakar et al. 2024). La formulación aditiva original tiene además límites conocidos que han motivado extensiones: no captura interacciones entre características, lo que ha dado lugar a índices de interacción con garantías de fidelidad (Tsai et al. 2023); asume independencia entre características, supuesto que se viola en datos tabulares reales y que ha motivado estimadores sensibles a la dependencia (Olsen et al. 2022); y se ha extendido recientemente a escenarios multimodales (Wang and Wang 2025). Esta familia de trabajos es relevante para el Capítulo 3 </w:t>
      </w:r>
      <w:r>
        <w:lastRenderedPageBreak/>
        <w:t>porque delimita qué significa exactamente «SHAP» en un experimento: la etiqueta cubre estimadores distintos con supuestos distintos. Una preocupación análoga por la dependencia entre características subyace a las medidas de importancia por permutación, cuya interpretación exige razonar sobre clases enteras de modelos y no sobre un único ajuste (Fisher et al. 2019). Esta base formal ha convertido a SHAP en uno de los enfoques más influyentes para interpretar modelos complejos.</w:t>
      </w:r>
    </w:p>
    <w:p w14:paraId="42BA7163" w14:textId="77777777" w:rsidR="00D762DD" w:rsidRDefault="00000000">
      <w:pPr>
        <w:pStyle w:val="BodyText"/>
      </w:pPr>
      <w:r>
        <w:t xml:space="preserve">La fortaleza de SHAP está en su marco unificado: diferentes aproximaciones pueden entenderse como miembros de una familia de modelos explicativos aditivos. </w:t>
      </w:r>
      <w:proofErr w:type="spellStart"/>
      <w:r>
        <w:t>TreeSHAP</w:t>
      </w:r>
      <w:proofErr w:type="spellEnd"/>
      <w:r>
        <w:t xml:space="preserve"> aprovecha la estructura de modelos basados en árboles para calcular atribuciones de forma más eficiente. </w:t>
      </w:r>
      <w:proofErr w:type="spellStart"/>
      <w:r>
        <w:t>KernelSHAP</w:t>
      </w:r>
      <w:proofErr w:type="spellEnd"/>
      <w:r>
        <w:t xml:space="preserve">, en cambio, opera de manera más </w:t>
      </w:r>
      <w:proofErr w:type="gramStart"/>
      <w:r>
        <w:t>general</w:t>
      </w:r>
      <w:proofErr w:type="gramEnd"/>
      <w:r>
        <w:t xml:space="preserve"> pero puede requerir numerosas evaluaciones del modelo, generando costes computacionales elevados. Esta diferencia ilustra una tensión recurrente: mayor generalidad suele implicar mayor coste o dependencia de aproximaciones.</w:t>
      </w:r>
    </w:p>
    <w:p w14:paraId="059CC1D4" w14:textId="77777777" w:rsidR="00D762DD" w:rsidRDefault="00000000">
      <w:pPr>
        <w:pStyle w:val="BodyText"/>
      </w:pPr>
      <w:r>
        <w:t xml:space="preserve">SHAP también exige decisiones metodológicas que afectan la interpretación: el conjunto de referencia, el tratamiento de dependencias entre características y la forma de estimar contribuciones marginales. Por ello, la tesis no interpreta valores SHAP como verdades causales </w:t>
      </w:r>
      <w:proofErr w:type="spellStart"/>
      <w:r>
        <w:t>automaticas</w:t>
      </w:r>
      <w:proofErr w:type="spellEnd"/>
      <w:r>
        <w:t>. Los trata como atribuciones operacionales cuya calidad debe contrastarse mediante métricas de fidelidad, estabilidad, complejidad y coste.</w:t>
      </w:r>
    </w:p>
    <w:p w14:paraId="69C493D7" w14:textId="77777777" w:rsidR="00D762DD" w:rsidRDefault="00000000">
      <w:pPr>
        <w:pStyle w:val="BodyText"/>
      </w:pPr>
      <w:r>
        <w:t>El carácter formal de SHAP puede inducir una lectura excesivamente fuerte si no se separa fundamento matemático de uso empírico. El valor de Shapley aporta una justificación axiomática para repartir una contribución entre jugadores o características, pero la aplicación a modelos predictivos requiere definir una distribución de referencia y una forma de simular presencia o ausencia de características. En datos reales, especialmente cuando existen dependencias entre variables, estas decisiones afectan el significado de la atribución. Por eso, una tabla de valores SHAP no debe presentarse como una descomposición causal directa de la predicción; debe presentarse como una atribución bajo supuestos operacionales específicos (Lundberg 2017; Carvalho et al. 2019).</w:t>
      </w:r>
    </w:p>
    <w:p w14:paraId="3568974B" w14:textId="77777777" w:rsidR="00D762DD" w:rsidRDefault="00000000">
      <w:pPr>
        <w:pStyle w:val="BodyText"/>
      </w:pPr>
      <w:r>
        <w:lastRenderedPageBreak/>
        <w:t xml:space="preserve">La diferencia entre </w:t>
      </w:r>
      <w:proofErr w:type="spellStart"/>
      <w:r>
        <w:t>KernelSHAP</w:t>
      </w:r>
      <w:proofErr w:type="spellEnd"/>
      <w:r>
        <w:t xml:space="preserve"> y </w:t>
      </w:r>
      <w:proofErr w:type="spellStart"/>
      <w:r>
        <w:t>TreeSHAP</w:t>
      </w:r>
      <w:proofErr w:type="spellEnd"/>
      <w:r>
        <w:t xml:space="preserve"> también es relevante para el diseño experimental. </w:t>
      </w:r>
      <w:proofErr w:type="spellStart"/>
      <w:r>
        <w:t>KernelSHAP</w:t>
      </w:r>
      <w:proofErr w:type="spellEnd"/>
      <w:r>
        <w:t xml:space="preserve"> conserva una orientación agnóstica, pero puede exigir un número elevado de consultas al modelo. </w:t>
      </w:r>
      <w:proofErr w:type="spellStart"/>
      <w:r>
        <w:t>TreeSHAP</w:t>
      </w:r>
      <w:proofErr w:type="spellEnd"/>
      <w:r>
        <w:t xml:space="preserve"> aprovecha la estructura de árboles para reducir coste y mejorar factibilidad en familias concretas de modelos. Esta diferencia muestra que “usar SHAP” no describe por sí mismo una condición experimental suficiente. Se debe </w:t>
      </w:r>
      <w:proofErr w:type="spellStart"/>
      <w:r>
        <w:t>específicar</w:t>
      </w:r>
      <w:proofErr w:type="spellEnd"/>
      <w:r>
        <w:t xml:space="preserve"> variante, modelo base, conjunto de referencia, estrategia de aproximación y coste de cómputo. La literatura teórica sobre la </w:t>
      </w:r>
      <w:proofErr w:type="spellStart"/>
      <w:r>
        <w:t>tractabilidad</w:t>
      </w:r>
      <w:proofErr w:type="spellEnd"/>
      <w:r>
        <w:t xml:space="preserve"> de SHAP refuerza esta precaución: calcular explicaciones exactas puede ser difícil o inviable en clases amplias de modelos, por lo que la evaluación debe registrar cuando se trabaja con aproximaciones y qué compromisos introducen (Van den Broeck et al. 2022).</w:t>
      </w:r>
    </w:p>
    <w:p w14:paraId="0880D936" w14:textId="77777777" w:rsidR="00D762DD" w:rsidRDefault="00000000">
      <w:pPr>
        <w:pStyle w:val="BodyText"/>
      </w:pPr>
      <w:r>
        <w:t xml:space="preserve">SHAP ocupa </w:t>
      </w:r>
      <w:proofErr w:type="spellStart"/>
      <w:r>
        <w:t>asi</w:t>
      </w:r>
      <w:proofErr w:type="spellEnd"/>
      <w:r>
        <w:t xml:space="preserve"> una posición doble en la tesis. Por un lado, es un referente indispensable por su </w:t>
      </w:r>
      <w:proofErr w:type="spellStart"/>
      <w:r>
        <w:t>formalizacion</w:t>
      </w:r>
      <w:proofErr w:type="spellEnd"/>
      <w:r>
        <w:t xml:space="preserve"> de la atribución aditiva y su </w:t>
      </w:r>
      <w:proofErr w:type="spellStart"/>
      <w:r>
        <w:t>adopcion</w:t>
      </w:r>
      <w:proofErr w:type="spellEnd"/>
      <w:r>
        <w:t xml:space="preserve"> en investigación aplicada. Por otro lado, es un ejemplo de que una base formal no elimina la necesidad de gobernanza experimental. FOM-7 debe evitar comparar SHAP con LIME o Anchors como si todos produjeran explicaciones del mismo tipo. En SHAP, el objeto central es una asignación de contribuciones; en LIME, una aproximación local; en Anchors, una regla; en </w:t>
      </w:r>
      <w:proofErr w:type="spellStart"/>
      <w:r>
        <w:t>DiCE</w:t>
      </w:r>
      <w:proofErr w:type="spellEnd"/>
      <w:r>
        <w:t>, una alternativa contrafactual. Esta heterogeneidad exige métricas diferenciadas y afirmaciones cuidadosamente acotadas (Guidotti et al. 2018; Nauta et al. 2023).</w:t>
      </w:r>
    </w:p>
    <w:p w14:paraId="5219B299" w14:textId="77777777" w:rsidR="00D762DD" w:rsidRDefault="00000000">
      <w:pPr>
        <w:pStyle w:val="Heading3"/>
      </w:pPr>
      <w:bookmarkStart w:id="55" w:name="X029215b3a63b0848a75a7aa70454b1144c0f31f"/>
      <w:bookmarkStart w:id="56" w:name="_Toc238925723"/>
      <w:bookmarkEnd w:id="53"/>
      <w:r>
        <w:t>Anchors: reglas de alta precisión y límites de cobertura</w:t>
      </w:r>
      <w:bookmarkEnd w:id="56"/>
    </w:p>
    <w:p w14:paraId="3EE58A73" w14:textId="77777777" w:rsidR="00D762DD" w:rsidRDefault="00000000">
      <w:r>
        <w:t xml:space="preserve">Anchors propone explicaciones en forma de reglas locales de alta precisión (Ribeiro 2018), continuando una tradición que había explorado ya las reglas como formato explicativo mediante </w:t>
      </w:r>
      <w:proofErr w:type="spellStart"/>
      <w:r>
        <w:t>ensembles</w:t>
      </w:r>
      <w:proofErr w:type="spellEnd"/>
      <w:r>
        <w:t xml:space="preserve"> de reglas ajustados sobre el modelo predictivo (Friedman 2008). En vez de asignar pesos a características, busca condiciones que, cuando se cumplen, hacen que el modelo mantenga una predicción con alta probabilidad. La promesa de Anchors es comunicativa: una regla del tipo “si se cumplen estas condiciones, la predicción se mantiene” puede ser más accionable que una lista de pesos.</w:t>
      </w:r>
    </w:p>
    <w:p w14:paraId="06FD22B7" w14:textId="77777777" w:rsidR="00D762DD" w:rsidRDefault="00000000">
      <w:pPr>
        <w:pStyle w:val="BodyText"/>
      </w:pPr>
      <w:r>
        <w:t xml:space="preserve">La precisión de una regla, sin embargo, debe interpretarse junto con su cobertura. Una regla extremadamente específica puede alcanzar alta precisión porque aplica a muy pocos casos. Una </w:t>
      </w:r>
      <w:r>
        <w:lastRenderedPageBreak/>
        <w:t>regla más general puede cubrir una región amplia, pero perder precisión. Esta tensión convierte a Anchors en un caso fundamental para la evaluación multinivel: una métrica aislada puede favorecer reglas aparentemente excelentes que no son útiles fuera de un subconjunto limitado.</w:t>
      </w:r>
    </w:p>
    <w:p w14:paraId="38297E27" w14:textId="77777777" w:rsidR="00D762DD" w:rsidRDefault="00000000">
      <w:pPr>
        <w:pStyle w:val="BodyText"/>
      </w:pPr>
      <w:r>
        <w:t>Para FOM-7, Anchors representa explicaciones basadas en condiciones suficientes aproximadas. Su evaluación debe separar precisión local, cobertura, complejidad de regla y reproducibilidad. Esta separación evita comparar Anchors con LIME o SHAP como si todos produjeran el mismo tipo de evidencia.</w:t>
      </w:r>
    </w:p>
    <w:p w14:paraId="2AD9766F" w14:textId="77777777" w:rsidR="00D762DD" w:rsidRDefault="00000000">
      <w:pPr>
        <w:pStyle w:val="BodyText"/>
      </w:pPr>
      <w:r>
        <w:t xml:space="preserve">La contribución conceptual de Anchors es introducir una forma de explicación que se aproxima al razonamiento por condiciones: una predicción se mantiene cuando ciertas premisas se conservan. Esta estructura puede ser más legible que una lista de pesos, especialmente cuando la explicación se comunica a personas que razonan mediante reglas o excepciones. Sin embargo, la legibilidad no resuelve el problema de validez. Una regla de alta precisión puede estar anclada en una región </w:t>
      </w:r>
      <w:proofErr w:type="spellStart"/>
      <w:r>
        <w:t>pequena</w:t>
      </w:r>
      <w:proofErr w:type="spellEnd"/>
      <w:r>
        <w:t xml:space="preserve"> del espacio de datos; una regla de mayor cobertura puede perder </w:t>
      </w:r>
      <w:proofErr w:type="spellStart"/>
      <w:r>
        <w:t>garantias</w:t>
      </w:r>
      <w:proofErr w:type="spellEnd"/>
      <w:r>
        <w:t xml:space="preserve"> locales. Por tanto, precisión y cobertura deben reportarse juntas, y ninguna debe convertirse por sí sola en </w:t>
      </w:r>
      <w:proofErr w:type="spellStart"/>
      <w:r>
        <w:t>sinonimo</w:t>
      </w:r>
      <w:proofErr w:type="spellEnd"/>
      <w:r>
        <w:t xml:space="preserve"> de calidad explicativa (Ribeiro 2018; Guidotti et al. 2018).</w:t>
      </w:r>
    </w:p>
    <w:p w14:paraId="73A1591D" w14:textId="77777777" w:rsidR="00D762DD" w:rsidRDefault="00000000">
      <w:pPr>
        <w:pStyle w:val="BodyText"/>
      </w:pPr>
      <w:r>
        <w:t xml:space="preserve">Anchors también muestra por qué la evaluación debe atender al formato de salida. Una regla tiene cardinalidad, condiciones, umbrales y cobertura; una atribución tiene pesos; un contrafactual tiene distancia, factibilidad y validez. Si el </w:t>
      </w:r>
      <w:proofErr w:type="spellStart"/>
      <w:r>
        <w:t>benchmark</w:t>
      </w:r>
      <w:proofErr w:type="spellEnd"/>
      <w:r>
        <w:t xml:space="preserve"> traduce todos esos objetos a una sola escala, corre el riesgo de medir más la conveniencia de la métrica que la calidad del método. Para FOM-7, Anchors cumple entonces una función teórica: obliga a reconocer que las métricas deben estar alineadas con el tipo de explicación. La tesis no debe preguntar solo “qué método gana”, sino “qué propiedad de qué objeto explicativo se está evaluando </w:t>
      </w:r>
      <w:proofErr w:type="gramStart"/>
      <w:r>
        <w:t>bajo qué condiciones</w:t>
      </w:r>
      <w:proofErr w:type="gramEnd"/>
      <w:r>
        <w:t>” (Carvalho et al. 2019; Nauta et al. 2023).</w:t>
      </w:r>
    </w:p>
    <w:p w14:paraId="0FE490BE" w14:textId="77777777" w:rsidR="00D762DD" w:rsidRDefault="00000000">
      <w:pPr>
        <w:pStyle w:val="Heading3"/>
      </w:pPr>
      <w:bookmarkStart w:id="57" w:name="Xd196f32f12fd1cc1850af93995e5a1615dfcb83"/>
      <w:bookmarkStart w:id="58" w:name="_Toc238925724"/>
      <w:bookmarkEnd w:id="55"/>
      <w:proofErr w:type="spellStart"/>
      <w:r>
        <w:t>DiCE</w:t>
      </w:r>
      <w:proofErr w:type="spellEnd"/>
      <w:r>
        <w:t xml:space="preserve">: contrafactuales, </w:t>
      </w:r>
      <w:proofErr w:type="spellStart"/>
      <w:r>
        <w:t>accionabilidad</w:t>
      </w:r>
      <w:proofErr w:type="spellEnd"/>
      <w:r>
        <w:t xml:space="preserve"> y validez</w:t>
      </w:r>
      <w:bookmarkEnd w:id="58"/>
    </w:p>
    <w:p w14:paraId="4E918F61" w14:textId="77777777" w:rsidR="00D762DD" w:rsidRDefault="00000000">
      <w:proofErr w:type="spellStart"/>
      <w:r>
        <w:t>DiCE</w:t>
      </w:r>
      <w:proofErr w:type="spellEnd"/>
      <w:r>
        <w:t xml:space="preserve"> introduce explicaciones contrafactuales diversas, orientadas a mostrar cambios plausibles que podrían alterar la decisión de un modelo (</w:t>
      </w:r>
      <w:proofErr w:type="spellStart"/>
      <w:r>
        <w:t>Mothilal</w:t>
      </w:r>
      <w:proofErr w:type="spellEnd"/>
      <w:r>
        <w:t xml:space="preserve"> 2020). Su pregunta no es “qué características contribuyeron más a esta predicción”, sino “qué tendría que cambiar para obtener </w:t>
      </w:r>
      <w:r>
        <w:lastRenderedPageBreak/>
        <w:t xml:space="preserve">otro resultado”. Esta diferencia ubica a </w:t>
      </w:r>
      <w:proofErr w:type="spellStart"/>
      <w:r>
        <w:t>DiCE</w:t>
      </w:r>
      <w:proofErr w:type="spellEnd"/>
      <w:r>
        <w:t xml:space="preserve"> en una familia explicativa distinta, especialmente relevante para escenarios donde el usuario necesita comprender alternativas de acción.</w:t>
      </w:r>
    </w:p>
    <w:p w14:paraId="41366B95" w14:textId="77777777" w:rsidR="00D762DD" w:rsidRDefault="00000000">
      <w:pPr>
        <w:pStyle w:val="BodyText"/>
      </w:pPr>
      <w:r>
        <w:t xml:space="preserve">La evaluación de contrafactuales exige criterios adicionales. Un contrafactual debe ser válido respecto al modelo, cercano a la instancia original, diverso respecto a otras alternativas y, en muchos dominios, accionable. La </w:t>
      </w:r>
      <w:proofErr w:type="spellStart"/>
      <w:r>
        <w:t>accionabilidad</w:t>
      </w:r>
      <w:proofErr w:type="spellEnd"/>
      <w:r>
        <w:t xml:space="preserve"> impone restricciones semánticas: no todas las características pueden modificarse, y no todos los cambios matemáticamente cercanos son realistas. Por ello, una métrica de fidelidad tradicional puede ser insuficiente para evaluar </w:t>
      </w:r>
      <w:proofErr w:type="spellStart"/>
      <w:r>
        <w:t>DiCE</w:t>
      </w:r>
      <w:proofErr w:type="spellEnd"/>
      <w:r>
        <w:t xml:space="preserve"> si no se acompaña de criterios de plausibilidad, factibilidad y coherencia con el dominio (</w:t>
      </w:r>
      <w:proofErr w:type="spellStart"/>
      <w:r>
        <w:t>Mothilal</w:t>
      </w:r>
      <w:proofErr w:type="spellEnd"/>
      <w:r>
        <w:t xml:space="preserve"> 2020; Karimi et al. 2022).</w:t>
      </w:r>
    </w:p>
    <w:p w14:paraId="5FCA09D2" w14:textId="77777777" w:rsidR="00D762DD" w:rsidRDefault="00000000">
      <w:pPr>
        <w:pStyle w:val="BodyText"/>
      </w:pPr>
      <w:r>
        <w:t xml:space="preserve">En esta tesis, </w:t>
      </w:r>
      <w:proofErr w:type="spellStart"/>
      <w:r>
        <w:t>DiCE</w:t>
      </w:r>
      <w:proofErr w:type="spellEnd"/>
      <w:r>
        <w:t xml:space="preserve"> permite mostrar que FOM-7 no debe forzar una métrica única sobre objetos explicativos heterogéneos. Las explicaciones contrafactuales requieren una lectura propia dentro del protocolo, especialmente cuando se discuten utilidad, sensibilidad y trazabilidad de afirmaciones.</w:t>
      </w:r>
    </w:p>
    <w:p w14:paraId="64E79D32" w14:textId="77777777" w:rsidR="00D762DD" w:rsidRDefault="00000000">
      <w:pPr>
        <w:pStyle w:val="BodyText"/>
      </w:pPr>
      <w:r>
        <w:t xml:space="preserve">La familia contrafactual amplía la XAI hacia preguntas de </w:t>
      </w:r>
      <w:proofErr w:type="spellStart"/>
      <w:r>
        <w:t>recourse</w:t>
      </w:r>
      <w:proofErr w:type="spellEnd"/>
      <w:r>
        <w:t xml:space="preserve"> y acción. Mientras LIME o SHAP suelen describir por qué una decisión fue tomada en términos de contribuciones o aproximaciones, </w:t>
      </w:r>
      <w:proofErr w:type="gramStart"/>
      <w:r>
        <w:t>el contrafactual pregunta</w:t>
      </w:r>
      <w:proofErr w:type="gramEnd"/>
      <w:r>
        <w:t xml:space="preserve"> que alternativas podrían cambiar el resultado. Esta orientación es atractiva en dominios de decisión porque conecta explicación con posibilidad de </w:t>
      </w:r>
      <w:proofErr w:type="spellStart"/>
      <w:r>
        <w:t>intervencion</w:t>
      </w:r>
      <w:proofErr w:type="spellEnd"/>
      <w:r>
        <w:t xml:space="preserve">. Sin embargo, también introduce exigencias más fuertes: los cambios sugeridos deben ser posibles, coherentes con restricciones del dominio y no meramente artefactos matemáticos cercanos en el espacio de variables. La literatura sobre </w:t>
      </w:r>
      <w:proofErr w:type="spellStart"/>
      <w:r>
        <w:t>recourse</w:t>
      </w:r>
      <w:proofErr w:type="spellEnd"/>
      <w:r>
        <w:t xml:space="preserve"> enfatiza precisamente que una recomendación consecuencial debe evaluar factibilidad, </w:t>
      </w:r>
      <w:proofErr w:type="spellStart"/>
      <w:r>
        <w:t>accionabilidad</w:t>
      </w:r>
      <w:proofErr w:type="spellEnd"/>
      <w:r>
        <w:t xml:space="preserve"> y consecuencias, no solo inversión de etiqueta (Karimi et al. 2022).</w:t>
      </w:r>
    </w:p>
    <w:p w14:paraId="24867430" w14:textId="77777777" w:rsidR="00D762DD" w:rsidRDefault="00000000">
      <w:pPr>
        <w:pStyle w:val="BodyText"/>
      </w:pPr>
      <w:proofErr w:type="spellStart"/>
      <w:r>
        <w:t>DiCE</w:t>
      </w:r>
      <w:proofErr w:type="spellEnd"/>
      <w:r>
        <w:t xml:space="preserve"> aporta diversidad de alternativas contrafactuales, pero diversidad no equivale automáticamente a </w:t>
      </w:r>
      <w:proofErr w:type="spellStart"/>
      <w:r>
        <w:t>accionabilidad</w:t>
      </w:r>
      <w:proofErr w:type="spellEnd"/>
      <w:r>
        <w:t>. Un conjunto de contrafactuales puede ser diverso en distancia matemática y aun así incluir cambios imposibles para una persona o incoherentes con relaciones del dominio. FACE aborda esta preocupación al enfatizar contrafactuales factibles y accionables en regiones conectadas por datos observados (</w:t>
      </w:r>
      <w:proofErr w:type="spellStart"/>
      <w:r>
        <w:t>Poyiadzi</w:t>
      </w:r>
      <w:proofErr w:type="spellEnd"/>
      <w:r>
        <w:t xml:space="preserve"> et al. 2020). A la vez, las críticas sobre contrafactuales </w:t>
      </w:r>
      <w:proofErr w:type="spellStart"/>
      <w:r>
        <w:t>post-hoc</w:t>
      </w:r>
      <w:proofErr w:type="spellEnd"/>
      <w:r>
        <w:t xml:space="preserve"> advierten que una explicación puede ser injustificada si se apoya en </w:t>
      </w:r>
      <w:r>
        <w:lastRenderedPageBreak/>
        <w:t xml:space="preserve">regiones poco plausibles o si no respeta la estructura local del problema (Laugel et al. 2019). Para FOM-7, esta tensión exige que </w:t>
      </w:r>
      <w:proofErr w:type="spellStart"/>
      <w:proofErr w:type="gramStart"/>
      <w:r>
        <w:t>DiCE</w:t>
      </w:r>
      <w:proofErr w:type="spellEnd"/>
      <w:proofErr w:type="gramEnd"/>
      <w:r>
        <w:t xml:space="preserve"> sea evaluado con criterios propios: validez de cambio de salida, proximidad, diversidad, factibilidad, </w:t>
      </w:r>
      <w:proofErr w:type="spellStart"/>
      <w:r>
        <w:t>accionabilidad</w:t>
      </w:r>
      <w:proofErr w:type="spellEnd"/>
      <w:r>
        <w:t xml:space="preserve"> y límites de inferencia.</w:t>
      </w:r>
    </w:p>
    <w:p w14:paraId="552413ED" w14:textId="77777777" w:rsidR="00D762DD" w:rsidRDefault="00000000">
      <w:pPr>
        <w:pStyle w:val="BodyText"/>
      </w:pPr>
      <w:r>
        <w:t xml:space="preserve">El papel de los contrafactuales en la tesis no es demostrar que el usuario puede ejecutar realmente la acción sugerida en cualquier dominio. El alcance es más prudente: examinar si el método produce artefactos que cumplen criterios operacionales definidos y si esos criterios son trazables. Esta distinción es importante porque la </w:t>
      </w:r>
      <w:proofErr w:type="spellStart"/>
      <w:r>
        <w:t>accionabilidad</w:t>
      </w:r>
      <w:proofErr w:type="spellEnd"/>
      <w:r>
        <w:t xml:space="preserve"> plena suele requerir conocimiento causal, normativo y contextual que excede un </w:t>
      </w:r>
      <w:proofErr w:type="spellStart"/>
      <w:r>
        <w:t>benchmark</w:t>
      </w:r>
      <w:proofErr w:type="spellEnd"/>
      <w:r>
        <w:t xml:space="preserve"> puramente computacional. FOM-7 puede registrar la distancia entre validez para el modelo y </w:t>
      </w:r>
      <w:proofErr w:type="spellStart"/>
      <w:r>
        <w:t>accionabilidad</w:t>
      </w:r>
      <w:proofErr w:type="spellEnd"/>
      <w:r>
        <w:t xml:space="preserve"> para la persona, y esa distancia es justamente una de las brechas que una revisión doctoral debe hacer visible (Langer et al. 2021; Karimi et al. 2022).</w:t>
      </w:r>
    </w:p>
    <w:p w14:paraId="641D57AB" w14:textId="77777777" w:rsidR="00D762DD" w:rsidRDefault="00000000">
      <w:pPr>
        <w:pStyle w:val="Heading2"/>
      </w:pPr>
      <w:bookmarkStart w:id="59" w:name="marcos-y-protocolos-de-evaluación-xai"/>
      <w:bookmarkStart w:id="60" w:name="_Toc238925725"/>
      <w:bookmarkEnd w:id="49"/>
      <w:bookmarkEnd w:id="57"/>
      <w:r>
        <w:t>Marcos y protocolos de evaluación XAI</w:t>
      </w:r>
      <w:bookmarkEnd w:id="60"/>
    </w:p>
    <w:p w14:paraId="54B91C87" w14:textId="77777777" w:rsidR="00D762DD" w:rsidRDefault="00000000">
      <w:r>
        <w:t xml:space="preserve">La última década ha producido, junto a los </w:t>
      </w:r>
      <w:proofErr w:type="spellStart"/>
      <w:r>
        <w:t>toolkits</w:t>
      </w:r>
      <w:proofErr w:type="spellEnd"/>
      <w:r>
        <w:t xml:space="preserve"> ya citados, un conjunto creciente de marcos y bancos de prueba orientados específicamente a </w:t>
      </w:r>
      <w:r>
        <w:rPr>
          <w:i/>
          <w:iCs/>
        </w:rPr>
        <w:t>evaluar</w:t>
      </w:r>
      <w:r>
        <w:t xml:space="preserve"> explicaciones en lugar de generarlas. Los trabajos recientes incluyen bancos de prueba </w:t>
      </w:r>
      <w:proofErr w:type="spellStart"/>
      <w:r>
        <w:t>multi-métrica</w:t>
      </w:r>
      <w:proofErr w:type="spellEnd"/>
      <w:r>
        <w:t xml:space="preserve"> de propósito general (</w:t>
      </w:r>
      <w:proofErr w:type="spellStart"/>
      <w:r>
        <w:t>Sithakoul</w:t>
      </w:r>
      <w:proofErr w:type="spellEnd"/>
      <w:r>
        <w:t xml:space="preserve"> et al. 2024), revisiones y taxonomías de métricas de evaluación (Kadir et al. 2023), protocolos para dominios concretos como las redes neuronales sobre grafos (Agarwal et al. 2023; </w:t>
      </w:r>
      <w:proofErr w:type="spellStart"/>
      <w:r>
        <w:t>Proszewska</w:t>
      </w:r>
      <w:proofErr w:type="spellEnd"/>
      <w:r>
        <w:t xml:space="preserve"> et al. 2025) o la detección de contenido sintético (</w:t>
      </w:r>
      <w:proofErr w:type="spellStart"/>
      <w:r>
        <w:t>Tsigos</w:t>
      </w:r>
      <w:proofErr w:type="spellEnd"/>
      <w:r>
        <w:t xml:space="preserve"> et al. 2024), evaluaciones centradas en la representación visual de las atribuciones (Cunha and Barbosa 2024), estudios que miden la interpretabilidad percibida del propio artefacto explicativo (Morrison et al. 2023), y pruebas de robustez de las explicaciones frente a ejemplos adversarios (Kumagai et al. 2023). A ellos se suman las bibliotecas que instrumentan la generación y el análisis de explicaciones de forma reproducible (Li et al. 2022), los tutoriales metodológicos que consolidan buenas prácticas de aplicación (</w:t>
      </w:r>
      <w:proofErr w:type="spellStart"/>
      <w:r>
        <w:t>Bennetot</w:t>
      </w:r>
      <w:proofErr w:type="spellEnd"/>
      <w:r>
        <w:t xml:space="preserve"> et al. 2024) y las propuestas que desplazan la evaluación desde la atribución por característica hacia conceptos de alto nivel definidos por el usuario (Kim et al. 2018). El panorama resultante confirma la premisa de esta tesis: existe abundancia de instrumentos de medida y escasez de protocolos que gobiernen su uso.</w:t>
      </w:r>
    </w:p>
    <w:p w14:paraId="5C8845FA" w14:textId="77777777" w:rsidR="00D762DD" w:rsidRDefault="00000000">
      <w:pPr>
        <w:pStyle w:val="BodyText"/>
      </w:pPr>
      <w:r>
        <w:lastRenderedPageBreak/>
        <w:t xml:space="preserve">La evaluación de interpretabilidad requiere distinguir niveles de evidencia. </w:t>
      </w:r>
      <w:r w:rsidRPr="00A52D0E">
        <w:rPr>
          <w:lang w:val="en-US"/>
        </w:rPr>
        <w:t xml:space="preserve">Doshi-Velez (2017) </w:t>
      </w:r>
      <w:proofErr w:type="spellStart"/>
      <w:r w:rsidRPr="00A52D0E">
        <w:rPr>
          <w:lang w:val="en-US"/>
        </w:rPr>
        <w:t>proponen</w:t>
      </w:r>
      <w:proofErr w:type="spellEnd"/>
      <w:r w:rsidRPr="00A52D0E">
        <w:rPr>
          <w:lang w:val="en-US"/>
        </w:rPr>
        <w:t xml:space="preserve"> </w:t>
      </w:r>
      <w:proofErr w:type="spellStart"/>
      <w:r w:rsidRPr="00A52D0E">
        <w:rPr>
          <w:lang w:val="en-US"/>
        </w:rPr>
        <w:t>una</w:t>
      </w:r>
      <w:proofErr w:type="spellEnd"/>
      <w:r w:rsidRPr="00A52D0E">
        <w:rPr>
          <w:lang w:val="en-US"/>
        </w:rPr>
        <w:t xml:space="preserve"> </w:t>
      </w:r>
      <w:proofErr w:type="spellStart"/>
      <w:r w:rsidRPr="00A52D0E">
        <w:rPr>
          <w:lang w:val="en-US"/>
        </w:rPr>
        <w:t>taxonomía</w:t>
      </w:r>
      <w:proofErr w:type="spellEnd"/>
      <w:r w:rsidRPr="00A52D0E">
        <w:rPr>
          <w:lang w:val="en-US"/>
        </w:rPr>
        <w:t xml:space="preserve"> </w:t>
      </w:r>
      <w:proofErr w:type="spellStart"/>
      <w:r w:rsidRPr="00A52D0E">
        <w:rPr>
          <w:lang w:val="en-US"/>
        </w:rPr>
        <w:t>influyente</w:t>
      </w:r>
      <w:proofErr w:type="spellEnd"/>
      <w:r w:rsidRPr="00A52D0E">
        <w:rPr>
          <w:lang w:val="en-US"/>
        </w:rPr>
        <w:t xml:space="preserve">: </w:t>
      </w:r>
      <w:proofErr w:type="spellStart"/>
      <w:r w:rsidRPr="00A52D0E">
        <w:rPr>
          <w:lang w:val="en-US"/>
        </w:rPr>
        <w:t>evaluación</w:t>
      </w:r>
      <w:proofErr w:type="spellEnd"/>
      <w:r w:rsidRPr="00A52D0E">
        <w:rPr>
          <w:lang w:val="en-US"/>
        </w:rPr>
        <w:t xml:space="preserve"> application-grounded, human-grounded y </w:t>
      </w:r>
      <w:proofErr w:type="gramStart"/>
      <w:r w:rsidRPr="00A52D0E">
        <w:rPr>
          <w:lang w:val="en-US"/>
        </w:rPr>
        <w:t>functionally-grounded</w:t>
      </w:r>
      <w:proofErr w:type="gramEnd"/>
      <w:r w:rsidRPr="00A52D0E">
        <w:rPr>
          <w:lang w:val="en-US"/>
        </w:rPr>
        <w:t xml:space="preserve">. </w:t>
      </w:r>
      <w:r>
        <w:t xml:space="preserve">La primera evalúa explicaciones en tareas reales con usuarios y dominios específicos. La segunda usa tareas simplificadas con humanos para estudiar propiedades generales de la explicación. La tercera reemplaza la evaluación humana por </w:t>
      </w:r>
      <w:proofErr w:type="spellStart"/>
      <w:r>
        <w:t>proxies</w:t>
      </w:r>
      <w:proofErr w:type="spellEnd"/>
      <w:r>
        <w:t xml:space="preserve"> formales o computacionales cuando existe una razón teórica para hacerlo. Esta distinción es esencial para FOM-7, porque la presente tesis se ubica principalmente en una evaluación </w:t>
      </w:r>
      <w:proofErr w:type="spellStart"/>
      <w:r>
        <w:t>functionally-grounded</w:t>
      </w:r>
      <w:proofErr w:type="spellEnd"/>
      <w:r>
        <w:t xml:space="preserve"> con aspiraciones de trazabilidad hacia afirmaciones técnicas.</w:t>
      </w:r>
    </w:p>
    <w:p w14:paraId="72F166FA" w14:textId="77777777" w:rsidR="00D762DD" w:rsidRDefault="00000000">
      <w:pPr>
        <w:pStyle w:val="BodyText"/>
      </w:pPr>
      <w:r>
        <w:t>La distinción entre estos niveles evita una confusión frecuente: evaluar una explicación con una métrica computacional no equivale a demostrar que mejora la decisión humana. Los estudios human-</w:t>
      </w:r>
      <w:proofErr w:type="spellStart"/>
      <w:r>
        <w:t>grounded</w:t>
      </w:r>
      <w:proofErr w:type="spellEnd"/>
      <w:r>
        <w:t xml:space="preserve"> muestran que la relación entre formato explicativo y comportamiento del usuario es empírica, no deducible solo de la elegancia del método. Por ejemplo, evaluar si ciertas explicaciones ayudan a usuarios a predecir el comportamiento del modelo pertenece a una pregunta distinta de medir fidelidad o estabilidad en un </w:t>
      </w:r>
      <w:proofErr w:type="spellStart"/>
      <w:r>
        <w:t>benchmark</w:t>
      </w:r>
      <w:proofErr w:type="spellEnd"/>
      <w:r>
        <w:t xml:space="preserve"> (Hase and Bansal 2020). Del mismo modo, los estudios con científicos de datos muestran que las herramientas de interpretabilidad se insertan en </w:t>
      </w:r>
      <w:proofErr w:type="spellStart"/>
      <w:r>
        <w:t>practicas</w:t>
      </w:r>
      <w:proofErr w:type="spellEnd"/>
      <w:r>
        <w:t xml:space="preserve"> de depuración, validación y comunicación que no se reducen a una puntuación única (Kaur et al. 2020). Por ello, FOM-7 debe afirmar con precisión que produce evidencia </w:t>
      </w:r>
      <w:proofErr w:type="spellStart"/>
      <w:r>
        <w:t>functionally-grounded</w:t>
      </w:r>
      <w:proofErr w:type="spellEnd"/>
      <w:r>
        <w:t xml:space="preserve"> y no evidencia </w:t>
      </w:r>
      <w:proofErr w:type="spellStart"/>
      <w:r>
        <w:t>application-grounded</w:t>
      </w:r>
      <w:proofErr w:type="spellEnd"/>
      <w:r>
        <w:t>.</w:t>
      </w:r>
    </w:p>
    <w:p w14:paraId="320878E3" w14:textId="77777777" w:rsidR="00D762DD" w:rsidRDefault="00000000">
      <w:pPr>
        <w:pStyle w:val="BodyText"/>
      </w:pPr>
      <w:proofErr w:type="spellStart"/>
      <w:r>
        <w:t>Quantus</w:t>
      </w:r>
      <w:proofErr w:type="spellEnd"/>
      <w:r>
        <w:t xml:space="preserve"> responde a la necesidad de evaluar explicaciones mediante un </w:t>
      </w:r>
      <w:proofErr w:type="spellStart"/>
      <w:r>
        <w:t>toolkit</w:t>
      </w:r>
      <w:proofErr w:type="spellEnd"/>
      <w:r>
        <w:t xml:space="preserve"> que agrupa métricas y facilita comparaciones sistemáticas (Hedström et al. 2023). Su contribución es importante porque reduce </w:t>
      </w:r>
      <w:proofErr w:type="spellStart"/>
      <w:r>
        <w:t>friccion</w:t>
      </w:r>
      <w:proofErr w:type="spellEnd"/>
      <w:r>
        <w:t xml:space="preserve"> </w:t>
      </w:r>
      <w:proofErr w:type="spellStart"/>
      <w:r>
        <w:t>tecnica</w:t>
      </w:r>
      <w:proofErr w:type="spellEnd"/>
      <w:r>
        <w:t xml:space="preserve">, ordena familias de métricas y promueve evaluaciones más reproducibles. No obstante, un </w:t>
      </w:r>
      <w:proofErr w:type="spellStart"/>
      <w:r>
        <w:t>toolkit</w:t>
      </w:r>
      <w:proofErr w:type="spellEnd"/>
      <w:r>
        <w:t xml:space="preserve"> no resuelve por sí solo el problema de gobernanza del protocolo. Antes de ejecutar métricas deben definirse artefactos, condiciones experimentales, filtros de admisibilidad, estructura de reporte y reglas para convertir resultados en afirmaciones defendibles.</w:t>
      </w:r>
    </w:p>
    <w:p w14:paraId="0A125DE2" w14:textId="77777777" w:rsidR="00D762DD" w:rsidRDefault="00000000">
      <w:pPr>
        <w:pStyle w:val="BodyText"/>
      </w:pPr>
      <w:proofErr w:type="spellStart"/>
      <w:r>
        <w:t>OpenXAI</w:t>
      </w:r>
      <w:proofErr w:type="spellEnd"/>
      <w:r>
        <w:t xml:space="preserve"> avanza en una </w:t>
      </w:r>
      <w:proofErr w:type="spellStart"/>
      <w:r>
        <w:t>direccion</w:t>
      </w:r>
      <w:proofErr w:type="spellEnd"/>
      <w:r>
        <w:t xml:space="preserve"> complementaria al proponer una plataforma de evaluación transparente para explicaciones </w:t>
      </w:r>
      <w:proofErr w:type="spellStart"/>
      <w:r>
        <w:t>post-hoc</w:t>
      </w:r>
      <w:proofErr w:type="spellEnd"/>
      <w:r>
        <w:t xml:space="preserve"> (Agarwal et al. 2022). Su aporte </w:t>
      </w:r>
      <w:proofErr w:type="spellStart"/>
      <w:r>
        <w:t>esta</w:t>
      </w:r>
      <w:proofErr w:type="spellEnd"/>
      <w:r>
        <w:t xml:space="preserve"> en hacer comparables métodos y condiciones de benchmarking. Para esta tesis, </w:t>
      </w:r>
      <w:proofErr w:type="spellStart"/>
      <w:r>
        <w:t>OpenXAI</w:t>
      </w:r>
      <w:proofErr w:type="spellEnd"/>
      <w:r>
        <w:t xml:space="preserve"> funciona como </w:t>
      </w:r>
      <w:r>
        <w:lastRenderedPageBreak/>
        <w:t>referente directo: confirma que el problema de estandarización es reconocido por la comunidad, pero también permite delimitar la contribución de FOM-7. FOM-7 no pretende reemplazar estos marcos; busca operacionalizar el camino desde el diseño experimental hasta la trazabilidad de conclusiones en el contexto empírico de la tesis.</w:t>
      </w:r>
    </w:p>
    <w:p w14:paraId="7DA84A2A" w14:textId="77777777" w:rsidR="00D762DD" w:rsidRDefault="00000000">
      <w:pPr>
        <w:pStyle w:val="BodyText"/>
      </w:pPr>
      <w:r>
        <w:t xml:space="preserve">La revisión sistemática de evaluación XAI refuerza este </w:t>
      </w:r>
      <w:proofErr w:type="spellStart"/>
      <w:r>
        <w:t>posiciónamiento</w:t>
      </w:r>
      <w:proofErr w:type="spellEnd"/>
      <w:r>
        <w:t xml:space="preserve">. Nauta et al. (2023) describen un desplazamiento necesario desde evidencia anecdótica hacia métodos cuantitativos de evaluación, pero ese desplazamiento no resuelve por sí solo la relación entre métrica, constructo y </w:t>
      </w:r>
      <w:proofErr w:type="spellStart"/>
      <w:r>
        <w:t>claim</w:t>
      </w:r>
      <w:proofErr w:type="spellEnd"/>
      <w:r>
        <w:t xml:space="preserve">. La evaluación puede ser cuantitativa y aun así estar mal alineada si la métrica mide una propiedad distinta a la afirmación. Los </w:t>
      </w:r>
      <w:proofErr w:type="spellStart"/>
      <w:r>
        <w:t>sanity</w:t>
      </w:r>
      <w:proofErr w:type="spellEnd"/>
      <w:r>
        <w:t xml:space="preserve"> </w:t>
      </w:r>
      <w:proofErr w:type="spellStart"/>
      <w:r>
        <w:t>checks</w:t>
      </w:r>
      <w:proofErr w:type="spellEnd"/>
      <w:r>
        <w:t xml:space="preserve"> para métricas de saliencia apuntan a un problema similar: no basta con evaluar explicaciones; también deben examinarse las métricas usadas para evaluarlas (</w:t>
      </w:r>
      <w:proofErr w:type="spellStart"/>
      <w:r>
        <w:t>Tomsett</w:t>
      </w:r>
      <w:proofErr w:type="spellEnd"/>
      <w:r>
        <w:t xml:space="preserve"> et al. 2020). Esta idea es central para FOM-7, porque la tesis no puede tratar las métricas como instrumentos neutrales. Debe documentar qué mide cada métrica, bajo qué supuestos, y qué afirmaciones permite sostener.</w:t>
      </w:r>
    </w:p>
    <w:p w14:paraId="3C322DC3" w14:textId="77777777" w:rsidR="00D762DD" w:rsidRDefault="00000000">
      <w:pPr>
        <w:pStyle w:val="BodyText"/>
      </w:pPr>
      <w:r>
        <w:t xml:space="preserve">Los marcos existentes ofrecen piezas importantes del problema. </w:t>
      </w:r>
      <w:proofErr w:type="spellStart"/>
      <w:r>
        <w:t>Quantus</w:t>
      </w:r>
      <w:proofErr w:type="spellEnd"/>
      <w:r>
        <w:t xml:space="preserve"> facilita la implementación sistemática de métricas; </w:t>
      </w:r>
      <w:proofErr w:type="spellStart"/>
      <w:r>
        <w:t>OpenXAI</w:t>
      </w:r>
      <w:proofErr w:type="spellEnd"/>
      <w:r>
        <w:t xml:space="preserve"> promueve comparabilidad y transparencia de </w:t>
      </w:r>
      <w:proofErr w:type="spellStart"/>
      <w:r>
        <w:t>benchmark</w:t>
      </w:r>
      <w:proofErr w:type="spellEnd"/>
      <w:r>
        <w:t>; las taxonomías de evaluación distinguen niveles de evidencia; los estudios human-</w:t>
      </w:r>
      <w:proofErr w:type="spellStart"/>
      <w:r>
        <w:t>centered</w:t>
      </w:r>
      <w:proofErr w:type="spellEnd"/>
      <w:r>
        <w:t xml:space="preserve"> muestran que la utilidad depende de usuarios y tareas (Doshi-</w:t>
      </w:r>
      <w:proofErr w:type="spellStart"/>
      <w:r>
        <w:t>Velez</w:t>
      </w:r>
      <w:proofErr w:type="spellEnd"/>
      <w:r>
        <w:t xml:space="preserve"> 2017; Hedström et al. 2023; Agarwal et al. 2022; Rong et al. 2024). FOM-7 se ubica entre estas piezas como una capa de integración operativa. Su pregunta no es solamente “qué métrica ejecutar”, sino cómo asegurar que cada resultado métricamente calculado pueda transformarse en una afirmación doctoralmente admisible, con artefactos calificados y límites de alcance explícitos.</w:t>
      </w:r>
    </w:p>
    <w:p w14:paraId="6C125918" w14:textId="77777777" w:rsidR="00D762DD" w:rsidRDefault="00000000">
      <w:pPr>
        <w:pStyle w:val="BodyText"/>
      </w:pPr>
      <w:r>
        <w:t xml:space="preserve">La Tabla </w:t>
      </w:r>
      <w:hyperlink w:anchor="tbl-framework-comparison">
        <w:r>
          <w:rPr>
            <w:rStyle w:val="Hyperlink"/>
          </w:rPr>
          <w:t>Table 3.1</w:t>
        </w:r>
      </w:hyperlink>
      <w:r>
        <w:t xml:space="preserve"> compara los marcos de evaluación más relevantes para la tesis según cuatro dimensiones: la cobertura de métricas ofrecida, el soporte a la reproducibilidad experimental, la presencia de un protocolo de gobernanza secuencial y el tipo de evaluación predominante.</w:t>
      </w:r>
    </w:p>
    <w:tbl>
      <w:tblPr>
        <w:tblW w:w="5000" w:type="pct"/>
        <w:tblLayout w:type="fixed"/>
        <w:tblLook w:val="0000" w:firstRow="0" w:lastRow="0" w:firstColumn="0" w:lastColumn="0" w:noHBand="0" w:noVBand="0"/>
      </w:tblPr>
      <w:tblGrid>
        <w:gridCol w:w="9576"/>
      </w:tblGrid>
      <w:tr w:rsidR="00D762DD" w14:paraId="5332356D" w14:textId="77777777">
        <w:tc>
          <w:tcPr>
            <w:tcW w:w="7920" w:type="dxa"/>
          </w:tcPr>
          <w:p w14:paraId="16F0E3F5" w14:textId="77777777" w:rsidR="00D762DD" w:rsidRDefault="00000000">
            <w:pPr>
              <w:spacing w:before="200"/>
              <w:jc w:val="left"/>
            </w:pPr>
            <w:bookmarkStart w:id="61" w:name="tbl-framework-comparison"/>
            <w:r>
              <w:t>Table 3.1: Comparación de marcos de evaluación XAI según cobertura, reproducibilidad, gobernanza y tipo de evaluación.</w:t>
            </w:r>
          </w:p>
          <w:tbl>
            <w:tblPr>
              <w:tblW w:w="5000" w:type="pct"/>
              <w:tblLayout w:type="fixed"/>
              <w:tblLook w:val="0020" w:firstRow="1" w:lastRow="0" w:firstColumn="0" w:lastColumn="0" w:noHBand="0" w:noVBand="0"/>
            </w:tblPr>
            <w:tblGrid>
              <w:gridCol w:w="1872"/>
              <w:gridCol w:w="1872"/>
              <w:gridCol w:w="1872"/>
              <w:gridCol w:w="1872"/>
              <w:gridCol w:w="1872"/>
            </w:tblGrid>
            <w:tr w:rsidR="00D762DD" w14:paraId="754AB58F" w14:textId="77777777">
              <w:trPr>
                <w:tblHeader/>
              </w:trPr>
              <w:tc>
                <w:tcPr>
                  <w:tcW w:w="1584" w:type="dxa"/>
                </w:tcPr>
                <w:p w14:paraId="3265F9C2" w14:textId="77777777" w:rsidR="00D762DD" w:rsidRDefault="00000000">
                  <w:pPr>
                    <w:jc w:val="center"/>
                  </w:pPr>
                  <w:r>
                    <w:lastRenderedPageBreak/>
                    <w:t>Marco / protocolo</w:t>
                  </w:r>
                </w:p>
              </w:tc>
              <w:tc>
                <w:tcPr>
                  <w:tcW w:w="1584" w:type="dxa"/>
                </w:tcPr>
                <w:p w14:paraId="0D2B5375" w14:textId="77777777" w:rsidR="00D762DD" w:rsidRDefault="00000000">
                  <w:pPr>
                    <w:jc w:val="center"/>
                  </w:pPr>
                  <w:r>
                    <w:t>Cobertura de métricas</w:t>
                  </w:r>
                </w:p>
              </w:tc>
              <w:tc>
                <w:tcPr>
                  <w:tcW w:w="1584" w:type="dxa"/>
                </w:tcPr>
                <w:p w14:paraId="522D6A06" w14:textId="77777777" w:rsidR="00D762DD" w:rsidRDefault="00000000">
                  <w:pPr>
                    <w:jc w:val="center"/>
                  </w:pPr>
                  <w:r>
                    <w:t>Soporte a reproducibilidad</w:t>
                  </w:r>
                </w:p>
              </w:tc>
              <w:tc>
                <w:tcPr>
                  <w:tcW w:w="1584" w:type="dxa"/>
                </w:tcPr>
                <w:p w14:paraId="33493CB3" w14:textId="77777777" w:rsidR="00D762DD" w:rsidRDefault="00000000">
                  <w:pPr>
                    <w:jc w:val="center"/>
                  </w:pPr>
                  <w:r>
                    <w:t>Protocolo de gobernanza</w:t>
                  </w:r>
                </w:p>
              </w:tc>
              <w:tc>
                <w:tcPr>
                  <w:tcW w:w="1584" w:type="dxa"/>
                </w:tcPr>
                <w:p w14:paraId="1BAA74AC" w14:textId="77777777" w:rsidR="00D762DD" w:rsidRDefault="00000000">
                  <w:pPr>
                    <w:jc w:val="center"/>
                  </w:pPr>
                  <w:r>
                    <w:t>Tipo de evaluación predominante</w:t>
                  </w:r>
                </w:p>
              </w:tc>
            </w:tr>
            <w:tr w:rsidR="00D762DD" w:rsidRPr="00A52D0E" w14:paraId="526B9D4B" w14:textId="77777777">
              <w:tc>
                <w:tcPr>
                  <w:tcW w:w="1584" w:type="dxa"/>
                </w:tcPr>
                <w:p w14:paraId="4E242F4D" w14:textId="77777777" w:rsidR="00D762DD" w:rsidRDefault="00000000">
                  <w:pPr>
                    <w:jc w:val="center"/>
                  </w:pPr>
                  <w:proofErr w:type="spellStart"/>
                  <w:r>
                    <w:rPr>
                      <w:b/>
                      <w:bCs/>
                    </w:rPr>
                    <w:t>Quantus</w:t>
                  </w:r>
                  <w:proofErr w:type="spellEnd"/>
                  <w:r>
                    <w:t xml:space="preserve"> (Hedström et al. 2023)</w:t>
                  </w:r>
                </w:p>
              </w:tc>
              <w:tc>
                <w:tcPr>
                  <w:tcW w:w="1584" w:type="dxa"/>
                </w:tcPr>
                <w:p w14:paraId="5D377CA8" w14:textId="77777777" w:rsidR="00D762DD" w:rsidRDefault="00000000">
                  <w:pPr>
                    <w:jc w:val="center"/>
                  </w:pPr>
                  <w:r>
                    <w:t>Alta: 20+ métricas implementadas (fidelidad, robustez, complejidad, localidad, aleatoriedad)</w:t>
                  </w:r>
                </w:p>
              </w:tc>
              <w:tc>
                <w:tcPr>
                  <w:tcW w:w="1584" w:type="dxa"/>
                </w:tcPr>
                <w:p w14:paraId="34B61126" w14:textId="77777777" w:rsidR="00D762DD" w:rsidRDefault="00000000">
                  <w:pPr>
                    <w:jc w:val="center"/>
                  </w:pPr>
                  <w:r>
                    <w:t>Moderado: versiones fijadas, pero sin protocolo de calificación de artefactos</w:t>
                  </w:r>
                </w:p>
              </w:tc>
              <w:tc>
                <w:tcPr>
                  <w:tcW w:w="1584" w:type="dxa"/>
                </w:tcPr>
                <w:p w14:paraId="47BCA9A8" w14:textId="77777777" w:rsidR="00D762DD" w:rsidRDefault="00000000">
                  <w:pPr>
                    <w:jc w:val="center"/>
                  </w:pPr>
                  <w:r>
                    <w:t>Ninguno: uso ad-hoc por el investigador</w:t>
                  </w:r>
                </w:p>
              </w:tc>
              <w:tc>
                <w:tcPr>
                  <w:tcW w:w="1584" w:type="dxa"/>
                </w:tcPr>
                <w:p w14:paraId="2BC57D7B" w14:textId="77777777" w:rsidR="00D762DD" w:rsidRPr="00A52D0E" w:rsidRDefault="00000000">
                  <w:pPr>
                    <w:jc w:val="center"/>
                    <w:rPr>
                      <w:lang w:val="en-US"/>
                    </w:rPr>
                  </w:pPr>
                  <w:proofErr w:type="gramStart"/>
                  <w:r w:rsidRPr="00A52D0E">
                    <w:rPr>
                      <w:lang w:val="en-US"/>
                    </w:rPr>
                    <w:t>Functionally-grounded</w:t>
                  </w:r>
                  <w:proofErr w:type="gramEnd"/>
                  <w:r w:rsidRPr="00A52D0E">
                    <w:rPr>
                      <w:lang w:val="en-US"/>
                    </w:rPr>
                    <w:t xml:space="preserve">; sin </w:t>
                  </w:r>
                  <w:proofErr w:type="spellStart"/>
                  <w:r w:rsidRPr="00A52D0E">
                    <w:rPr>
                      <w:lang w:val="en-US"/>
                    </w:rPr>
                    <w:t>capa</w:t>
                  </w:r>
                  <w:proofErr w:type="spellEnd"/>
                  <w:r w:rsidRPr="00A52D0E">
                    <w:rPr>
                      <w:lang w:val="en-US"/>
                    </w:rPr>
                    <w:t xml:space="preserve"> </w:t>
                  </w:r>
                  <w:proofErr w:type="spellStart"/>
                  <w:r w:rsidRPr="00A52D0E">
                    <w:rPr>
                      <w:lang w:val="en-US"/>
                    </w:rPr>
                    <w:t>inferencial</w:t>
                  </w:r>
                  <w:proofErr w:type="spellEnd"/>
                  <w:r w:rsidRPr="00A52D0E">
                    <w:rPr>
                      <w:lang w:val="en-US"/>
                    </w:rPr>
                    <w:t xml:space="preserve"> </w:t>
                  </w:r>
                  <w:proofErr w:type="spellStart"/>
                  <w:r w:rsidRPr="00A52D0E">
                    <w:rPr>
                      <w:lang w:val="en-US"/>
                    </w:rPr>
                    <w:t>integrada</w:t>
                  </w:r>
                  <w:proofErr w:type="spellEnd"/>
                </w:p>
              </w:tc>
            </w:tr>
            <w:tr w:rsidR="00D762DD" w:rsidRPr="00A52D0E" w14:paraId="6B4F94A0" w14:textId="77777777">
              <w:tc>
                <w:tcPr>
                  <w:tcW w:w="1584" w:type="dxa"/>
                </w:tcPr>
                <w:p w14:paraId="057E1646" w14:textId="77777777" w:rsidR="00D762DD" w:rsidRDefault="00000000">
                  <w:pPr>
                    <w:jc w:val="center"/>
                  </w:pPr>
                  <w:proofErr w:type="spellStart"/>
                  <w:r>
                    <w:rPr>
                      <w:b/>
                      <w:bCs/>
                    </w:rPr>
                    <w:t>OpenXAI</w:t>
                  </w:r>
                  <w:proofErr w:type="spellEnd"/>
                  <w:r>
                    <w:t xml:space="preserve"> (Agarwal et al. 2022)</w:t>
                  </w:r>
                </w:p>
              </w:tc>
              <w:tc>
                <w:tcPr>
                  <w:tcW w:w="1584" w:type="dxa"/>
                </w:tcPr>
                <w:p w14:paraId="51292E9B" w14:textId="77777777" w:rsidR="00D762DD" w:rsidRDefault="00000000">
                  <w:pPr>
                    <w:jc w:val="center"/>
                  </w:pPr>
                  <w:r>
                    <w:t xml:space="preserve">Alta: cubre fidelidad, estabilidad, </w:t>
                  </w:r>
                  <w:proofErr w:type="spellStart"/>
                  <w:r>
                    <w:t>fairness</w:t>
                  </w:r>
                  <w:proofErr w:type="spellEnd"/>
                  <w:r>
                    <w:t xml:space="preserve">; incluye </w:t>
                  </w:r>
                  <w:proofErr w:type="spellStart"/>
                  <w:r>
                    <w:t>ground-truth</w:t>
                  </w:r>
                  <w:proofErr w:type="spellEnd"/>
                  <w:r>
                    <w:t xml:space="preserve"> sintético</w:t>
                  </w:r>
                </w:p>
              </w:tc>
              <w:tc>
                <w:tcPr>
                  <w:tcW w:w="1584" w:type="dxa"/>
                </w:tcPr>
                <w:p w14:paraId="33EDCC79" w14:textId="77777777" w:rsidR="00D762DD" w:rsidRDefault="00000000">
                  <w:pPr>
                    <w:jc w:val="center"/>
                  </w:pPr>
                  <w:r>
                    <w:t>Moderado: plataforma y conjuntos estandarizados; sin control de semillas declarativo</w:t>
                  </w:r>
                </w:p>
              </w:tc>
              <w:tc>
                <w:tcPr>
                  <w:tcW w:w="1584" w:type="dxa"/>
                </w:tcPr>
                <w:p w14:paraId="44CA0178" w14:textId="77777777" w:rsidR="00D762DD" w:rsidRDefault="00000000">
                  <w:pPr>
                    <w:jc w:val="center"/>
                  </w:pPr>
                  <w:r>
                    <w:t>Ninguno: comparabilidad por convención, no por protocolo</w:t>
                  </w:r>
                </w:p>
              </w:tc>
              <w:tc>
                <w:tcPr>
                  <w:tcW w:w="1584" w:type="dxa"/>
                </w:tcPr>
                <w:p w14:paraId="14A72553" w14:textId="77777777" w:rsidR="00D762DD" w:rsidRPr="00A52D0E" w:rsidRDefault="00000000">
                  <w:pPr>
                    <w:jc w:val="center"/>
                    <w:rPr>
                      <w:lang w:val="en-US"/>
                    </w:rPr>
                  </w:pPr>
                  <w:proofErr w:type="gramStart"/>
                  <w:r w:rsidRPr="00A52D0E">
                    <w:rPr>
                      <w:lang w:val="en-US"/>
                    </w:rPr>
                    <w:t>Functionally-grounded</w:t>
                  </w:r>
                  <w:proofErr w:type="gramEnd"/>
                  <w:r w:rsidRPr="00A52D0E">
                    <w:rPr>
                      <w:lang w:val="en-US"/>
                    </w:rPr>
                    <w:t xml:space="preserve"> + </w:t>
                  </w:r>
                  <w:proofErr w:type="spellStart"/>
                  <w:r w:rsidRPr="00A52D0E">
                    <w:rPr>
                      <w:lang w:val="en-US"/>
                    </w:rPr>
                    <w:t>comparación</w:t>
                  </w:r>
                  <w:proofErr w:type="spellEnd"/>
                  <w:r w:rsidRPr="00A52D0E">
                    <w:rPr>
                      <w:lang w:val="en-US"/>
                    </w:rPr>
                    <w:t xml:space="preserve"> con ground-truth</w:t>
                  </w:r>
                </w:p>
              </w:tc>
            </w:tr>
            <w:tr w:rsidR="00D762DD" w:rsidRPr="00A52D0E" w14:paraId="60420AB4" w14:textId="77777777">
              <w:tc>
                <w:tcPr>
                  <w:tcW w:w="1584" w:type="dxa"/>
                </w:tcPr>
                <w:p w14:paraId="6705B628" w14:textId="77777777" w:rsidR="00D762DD" w:rsidRDefault="00000000">
                  <w:pPr>
                    <w:jc w:val="center"/>
                  </w:pPr>
                  <w:r>
                    <w:rPr>
                      <w:b/>
                      <w:bCs/>
                    </w:rPr>
                    <w:t>Encuesta Nauta et al.</w:t>
                  </w:r>
                  <w:r>
                    <w:t xml:space="preserve"> (Nauta et al. 2023)</w:t>
                  </w:r>
                </w:p>
              </w:tc>
              <w:tc>
                <w:tcPr>
                  <w:tcW w:w="1584" w:type="dxa"/>
                </w:tcPr>
                <w:p w14:paraId="612A1C6F" w14:textId="77777777" w:rsidR="00D762DD" w:rsidRDefault="00000000">
                  <w:pPr>
                    <w:jc w:val="center"/>
                  </w:pPr>
                  <w:r>
                    <w:t>Muy alta: revisión de 30 propiedades de evaluación; incluye nivel de usuario y tarea</w:t>
                  </w:r>
                </w:p>
              </w:tc>
              <w:tc>
                <w:tcPr>
                  <w:tcW w:w="1584" w:type="dxa"/>
                </w:tcPr>
                <w:p w14:paraId="2791AA7D" w14:textId="77777777" w:rsidR="00D762DD" w:rsidRDefault="00000000">
                  <w:pPr>
                    <w:jc w:val="center"/>
                  </w:pPr>
                  <w:r>
                    <w:t>Bajo: documento de revisión, sin implementación de pipeline</w:t>
                  </w:r>
                </w:p>
              </w:tc>
              <w:tc>
                <w:tcPr>
                  <w:tcW w:w="1584" w:type="dxa"/>
                </w:tcPr>
                <w:p w14:paraId="1A4640EC" w14:textId="77777777" w:rsidR="00D762DD" w:rsidRDefault="00000000">
                  <w:pPr>
                    <w:jc w:val="center"/>
                  </w:pPr>
                  <w:r>
                    <w:t>Ninguno: marco conceptual, no operativo</w:t>
                  </w:r>
                </w:p>
              </w:tc>
              <w:tc>
                <w:tcPr>
                  <w:tcW w:w="1584" w:type="dxa"/>
                </w:tcPr>
                <w:p w14:paraId="14356A77" w14:textId="77777777" w:rsidR="00D762DD" w:rsidRPr="00A52D0E" w:rsidRDefault="00000000">
                  <w:pPr>
                    <w:jc w:val="center"/>
                    <w:rPr>
                      <w:lang w:val="en-US"/>
                    </w:rPr>
                  </w:pPr>
                  <w:proofErr w:type="spellStart"/>
                  <w:r w:rsidRPr="00A52D0E">
                    <w:rPr>
                      <w:lang w:val="en-US"/>
                    </w:rPr>
                    <w:t>Múltiple</w:t>
                  </w:r>
                  <w:proofErr w:type="spellEnd"/>
                  <w:r w:rsidRPr="00A52D0E">
                    <w:rPr>
                      <w:lang w:val="en-US"/>
                    </w:rPr>
                    <w:t xml:space="preserve">: application, human y </w:t>
                  </w:r>
                  <w:proofErr w:type="gramStart"/>
                  <w:r w:rsidRPr="00A52D0E">
                    <w:rPr>
                      <w:lang w:val="en-US"/>
                    </w:rPr>
                    <w:t>functionally-grounded</w:t>
                  </w:r>
                  <w:proofErr w:type="gramEnd"/>
                </w:p>
              </w:tc>
            </w:tr>
            <w:tr w:rsidR="00D762DD" w14:paraId="07022413" w14:textId="77777777">
              <w:tc>
                <w:tcPr>
                  <w:tcW w:w="1584" w:type="dxa"/>
                </w:tcPr>
                <w:p w14:paraId="60A1936D" w14:textId="77777777" w:rsidR="00D762DD" w:rsidRDefault="00000000">
                  <w:pPr>
                    <w:jc w:val="center"/>
                  </w:pPr>
                  <w:r>
                    <w:rPr>
                      <w:b/>
                      <w:bCs/>
                    </w:rPr>
                    <w:t>CARLA</w:t>
                  </w:r>
                  <w:r>
                    <w:t xml:space="preserve"> (Pawlicki et al. 2024)</w:t>
                  </w:r>
                </w:p>
              </w:tc>
              <w:tc>
                <w:tcPr>
                  <w:tcW w:w="1584" w:type="dxa"/>
                </w:tcPr>
                <w:p w14:paraId="31A195FD" w14:textId="77777777" w:rsidR="00D762DD" w:rsidRDefault="00000000">
                  <w:pPr>
                    <w:jc w:val="center"/>
                  </w:pPr>
                  <w:r>
                    <w:t xml:space="preserve">Moderada: orientada a contrafactuales y </w:t>
                  </w:r>
                  <w:proofErr w:type="spellStart"/>
                  <w:r>
                    <w:lastRenderedPageBreak/>
                    <w:t>recourse</w:t>
                  </w:r>
                  <w:proofErr w:type="spellEnd"/>
                  <w:r>
                    <w:t>; cubre validez, proximidad, diversidad</w:t>
                  </w:r>
                </w:p>
              </w:tc>
              <w:tc>
                <w:tcPr>
                  <w:tcW w:w="1584" w:type="dxa"/>
                </w:tcPr>
                <w:p w14:paraId="1F03D923" w14:textId="77777777" w:rsidR="00D762DD" w:rsidRDefault="00000000">
                  <w:pPr>
                    <w:jc w:val="center"/>
                  </w:pPr>
                  <w:r>
                    <w:lastRenderedPageBreak/>
                    <w:t xml:space="preserve">Moderado: librería de benchmarking, </w:t>
                  </w:r>
                  <w:r>
                    <w:lastRenderedPageBreak/>
                    <w:t>configuraciones documentadas</w:t>
                  </w:r>
                </w:p>
              </w:tc>
              <w:tc>
                <w:tcPr>
                  <w:tcW w:w="1584" w:type="dxa"/>
                </w:tcPr>
                <w:p w14:paraId="71ADDF77" w14:textId="77777777" w:rsidR="00D762DD" w:rsidRDefault="00000000">
                  <w:pPr>
                    <w:jc w:val="center"/>
                  </w:pPr>
                  <w:r>
                    <w:lastRenderedPageBreak/>
                    <w:t xml:space="preserve">Ninguno: librería sin protocolo de </w:t>
                  </w:r>
                  <w:r>
                    <w:lastRenderedPageBreak/>
                    <w:t>admisibilidad</w:t>
                  </w:r>
                </w:p>
              </w:tc>
              <w:tc>
                <w:tcPr>
                  <w:tcW w:w="1584" w:type="dxa"/>
                </w:tcPr>
                <w:p w14:paraId="3662CA92" w14:textId="77777777" w:rsidR="00D762DD" w:rsidRDefault="00000000">
                  <w:pPr>
                    <w:jc w:val="center"/>
                  </w:pPr>
                  <w:proofErr w:type="spellStart"/>
                  <w:r>
                    <w:lastRenderedPageBreak/>
                    <w:t>Functionally-grounded</w:t>
                  </w:r>
                  <w:proofErr w:type="spellEnd"/>
                  <w:r>
                    <w:t xml:space="preserve"> + </w:t>
                  </w:r>
                  <w:proofErr w:type="spellStart"/>
                  <w:r>
                    <w:t>counterfactual-</w:t>
                  </w:r>
                  <w:r>
                    <w:lastRenderedPageBreak/>
                    <w:t>specific</w:t>
                  </w:r>
                  <w:proofErr w:type="spellEnd"/>
                </w:p>
              </w:tc>
            </w:tr>
            <w:tr w:rsidR="00D762DD" w14:paraId="0A780941" w14:textId="77777777">
              <w:tc>
                <w:tcPr>
                  <w:tcW w:w="1584" w:type="dxa"/>
                </w:tcPr>
                <w:p w14:paraId="782EA8FE" w14:textId="77777777" w:rsidR="00D762DD" w:rsidRDefault="00000000">
                  <w:pPr>
                    <w:jc w:val="center"/>
                  </w:pPr>
                  <w:r>
                    <w:rPr>
                      <w:b/>
                      <w:bCs/>
                    </w:rPr>
                    <w:lastRenderedPageBreak/>
                    <w:t>FOM-7</w:t>
                  </w:r>
                  <w:r>
                    <w:t xml:space="preserve"> (esta tesis)</w:t>
                  </w:r>
                </w:p>
              </w:tc>
              <w:tc>
                <w:tcPr>
                  <w:tcW w:w="1584" w:type="dxa"/>
                </w:tcPr>
                <w:p w14:paraId="31160C0A" w14:textId="77777777" w:rsidR="00D762DD" w:rsidRDefault="00000000">
                  <w:pPr>
                    <w:jc w:val="center"/>
                  </w:pPr>
                  <w:r>
                    <w:t>Moderada: cinco métricas primarias operacionalizadas; extensible por diseño</w:t>
                  </w:r>
                </w:p>
              </w:tc>
              <w:tc>
                <w:tcPr>
                  <w:tcW w:w="1584" w:type="dxa"/>
                </w:tcPr>
                <w:p w14:paraId="35D8A789" w14:textId="77777777" w:rsidR="00D762DD" w:rsidRDefault="00000000">
                  <w:pPr>
                    <w:jc w:val="center"/>
                  </w:pPr>
                  <w:r>
                    <w:t xml:space="preserve">Alto: manifiestos YAML, semillas declarativas, artefactos calificados, DOI </w:t>
                  </w:r>
                  <w:proofErr w:type="spellStart"/>
                  <w:r>
                    <w:t>Zenodo</w:t>
                  </w:r>
                  <w:proofErr w:type="spellEnd"/>
                </w:p>
              </w:tc>
              <w:tc>
                <w:tcPr>
                  <w:tcW w:w="1584" w:type="dxa"/>
                </w:tcPr>
                <w:p w14:paraId="53A00CAF" w14:textId="77777777" w:rsidR="00D762DD" w:rsidRDefault="00000000">
                  <w:pPr>
                    <w:jc w:val="center"/>
                  </w:pPr>
                  <w:r>
                    <w:t>Sí: siete puertas secuenciales con criterios de admisibilidad y falla explícitos</w:t>
                  </w:r>
                </w:p>
              </w:tc>
              <w:tc>
                <w:tcPr>
                  <w:tcW w:w="1584" w:type="dxa"/>
                </w:tcPr>
                <w:p w14:paraId="3E136E37" w14:textId="77777777" w:rsidR="00D762DD" w:rsidRDefault="00000000">
                  <w:pPr>
                    <w:jc w:val="center"/>
                  </w:pPr>
                  <w:proofErr w:type="spellStart"/>
                  <w:r>
                    <w:t>Functionally-grounded</w:t>
                  </w:r>
                  <w:proofErr w:type="spellEnd"/>
                  <w:r>
                    <w:t xml:space="preserve"> con admisibilidad estadística integrada</w:t>
                  </w:r>
                </w:p>
              </w:tc>
            </w:tr>
            <w:bookmarkEnd w:id="61"/>
          </w:tbl>
          <w:p w14:paraId="3A07AADA" w14:textId="77777777" w:rsidR="00D762DD" w:rsidRDefault="00D762DD"/>
        </w:tc>
      </w:tr>
    </w:tbl>
    <w:p w14:paraId="48387455" w14:textId="77777777" w:rsidR="00D762DD" w:rsidRDefault="00000000">
      <w:pPr>
        <w:pStyle w:val="BodyText"/>
      </w:pPr>
      <w:r>
        <w:lastRenderedPageBreak/>
        <w:t>Esta comparación muestra que los marcos existentes cubren bien la dimensión de cobertura de métricas (</w:t>
      </w:r>
      <w:proofErr w:type="spellStart"/>
      <w:r>
        <w:t>Quantus</w:t>
      </w:r>
      <w:proofErr w:type="spellEnd"/>
      <w:r>
        <w:t xml:space="preserve">, </w:t>
      </w:r>
      <w:proofErr w:type="spellStart"/>
      <w:r>
        <w:t>OpenXAI</w:t>
      </w:r>
      <w:proofErr w:type="spellEnd"/>
      <w:r>
        <w:t>) o la dimensión conceptual (Nauta et al.), pero ninguno integra un protocolo de gobernanza secuencial que garantice que cada paso del ciclo de evidencia —desde la congelación del diseño hasta la trazabilidad de afirmaciones— esté regulado por criterios de admisibilidad explícitos. Esa integración es precisamente la contribución diferenciadora de FOM-7 respecto a los marcos enumerados.</w:t>
      </w:r>
    </w:p>
    <w:p w14:paraId="38D3C3A3" w14:textId="77777777" w:rsidR="00D762DD" w:rsidRDefault="00000000">
      <w:pPr>
        <w:pStyle w:val="BodyText"/>
      </w:pPr>
      <w:r>
        <w:t xml:space="preserve">En dominios de alta responsabilidad, como salud, esta distinción se vuelve aún más visible: las revisiones de XAI médico muestran que la </w:t>
      </w:r>
      <w:proofErr w:type="spellStart"/>
      <w:r>
        <w:t>explicabilidad</w:t>
      </w:r>
      <w:proofErr w:type="spellEnd"/>
      <w:r>
        <w:t xml:space="preserve"> debe relacionarse con confianza, validación, responsabilidad y restricciones del contexto de uso, no solo con la disponibilidad de una visualización o una lista de importancias (Tjoa and Guan 2021). Aunque esta tesis no se limita al dominio médico, ese tipo de literatura refuerza la necesidad de separar utilidad contextual, evidencia computacional y admisibilidad de </w:t>
      </w:r>
      <w:proofErr w:type="spellStart"/>
      <w:r>
        <w:t>claims</w:t>
      </w:r>
      <w:proofErr w:type="spellEnd"/>
      <w:r>
        <w:t>.</w:t>
      </w:r>
    </w:p>
    <w:p w14:paraId="2F050721" w14:textId="77777777" w:rsidR="00D762DD" w:rsidRDefault="00000000">
      <w:pPr>
        <w:pStyle w:val="BodyText"/>
      </w:pPr>
      <w:r>
        <w:t xml:space="preserve">La literatura reciente sobre métricas XAI insiste en que la evaluación unidimensional es insuficiente (Abdul Kadir et al. 2023; Pawlicki et al. 2024). Fidelidad, estabilidad, robustez, complejidad, coste y utilidad capturan constructos diferentes. Un método puede ser rápido y estable, pero poco fiel; otro puede ser fiel y costoso; otro puede ser comprensible pero frágil ante </w:t>
      </w:r>
      <w:r>
        <w:lastRenderedPageBreak/>
        <w:t>perturbaciones. La consecuencia metodológica es clara: la tesis debe reportar perfiles de desempeño, no rankings absolutos simplificados.</w:t>
      </w:r>
    </w:p>
    <w:p w14:paraId="6EEF3854" w14:textId="77777777" w:rsidR="00D762DD" w:rsidRDefault="00000000">
      <w:pPr>
        <w:pStyle w:val="BodyText"/>
      </w:pPr>
      <w:r>
        <w:t>La perspectiva human-</w:t>
      </w:r>
      <w:proofErr w:type="spellStart"/>
      <w:r>
        <w:t>centered</w:t>
      </w:r>
      <w:proofErr w:type="spellEnd"/>
      <w:r>
        <w:t xml:space="preserve"> refuerza la misma conclusión desde otro ángulo. No hay una explicación universalmente adecuada para todos los usuarios, tareas y contextos. Las revisiones y estudios de usuarios muestran que la explicación puede servir para depurar modelos, justificar decisiones, calibrar confianza, enseñar comportamiento del sistema, identificar errores o apoyar acción (Miller 2019; Abdul et al. 2018; Langer et al. 2021; Sokol and Flach 2020; Rong et al. 2024). Cada finalidad demanda criterios distintos. Por ello, FOM-7 no debe usar la palabra “mejor” sin calificador. Debe hablar de mejor fidelidad local, mayor estabilidad bajo una perturbación definida, menor coste computacional, mayor cobertura de regla o mayor satisfacción de un criterio contrafactual. Esta disciplina semántica es parte del aporte teórico del protocolo.</w:t>
      </w:r>
    </w:p>
    <w:p w14:paraId="6A50E952" w14:textId="77777777" w:rsidR="00D762DD" w:rsidRDefault="00000000">
      <w:pPr>
        <w:pStyle w:val="Heading3"/>
      </w:pPr>
      <w:bookmarkStart w:id="62" w:name="X900f39c64f84f209bdf33df61ada6c5cfa8ef2d"/>
      <w:bookmarkStart w:id="63" w:name="_Toc238925726"/>
      <w:r>
        <w:t>Evaluación human-</w:t>
      </w:r>
      <w:proofErr w:type="spellStart"/>
      <w:r>
        <w:t>centered</w:t>
      </w:r>
      <w:proofErr w:type="spellEnd"/>
      <w:r>
        <w:t>: usuarios, tareas y calidad explicativa</w:t>
      </w:r>
      <w:bookmarkEnd w:id="63"/>
    </w:p>
    <w:p w14:paraId="3D13E3E7" w14:textId="77777777" w:rsidR="00D762DD" w:rsidRDefault="00000000">
      <w:r>
        <w:t xml:space="preserve">Esta rama ha alcanzado en los últimos años una madurez propia, con agendas explícitas de consolidación (Ehsan et al. 2023) y revisiones críticas que cuestionan los supuestos dominantes del campo (Ehsan and Riedl 2024). La investigación reciente muestra que la calidad percibida de una explicación depende de variables que ninguna métrica computacional recoge: las características y el nivel de experiencia del destinatario (Nimmo et al. 2024), el contexto cultural desde el que se interpreta (Peters and Carman 2024), el diseño de la interfaz que la presenta (Bhat and Long 2024; Alkhateeb and Solaiman 2025), e incluso su materialización física en artefactos tangibles (Colley et al. 2023). La transparencia y la </w:t>
      </w:r>
      <w:proofErr w:type="spellStart"/>
      <w:r>
        <w:t>explicabilidad</w:t>
      </w:r>
      <w:proofErr w:type="spellEnd"/>
      <w:r>
        <w:t xml:space="preserve"> se han estudiado también como antecedentes de la confianza calibrada (Kim 2024) y como práctica organizativa más que como propiedad técnica (</w:t>
      </w:r>
      <w:proofErr w:type="spellStart"/>
      <w:r>
        <w:t>Ramachandram</w:t>
      </w:r>
      <w:proofErr w:type="spellEnd"/>
      <w:r>
        <w:t xml:space="preserve"> et al. 2025), mientras que otros trabajos documentan las contrapartidas que impone perseguir </w:t>
      </w:r>
      <w:proofErr w:type="spellStart"/>
      <w:r>
        <w:t>explicabilidad</w:t>
      </w:r>
      <w:proofErr w:type="spellEnd"/>
      <w:r>
        <w:t xml:space="preserve"> (Brown and Hawe 2024) e incluso el coste reputacional que puede acarrear el uso declarado de IA (Reif et al. 2025). A ello se añade una literatura sobre las implicaciones éticas del campo (Nannini et al. 2024; Vainio-Pekka et al. 2023) y sobre la distancia entre la inteligencia de la máquina y la comprensión humana (Choudhari et al. 2025).</w:t>
      </w:r>
    </w:p>
    <w:p w14:paraId="3F1AEB16" w14:textId="77777777" w:rsidR="00D762DD" w:rsidRDefault="00000000">
      <w:pPr>
        <w:pStyle w:val="BodyText"/>
      </w:pPr>
      <w:r>
        <w:lastRenderedPageBreak/>
        <w:t>La evaluación human-</w:t>
      </w:r>
      <w:proofErr w:type="spellStart"/>
      <w:r>
        <w:t>centered</w:t>
      </w:r>
      <w:proofErr w:type="spellEnd"/>
      <w:r>
        <w:t xml:space="preserve"> constituye una rama de la XAI que parte de una premisa metodológica distinta: la calidad de una explicación no puede medirse solo con </w:t>
      </w:r>
      <w:proofErr w:type="spellStart"/>
      <w:r>
        <w:t>proxies</w:t>
      </w:r>
      <w:proofErr w:type="spellEnd"/>
      <w:r>
        <w:t xml:space="preserve"> computacionales, sino que depende de su efecto sobre el entendimiento, la confianza, la calibración y la acción de personas concretas (Doshi-</w:t>
      </w:r>
      <w:proofErr w:type="spellStart"/>
      <w:r>
        <w:t>Velez</w:t>
      </w:r>
      <w:proofErr w:type="spellEnd"/>
      <w:r>
        <w:t xml:space="preserve"> 2017; Miller 2019). Esta premisa enlaza con una línea previa que ya situaba a la persona como participante activo del ciclo de aprendizaje, y no como receptor pasivo de su salida (</w:t>
      </w:r>
      <w:proofErr w:type="spellStart"/>
      <w:r>
        <w:t>Amershi</w:t>
      </w:r>
      <w:proofErr w:type="spellEnd"/>
      <w:r>
        <w:t xml:space="preserve"> 2014). Esta perspectiva no invalida la evaluación </w:t>
      </w:r>
      <w:proofErr w:type="spellStart"/>
      <w:r>
        <w:t>functionally-grounded</w:t>
      </w:r>
      <w:proofErr w:type="spellEnd"/>
      <w:r>
        <w:t>, sino que la complementa al señalar que las métricas automáticas responden a preguntas distintas a las que responden los usuarios.</w:t>
      </w:r>
    </w:p>
    <w:p w14:paraId="06B9807D" w14:textId="77777777" w:rsidR="00D762DD" w:rsidRDefault="00000000">
      <w:pPr>
        <w:pStyle w:val="BodyText"/>
      </w:pPr>
      <w:r>
        <w:t xml:space="preserve">Miller (2019) revisa la literatura sobre explicación en ciencias cognitivas y sociales e identifica un conjunto de propiedades empíricamente validadas sobre qué hace útil una explicación para los humanos. Las explicaciones son contrastivas (respondemos a “¿por qué P y no Q?” mejor que a “¿por qué P?”), selectivas (preferimos explicaciones que citan pocas causas), sociales (el valor de una explicación depende del destinatario y del diálogo) y dependientes del contexto de uso. Estas propiedades no están capturadas por métricas como fidelidad o estabilidad, que son agnósticas al destinatario. La consecuencia metodológica es clara: una tesis que produce evidencia </w:t>
      </w:r>
      <w:proofErr w:type="spellStart"/>
      <w:r>
        <w:t>functionally-grounded</w:t>
      </w:r>
      <w:proofErr w:type="spellEnd"/>
      <w:r>
        <w:t xml:space="preserve"> debe reconocer explícitamente que no puede derivar inferencias sobre comprensión humana o utilidad en tarea.</w:t>
      </w:r>
    </w:p>
    <w:p w14:paraId="1582F88E" w14:textId="77777777" w:rsidR="00D762DD" w:rsidRDefault="00000000">
      <w:pPr>
        <w:pStyle w:val="BodyText"/>
      </w:pPr>
      <w:r>
        <w:t>El problema de calibración de confianza ha recibido atención creciente (Hoffman et al. 2023; Kaur et al. 2020). Estudios con científicos de datos muestran que las herramientas de XAI pueden inducir exceso de confianza: los usuarios tienden a aceptar explicaciones visualmente atractivas sin verificar su validez técnica (Kaur et al. 2020). Este fenómeno es especialmente problemático en explicaciones LIME, donde el sustituto local puede parecer coherente —una lista de importancias lineales— aunque sea inestable o de baja fidelidad. La literatura de evaluación human-</w:t>
      </w:r>
      <w:proofErr w:type="spellStart"/>
      <w:r>
        <w:t>centered</w:t>
      </w:r>
      <w:proofErr w:type="spellEnd"/>
      <w:r>
        <w:t xml:space="preserve"> sugiere que medir confianza calibrada (si la confianza del usuario en el modelo aumenta cuando la explicación es fiable y disminuye cuando no lo es) es un criterio de calidad distinto e irreductible a los criterios computacionales (Hoffman et al. 2023).</w:t>
      </w:r>
    </w:p>
    <w:p w14:paraId="5C861B74" w14:textId="77777777" w:rsidR="00D762DD" w:rsidRDefault="00000000">
      <w:pPr>
        <w:pStyle w:val="BodyText"/>
      </w:pPr>
      <w:r>
        <w:t xml:space="preserve">Hase and Bansal (2020) evalúan directamente la relación entre explicaciones y comprensión del modelo por parte de usuarios. Sus experimentos muestran que explicaciones con mayor fidelidad </w:t>
      </w:r>
      <w:r>
        <w:lastRenderedPageBreak/>
        <w:t xml:space="preserve">no siempre producen mejor comprensión: los usuarios pueden modelar mejor el comportamiento del clasificador con explicaciones simples y ligeramente imprecisas que con atribuciones técnicamente más </w:t>
      </w:r>
      <w:proofErr w:type="gramStart"/>
      <w:r>
        <w:t>exactas</w:t>
      </w:r>
      <w:proofErr w:type="gramEnd"/>
      <w:r>
        <w:t xml:space="preserve"> pero cognitivamente costosas. Esta disociación —fidelidad técnica y comprensión humana no alineadas— es una de las razones por las que la taxonomía de este trabajo distingue el eje de contexto de tarea y señala que el contexto de “soporte a usuario final” requiere criterios propios.</w:t>
      </w:r>
    </w:p>
    <w:p w14:paraId="1FD81001" w14:textId="77777777" w:rsidR="00D762DD" w:rsidRDefault="00000000">
      <w:pPr>
        <w:pStyle w:val="BodyText"/>
      </w:pPr>
      <w:r w:rsidRPr="00A52D0E">
        <w:rPr>
          <w:lang w:val="en-US"/>
        </w:rPr>
        <w:t xml:space="preserve">Bhattacharya and </w:t>
      </w:r>
      <w:proofErr w:type="spellStart"/>
      <w:r w:rsidRPr="00A52D0E">
        <w:rPr>
          <w:lang w:val="en-US"/>
        </w:rPr>
        <w:t>Verbert</w:t>
      </w:r>
      <w:proofErr w:type="spellEnd"/>
      <w:r w:rsidRPr="00A52D0E">
        <w:rPr>
          <w:lang w:val="en-US"/>
        </w:rPr>
        <w:t xml:space="preserve"> (2024) y Rong et al. </w:t>
      </w:r>
      <w:r>
        <w:t>(2024) contribuyen revisiones sistemáticas de la literatura sobre XAI human-</w:t>
      </w:r>
      <w:proofErr w:type="spellStart"/>
      <w:r>
        <w:t>centered</w:t>
      </w:r>
      <w:proofErr w:type="spellEnd"/>
      <w:r>
        <w:t xml:space="preserve"> que convergen en recomendar el uso de escalas normalizadas para medir </w:t>
      </w:r>
      <w:proofErr w:type="spellStart"/>
      <w:r>
        <w:t>comprehensibilidad</w:t>
      </w:r>
      <w:proofErr w:type="spellEnd"/>
      <w:r>
        <w:t xml:space="preserve"> entre sistemas, la separación entre satisfacción de usuario y utilidad en tarea, y la necesidad de reportar características del usuario (experto, no experto, dominio) como covariables de los estudios. Estos estudios refuerzan la pertinencia de que la presente tesis declare explícitamente sus límites: FOM-7 opera en el dominio de la evaluación </w:t>
      </w:r>
      <w:proofErr w:type="spellStart"/>
      <w:r>
        <w:t>functionally-grounded</w:t>
      </w:r>
      <w:proofErr w:type="spellEnd"/>
      <w:r>
        <w:t xml:space="preserve"> y cualquier extensión a evaluación human-</w:t>
      </w:r>
      <w:proofErr w:type="spellStart"/>
      <w:r>
        <w:t>centered</w:t>
      </w:r>
      <w:proofErr w:type="spellEnd"/>
      <w:r>
        <w:t xml:space="preserve"> requeriría un protocolo propio con participantes, tareas, escalas y análisis de fiabilidad </w:t>
      </w:r>
      <w:proofErr w:type="spellStart"/>
      <w:r>
        <w:t>interrater</w:t>
      </w:r>
      <w:proofErr w:type="spellEnd"/>
      <w:r>
        <w:t>.</w:t>
      </w:r>
    </w:p>
    <w:p w14:paraId="3EEAA831" w14:textId="77777777" w:rsidR="00D762DD" w:rsidRDefault="00000000">
      <w:pPr>
        <w:pStyle w:val="BodyText"/>
      </w:pPr>
      <w:r>
        <w:t>La ausencia de evaluación human-</w:t>
      </w:r>
      <w:proofErr w:type="spellStart"/>
      <w:r>
        <w:t>centered</w:t>
      </w:r>
      <w:proofErr w:type="spellEnd"/>
      <w:r>
        <w:t xml:space="preserve"> no es una omisión inadvertida de esta tesis; es una delimitación metodológica explícita y defendible. La taxonomía del Capítulo 5 localiza con precisión qué cuadrantes del espacio de evaluación XAI cubre el </w:t>
      </w:r>
      <w:proofErr w:type="spellStart"/>
      <w:r>
        <w:t>benchmark</w:t>
      </w:r>
      <w:proofErr w:type="spellEnd"/>
      <w:r>
        <w:t xml:space="preserve"> y cuáles no, lo que convierte la limitación en información científica estructurada y evita </w:t>
      </w:r>
      <w:proofErr w:type="spellStart"/>
      <w:r>
        <w:t>sobreinterpretar</w:t>
      </w:r>
      <w:proofErr w:type="spellEnd"/>
      <w:r>
        <w:t xml:space="preserve"> los resultados empíricos.</w:t>
      </w:r>
    </w:p>
    <w:p w14:paraId="4B43319F" w14:textId="77777777" w:rsidR="00D762DD" w:rsidRDefault="00000000">
      <w:pPr>
        <w:pStyle w:val="Heading3"/>
      </w:pPr>
      <w:bookmarkStart w:id="64" w:name="Xcb28a5da8e0ee4c37a7111d109b1f7262846e3e"/>
      <w:bookmarkStart w:id="65" w:name="_Toc238925727"/>
      <w:bookmarkEnd w:id="62"/>
      <w:r>
        <w:t>Reproducibilidad en XAI: crisis, causas y respuestas</w:t>
      </w:r>
      <w:bookmarkEnd w:id="65"/>
    </w:p>
    <w:p w14:paraId="6BD38816" w14:textId="77777777" w:rsidR="00D762DD" w:rsidRDefault="00000000">
      <w:r>
        <w:t xml:space="preserve">La reproducibilidad es una condición de validez científica, no un detalle técnico. En aprendizaje automático, la crisis de reproducibilidad ha sido documentada tanto en investigación fundamental (Hutson 2018) como en evaluación XAI (Pawlicki et al. 2024; Canha et al. 2025). En el contexto de XAI, la reproducibilidad tiene una dimensión adicional: no solo deben reproducirse las predicciones del modelo, sino también los artefactos explicativos, las métricas calculadas sobre ellos y las conclusiones inferenciales derivadas. Esta cadena de reproducibilidad es más frágil que la del modelo base porque introduce más puntos de variación: semillas del </w:t>
      </w:r>
      <w:r>
        <w:lastRenderedPageBreak/>
        <w:t>explicador, estrategias de muestreo, conjuntos de referencia, umbrales de reglas, y parámetros de métricas.</w:t>
      </w:r>
    </w:p>
    <w:p w14:paraId="2D18A057" w14:textId="77777777" w:rsidR="00D762DD" w:rsidRDefault="00000000">
      <w:pPr>
        <w:pStyle w:val="BodyText"/>
      </w:pPr>
      <w:r>
        <w:t xml:space="preserve">La literatura identifica al menos cinco fuentes de </w:t>
      </w:r>
      <w:proofErr w:type="spellStart"/>
      <w:r>
        <w:t>irreproducibilidad</w:t>
      </w:r>
      <w:proofErr w:type="spellEnd"/>
      <w:r>
        <w:t xml:space="preserve"> específicas de los </w:t>
      </w:r>
      <w:proofErr w:type="spellStart"/>
      <w:r>
        <w:t>benchmarks</w:t>
      </w:r>
      <w:proofErr w:type="spellEnd"/>
      <w:r>
        <w:t xml:space="preserve"> XAI. Primera, la </w:t>
      </w:r>
      <w:r>
        <w:rPr>
          <w:b/>
          <w:bCs/>
        </w:rPr>
        <w:t>sensibilidad a hiperparámetros no declarados</w:t>
      </w:r>
      <w:r>
        <w:t xml:space="preserve">: LIME sin declarar </w:t>
      </w:r>
      <w:proofErr w:type="spellStart"/>
      <w:r>
        <w:t>num_samples</w:t>
      </w:r>
      <w:proofErr w:type="spellEnd"/>
      <w:r>
        <w:t xml:space="preserve">, </w:t>
      </w:r>
      <w:proofErr w:type="spellStart"/>
      <w:r>
        <w:t>kernel_width</w:t>
      </w:r>
      <w:proofErr w:type="spellEnd"/>
      <w:r>
        <w:t xml:space="preserve"> y </w:t>
      </w:r>
      <w:proofErr w:type="spellStart"/>
      <w:r>
        <w:t>discretize_continuous</w:t>
      </w:r>
      <w:proofErr w:type="spellEnd"/>
      <w:r>
        <w:t xml:space="preserve"> puede producir explicaciones sustancialmente distintas entre estudios que usan “LIME” como etiqueta sin especificar configuración (Burger et al. 2023; Slack et al. 2020). Segunda, la </w:t>
      </w:r>
      <w:r>
        <w:rPr>
          <w:b/>
          <w:bCs/>
        </w:rPr>
        <w:t>dependencia de semillas aleatorias</w:t>
      </w:r>
      <w:r>
        <w:t xml:space="preserve">: los explicadores estocásticos como LIME y </w:t>
      </w:r>
      <w:proofErr w:type="spellStart"/>
      <w:r>
        <w:t>DiCE</w:t>
      </w:r>
      <w:proofErr w:type="spellEnd"/>
      <w:r>
        <w:t xml:space="preserve"> producen resultados distintos con semillas distintas, lo que requiere múltiples réplicas y análisis de varianza por semilla para distinguir señal de ruido (Canha et al. 2025). Tercera, la </w:t>
      </w:r>
      <w:r>
        <w:rPr>
          <w:b/>
          <w:bCs/>
        </w:rPr>
        <w:t>mezcla de cohortes de evidencia</w:t>
      </w:r>
      <w:r>
        <w:t xml:space="preserve">: estudios que usan los mismos artefactos para calibración y para inferencia confirmativa pueden reportar efectos estadísticos inflados, no por fraude sino por falta de una arquitectura que separe las dos funciones (Hedström et al. 2023). Cuarta, la </w:t>
      </w:r>
      <w:r>
        <w:rPr>
          <w:b/>
          <w:bCs/>
        </w:rPr>
        <w:t>ausencia de criterios de calificación de artefactos</w:t>
      </w:r>
      <w:r>
        <w:t xml:space="preserve">: un artefacto vacío, malformado o de convergencia fallida que no se detecta en la etapa de auditoría contamina las tablas métricas con valores espurios (Pawlicki et al. 2024). Quinta, la </w:t>
      </w:r>
      <w:r>
        <w:rPr>
          <w:b/>
          <w:bCs/>
        </w:rPr>
        <w:t>dependencia del entorno computacional</w:t>
      </w:r>
      <w:r>
        <w:t>: versiones de librerías, hardware disponible y órdenes de ejecución pueden afectar el timing y, en algunos casos, los valores de métricas.</w:t>
      </w:r>
    </w:p>
    <w:p w14:paraId="24CBF642" w14:textId="77777777" w:rsidR="00D762DD" w:rsidRDefault="00000000">
      <w:pPr>
        <w:pStyle w:val="BodyText"/>
      </w:pPr>
      <w:r>
        <w:t xml:space="preserve">Canha et al. (2025) proponen un conjunto de principios de reproducibilidad para XAI que incluye declaración de semillas, versionado de dependencias, separación entre datos de entrenamiento y de evaluación, y publicación de artefactos en repositorios con DOI. FOM-7 operacionaliza estos principios en siete puertas: la puerta 1 (congelación del protocolo) previene modificaciones </w:t>
      </w:r>
      <w:proofErr w:type="spellStart"/>
      <w:r>
        <w:t>post-hoc</w:t>
      </w:r>
      <w:proofErr w:type="spellEnd"/>
      <w:r>
        <w:t>; la puerta 2 (ejecución con semillas declarativas) previene sensibilidad no documentada; la puerta 3 (auditoría de integridad) previene contaminación por artefactos malformados; y la puerta 6 (perfilado de reproducibilidad) cuantifica la varianza residual de semilla. Estas puertas no eliminan todas las fuentes de variación, pero las documentan y controlan dentro del alcance del diseño experimental.</w:t>
      </w:r>
    </w:p>
    <w:p w14:paraId="3FB314D9" w14:textId="77777777" w:rsidR="00D762DD" w:rsidRDefault="00000000">
      <w:pPr>
        <w:pStyle w:val="BodyText"/>
      </w:pPr>
      <w:r>
        <w:t xml:space="preserve">La importancia de la reproducibilidad se amplifica en el contexto regulatorio. El EU AI </w:t>
      </w:r>
      <w:proofErr w:type="spellStart"/>
      <w:r>
        <w:t>Act</w:t>
      </w:r>
      <w:proofErr w:type="spellEnd"/>
      <w:r>
        <w:t xml:space="preserve"> exige que los sistemas de IA de alto riesgo sean auditables, lo que implica que las explicaciones </w:t>
      </w:r>
      <w:r>
        <w:lastRenderedPageBreak/>
        <w:t xml:space="preserve">usadas en decisiones consecuentes deben poder regenerarse con los mismos parámetros y producir el mismo resultado. Un método de explicación con alta variabilidad de semilla no puede satisfacer este requisito de auditabilidad, independientemente de su fidelidad media. El protocolo FOM-7, al incorporar reproducibilidad como criterio explícito de admisibilidad (proposición P1), conecta la dimensión técnica del </w:t>
      </w:r>
      <w:proofErr w:type="spellStart"/>
      <w:r>
        <w:t>benchmark</w:t>
      </w:r>
      <w:proofErr w:type="spellEnd"/>
      <w:r>
        <w:t xml:space="preserve"> con este requisito normativo emergente.</w:t>
      </w:r>
    </w:p>
    <w:p w14:paraId="54339EA0" w14:textId="77777777" w:rsidR="00D762DD" w:rsidRDefault="00000000">
      <w:pPr>
        <w:pStyle w:val="Heading2"/>
      </w:pPr>
      <w:bookmarkStart w:id="66" w:name="X1ac049df9037bab7d9ddedb9eb6dfc246d0f001"/>
      <w:bookmarkStart w:id="67" w:name="_Toc238925728"/>
      <w:bookmarkEnd w:id="59"/>
      <w:bookmarkEnd w:id="64"/>
      <w:proofErr w:type="spellStart"/>
      <w:r>
        <w:t>Taxonomias</w:t>
      </w:r>
      <w:proofErr w:type="spellEnd"/>
      <w:r>
        <w:t xml:space="preserve"> de métricas y brechas de constructo</w:t>
      </w:r>
      <w:bookmarkEnd w:id="67"/>
    </w:p>
    <w:p w14:paraId="5B593923" w14:textId="77777777" w:rsidR="00D762DD" w:rsidRDefault="00000000">
      <w:r>
        <w:t>El esfuerzo por ordenar este espacio ha generado una literatura de síntesis abundante y heterogénea. Existen historias breves del campo que sitúan la interpretabilidad en una tradición estadística de más de dos siglos (Molnar et al. 2020), panorámicas compactas de métodos (Holzinger et al. 2022; Long et al. 2019), revisiones sistemáticas de técnicas y retos abiertos (</w:t>
      </w:r>
      <w:proofErr w:type="spellStart"/>
      <w:r>
        <w:t>Abusitta</w:t>
      </w:r>
      <w:proofErr w:type="spellEnd"/>
      <w:r>
        <w:t xml:space="preserve"> et al. 2024; Ullah et al. 2024), inventarios de aplicaciones por dominio (</w:t>
      </w:r>
      <w:proofErr w:type="spellStart"/>
      <w:r>
        <w:t>Kalasampath</w:t>
      </w:r>
      <w:proofErr w:type="spellEnd"/>
      <w:r>
        <w:t xml:space="preserve"> et al. 2025) y revisiones focalizadas en tareas concretas (Ngueajio et al. 2025; Fan et al. 2026). La reflexión más articulada sobre el estado del campo es el manifiesto que propone una segunda generación de XAI y enumera los desafíos abiertos que la primera no resolvió (Longo et al. 2024). La proliferación de estas síntesis es, en sí misma, un síntoma del problema que esta tesis aborda: se acumulan mapas del territorio con mayor rapidez que protocolos para transitarlo.</w:t>
      </w:r>
    </w:p>
    <w:p w14:paraId="08F1EBD4" w14:textId="77777777" w:rsidR="00D762DD" w:rsidRDefault="00000000">
      <w:pPr>
        <w:pStyle w:val="BodyText"/>
      </w:pPr>
      <w:r>
        <w:t xml:space="preserve">La fidelidad mide hasta qué punto una explicación aproxima el comportamiento observable del modelo. En métodos de sustitución local, puede </w:t>
      </w:r>
      <w:proofErr w:type="spellStart"/>
      <w:r>
        <w:t>operacionalizarse</w:t>
      </w:r>
      <w:proofErr w:type="spellEnd"/>
      <w:r>
        <w:t xml:space="preserve"> como acuerdo entre el modelo de caja negra y el sustituto en un vecindario definido. Sin embargo, la fidelidad depende de cómo se construye ese vecindario, de qué instancias se consultan y de qué diferencia se considera relevante. Por ello, FOM-7 trata la fidelidad como un resultado condicionado por decisiones experimentales, no como propiedad absoluta del método.</w:t>
      </w:r>
    </w:p>
    <w:p w14:paraId="43F0DE03" w14:textId="77777777" w:rsidR="00D762DD" w:rsidRDefault="00000000">
      <w:pPr>
        <w:pStyle w:val="BodyText"/>
      </w:pPr>
      <w:r>
        <w:t xml:space="preserve">La fidelidad debe leerse como una relación entre tres elementos: el modelo que se explica, el artefacto explicativo y el dominio de comparación. En LIME, por ejemplo, la fidelidad remite al acuerdo entre el modelo de caja negra y el sustituto local en un vecindario definido. En SHAP, la pregunta se desplaza hacia la coherencia de una atribución aditiva bajo supuestos de referencia. En Anchors, la fidelidad no aparece como peso continuo sino como precisión de una regla bajo condiciones de cobertura. En </w:t>
      </w:r>
      <w:proofErr w:type="spellStart"/>
      <w:r>
        <w:t>DiCE</w:t>
      </w:r>
      <w:proofErr w:type="spellEnd"/>
      <w:r>
        <w:t xml:space="preserve">, la validez de un contrafactual depende de si el cambio </w:t>
      </w:r>
      <w:r>
        <w:lastRenderedPageBreak/>
        <w:t xml:space="preserve">propuesto modifica efectivamente la salida del modelo. Estos ejemplos muestran que la fidelidad no es una propiedad homogénea entre familias explicativas; debe </w:t>
      </w:r>
      <w:proofErr w:type="spellStart"/>
      <w:r>
        <w:t>operacionalizarse</w:t>
      </w:r>
      <w:proofErr w:type="spellEnd"/>
      <w:r>
        <w:t xml:space="preserve"> según el objeto que cada método produce (Guidotti et al. 2018; Carvalho et al. 2019; Nauta et al. 2023).</w:t>
      </w:r>
    </w:p>
    <w:p w14:paraId="0A81E333" w14:textId="77777777" w:rsidR="00D762DD" w:rsidRDefault="00000000">
      <w:pPr>
        <w:pStyle w:val="BodyText"/>
      </w:pPr>
      <w:r>
        <w:t>La estabilidad evalúa la consistencia de explicaciones ante variaciones pequeñas. Esta propiedad es central porque un usuario puede perder confianza si instancias casi idénticas reciben explicaciones incompatibles. Sin embargo, una explicación estable no es necesariamente correcta; puede repetir de forma consistente una aproximación pobre. La estabilidad debe leerse junto con fidelidad, robustez y alcance del experimento.</w:t>
      </w:r>
    </w:p>
    <w:p w14:paraId="33F5C14B" w14:textId="77777777" w:rsidR="00D762DD" w:rsidRDefault="00000000">
      <w:pPr>
        <w:pStyle w:val="BodyText"/>
      </w:pPr>
      <w:r>
        <w:t xml:space="preserve">En FOM-7, la estabilidad funciona como un control de sensibilidad. Su pregunta no es si la explicación es verdadera, sino si el explicador responde de forma coherente ante variaciones que no deberían alterar sustancialmente la interpretación. Esta distinción es relevante porque algunos explicadores </w:t>
      </w:r>
      <w:proofErr w:type="spellStart"/>
      <w:r>
        <w:t>post-hoc</w:t>
      </w:r>
      <w:proofErr w:type="spellEnd"/>
      <w:r>
        <w:t xml:space="preserve"> pueden variar por razones técnicas ajenas al fenómeno que se desea explicar, como el muestreo, la selección de características o la aleatoriedad del procedimiento (Burger et al. 2023; Slack et al. 2020). Por ello, reportar estabilidad ayuda a distinguir entre una diferencia significativa del modelo y una diferencia inducida por el explicador.</w:t>
      </w:r>
    </w:p>
    <w:p w14:paraId="760522B3" w14:textId="77777777" w:rsidR="00D762DD" w:rsidRDefault="00000000">
      <w:pPr>
        <w:pStyle w:val="BodyText"/>
      </w:pPr>
      <w:r>
        <w:t>La robustez amplía el análisis hacia perturbaciones mayores, ataques o condiciones fuera de distribución. En evaluación XAI, esto es especialmente problemático porque muchas métricas operan alterando entradas. Si las entradas alteradas dejan de representar casos plausibles del dominio, la métrica puede estar evaluando un comportamiento artificial del modelo. Esta advertencia respalda la necesidad de documentar generadores de perturbaciones, dominios de validez y criterios de admisibilidad (Zheng et al. 2025).</w:t>
      </w:r>
    </w:p>
    <w:p w14:paraId="3E111FAB" w14:textId="77777777" w:rsidR="00D762DD" w:rsidRDefault="00000000">
      <w:pPr>
        <w:pStyle w:val="BodyText"/>
      </w:pPr>
      <w:r>
        <w:t xml:space="preserve">La complejidad o </w:t>
      </w:r>
      <w:proofErr w:type="spellStart"/>
      <w:r>
        <w:t>sparsity</w:t>
      </w:r>
      <w:proofErr w:type="spellEnd"/>
      <w:r>
        <w:t xml:space="preserve"> evalúa el tamaño cognitivo del artefacto explicativo. Explicaciones más breves pueden ser más comprensibles, pero la parquedad no garantiza calidad. Una explicación demasiado simple puede omitir factores necesarios; una demasiado extensa puede ser técnicamente rica pero inútil para un usuario. FOM-7 usa complejidad como una dimensión de perfil, no como criterio supremo (Nauta et al. 2023).</w:t>
      </w:r>
    </w:p>
    <w:p w14:paraId="31F8B9AA" w14:textId="77777777" w:rsidR="00D762DD" w:rsidRDefault="00000000">
      <w:pPr>
        <w:pStyle w:val="BodyText"/>
      </w:pPr>
      <w:r>
        <w:t xml:space="preserve">El coste computacional incorpora una dimensión práctica. Explicaciones que requieren miles de consultas al modelo pueden ser aceptables en investigación offline, pero inadecuadas para </w:t>
      </w:r>
      <w:r>
        <w:lastRenderedPageBreak/>
        <w:t xml:space="preserve">sistemas interactivos o despliegues con restricciones de latencia. La comparación entre </w:t>
      </w:r>
      <w:proofErr w:type="spellStart"/>
      <w:r>
        <w:t>KernelSHAP</w:t>
      </w:r>
      <w:proofErr w:type="spellEnd"/>
      <w:r>
        <w:t xml:space="preserve"> y aproximaciones más rápidas muestra que la evaluación debe incluir compromisos de factibilidad (Lundberg 2017; Van den Broeck et al. 2022).</w:t>
      </w:r>
    </w:p>
    <w:p w14:paraId="2DF780BB" w14:textId="77777777" w:rsidR="00D762DD" w:rsidRDefault="00000000">
      <w:pPr>
        <w:pStyle w:val="BodyText"/>
      </w:pPr>
      <w:r>
        <w:t xml:space="preserve">El coste no es solamente una medida de eficiencia; también condiciona que preguntas pueden contestarse dentro de un </w:t>
      </w:r>
      <w:proofErr w:type="spellStart"/>
      <w:r>
        <w:t>benchmark</w:t>
      </w:r>
      <w:proofErr w:type="spellEnd"/>
      <w:r>
        <w:t xml:space="preserve">. Un método costoso puede limitar el número de instancias evaluadas, reducir la cantidad de semillas, impedir análisis de sensibilidad o forzar aproximaciones. La literatura sobre </w:t>
      </w:r>
      <w:proofErr w:type="spellStart"/>
      <w:r>
        <w:t>tractabilidad</w:t>
      </w:r>
      <w:proofErr w:type="spellEnd"/>
      <w:r>
        <w:t xml:space="preserve"> de SHAP ilustra que la complejidad computacional no es un detalle de implementación, sino una propiedad que afecta la admisibilidad experimental (Van den Broeck et al. 2022). FOM-7 incorpora el coste para evitar que la comparación privilegie explicaciones teóricamente atractivas pero impracticables bajo restricciones reales.</w:t>
      </w:r>
    </w:p>
    <w:p w14:paraId="0B1254D6" w14:textId="77777777" w:rsidR="00D762DD" w:rsidRDefault="00000000">
      <w:pPr>
        <w:pStyle w:val="BodyText"/>
      </w:pPr>
      <w:r>
        <w:t>La utilidad y la plausibilidad introducen una capa distinta. Una explicación puede ser útil para un científico de datos que busca depurar un pipeline, para un experto de dominio que evalúa coherencia sustantiva o para un usuario que necesita entender una decisión. Sin embargo, esos usos no se derivan automáticamente de las métricas computacionales. Los estudios human-</w:t>
      </w:r>
      <w:proofErr w:type="spellStart"/>
      <w:r>
        <w:t>centered</w:t>
      </w:r>
      <w:proofErr w:type="spellEnd"/>
      <w:r>
        <w:t xml:space="preserve"> muestran que la utilidad depende de usuario, tarea, interfaz y contexto (Miller 2019; Kaur et al. 2020; Hase and Bansal 2020; Rong et al. 2024). Por ello, FOM-7 debe mantener separada la utilidad inferida por proxy de la utilidad demostrada en una tarea humana.</w:t>
      </w:r>
    </w:p>
    <w:p w14:paraId="594D537B" w14:textId="77777777" w:rsidR="00D762DD" w:rsidRDefault="00000000">
      <w:pPr>
        <w:pStyle w:val="BodyText"/>
      </w:pPr>
      <w:r>
        <w:t>La brecha de constructo aparece cuando una métrica mide una propiedad cercana pero no idéntica a la afirmación que se desea hacer. Por ejemplo, una métrica de fidelidad local no autoriza automáticamente afirmar utilidad humana; una métrica de estabilidad no prueba causalidad; una regla Anchor precisa no garantiza cobertura amplia; un contrafactual válido para el modelo no siempre es accionable para la persona. Esta brecha es uno de los fundamentos conceptuales de FOM-7.</w:t>
      </w:r>
    </w:p>
    <w:p w14:paraId="0688894D" w14:textId="77777777" w:rsidR="00D762DD" w:rsidRDefault="00000000">
      <w:pPr>
        <w:pStyle w:val="BodyText"/>
      </w:pPr>
      <w:r>
        <w:t xml:space="preserve">El problema se agrava cuando la métrica produce una cifra fácil de comparar. La forma tabular puede sugerir una objetividad mayor que la realmente disponible. Una diferencia numérica entre dos explicadores solo es significativa si la métrica es válida para el constructo, si la variabilidad fue estimada, si el procedimiento es reproducible y si la afirmación resultante respeta el alcance </w:t>
      </w:r>
      <w:r>
        <w:lastRenderedPageBreak/>
        <w:t xml:space="preserve">del experimento. Las revisiones de métodos y métricas insisten en la necesidad de interpretar la evaluación XAI como un conjunto de dimensiones relacionadas, no como un único eje de optimización (Carvalho et al. 2019; Nauta et al. 2023). FOM-7 adopta esta lectura y la convierte en una regla de reporte: cada resultado debe mantener unido método, métrica, constructo, condición experimental y </w:t>
      </w:r>
      <w:proofErr w:type="spellStart"/>
      <w:r>
        <w:t>claim</w:t>
      </w:r>
      <w:proofErr w:type="spellEnd"/>
      <w:r>
        <w:t>.</w:t>
      </w:r>
    </w:p>
    <w:p w14:paraId="3F080CDD" w14:textId="77777777" w:rsidR="00D762DD" w:rsidRDefault="00000000">
      <w:pPr>
        <w:pStyle w:val="BodyText"/>
      </w:pPr>
      <w:r>
        <w:t>La siguiente matriz resume esta alineación entre métodos, objetos explicativos y constructos de evaluación. Su función no es sustituir el análisis empírico, sino hacer explícita la razón por la cual FOM-7 evalúa perfiles y no rankings absolutos.</w:t>
      </w:r>
    </w:p>
    <w:tbl>
      <w:tblPr>
        <w:tblW w:w="5000" w:type="pct"/>
        <w:tblLayout w:type="fixed"/>
        <w:tblLook w:val="0020" w:firstRow="1" w:lastRow="0" w:firstColumn="0" w:lastColumn="0" w:noHBand="0" w:noVBand="0"/>
      </w:tblPr>
      <w:tblGrid>
        <w:gridCol w:w="1916"/>
        <w:gridCol w:w="1915"/>
        <w:gridCol w:w="1915"/>
        <w:gridCol w:w="1915"/>
        <w:gridCol w:w="1915"/>
      </w:tblGrid>
      <w:tr w:rsidR="00D762DD" w14:paraId="139C0AF3" w14:textId="77777777">
        <w:trPr>
          <w:tblHeader/>
        </w:trPr>
        <w:tc>
          <w:tcPr>
            <w:tcW w:w="1584" w:type="dxa"/>
          </w:tcPr>
          <w:p w14:paraId="32E25579" w14:textId="77777777" w:rsidR="00D762DD" w:rsidRDefault="00000000">
            <w:r>
              <w:t>Método</w:t>
            </w:r>
          </w:p>
        </w:tc>
        <w:tc>
          <w:tcPr>
            <w:tcW w:w="1584" w:type="dxa"/>
          </w:tcPr>
          <w:p w14:paraId="2FF5DEF8" w14:textId="77777777" w:rsidR="00D762DD" w:rsidRDefault="00000000">
            <w:r>
              <w:t>Objeto explicativo principal</w:t>
            </w:r>
          </w:p>
        </w:tc>
        <w:tc>
          <w:tcPr>
            <w:tcW w:w="1584" w:type="dxa"/>
          </w:tcPr>
          <w:p w14:paraId="0677AC09" w14:textId="77777777" w:rsidR="00D762DD" w:rsidRDefault="00000000">
            <w:r>
              <w:t>Constructos naturalmente alineados</w:t>
            </w:r>
          </w:p>
        </w:tc>
        <w:tc>
          <w:tcPr>
            <w:tcW w:w="1584" w:type="dxa"/>
          </w:tcPr>
          <w:p w14:paraId="380F83E0" w14:textId="77777777" w:rsidR="00D762DD" w:rsidRDefault="00000000">
            <w:r>
              <w:t>Riesgos de evaluación</w:t>
            </w:r>
          </w:p>
        </w:tc>
        <w:tc>
          <w:tcPr>
            <w:tcW w:w="1584" w:type="dxa"/>
          </w:tcPr>
          <w:p w14:paraId="46430177" w14:textId="77777777" w:rsidR="00D762DD" w:rsidRDefault="00000000">
            <w:r>
              <w:t>Lectura dentro de FOM-7</w:t>
            </w:r>
          </w:p>
        </w:tc>
      </w:tr>
      <w:tr w:rsidR="00D762DD" w14:paraId="470193B0" w14:textId="77777777">
        <w:tc>
          <w:tcPr>
            <w:tcW w:w="1584" w:type="dxa"/>
          </w:tcPr>
          <w:p w14:paraId="645CC226" w14:textId="77777777" w:rsidR="00D762DD" w:rsidRDefault="00000000">
            <w:r>
              <w:t>LIME</w:t>
            </w:r>
          </w:p>
        </w:tc>
        <w:tc>
          <w:tcPr>
            <w:tcW w:w="1584" w:type="dxa"/>
          </w:tcPr>
          <w:p w14:paraId="55911CA5" w14:textId="77777777" w:rsidR="00D762DD" w:rsidRDefault="00000000">
            <w:r>
              <w:t>Sustituto local interpretable</w:t>
            </w:r>
          </w:p>
        </w:tc>
        <w:tc>
          <w:tcPr>
            <w:tcW w:w="1584" w:type="dxa"/>
          </w:tcPr>
          <w:p w14:paraId="3B04D4E9" w14:textId="77777777" w:rsidR="00D762DD" w:rsidRDefault="00000000">
            <w:r>
              <w:t>Fidelidad local, estabilidad, complejidad, coste</w:t>
            </w:r>
          </w:p>
        </w:tc>
        <w:tc>
          <w:tcPr>
            <w:tcW w:w="1584" w:type="dxa"/>
          </w:tcPr>
          <w:p w14:paraId="4368C8DC" w14:textId="77777777" w:rsidR="00D762DD" w:rsidRDefault="00000000">
            <w:r>
              <w:t xml:space="preserve">Sensibilidad al muestreo, vecindarios artificiales, </w:t>
            </w:r>
            <w:proofErr w:type="spellStart"/>
            <w:r>
              <w:t>manipulabilidad</w:t>
            </w:r>
            <w:proofErr w:type="spellEnd"/>
            <w:r>
              <w:t xml:space="preserve"> </w:t>
            </w:r>
            <w:proofErr w:type="spellStart"/>
            <w:r>
              <w:t>post-hoc</w:t>
            </w:r>
            <w:proofErr w:type="spellEnd"/>
          </w:p>
        </w:tc>
        <w:tc>
          <w:tcPr>
            <w:tcW w:w="1584" w:type="dxa"/>
          </w:tcPr>
          <w:p w14:paraId="25EE6E13" w14:textId="77777777" w:rsidR="00D762DD" w:rsidRDefault="00000000">
            <w:r>
              <w:t>Válido como aproximación local condicionada por parámetros documentados</w:t>
            </w:r>
          </w:p>
        </w:tc>
      </w:tr>
      <w:tr w:rsidR="00D762DD" w14:paraId="6D05F765" w14:textId="77777777">
        <w:tc>
          <w:tcPr>
            <w:tcW w:w="1584" w:type="dxa"/>
          </w:tcPr>
          <w:p w14:paraId="228B970A" w14:textId="77777777" w:rsidR="00D762DD" w:rsidRDefault="00000000">
            <w:r>
              <w:t>SHAP</w:t>
            </w:r>
          </w:p>
        </w:tc>
        <w:tc>
          <w:tcPr>
            <w:tcW w:w="1584" w:type="dxa"/>
          </w:tcPr>
          <w:p w14:paraId="602E14C7" w14:textId="77777777" w:rsidR="00D762DD" w:rsidRDefault="00000000">
            <w:r>
              <w:t>Atribución aditiva de características</w:t>
            </w:r>
          </w:p>
        </w:tc>
        <w:tc>
          <w:tcPr>
            <w:tcW w:w="1584" w:type="dxa"/>
          </w:tcPr>
          <w:p w14:paraId="62DFEE55" w14:textId="77777777" w:rsidR="00D762DD" w:rsidRDefault="00000000">
            <w:r>
              <w:t>Consistencia atributiva, coste, estabilidad, sensibilidad al conjunto de referencia</w:t>
            </w:r>
          </w:p>
        </w:tc>
        <w:tc>
          <w:tcPr>
            <w:tcW w:w="1584" w:type="dxa"/>
          </w:tcPr>
          <w:p w14:paraId="43C71D21" w14:textId="77777777" w:rsidR="00D762DD" w:rsidRDefault="00000000">
            <w:r>
              <w:t>Coste elevado, supuestos sobre ausencia/presencia de variables, lectura causal indebida</w:t>
            </w:r>
          </w:p>
        </w:tc>
        <w:tc>
          <w:tcPr>
            <w:tcW w:w="1584" w:type="dxa"/>
          </w:tcPr>
          <w:p w14:paraId="48B54431" w14:textId="77777777" w:rsidR="00D762DD" w:rsidRDefault="00000000">
            <w:r>
              <w:t>Válido como perfil de atribución bajo variante y referencia especificadas</w:t>
            </w:r>
          </w:p>
        </w:tc>
      </w:tr>
      <w:tr w:rsidR="00D762DD" w14:paraId="1306713D" w14:textId="77777777">
        <w:tc>
          <w:tcPr>
            <w:tcW w:w="1584" w:type="dxa"/>
          </w:tcPr>
          <w:p w14:paraId="18F0D79A" w14:textId="77777777" w:rsidR="00D762DD" w:rsidRDefault="00000000">
            <w:r>
              <w:t>Anchors</w:t>
            </w:r>
          </w:p>
        </w:tc>
        <w:tc>
          <w:tcPr>
            <w:tcW w:w="1584" w:type="dxa"/>
          </w:tcPr>
          <w:p w14:paraId="6A8BF6CD" w14:textId="77777777" w:rsidR="00D762DD" w:rsidRDefault="00000000">
            <w:r>
              <w:t>Regla local de alta precisión</w:t>
            </w:r>
          </w:p>
        </w:tc>
        <w:tc>
          <w:tcPr>
            <w:tcW w:w="1584" w:type="dxa"/>
          </w:tcPr>
          <w:p w14:paraId="1687F7BC" w14:textId="77777777" w:rsidR="00D762DD" w:rsidRDefault="00000000">
            <w:r>
              <w:t xml:space="preserve">Precisión, cobertura, complejidad de regla, </w:t>
            </w:r>
            <w:r>
              <w:lastRenderedPageBreak/>
              <w:t>reproducibilidad</w:t>
            </w:r>
          </w:p>
        </w:tc>
        <w:tc>
          <w:tcPr>
            <w:tcW w:w="1584" w:type="dxa"/>
          </w:tcPr>
          <w:p w14:paraId="793791EE" w14:textId="77777777" w:rsidR="00D762DD" w:rsidRDefault="00000000">
            <w:r>
              <w:lastRenderedPageBreak/>
              <w:t xml:space="preserve">Reglas demasiado estrechas, cobertura </w:t>
            </w:r>
            <w:r>
              <w:lastRenderedPageBreak/>
              <w:t>limitada, comparación difícil con atribuciones</w:t>
            </w:r>
          </w:p>
        </w:tc>
        <w:tc>
          <w:tcPr>
            <w:tcW w:w="1584" w:type="dxa"/>
          </w:tcPr>
          <w:p w14:paraId="63E63EDC" w14:textId="77777777" w:rsidR="00D762DD" w:rsidRDefault="00000000">
            <w:r>
              <w:lastRenderedPageBreak/>
              <w:t xml:space="preserve">Válido como evidencia condicional cuando precisión </w:t>
            </w:r>
            <w:r>
              <w:lastRenderedPageBreak/>
              <w:t>y cobertura se reportan juntas</w:t>
            </w:r>
          </w:p>
        </w:tc>
      </w:tr>
      <w:tr w:rsidR="00D762DD" w14:paraId="25EA8F02" w14:textId="77777777">
        <w:tc>
          <w:tcPr>
            <w:tcW w:w="1584" w:type="dxa"/>
          </w:tcPr>
          <w:p w14:paraId="7932F98A" w14:textId="77777777" w:rsidR="00D762DD" w:rsidRDefault="00000000">
            <w:proofErr w:type="spellStart"/>
            <w:r>
              <w:lastRenderedPageBreak/>
              <w:t>DiCE</w:t>
            </w:r>
            <w:proofErr w:type="spellEnd"/>
          </w:p>
        </w:tc>
        <w:tc>
          <w:tcPr>
            <w:tcW w:w="1584" w:type="dxa"/>
          </w:tcPr>
          <w:p w14:paraId="339C0ECE" w14:textId="77777777" w:rsidR="00D762DD" w:rsidRDefault="00000000">
            <w:r>
              <w:t>Conjunto de contrafactuales diversos</w:t>
            </w:r>
          </w:p>
        </w:tc>
        <w:tc>
          <w:tcPr>
            <w:tcW w:w="1584" w:type="dxa"/>
          </w:tcPr>
          <w:p w14:paraId="04F0CF6E" w14:textId="77777777" w:rsidR="00D762DD" w:rsidRDefault="00000000">
            <w:r>
              <w:t xml:space="preserve">Validez, proximidad, diversidad, factibilidad, </w:t>
            </w:r>
            <w:proofErr w:type="spellStart"/>
            <w:r>
              <w:t>accionabilidad</w:t>
            </w:r>
            <w:proofErr w:type="spellEnd"/>
          </w:p>
        </w:tc>
        <w:tc>
          <w:tcPr>
            <w:tcW w:w="1584" w:type="dxa"/>
          </w:tcPr>
          <w:p w14:paraId="2552533A" w14:textId="77777777" w:rsidR="00D762DD" w:rsidRDefault="00000000">
            <w:r>
              <w:t xml:space="preserve">Cambios imposibles, </w:t>
            </w:r>
            <w:proofErr w:type="spellStart"/>
            <w:r>
              <w:t>recourse</w:t>
            </w:r>
            <w:proofErr w:type="spellEnd"/>
            <w:r>
              <w:t xml:space="preserve"> no garantizado, confundir cambio de etiqueta con acción real</w:t>
            </w:r>
          </w:p>
        </w:tc>
        <w:tc>
          <w:tcPr>
            <w:tcW w:w="1584" w:type="dxa"/>
          </w:tcPr>
          <w:p w14:paraId="624FAE9C" w14:textId="77777777" w:rsidR="00D762DD" w:rsidRDefault="00000000">
            <w:r>
              <w:t>Válido como evidencia contrafactual bajo restricciones de factibilidad explicitadas</w:t>
            </w:r>
          </w:p>
        </w:tc>
      </w:tr>
    </w:tbl>
    <w:p w14:paraId="327D0EA1" w14:textId="77777777" w:rsidR="00D762DD" w:rsidRDefault="00000000">
      <w:pPr>
        <w:pStyle w:val="BodyText"/>
      </w:pPr>
      <w:r>
        <w:t xml:space="preserve">La matriz también muestra que la comparación entre métodos es necesariamente asimétrica. LIME y SHAP pueden compararse parcialmente en términos de atribución o fidelidad local, pero Anchors introduce cobertura de regla y </w:t>
      </w:r>
      <w:proofErr w:type="spellStart"/>
      <w:r>
        <w:t>DiCE</w:t>
      </w:r>
      <w:proofErr w:type="spellEnd"/>
      <w:r>
        <w:t xml:space="preserve"> introduce </w:t>
      </w:r>
      <w:proofErr w:type="spellStart"/>
      <w:r>
        <w:t>accionabilidad</w:t>
      </w:r>
      <w:proofErr w:type="spellEnd"/>
      <w:r>
        <w:t xml:space="preserve"> contrafactual. Si el protocolo fuerza una escala única, puede castigar a un método por no producir el tipo de artefacto que la métrica espera. FOM-7 evita ese error al requerir que cada conclusión especifique el constructo evaluado y el tipo de objeto explicativo al que se aplica (</w:t>
      </w:r>
      <w:proofErr w:type="spellStart"/>
      <w:r>
        <w:t>Mothilal</w:t>
      </w:r>
      <w:proofErr w:type="spellEnd"/>
      <w:r>
        <w:t xml:space="preserve"> 2020; Ribeiro 2018; Lundberg 2017; Karimi et al. 2022).</w:t>
      </w:r>
    </w:p>
    <w:p w14:paraId="02A6F43C" w14:textId="77777777" w:rsidR="00D762DD" w:rsidRDefault="00000000">
      <w:pPr>
        <w:pStyle w:val="Heading2"/>
      </w:pPr>
      <w:bookmarkStart w:id="68" w:name="X56f8700cbeeed185eff27b2505360753d99a361"/>
      <w:bookmarkStart w:id="69" w:name="_Toc238925729"/>
      <w:bookmarkEnd w:id="66"/>
      <w:r>
        <w:t>Reproducibilidad y trazabilidad en benchmarking XAI</w:t>
      </w:r>
      <w:bookmarkEnd w:id="69"/>
    </w:p>
    <w:p w14:paraId="59F448AF" w14:textId="77777777" w:rsidR="00D762DD" w:rsidRDefault="00000000">
      <w:r>
        <w:t xml:space="preserve">La reproducibilidad en XAI no se limita a publicar código. Un </w:t>
      </w:r>
      <w:proofErr w:type="spellStart"/>
      <w:r>
        <w:t>benchmark</w:t>
      </w:r>
      <w:proofErr w:type="spellEnd"/>
      <w:r>
        <w:t xml:space="preserve"> de explicaciones depende de versiones de datos, modelos, semillas, hiperparámetros, métodos de perturbación, parámetros de explicadores, definiciones de métricas y reglas de agregación. Si estos elementos no se registran, dos estudios pueden usar el mismo nombre de método y producir evidencia no </w:t>
      </w:r>
      <w:r>
        <w:lastRenderedPageBreak/>
        <w:t>comparable. La reproducibilidad requiere entonces una descripción del pipeline completo (Hedström et al. 2023; Nauta et al. 2023).</w:t>
      </w:r>
    </w:p>
    <w:p w14:paraId="0B9545D6" w14:textId="77777777" w:rsidR="00D762DD" w:rsidRDefault="00000000">
      <w:pPr>
        <w:pStyle w:val="BodyText"/>
      </w:pPr>
      <w:r>
        <w:t xml:space="preserve">La literatura de evaluación XAI muestra que esta exigencia es particularmente delicada porque las explicaciones suelen depender de decisiones que parecen menores: una semilla, un conjunto de referencia, una forma de imputar ausencia de variables, un umbral de regla o un generador de perturbaciones. Cuando esas decisiones no se documentan, el resultado puede parecer una propiedad estable del </w:t>
      </w:r>
      <w:proofErr w:type="gramStart"/>
      <w:r>
        <w:t>método</w:t>
      </w:r>
      <w:proofErr w:type="gramEnd"/>
      <w:r>
        <w:t xml:space="preserve"> aunque en realidad sea una propiedad de una configuración concreta. Por eso, el paso desde evaluación anecdótica hacia evaluación cuantitativa debe acompañarse de una disciplina de trazabilidad: no basta con que una métrica exista, debe poder reconstruirse como parte de un experimento completo (Nauta et al. 2023; Hedström et al. 2023).</w:t>
      </w:r>
    </w:p>
    <w:p w14:paraId="78A4C834" w14:textId="77777777" w:rsidR="00D762DD" w:rsidRDefault="00000000">
      <w:pPr>
        <w:pStyle w:val="BodyText"/>
      </w:pPr>
      <w:r>
        <w:t>FOM-7 incorpora esta preocupación mediante una secuencia de control: congelar el diseño experimental, calificar artefactos, ejecutar métricas armonizadas, aplicar criterios estadísticos, perfilar reproducibilidad y mapear afirmaciones a evidencia. Esta secuencia evita que los resultados se presenten como conclusiones generales sin indicar las condiciones que los sostienen.</w:t>
      </w:r>
    </w:p>
    <w:p w14:paraId="64A16C33" w14:textId="77777777" w:rsidR="00D762DD" w:rsidRDefault="00000000">
      <w:pPr>
        <w:pStyle w:val="BodyText"/>
      </w:pPr>
      <w:r>
        <w:t xml:space="preserve">Esta secuencia también protege contra un problema frecuente en revisiones comparativas: la conversión de resultados de herramienta en conclusiones de teoría. Un </w:t>
      </w:r>
      <w:proofErr w:type="spellStart"/>
      <w:r>
        <w:t>toolkit</w:t>
      </w:r>
      <w:proofErr w:type="spellEnd"/>
      <w:r>
        <w:t xml:space="preserve"> puede calcular métricas correctamente y, aun así, el estudio puede </w:t>
      </w:r>
      <w:proofErr w:type="spellStart"/>
      <w:r>
        <w:t>sobreinterpretar</w:t>
      </w:r>
      <w:proofErr w:type="spellEnd"/>
      <w:r>
        <w:t xml:space="preserve"> el resultado si no distingue entre constructo medido, objeto explicativo y alcance del </w:t>
      </w:r>
      <w:proofErr w:type="spellStart"/>
      <w:r>
        <w:t>dataset</w:t>
      </w:r>
      <w:proofErr w:type="spellEnd"/>
      <w:r>
        <w:t xml:space="preserve">. Los </w:t>
      </w:r>
      <w:proofErr w:type="spellStart"/>
      <w:r>
        <w:t>sanity</w:t>
      </w:r>
      <w:proofErr w:type="spellEnd"/>
      <w:r>
        <w:t xml:space="preserve"> </w:t>
      </w:r>
      <w:proofErr w:type="spellStart"/>
      <w:r>
        <w:t>checks</w:t>
      </w:r>
      <w:proofErr w:type="spellEnd"/>
      <w:r>
        <w:t xml:space="preserve"> de métricas y las críticas a explicaciones </w:t>
      </w:r>
      <w:proofErr w:type="spellStart"/>
      <w:r>
        <w:t>post-hoc</w:t>
      </w:r>
      <w:proofErr w:type="spellEnd"/>
      <w:r>
        <w:t xml:space="preserve"> muestran que tanto los explicadores como los instrumentos de evaluación pueden fallar de maneras no obvias (</w:t>
      </w:r>
      <w:proofErr w:type="spellStart"/>
      <w:r>
        <w:t>Tomsett</w:t>
      </w:r>
      <w:proofErr w:type="spellEnd"/>
      <w:r>
        <w:t xml:space="preserve"> et al. 2020; Slack et al. 2020; Laugel et al. 2019). FOM-7 responde a esta vulnerabilidad haciendo que la calificación del artefacto y la admisibilidad del </w:t>
      </w:r>
      <w:proofErr w:type="spellStart"/>
      <w:r>
        <w:t>claim</w:t>
      </w:r>
      <w:proofErr w:type="spellEnd"/>
      <w:r>
        <w:t xml:space="preserve"> sean pasos explícitos, no inferencias dejadas al lector.</w:t>
      </w:r>
    </w:p>
    <w:p w14:paraId="1FC0BD5E" w14:textId="77777777" w:rsidR="00D762DD" w:rsidRDefault="00000000">
      <w:pPr>
        <w:pStyle w:val="BodyText"/>
      </w:pPr>
      <w:r>
        <w:t xml:space="preserve">La trazabilidad de afirmaciones es especialmente relevante para una tesis doctoral. Cada afirmación fuerte debe poder regresar a una tabla, figura, métrica, prueba estadística o decisión metodológica. Si se afirma que un método es más estable, debe quedar claro en qué </w:t>
      </w:r>
      <w:proofErr w:type="spellStart"/>
      <w:r>
        <w:t>dataset</w:t>
      </w:r>
      <w:proofErr w:type="spellEnd"/>
      <w:r>
        <w:t xml:space="preserve">, modelo, configuración, vecindario, semilla y métrica se observó esa estabilidad. Si se afirma que </w:t>
      </w:r>
      <w:r>
        <w:lastRenderedPageBreak/>
        <w:t xml:space="preserve">un método es preferible, debe </w:t>
      </w:r>
      <w:proofErr w:type="spellStart"/>
      <w:r>
        <w:t>específicarse</w:t>
      </w:r>
      <w:proofErr w:type="spellEnd"/>
      <w:r>
        <w:t xml:space="preserve"> preferible respecto a qué criterio y bajo qué restricciones.</w:t>
      </w:r>
    </w:p>
    <w:p w14:paraId="402D74A6" w14:textId="77777777" w:rsidR="00D762DD" w:rsidRDefault="00000000">
      <w:pPr>
        <w:pStyle w:val="BodyText"/>
      </w:pPr>
      <w:r>
        <w:t xml:space="preserve">Esta disciplina también protege contra </w:t>
      </w:r>
      <w:proofErr w:type="spellStart"/>
      <w:r>
        <w:t>sobreclaiming</w:t>
      </w:r>
      <w:proofErr w:type="spellEnd"/>
      <w:r>
        <w:t xml:space="preserve">. FOM-7 no convierte la evaluación </w:t>
      </w:r>
      <w:proofErr w:type="spellStart"/>
      <w:r>
        <w:t>functionally-grounded</w:t>
      </w:r>
      <w:proofErr w:type="spellEnd"/>
      <w:r>
        <w:t xml:space="preserve"> en evidencia </w:t>
      </w:r>
      <w:proofErr w:type="spellStart"/>
      <w:r>
        <w:t>application-grounded</w:t>
      </w:r>
      <w:proofErr w:type="spellEnd"/>
      <w:r>
        <w:t>. Tampoco pretende resolver todos los problemas human-</w:t>
      </w:r>
      <w:proofErr w:type="spellStart"/>
      <w:r>
        <w:t>centered</w:t>
      </w:r>
      <w:proofErr w:type="spellEnd"/>
      <w:r>
        <w:t xml:space="preserve"> de la XAI. Su contribución es más precisa: construir un protocolo operacional para producir evidencia multinivel, reproducible y trazable en un </w:t>
      </w:r>
      <w:proofErr w:type="spellStart"/>
      <w:r>
        <w:t>benchmark</w:t>
      </w:r>
      <w:proofErr w:type="spellEnd"/>
      <w:r>
        <w:t xml:space="preserve"> de explicaciones </w:t>
      </w:r>
      <w:proofErr w:type="spellStart"/>
      <w:r>
        <w:t>post-hoc</w:t>
      </w:r>
      <w:proofErr w:type="spellEnd"/>
      <w:r>
        <w:t>.</w:t>
      </w:r>
    </w:p>
    <w:p w14:paraId="2AE0D24F" w14:textId="77777777" w:rsidR="00D762DD" w:rsidRDefault="00000000">
      <w:pPr>
        <w:pStyle w:val="BodyText"/>
      </w:pPr>
      <w:r>
        <w:t xml:space="preserve">La consecuencia práctica es que cada tabla de resultados debe leerse como una tabla de evidencia condicionada. Un valor de fidelidad pertenece a una combinación de modelo, </w:t>
      </w:r>
      <w:proofErr w:type="spellStart"/>
      <w:r>
        <w:t>dataset</w:t>
      </w:r>
      <w:proofErr w:type="spellEnd"/>
      <w:r>
        <w:t>, explicador, perturbación y criterio de agregación. Un valor de estabilidad pertenece a una definición de vecindario y a una clase de variación. Una medición de coste pertenece a una configuración de hardware, implementación y parámetros. Sin esta información, la comparación puede ser útil como orientación preliminar, pero débil como evidencia doctoral. Con esta información, en cambio, la tesis puede formular conclusiones delimitadas y auditables: no “este explicador es mejor”, sino “este explicador exhibe mayor estabilidad bajo estas condiciones y con este criterio de medición”. Ese cambio de lenguaje es una parte sustantiva de la contribución metodológica.</w:t>
      </w:r>
    </w:p>
    <w:p w14:paraId="0DF0D78D" w14:textId="77777777" w:rsidR="00D762DD" w:rsidRDefault="00000000">
      <w:pPr>
        <w:pStyle w:val="Heading2"/>
      </w:pPr>
      <w:bookmarkStart w:id="70" w:name="síntesis-crítica-justificación-de-fom-7"/>
      <w:bookmarkStart w:id="71" w:name="_Toc238925730"/>
      <w:bookmarkEnd w:id="68"/>
      <w:r>
        <w:t>Síntesis crítica: justificación de FOM-7</w:t>
      </w:r>
      <w:bookmarkEnd w:id="71"/>
    </w:p>
    <w:p w14:paraId="6B89EE33" w14:textId="77777777" w:rsidR="00D762DD" w:rsidRDefault="00000000">
      <w:r>
        <w:t xml:space="preserve">La revisión permite formular la brecha central de la tesis. La literatura ofrece métodos de explicación influyentes, como LIME, SHAP, Anchors y </w:t>
      </w:r>
      <w:proofErr w:type="spellStart"/>
      <w:r>
        <w:t>DiCE</w:t>
      </w:r>
      <w:proofErr w:type="spellEnd"/>
      <w:r>
        <w:t xml:space="preserve">. También ofrece marcos de evaluación y </w:t>
      </w:r>
      <w:proofErr w:type="spellStart"/>
      <w:r>
        <w:t>toolkits</w:t>
      </w:r>
      <w:proofErr w:type="spellEnd"/>
      <w:r>
        <w:t xml:space="preserve">, como </w:t>
      </w:r>
      <w:proofErr w:type="spellStart"/>
      <w:r>
        <w:t>Quantus</w:t>
      </w:r>
      <w:proofErr w:type="spellEnd"/>
      <w:r>
        <w:t xml:space="preserve"> y </w:t>
      </w:r>
      <w:proofErr w:type="spellStart"/>
      <w:r>
        <w:t>OpenXAI</w:t>
      </w:r>
      <w:proofErr w:type="spellEnd"/>
      <w:r>
        <w:t>. Además, dispone de taxonomías conceptuales que distinguen tipos de evaluación, constructos métricos y niveles de participación humana. El problema, por tanto, no es la ausencia total de recursos teóricos o técnicos.</w:t>
      </w:r>
    </w:p>
    <w:p w14:paraId="2583FA4A" w14:textId="77777777" w:rsidR="00D762DD" w:rsidRDefault="00000000">
      <w:pPr>
        <w:pStyle w:val="BodyText"/>
      </w:pPr>
      <w:r>
        <w:t xml:space="preserve">La brecha reside en la integración operacional. En la práctica, evaluar XAI para fines comparativos exige responder preguntas encadenadas: qué artefactos son admisibles, qué métodos se comparan, bajo qué </w:t>
      </w:r>
      <w:proofErr w:type="spellStart"/>
      <w:r>
        <w:t>datasets</w:t>
      </w:r>
      <w:proofErr w:type="spellEnd"/>
      <w:r>
        <w:t xml:space="preserve"> y modelos, con qué parámetros, mediante qué métricas, con qué controles estadísticos, bajo qué criterios de reproducibilidad y con qué límites de interpretación. Cuando estas decisiones no se integran en un protocolo, la evaluación puede producir tablas aparentemente rigurosas pero débiles como evidencia científica.</w:t>
      </w:r>
    </w:p>
    <w:p w14:paraId="5325A1C1" w14:textId="77777777" w:rsidR="00D762DD" w:rsidRDefault="00000000">
      <w:pPr>
        <w:pStyle w:val="BodyText"/>
      </w:pPr>
      <w:r>
        <w:lastRenderedPageBreak/>
        <w:t xml:space="preserve">Esta brecha no debe formularse como una descalificación de los marcos existentes. </w:t>
      </w:r>
      <w:proofErr w:type="spellStart"/>
      <w:r>
        <w:t>Quantus</w:t>
      </w:r>
      <w:proofErr w:type="spellEnd"/>
      <w:r>
        <w:t xml:space="preserve">, </w:t>
      </w:r>
      <w:proofErr w:type="spellStart"/>
      <w:r>
        <w:t>OpenXAI</w:t>
      </w:r>
      <w:proofErr w:type="spellEnd"/>
      <w:r>
        <w:t xml:space="preserve"> y las revisiones sistemáticas recientes representan avances reales hacia la estandarización, la comparabilidad y la cuantificación de explicaciones (Hedström et al. 2023; Agarwal et al. 2022; Nauta et al. 2023). La tesis no afirma que esos recursos sean insuficientes en términos absolutos, sino que no agotan la necesidad de un protocolo situado que gobierne el ciclo completo de evidencia en este estudio. La diferencia es sutil pero decisiva: un </w:t>
      </w:r>
      <w:proofErr w:type="spellStart"/>
      <w:r>
        <w:t>toolkit</w:t>
      </w:r>
      <w:proofErr w:type="spellEnd"/>
      <w:r>
        <w:t xml:space="preserve"> puede ofrecer métricas; un protocolo doctoral debe decir cuándo esas métricas son admisibles, cómo se documentan, cómo se comparan, qué inferencias permiten y qué límites conservan.</w:t>
      </w:r>
    </w:p>
    <w:p w14:paraId="65BB3DC8" w14:textId="77777777" w:rsidR="00D762DD" w:rsidRDefault="00000000">
      <w:pPr>
        <w:pStyle w:val="BodyText"/>
      </w:pPr>
      <w:r>
        <w:t xml:space="preserve">La revisión también muestra que las familias de explicación no comparten una ontología única. LIME produce sustitutos locales; SHAP produce atribuciones; Anchors produce reglas; </w:t>
      </w:r>
      <w:proofErr w:type="spellStart"/>
      <w:r>
        <w:t>DiCE</w:t>
      </w:r>
      <w:proofErr w:type="spellEnd"/>
      <w:r>
        <w:t xml:space="preserve"> produce contrafactuales. Esta diversidad implica que el protocolo no puede asumir una equivalencia natural entre salidas explicativas. La comparación debe ser multinivel porque cada método se relaciona de manera distinta con fidelidad, estabilidad, coste, cobertura, </w:t>
      </w:r>
      <w:proofErr w:type="spellStart"/>
      <w:r>
        <w:t>accionabilidad</w:t>
      </w:r>
      <w:proofErr w:type="spellEnd"/>
      <w:r>
        <w:t xml:space="preserve"> y utilidad. La matriz anterior formaliza esta asimetría y convierte una observación teórica en una regla metodológica: ninguna conclusión comparativa puede separarse del tipo de objeto explicativo que la sostiene.</w:t>
      </w:r>
    </w:p>
    <w:p w14:paraId="5B3E053C" w14:textId="77777777" w:rsidR="00D762DD" w:rsidRDefault="00000000">
      <w:pPr>
        <w:pStyle w:val="BodyText"/>
      </w:pPr>
      <w:r>
        <w:t xml:space="preserve">El tercer elemento de la brecha es la admisibilidad estadística. Una diferencia observada entre métodos no basta para sostener una afirmación doctoral si no se acompaña de controles sobre variabilidad, repetición, comparabilidad y alcance. La literatura de benchmarking XAI ha avanzado al ofrecer métricas y esquemas de evaluación, pero el paso desde resultado numérico hasta </w:t>
      </w:r>
      <w:proofErr w:type="spellStart"/>
      <w:r>
        <w:t>claim</w:t>
      </w:r>
      <w:proofErr w:type="spellEnd"/>
      <w:r>
        <w:t xml:space="preserve"> requiere una capa de decisión metodológica. FOM-7 ubica esa capa dentro del protocolo: antes de declarar superioridad, preferencia o robustez, el estudio debe establecer si el resultado es estable, si la prueba estadística es apropiada, si los artefactos son comparables y si la conclusión respeta el constructo evaluado.</w:t>
      </w:r>
    </w:p>
    <w:p w14:paraId="755BB7FE" w14:textId="77777777" w:rsidR="00D762DD" w:rsidRDefault="00000000">
      <w:pPr>
        <w:pStyle w:val="BodyText"/>
      </w:pPr>
      <w:r>
        <w:t xml:space="preserve">El cuarto elemento es la trazabilidad. En una tesis doctoral, la credibilidad no depende solo de tener resultados, sino de que el lector pueda seguir el camino desde una afirmación hasta sus condiciones de producción. Esta trazabilidad incluye referencias bibliográficas, definiciones conceptuales, decisiones de diseño, configuraciones experimentales, métricas, pruebas </w:t>
      </w:r>
      <w:r>
        <w:lastRenderedPageBreak/>
        <w:t xml:space="preserve">estadísticas y limitaciones. FOM-7 convierte esta exigencia en arquitectura: cada </w:t>
      </w:r>
      <w:proofErr w:type="spellStart"/>
      <w:r>
        <w:t>claim</w:t>
      </w:r>
      <w:proofErr w:type="spellEnd"/>
      <w:r>
        <w:t xml:space="preserve"> debe vincularse con evidencia identificable y cada evidencia debe declarar su alcance interpretativo. Así, el protocolo evita que la literatura revise conceptos por un lado y los experimentos reporten cifras por otro, sin un puente claro entre ambos.</w:t>
      </w:r>
    </w:p>
    <w:p w14:paraId="5AAE8C60" w14:textId="77777777" w:rsidR="00D762DD" w:rsidRDefault="00000000">
      <w:pPr>
        <w:pStyle w:val="BodyText"/>
      </w:pPr>
      <w:r>
        <w:t xml:space="preserve">FOM-7 se justifica como respuesta a esa brecha. Su aporte no es proponer una métrica aislada ni afirmar que un método de explicación domina universalmente a los demás. Su aporte es estructurar un proceso de evaluación multinivel que conecta diseño experimental, calificación de artefactos, medición, admisibilidad estadística, reproducibilidad y trazabilidad de </w:t>
      </w:r>
      <w:proofErr w:type="spellStart"/>
      <w:r>
        <w:t>claims</w:t>
      </w:r>
      <w:proofErr w:type="spellEnd"/>
      <w:r>
        <w:t>. Esta conexión permite que las conclusiones de la tesis sean evaluables, replicables y delimitadas.</w:t>
      </w:r>
    </w:p>
    <w:p w14:paraId="754C1783" w14:textId="77777777" w:rsidR="00D762DD" w:rsidRDefault="00000000">
      <w:pPr>
        <w:pStyle w:val="BodyText"/>
      </w:pPr>
      <w:r>
        <w:t xml:space="preserve">En consecuencia, FOM-7 puede describirse como una contribución de gobernanza metodológica para evaluación XAI. No compite con LIME, SHAP, Anchors o </w:t>
      </w:r>
      <w:proofErr w:type="spellStart"/>
      <w:r>
        <w:t>DiCE</w:t>
      </w:r>
      <w:proofErr w:type="spellEnd"/>
      <w:r>
        <w:t xml:space="preserve">, porque no es un explicador. No compite con </w:t>
      </w:r>
      <w:proofErr w:type="spellStart"/>
      <w:r>
        <w:t>Quantus</w:t>
      </w:r>
      <w:proofErr w:type="spellEnd"/>
      <w:r>
        <w:t xml:space="preserve"> u </w:t>
      </w:r>
      <w:proofErr w:type="spellStart"/>
      <w:r>
        <w:t>OpenXAI</w:t>
      </w:r>
      <w:proofErr w:type="spellEnd"/>
      <w:r>
        <w:t xml:space="preserve"> como librería de métricas, porque su foco no es ampliar el catálogo de implementaciones. Su espacio propio está en coordinar los pasos que permiten convertir explicaciones y métricas en evidencia científica: selección de artefactos, congelamiento de condiciones, ejecución comparable, análisis estadístico, perfil reproducible y </w:t>
      </w:r>
      <w:proofErr w:type="spellStart"/>
      <w:r>
        <w:t>claim</w:t>
      </w:r>
      <w:proofErr w:type="spellEnd"/>
      <w:r>
        <w:t xml:space="preserve"> trazable. Esta posición hace que la contribución sea defendible sin </w:t>
      </w:r>
      <w:proofErr w:type="spellStart"/>
      <w:r>
        <w:t>sobreclaiming</w:t>
      </w:r>
      <w:proofErr w:type="spellEnd"/>
      <w:r>
        <w:t>.</w:t>
      </w:r>
    </w:p>
    <w:p w14:paraId="032EF83A" w14:textId="77777777" w:rsidR="00D762DD" w:rsidRDefault="00000000">
      <w:pPr>
        <w:pStyle w:val="BodyText"/>
      </w:pPr>
      <w:r>
        <w:t>El capítulo también delimita lo que FOM-7 no demuestra. No demuestra utilidad humana directa, porque esa afirmación requeriría estudios human-</w:t>
      </w:r>
      <w:proofErr w:type="spellStart"/>
      <w:r>
        <w:t>grounded</w:t>
      </w:r>
      <w:proofErr w:type="spellEnd"/>
      <w:r>
        <w:t xml:space="preserve"> o </w:t>
      </w:r>
      <w:proofErr w:type="spellStart"/>
      <w:r>
        <w:t>application-grounded</w:t>
      </w:r>
      <w:proofErr w:type="spellEnd"/>
      <w:r>
        <w:t xml:space="preserve"> específicos (Doshi-</w:t>
      </w:r>
      <w:proofErr w:type="spellStart"/>
      <w:r>
        <w:t>Velez</w:t>
      </w:r>
      <w:proofErr w:type="spellEnd"/>
      <w:r>
        <w:t xml:space="preserve"> 2017; Hase and Bansal 2020; Rong et al. 2024). No demuestra verdad causal de las explicaciones, porque las métricas </w:t>
      </w:r>
      <w:proofErr w:type="spellStart"/>
      <w:r>
        <w:t>functionally-grounded</w:t>
      </w:r>
      <w:proofErr w:type="spellEnd"/>
      <w:r>
        <w:t xml:space="preserve"> operan sobre </w:t>
      </w:r>
      <w:proofErr w:type="spellStart"/>
      <w:r>
        <w:t>proxies</w:t>
      </w:r>
      <w:proofErr w:type="spellEnd"/>
      <w:r>
        <w:t xml:space="preserve"> definidos. No demuestra superioridad universal de un método, porque los métodos producen objetos heterogéneos y responden a constructos distintos. Estas limitaciones no debilitan la tesis; al contrario, fortalecen su precisión. Un protocolo doctoral robusto no elimina los límites, los vuelve visibles y auditables.</w:t>
      </w:r>
    </w:p>
    <w:p w14:paraId="3BF57175" w14:textId="77777777" w:rsidR="00D762DD" w:rsidRDefault="00000000">
      <w:pPr>
        <w:pStyle w:val="BodyText"/>
      </w:pPr>
      <w:r>
        <w:t xml:space="preserve">Desde esta perspectiva, el capítulo 2 cumple una función argumentativa: demuestra que la XAI ha madurado como campo de métodos, que la evaluación ha avanzado mediante taxonomías y </w:t>
      </w:r>
      <w:proofErr w:type="spellStart"/>
      <w:r>
        <w:t>toolkits</w:t>
      </w:r>
      <w:proofErr w:type="spellEnd"/>
      <w:r>
        <w:t xml:space="preserve">, y que aún falta una capa operacional que gobierne el paso desde resultados métricos </w:t>
      </w:r>
      <w:r>
        <w:lastRenderedPageBreak/>
        <w:t>hacia afirmaciones científicas. Esa capa es el espacio de contribución de FOM-7 y el puente conceptual hacia el diseño experimental desarrollado en el capítulo siguiente.</w:t>
      </w:r>
    </w:p>
    <w:p w14:paraId="520E6BAC" w14:textId="77777777" w:rsidR="00D762DD" w:rsidRDefault="00000000">
      <w:pPr>
        <w:pStyle w:val="BodyText"/>
      </w:pPr>
      <w:r>
        <w:t xml:space="preserve">Este capítulo ha establecido el fundamento conceptual que sostiene la propuesta FOM-7. La revisión muestra que la literatura dispone de explicadores maduros, </w:t>
      </w:r>
      <w:proofErr w:type="spellStart"/>
      <w:r>
        <w:t>toolkits</w:t>
      </w:r>
      <w:proofErr w:type="spellEnd"/>
      <w:r>
        <w:t xml:space="preserve"> de evaluación funcionales y taxonomías conceptuales que distinguen niveles de evidencia —pero ningún protocolo operativo que gobierne el ciclo completo desde el diseño experimental hasta la trazabilidad de afirmaciones. Las dos subsecciones finales —evaluación human-</w:t>
      </w:r>
      <w:proofErr w:type="spellStart"/>
      <w:r>
        <w:t>centered</w:t>
      </w:r>
      <w:proofErr w:type="spellEnd"/>
      <w:r>
        <w:t xml:space="preserve"> y reproducibilidad en XAI— sitúan esa brecha en su contexto más amplio: la reproducibilidad es un requisito de validez científica y un requisito normativo emergente; la evaluación centrada en el usuario es una dimensión de calidad que el </w:t>
      </w:r>
      <w:proofErr w:type="spellStart"/>
      <w:r>
        <w:t>benchmark</w:t>
      </w:r>
      <w:proofErr w:type="spellEnd"/>
      <w:r>
        <w:t xml:space="preserve"> puede delimitar, pero no sustituir. La consecuencia operativa de esta revisión es que el Capítulo 3 no puede limitarse a describir qué métricas se calculan: debe especificar </w:t>
      </w:r>
      <w:proofErr w:type="gramStart"/>
      <w:r>
        <w:t>bajo qué condiciones</w:t>
      </w:r>
      <w:proofErr w:type="gramEnd"/>
      <w:r>
        <w:t xml:space="preserve"> experimentales son admisibles, qué artefactos las sostienen y qué inferencias permiten. Esa especificación es el diseño de FOM-7.</w:t>
      </w:r>
    </w:p>
    <w:p w14:paraId="0E4591FC" w14:textId="77777777" w:rsidR="00D762DD" w:rsidRDefault="00000000">
      <w:pPr>
        <w:pStyle w:val="Heading1"/>
      </w:pPr>
      <w:bookmarkStart w:id="72" w:name="marco-empírico-y-diseño-experimental"/>
      <w:bookmarkStart w:id="73" w:name="_Toc238925731"/>
      <w:bookmarkEnd w:id="41"/>
      <w:bookmarkEnd w:id="70"/>
      <w:r>
        <w:t>Marco empírico y diseño experimental</w:t>
      </w:r>
      <w:bookmarkEnd w:id="73"/>
    </w:p>
    <w:p w14:paraId="1DFE24A0" w14:textId="77777777" w:rsidR="00D762DD" w:rsidRDefault="00000000">
      <w:r>
        <w:t xml:space="preserve">Este capítulo describe el diseño empírico de los dos estudios que conforman el núcleo cuantitativo de la tesis: el </w:t>
      </w:r>
      <w:proofErr w:type="spellStart"/>
      <w:r>
        <w:t>benchmark</w:t>
      </w:r>
      <w:proofErr w:type="spellEnd"/>
      <w:r>
        <w:t xml:space="preserve"> multinivel de métodos agnósticos (el Estudio </w:t>
      </w:r>
      <w:proofErr w:type="spellStart"/>
      <w:r>
        <w:t>Omnibus</w:t>
      </w:r>
      <w:proofErr w:type="spellEnd"/>
      <w:r>
        <w:t xml:space="preserve"> </w:t>
      </w:r>
      <w:proofErr w:type="spellStart"/>
      <w:r>
        <w:t>Multimétrico</w:t>
      </w:r>
      <w:proofErr w:type="spellEnd"/>
      <w:r>
        <w:t xml:space="preserve">) y la comparación pareada enfocada entre LIME y SHAP (el Estudio Pareado LIME–SHAP). Ambos estudios comparten el mismo pipeline experimental, el mismo conjunto de datos y los mismos artefactos de modelo, y se distinguen por el alcance del análisis inferencial: el estudio </w:t>
      </w:r>
      <w:proofErr w:type="spellStart"/>
      <w:r>
        <w:t>omnibus</w:t>
      </w:r>
      <w:proofErr w:type="spellEnd"/>
      <w:r>
        <w:t xml:space="preserve"> evalúa los cuatro métodos sobre el diseño factorial completo; el estudio pareado restringe la inferencia confirmativa al subconjunto pareado LIME-SHAP. El capítulo se organiza en ocho secciones: las dos fases experimentales (EXP1 y EXP2), el conjunto de datos y el protocolo de preprocesamiento, el diseño factorial, las configuraciones de los explicadores, la operacionalización de las métricas, el protocolo FOM-7, el análisis de cobertura de artefactos, y el plan de inferencia estadística. Las amenazas a la validez y el inventario de recursos de reproducibilidad figuran en el Apéndice A.</w:t>
      </w:r>
    </w:p>
    <w:p w14:paraId="39CFCAD1" w14:textId="77777777" w:rsidR="00D762DD" w:rsidRDefault="00000000">
      <w:pPr>
        <w:pStyle w:val="BodyText"/>
      </w:pPr>
      <w:r>
        <w:t xml:space="preserve">El diseño traduce los constructos definidos en el Capítulo 2 a decisiones operativas: fidelidad, estabilidad, robustez, complejidad, coste computacional, calificación de artefactos, admisibilidad </w:t>
      </w:r>
      <w:r>
        <w:lastRenderedPageBreak/>
        <w:t xml:space="preserve">estadística y trazabilidad de </w:t>
      </w:r>
      <w:proofErr w:type="spellStart"/>
      <w:r>
        <w:t>claims</w:t>
      </w:r>
      <w:proofErr w:type="spellEnd"/>
      <w:r>
        <w:t xml:space="preserve">. Esta traducción es deliberadamente </w:t>
      </w:r>
      <w:proofErr w:type="spellStart"/>
      <w:r>
        <w:t>functionally-grounded</w:t>
      </w:r>
      <w:proofErr w:type="spellEnd"/>
      <w:r>
        <w:t>: las métricas producen evidencia computacional reproducible, no evidencia directa de utilidad humana ni de verdad causal de las explicaciones (Doshi-</w:t>
      </w:r>
      <w:proofErr w:type="spellStart"/>
      <w:r>
        <w:t>Velez</w:t>
      </w:r>
      <w:proofErr w:type="spellEnd"/>
      <w:r>
        <w:t xml:space="preserve"> 2017; Hedström et al. 2023; Nauta et al. 2023).</w:t>
      </w:r>
    </w:p>
    <w:p w14:paraId="73A492B5" w14:textId="77777777" w:rsidR="00D762DD" w:rsidRDefault="00000000">
      <w:pPr>
        <w:pStyle w:val="Heading2"/>
      </w:pPr>
      <w:bookmarkStart w:id="74" w:name="fases-experimentales-exp1-y-exp2"/>
      <w:bookmarkStart w:id="75" w:name="_Toc238925732"/>
      <w:r>
        <w:t>Fases experimentales: EXP1 y EXP2</w:t>
      </w:r>
      <w:bookmarkEnd w:id="75"/>
    </w:p>
    <w:p w14:paraId="0B9D2158" w14:textId="77777777" w:rsidR="00D762DD" w:rsidRDefault="00000000">
      <w:r>
        <w:t>El diseño experimental distingue dos cohortes de evidencia con roles diferenciados, siguiendo el principio de separación entre actividades de calibración y afirmaciones confirmativas (Hedström et al. 2023; Zheng et al. 2025).</w:t>
      </w:r>
    </w:p>
    <w:p w14:paraId="2614DC8D" w14:textId="77777777" w:rsidR="00D762DD" w:rsidRDefault="00000000">
      <w:pPr>
        <w:pStyle w:val="Heading3"/>
      </w:pPr>
      <w:bookmarkStart w:id="76" w:name="X32cac70d6076bcfbcdceb21da7e13d3984b2a1d"/>
      <w:bookmarkStart w:id="77" w:name="_Toc238925733"/>
      <w:r>
        <w:t>Fase de calibración y reproducibilidad (EXP1)</w:t>
      </w:r>
      <w:bookmarkEnd w:id="77"/>
    </w:p>
    <w:p w14:paraId="095DCDD1" w14:textId="77777777" w:rsidR="00D762DD" w:rsidRDefault="00000000">
      <w:r>
        <w:t>La Fase EXP1 tiene por objetivos: verificar la correcta implementación del pipeline experimental, entrenar y congelar los artefactos de modelo compartidos por todos los explicadores en EXP2, y generar un perfil de reproducibilidad sobre configuraciones replicadas que permita cuantificar la dispersión métrica esperada bajo variación de semilla.</w:t>
      </w:r>
    </w:p>
    <w:p w14:paraId="6EAD6E11" w14:textId="77777777" w:rsidR="00D762DD" w:rsidRDefault="00000000">
      <w:pPr>
        <w:pStyle w:val="BodyText"/>
      </w:pPr>
      <w:r>
        <w:t>EXP1 opera sobre dos familias de modelos —bosque aleatorio (</w:t>
      </w:r>
      <w:proofErr w:type="spellStart"/>
      <w:r>
        <w:t>rf</w:t>
      </w:r>
      <w:proofErr w:type="spellEnd"/>
      <w:r>
        <w:t xml:space="preserve">) y </w:t>
      </w:r>
      <w:proofErr w:type="spellStart"/>
      <w:r>
        <w:t>XGBoost</w:t>
      </w:r>
      <w:proofErr w:type="spellEnd"/>
      <w:r>
        <w:t xml:space="preserve"> (</w:t>
      </w:r>
      <w:proofErr w:type="spellStart"/>
      <w:r>
        <w:t>xgb</w:t>
      </w:r>
      <w:proofErr w:type="spellEnd"/>
      <w:r>
        <w:t xml:space="preserve">)— y dos métodos explicadores —SHAP (modo árbol) y LIME— formando una cohorte de 75 ejecuciones planificadas. De estas, 66 resultaron analizables (88.0% de cobertura). Los modelos entrenados en EXP1 se congelan como artefactos repositorio bajo </w:t>
      </w:r>
      <w:proofErr w:type="spellStart"/>
      <w:r>
        <w:t>experiments</w:t>
      </w:r>
      <w:proofErr w:type="spellEnd"/>
      <w:r>
        <w:t>/exp1_adult/</w:t>
      </w:r>
      <w:proofErr w:type="spellStart"/>
      <w:r>
        <w:t>models</w:t>
      </w:r>
      <w:proofErr w:type="spellEnd"/>
      <w:r>
        <w:t>/ y son reutilizados sin reentrenamiento en EXP2, de modo que cualquier diferencia observada entre métodos en la fase primaria es atribuible al explicador y no a variación en el modelo subyacente.</w:t>
      </w:r>
    </w:p>
    <w:p w14:paraId="0E646349" w14:textId="77777777" w:rsidR="00D762DD" w:rsidRDefault="00000000">
      <w:pPr>
        <w:pStyle w:val="BodyText"/>
      </w:pPr>
      <w:r>
        <w:t xml:space="preserve">El rendimiento predictivo de los cinco modelos entrenados en EXP1 y evaluados sobre el conjunto de prueba (9,758 instancias, semilla 42) se muestra en la Tabla 3.1. Los valores fueron extraídos directamente de los archivos </w:t>
      </w:r>
      <w:proofErr w:type="spellStart"/>
      <w:r>
        <w:t>experiments</w:t>
      </w:r>
      <w:proofErr w:type="spellEnd"/>
      <w:r>
        <w:t>/exp1_adult/</w:t>
      </w:r>
      <w:proofErr w:type="spellStart"/>
      <w:r>
        <w:t>models</w:t>
      </w:r>
      <w:proofErr w:type="spellEnd"/>
      <w:r>
        <w:t>/*/</w:t>
      </w:r>
      <w:proofErr w:type="spellStart"/>
      <w:proofErr w:type="gramStart"/>
      <w:r>
        <w:t>metrics.json</w:t>
      </w:r>
      <w:proofErr w:type="spellEnd"/>
      <w:proofErr w:type="gramEnd"/>
      <w:r>
        <w:t xml:space="preserve"> del repositorio.</w:t>
      </w:r>
    </w:p>
    <w:tbl>
      <w:tblPr>
        <w:tblW w:w="5000" w:type="pct"/>
        <w:tblLayout w:type="fixed"/>
        <w:tblLook w:val="0000" w:firstRow="0" w:lastRow="0" w:firstColumn="0" w:lastColumn="0" w:noHBand="0" w:noVBand="0"/>
      </w:tblPr>
      <w:tblGrid>
        <w:gridCol w:w="9576"/>
      </w:tblGrid>
      <w:tr w:rsidR="00D762DD" w14:paraId="3A271236" w14:textId="77777777">
        <w:tc>
          <w:tcPr>
            <w:tcW w:w="7920" w:type="dxa"/>
          </w:tcPr>
          <w:p w14:paraId="3C41AA95" w14:textId="77777777" w:rsidR="00D762DD" w:rsidRDefault="00000000">
            <w:pPr>
              <w:spacing w:before="200"/>
              <w:jc w:val="left"/>
            </w:pPr>
            <w:bookmarkStart w:id="78" w:name="tbl-model-performance"/>
            <w:r>
              <w:t>Table 4.1: Rendimiento predictivo de los modelos en el conjunto de prueba (</w:t>
            </w:r>
            <m:oMath>
              <m:r>
                <w:rPr>
                  <w:rFonts w:ascii="Cambria Math" w:hAnsi="Cambria Math"/>
                </w:rPr>
                <m:t>n</m:t>
              </m:r>
              <m:r>
                <m:rPr>
                  <m:sty m:val="p"/>
                </m:rPr>
                <w:rPr>
                  <w:rFonts w:ascii="Cambria Math" w:hAnsi="Cambria Math"/>
                </w:rPr>
                <m:t>=</m:t>
              </m:r>
              <m:r>
                <w:rPr>
                  <w:rFonts w:ascii="Cambria Math" w:hAnsi="Cambria Math"/>
                </w:rPr>
                <m:t>9</m:t>
              </m:r>
              <m:r>
                <m:rPr>
                  <m:sty m:val="p"/>
                </m:rPr>
                <w:rPr>
                  <w:rFonts w:ascii="Cambria Math" w:hAnsi="Cambria Math"/>
                </w:rPr>
                <m:t>,</m:t>
              </m:r>
              <m:r>
                <w:rPr>
                  <w:rFonts w:ascii="Cambria Math" w:hAnsi="Cambria Math"/>
                </w:rPr>
                <m:t>758</m:t>
              </m:r>
            </m:oMath>
            <w:r>
              <w:t>, semilla 42). Valores extraídos de models/*/</w:t>
            </w:r>
            <w:proofErr w:type="gramStart"/>
            <w:r>
              <w:t>metrics.json</w:t>
            </w:r>
            <w:proofErr w:type="gramEnd"/>
            <w:r>
              <w:t xml:space="preserve">. XGBoost lidera en todas las métricas; el perceptrón multicapa presenta el AUC-ROC más </w:t>
            </w:r>
            <w:proofErr w:type="gramStart"/>
            <w:r>
              <w:t>bajo</w:t>
            </w:r>
            <w:proofErr w:type="gramEnd"/>
            <w:r>
              <w:t xml:space="preserve"> pero supera el umbral de inclusión de 0.88.</w:t>
            </w:r>
          </w:p>
          <w:tbl>
            <w:tblPr>
              <w:tblW w:w="5000" w:type="pct"/>
              <w:tblLayout w:type="fixed"/>
              <w:tblLook w:val="0020" w:firstRow="1" w:lastRow="0" w:firstColumn="0" w:lastColumn="0" w:noHBand="0" w:noVBand="0"/>
            </w:tblPr>
            <w:tblGrid>
              <w:gridCol w:w="1469"/>
              <w:gridCol w:w="2019"/>
              <w:gridCol w:w="2019"/>
              <w:gridCol w:w="1468"/>
              <w:gridCol w:w="734"/>
              <w:gridCol w:w="1651"/>
            </w:tblGrid>
            <w:tr w:rsidR="00D762DD" w14:paraId="5D631554" w14:textId="77777777">
              <w:trPr>
                <w:tblHeader/>
              </w:trPr>
              <w:tc>
                <w:tcPr>
                  <w:tcW w:w="1242" w:type="dxa"/>
                </w:tcPr>
                <w:p w14:paraId="3E39DF69" w14:textId="77777777" w:rsidR="00D762DD" w:rsidRDefault="00000000">
                  <w:pPr>
                    <w:jc w:val="center"/>
                  </w:pPr>
                  <w:r>
                    <w:lastRenderedPageBreak/>
                    <w:t>Modelo</w:t>
                  </w:r>
                </w:p>
              </w:tc>
              <w:tc>
                <w:tcPr>
                  <w:tcW w:w="1708" w:type="dxa"/>
                </w:tcPr>
                <w:p w14:paraId="4D3C8B59" w14:textId="77777777" w:rsidR="00D762DD" w:rsidRDefault="00000000">
                  <w:pPr>
                    <w:jc w:val="center"/>
                  </w:pPr>
                  <w:r>
                    <w:t>Exactitud</w:t>
                  </w:r>
                </w:p>
              </w:tc>
              <w:tc>
                <w:tcPr>
                  <w:tcW w:w="1708" w:type="dxa"/>
                </w:tcPr>
                <w:p w14:paraId="26BAA4C2" w14:textId="77777777" w:rsidR="00D762DD" w:rsidRDefault="00000000">
                  <w:pPr>
                    <w:jc w:val="center"/>
                  </w:pPr>
                  <w:r>
                    <w:t>Precisión</w:t>
                  </w:r>
                </w:p>
              </w:tc>
              <w:tc>
                <w:tcPr>
                  <w:tcW w:w="1242" w:type="dxa"/>
                </w:tcPr>
                <w:p w14:paraId="614F6EA1" w14:textId="77777777" w:rsidR="00D762DD" w:rsidRDefault="00000000">
                  <w:pPr>
                    <w:jc w:val="center"/>
                  </w:pPr>
                  <w:proofErr w:type="spellStart"/>
                  <w:r>
                    <w:t>Recall</w:t>
                  </w:r>
                  <w:proofErr w:type="spellEnd"/>
                </w:p>
              </w:tc>
              <w:tc>
                <w:tcPr>
                  <w:tcW w:w="621" w:type="dxa"/>
                </w:tcPr>
                <w:p w14:paraId="3F54139E" w14:textId="77777777" w:rsidR="00D762DD" w:rsidRDefault="00000000">
                  <w:pPr>
                    <w:jc w:val="center"/>
                  </w:pPr>
                  <w:r>
                    <w:t>F1</w:t>
                  </w:r>
                </w:p>
              </w:tc>
              <w:tc>
                <w:tcPr>
                  <w:tcW w:w="1397" w:type="dxa"/>
                </w:tcPr>
                <w:p w14:paraId="17817B47" w14:textId="77777777" w:rsidR="00D762DD" w:rsidRDefault="00000000">
                  <w:pPr>
                    <w:jc w:val="center"/>
                  </w:pPr>
                  <w:r>
                    <w:t>AUC-ROC</w:t>
                  </w:r>
                </w:p>
              </w:tc>
            </w:tr>
            <w:tr w:rsidR="00D762DD" w14:paraId="30CDC19C" w14:textId="77777777">
              <w:tc>
                <w:tcPr>
                  <w:tcW w:w="1242" w:type="dxa"/>
                </w:tcPr>
                <w:p w14:paraId="3D361CBF" w14:textId="77777777" w:rsidR="00D762DD" w:rsidRDefault="00000000">
                  <w:pPr>
                    <w:jc w:val="center"/>
                  </w:pPr>
                  <w:r>
                    <w:t>Regresión logística (</w:t>
                  </w:r>
                  <w:proofErr w:type="spellStart"/>
                  <w:r>
                    <w:t>logreg</w:t>
                  </w:r>
                  <w:proofErr w:type="spellEnd"/>
                  <w:r>
                    <w:t>)</w:t>
                  </w:r>
                </w:p>
              </w:tc>
              <w:tc>
                <w:tcPr>
                  <w:tcW w:w="1708" w:type="dxa"/>
                </w:tcPr>
                <w:p w14:paraId="5FF98E12" w14:textId="77777777" w:rsidR="00D762DD" w:rsidRDefault="00000000">
                  <w:pPr>
                    <w:jc w:val="center"/>
                  </w:pPr>
                  <w:r>
                    <w:t>0.849</w:t>
                  </w:r>
                </w:p>
              </w:tc>
              <w:tc>
                <w:tcPr>
                  <w:tcW w:w="1708" w:type="dxa"/>
                </w:tcPr>
                <w:p w14:paraId="03CC3BB5" w14:textId="77777777" w:rsidR="00D762DD" w:rsidRDefault="00000000">
                  <w:pPr>
                    <w:jc w:val="center"/>
                  </w:pPr>
                  <w:r>
                    <w:t>0.842</w:t>
                  </w:r>
                </w:p>
              </w:tc>
              <w:tc>
                <w:tcPr>
                  <w:tcW w:w="1242" w:type="dxa"/>
                </w:tcPr>
                <w:p w14:paraId="4D1B4933" w14:textId="77777777" w:rsidR="00D762DD" w:rsidRDefault="00000000">
                  <w:pPr>
                    <w:jc w:val="center"/>
                  </w:pPr>
                  <w:r>
                    <w:t>0.849</w:t>
                  </w:r>
                </w:p>
              </w:tc>
              <w:tc>
                <w:tcPr>
                  <w:tcW w:w="621" w:type="dxa"/>
                </w:tcPr>
                <w:p w14:paraId="2AD3F714" w14:textId="77777777" w:rsidR="00D762DD" w:rsidRDefault="00000000">
                  <w:pPr>
                    <w:jc w:val="center"/>
                  </w:pPr>
                  <w:r>
                    <w:t>0.844</w:t>
                  </w:r>
                </w:p>
              </w:tc>
              <w:tc>
                <w:tcPr>
                  <w:tcW w:w="1397" w:type="dxa"/>
                </w:tcPr>
                <w:p w14:paraId="20BA9408" w14:textId="77777777" w:rsidR="00D762DD" w:rsidRDefault="00000000">
                  <w:pPr>
                    <w:jc w:val="center"/>
                  </w:pPr>
                  <w:r>
                    <w:t>0.903</w:t>
                  </w:r>
                </w:p>
              </w:tc>
            </w:tr>
            <w:tr w:rsidR="00D762DD" w14:paraId="08A81572" w14:textId="77777777">
              <w:tc>
                <w:tcPr>
                  <w:tcW w:w="1242" w:type="dxa"/>
                </w:tcPr>
                <w:p w14:paraId="60895B2E" w14:textId="77777777" w:rsidR="00D762DD" w:rsidRDefault="00000000">
                  <w:pPr>
                    <w:jc w:val="center"/>
                  </w:pPr>
                  <w:r>
                    <w:t>Bosque aleatorio (</w:t>
                  </w:r>
                  <w:proofErr w:type="spellStart"/>
                  <w:r>
                    <w:t>rf</w:t>
                  </w:r>
                  <w:proofErr w:type="spellEnd"/>
                  <w:r>
                    <w:t>)</w:t>
                  </w:r>
                </w:p>
              </w:tc>
              <w:tc>
                <w:tcPr>
                  <w:tcW w:w="1708" w:type="dxa"/>
                </w:tcPr>
                <w:p w14:paraId="107BE7EE" w14:textId="77777777" w:rsidR="00D762DD" w:rsidRDefault="00000000">
                  <w:pPr>
                    <w:jc w:val="center"/>
                  </w:pPr>
                  <w:r>
                    <w:t>0.854</w:t>
                  </w:r>
                </w:p>
              </w:tc>
              <w:tc>
                <w:tcPr>
                  <w:tcW w:w="1708" w:type="dxa"/>
                </w:tcPr>
                <w:p w14:paraId="7C7D3E5E" w14:textId="77777777" w:rsidR="00D762DD" w:rsidRDefault="00000000">
                  <w:pPr>
                    <w:jc w:val="center"/>
                  </w:pPr>
                  <w:r>
                    <w:t>0.849</w:t>
                  </w:r>
                </w:p>
              </w:tc>
              <w:tc>
                <w:tcPr>
                  <w:tcW w:w="1242" w:type="dxa"/>
                </w:tcPr>
                <w:p w14:paraId="6BCEA318" w14:textId="77777777" w:rsidR="00D762DD" w:rsidRDefault="00000000">
                  <w:pPr>
                    <w:jc w:val="center"/>
                  </w:pPr>
                  <w:r>
                    <w:t>0.854</w:t>
                  </w:r>
                </w:p>
              </w:tc>
              <w:tc>
                <w:tcPr>
                  <w:tcW w:w="621" w:type="dxa"/>
                </w:tcPr>
                <w:p w14:paraId="7153AECD" w14:textId="77777777" w:rsidR="00D762DD" w:rsidRDefault="00000000">
                  <w:pPr>
                    <w:jc w:val="center"/>
                  </w:pPr>
                  <w:r>
                    <w:t>0.851</w:t>
                  </w:r>
                </w:p>
              </w:tc>
              <w:tc>
                <w:tcPr>
                  <w:tcW w:w="1397" w:type="dxa"/>
                </w:tcPr>
                <w:p w14:paraId="3265DBA5" w14:textId="77777777" w:rsidR="00D762DD" w:rsidRDefault="00000000">
                  <w:pPr>
                    <w:jc w:val="center"/>
                  </w:pPr>
                  <w:r>
                    <w:t>0.902</w:t>
                  </w:r>
                </w:p>
              </w:tc>
            </w:tr>
            <w:tr w:rsidR="00D762DD" w14:paraId="342923FB" w14:textId="77777777">
              <w:tc>
                <w:tcPr>
                  <w:tcW w:w="1242" w:type="dxa"/>
                </w:tcPr>
                <w:p w14:paraId="334B7B59" w14:textId="77777777" w:rsidR="00D762DD" w:rsidRDefault="00000000">
                  <w:pPr>
                    <w:jc w:val="center"/>
                  </w:pPr>
                  <w:proofErr w:type="spellStart"/>
                  <w:r>
                    <w:t>XGBoost</w:t>
                  </w:r>
                  <w:proofErr w:type="spellEnd"/>
                  <w:r>
                    <w:t xml:space="preserve"> (</w:t>
                  </w:r>
                  <w:proofErr w:type="spellStart"/>
                  <w:r>
                    <w:t>xgb</w:t>
                  </w:r>
                  <w:proofErr w:type="spellEnd"/>
                  <w:r>
                    <w:t>)</w:t>
                  </w:r>
                </w:p>
              </w:tc>
              <w:tc>
                <w:tcPr>
                  <w:tcW w:w="1708" w:type="dxa"/>
                </w:tcPr>
                <w:p w14:paraId="71C7E35D" w14:textId="77777777" w:rsidR="00D762DD" w:rsidRDefault="00000000">
                  <w:pPr>
                    <w:jc w:val="center"/>
                  </w:pPr>
                  <w:r>
                    <w:rPr>
                      <w:b/>
                      <w:bCs/>
                    </w:rPr>
                    <w:t>0.870</w:t>
                  </w:r>
                </w:p>
              </w:tc>
              <w:tc>
                <w:tcPr>
                  <w:tcW w:w="1708" w:type="dxa"/>
                </w:tcPr>
                <w:p w14:paraId="1C6A656B" w14:textId="77777777" w:rsidR="00D762DD" w:rsidRDefault="00000000">
                  <w:pPr>
                    <w:jc w:val="center"/>
                  </w:pPr>
                  <w:r>
                    <w:rPr>
                      <w:b/>
                      <w:bCs/>
                    </w:rPr>
                    <w:t>0.865</w:t>
                  </w:r>
                </w:p>
              </w:tc>
              <w:tc>
                <w:tcPr>
                  <w:tcW w:w="1242" w:type="dxa"/>
                </w:tcPr>
                <w:p w14:paraId="38C16C73" w14:textId="77777777" w:rsidR="00D762DD" w:rsidRDefault="00000000">
                  <w:pPr>
                    <w:jc w:val="center"/>
                  </w:pPr>
                  <w:r>
                    <w:rPr>
                      <w:b/>
                      <w:bCs/>
                    </w:rPr>
                    <w:t>0.870</w:t>
                  </w:r>
                </w:p>
              </w:tc>
              <w:tc>
                <w:tcPr>
                  <w:tcW w:w="621" w:type="dxa"/>
                </w:tcPr>
                <w:p w14:paraId="6F6A428E" w14:textId="77777777" w:rsidR="00D762DD" w:rsidRDefault="00000000">
                  <w:pPr>
                    <w:jc w:val="center"/>
                  </w:pPr>
                  <w:r>
                    <w:rPr>
                      <w:b/>
                      <w:bCs/>
                    </w:rPr>
                    <w:t>0.865</w:t>
                  </w:r>
                </w:p>
              </w:tc>
              <w:tc>
                <w:tcPr>
                  <w:tcW w:w="1397" w:type="dxa"/>
                </w:tcPr>
                <w:p w14:paraId="5A882610" w14:textId="77777777" w:rsidR="00D762DD" w:rsidRDefault="00000000">
                  <w:pPr>
                    <w:jc w:val="center"/>
                  </w:pPr>
                  <w:r>
                    <w:rPr>
                      <w:b/>
                      <w:bCs/>
                    </w:rPr>
                    <w:t>0.926</w:t>
                  </w:r>
                </w:p>
              </w:tc>
            </w:tr>
            <w:tr w:rsidR="00D762DD" w14:paraId="3F442031" w14:textId="77777777">
              <w:tc>
                <w:tcPr>
                  <w:tcW w:w="1242" w:type="dxa"/>
                </w:tcPr>
                <w:p w14:paraId="29562ACD" w14:textId="77777777" w:rsidR="00D762DD" w:rsidRDefault="00000000">
                  <w:pPr>
                    <w:jc w:val="center"/>
                  </w:pPr>
                  <w:r>
                    <w:t>Máquina de vectores soporte (</w:t>
                  </w:r>
                  <w:proofErr w:type="spellStart"/>
                  <w:r>
                    <w:t>svm</w:t>
                  </w:r>
                  <w:proofErr w:type="spellEnd"/>
                  <w:r>
                    <w:t>)</w:t>
                  </w:r>
                </w:p>
              </w:tc>
              <w:tc>
                <w:tcPr>
                  <w:tcW w:w="1708" w:type="dxa"/>
                </w:tcPr>
                <w:p w14:paraId="69B4D369" w14:textId="77777777" w:rsidR="00D762DD" w:rsidRDefault="00000000">
                  <w:pPr>
                    <w:jc w:val="center"/>
                  </w:pPr>
                  <w:r>
                    <w:t>0.856</w:t>
                  </w:r>
                </w:p>
              </w:tc>
              <w:tc>
                <w:tcPr>
                  <w:tcW w:w="1708" w:type="dxa"/>
                </w:tcPr>
                <w:p w14:paraId="591F5449" w14:textId="77777777" w:rsidR="00D762DD" w:rsidRDefault="00000000">
                  <w:pPr>
                    <w:jc w:val="center"/>
                  </w:pPr>
                  <w:r>
                    <w:t>0.849</w:t>
                  </w:r>
                </w:p>
              </w:tc>
              <w:tc>
                <w:tcPr>
                  <w:tcW w:w="1242" w:type="dxa"/>
                </w:tcPr>
                <w:p w14:paraId="21F15900" w14:textId="77777777" w:rsidR="00D762DD" w:rsidRDefault="00000000">
                  <w:pPr>
                    <w:jc w:val="center"/>
                  </w:pPr>
                  <w:r>
                    <w:t>0.856</w:t>
                  </w:r>
                </w:p>
              </w:tc>
              <w:tc>
                <w:tcPr>
                  <w:tcW w:w="621" w:type="dxa"/>
                </w:tcPr>
                <w:p w14:paraId="42F01EBB" w14:textId="77777777" w:rsidR="00D762DD" w:rsidRDefault="00000000">
                  <w:pPr>
                    <w:jc w:val="center"/>
                  </w:pPr>
                  <w:r>
                    <w:t>0.849</w:t>
                  </w:r>
                </w:p>
              </w:tc>
              <w:tc>
                <w:tcPr>
                  <w:tcW w:w="1397" w:type="dxa"/>
                </w:tcPr>
                <w:p w14:paraId="10D7BB96" w14:textId="77777777" w:rsidR="00D762DD" w:rsidRDefault="00000000">
                  <w:pPr>
                    <w:jc w:val="center"/>
                  </w:pPr>
                  <w:r>
                    <w:t>0.898</w:t>
                  </w:r>
                </w:p>
              </w:tc>
            </w:tr>
            <w:tr w:rsidR="00D762DD" w14:paraId="5F192171" w14:textId="77777777">
              <w:tc>
                <w:tcPr>
                  <w:tcW w:w="1242" w:type="dxa"/>
                </w:tcPr>
                <w:p w14:paraId="3393C235" w14:textId="77777777" w:rsidR="00D762DD" w:rsidRDefault="00000000">
                  <w:pPr>
                    <w:jc w:val="center"/>
                  </w:pPr>
                  <w:r>
                    <w:t>Perceptrón multicapa (</w:t>
                  </w:r>
                  <w:proofErr w:type="spellStart"/>
                  <w:r>
                    <w:t>mlp</w:t>
                  </w:r>
                  <w:proofErr w:type="spellEnd"/>
                  <w:r>
                    <w:t>)</w:t>
                  </w:r>
                </w:p>
              </w:tc>
              <w:tc>
                <w:tcPr>
                  <w:tcW w:w="1708" w:type="dxa"/>
                </w:tcPr>
                <w:p w14:paraId="468E2CE4" w14:textId="77777777" w:rsidR="00D762DD" w:rsidRDefault="00000000">
                  <w:pPr>
                    <w:jc w:val="center"/>
                  </w:pPr>
                  <w:r>
                    <w:t>0.840</w:t>
                  </w:r>
                </w:p>
              </w:tc>
              <w:tc>
                <w:tcPr>
                  <w:tcW w:w="1708" w:type="dxa"/>
                </w:tcPr>
                <w:p w14:paraId="575D0529" w14:textId="77777777" w:rsidR="00D762DD" w:rsidRDefault="00000000">
                  <w:pPr>
                    <w:jc w:val="center"/>
                  </w:pPr>
                  <w:r>
                    <w:t>0.833</w:t>
                  </w:r>
                </w:p>
              </w:tc>
              <w:tc>
                <w:tcPr>
                  <w:tcW w:w="1242" w:type="dxa"/>
                </w:tcPr>
                <w:p w14:paraId="269BEA09" w14:textId="77777777" w:rsidR="00D762DD" w:rsidRDefault="00000000">
                  <w:pPr>
                    <w:jc w:val="center"/>
                  </w:pPr>
                  <w:r>
                    <w:t>0.840</w:t>
                  </w:r>
                </w:p>
              </w:tc>
              <w:tc>
                <w:tcPr>
                  <w:tcW w:w="621" w:type="dxa"/>
                </w:tcPr>
                <w:p w14:paraId="466E2393" w14:textId="77777777" w:rsidR="00D762DD" w:rsidRDefault="00000000">
                  <w:pPr>
                    <w:jc w:val="center"/>
                  </w:pPr>
                  <w:r>
                    <w:t>0.835</w:t>
                  </w:r>
                </w:p>
              </w:tc>
              <w:tc>
                <w:tcPr>
                  <w:tcW w:w="1397" w:type="dxa"/>
                </w:tcPr>
                <w:p w14:paraId="0A57A31C" w14:textId="77777777" w:rsidR="00D762DD" w:rsidRDefault="00000000">
                  <w:pPr>
                    <w:jc w:val="center"/>
                  </w:pPr>
                  <w:r>
                    <w:t>0.885</w:t>
                  </w:r>
                </w:p>
              </w:tc>
            </w:tr>
            <w:bookmarkEnd w:id="78"/>
          </w:tbl>
          <w:p w14:paraId="6224D5B3" w14:textId="77777777" w:rsidR="00D762DD" w:rsidRDefault="00D762DD"/>
        </w:tc>
      </w:tr>
    </w:tbl>
    <w:p w14:paraId="07F287D3" w14:textId="77777777" w:rsidR="00D762DD" w:rsidRDefault="00000000">
      <w:pPr>
        <w:pStyle w:val="BodyText"/>
      </w:pPr>
      <w:r>
        <w:lastRenderedPageBreak/>
        <w:t xml:space="preserve">Todos los modelos superan los umbrales de inclusión definidos en el protocolo: exactitud </w:t>
      </w:r>
      <m:oMath>
        <m:r>
          <m:rPr>
            <m:sty m:val="p"/>
          </m:rPr>
          <w:rPr>
            <w:rFonts w:ascii="Cambria Math" w:hAnsi="Cambria Math"/>
          </w:rPr>
          <m:t>≥</m:t>
        </m:r>
        <m:r>
          <w:rPr>
            <w:rFonts w:ascii="Cambria Math" w:hAnsi="Cambria Math"/>
          </w:rPr>
          <m:t>0.83</m:t>
        </m:r>
      </m:oMath>
      <w:r>
        <w:t xml:space="preserve"> y AUC-ROC </w:t>
      </w:r>
      <m:oMath>
        <m:r>
          <m:rPr>
            <m:sty m:val="p"/>
          </m:rPr>
          <w:rPr>
            <w:rFonts w:ascii="Cambria Math" w:hAnsi="Cambria Math"/>
          </w:rPr>
          <m:t>≥</m:t>
        </m:r>
        <m:r>
          <w:rPr>
            <w:rFonts w:ascii="Cambria Math" w:hAnsi="Cambria Math"/>
          </w:rPr>
          <m:t>0.88</m:t>
        </m:r>
      </m:oMath>
      <w:r>
        <w:t>. Esta dispersión inter-modelo es intencional: un benchmark robusto debe evaluar explicadores sobre modelos de distinta complejidad y tipo de frontera de decisión, incluyendo modelos lineales (</w:t>
      </w:r>
      <w:proofErr w:type="spellStart"/>
      <w:r>
        <w:t>logreg</w:t>
      </w:r>
      <w:proofErr w:type="spellEnd"/>
      <w:r>
        <w:t>), de conjuntos de árboles (</w:t>
      </w:r>
      <w:proofErr w:type="spellStart"/>
      <w:r>
        <w:t>rf</w:t>
      </w:r>
      <w:proofErr w:type="spellEnd"/>
      <w:r>
        <w:t xml:space="preserve">, </w:t>
      </w:r>
      <w:proofErr w:type="spellStart"/>
      <w:r>
        <w:t>xgb</w:t>
      </w:r>
      <w:proofErr w:type="spellEnd"/>
      <w:r>
        <w:t xml:space="preserve">), con </w:t>
      </w:r>
      <w:proofErr w:type="spellStart"/>
      <w:r>
        <w:t>kernel</w:t>
      </w:r>
      <w:proofErr w:type="spellEnd"/>
      <w:r>
        <w:t xml:space="preserve"> (</w:t>
      </w:r>
      <w:proofErr w:type="spellStart"/>
      <w:r>
        <w:t>svm</w:t>
      </w:r>
      <w:proofErr w:type="spellEnd"/>
      <w:r>
        <w:t>) y neuronales (</w:t>
      </w:r>
      <w:proofErr w:type="spellStart"/>
      <w:r>
        <w:t>mlp</w:t>
      </w:r>
      <w:proofErr w:type="spellEnd"/>
      <w:r>
        <w:t>).</w:t>
      </w:r>
    </w:p>
    <w:p w14:paraId="7E5153D5" w14:textId="77777777" w:rsidR="00D762DD" w:rsidRDefault="00000000">
      <w:pPr>
        <w:pStyle w:val="BodyText"/>
      </w:pPr>
      <w:r>
        <w:t xml:space="preserve">El perfilado de reproducibilidad de EXP1 establece que las métricas de calidad presentan coeficientes de variación inferiores al 9% bajo variación de semilla: </w:t>
      </w:r>
      <m:oMath>
        <m:sSub>
          <m:sSubPr>
            <m:ctrlPr>
              <w:rPr>
                <w:rFonts w:ascii="Cambria Math" w:hAnsi="Cambria Math"/>
              </w:rPr>
            </m:ctrlPr>
          </m:sSubPr>
          <m:e>
            <m:r>
              <m:rPr>
                <m:nor/>
              </m:rPr>
              <m:t>CV</m:t>
            </m:r>
          </m:e>
          <m:sub>
            <m:r>
              <w:rPr>
                <w:rFonts w:ascii="Cambria Math" w:hAnsi="Cambria Math"/>
              </w:rPr>
              <m:t>F</m:t>
            </m:r>
          </m:sub>
        </m:sSub>
        <m:r>
          <m:rPr>
            <m:sty m:val="p"/>
          </m:rPr>
          <w:rPr>
            <w:rFonts w:ascii="Cambria Math" w:hAnsi="Cambria Math"/>
          </w:rPr>
          <m:t>≤</m:t>
        </m:r>
        <m:r>
          <w:rPr>
            <w:rFonts w:ascii="Cambria Math" w:hAnsi="Cambria Math"/>
          </w:rPr>
          <m:t>0.063</m:t>
        </m:r>
      </m:oMath>
      <w:r>
        <w:t xml:space="preserve">, </w:t>
      </w:r>
      <m:oMath>
        <m:sSub>
          <m:sSubPr>
            <m:ctrlPr>
              <w:rPr>
                <w:rFonts w:ascii="Cambria Math" w:hAnsi="Cambria Math"/>
              </w:rPr>
            </m:ctrlPr>
          </m:sSubPr>
          <m:e>
            <m:r>
              <m:rPr>
                <m:nor/>
              </m:rPr>
              <m:t>CV</m:t>
            </m:r>
          </m:e>
          <m:sub>
            <m:r>
              <w:rPr>
                <w:rFonts w:ascii="Cambria Math" w:hAnsi="Cambria Math"/>
              </w:rPr>
              <m:t>S</m:t>
            </m:r>
          </m:sub>
        </m:sSub>
        <m:r>
          <m:rPr>
            <m:sty m:val="p"/>
          </m:rPr>
          <w:rPr>
            <w:rFonts w:ascii="Cambria Math" w:hAnsi="Cambria Math"/>
          </w:rPr>
          <m:t>≤</m:t>
        </m:r>
        <m:r>
          <w:rPr>
            <w:rFonts w:ascii="Cambria Math" w:hAnsi="Cambria Math"/>
          </w:rPr>
          <m:t>0.083</m:t>
        </m:r>
      </m:oMath>
      <w:r>
        <w:t xml:space="preserve">, </w:t>
      </w:r>
      <m:oMath>
        <m:sSub>
          <m:sSubPr>
            <m:ctrlPr>
              <w:rPr>
                <w:rFonts w:ascii="Cambria Math" w:hAnsi="Cambria Math"/>
              </w:rPr>
            </m:ctrlPr>
          </m:sSubPr>
          <m:e>
            <m:r>
              <m:rPr>
                <m:nor/>
              </m:rPr>
              <m:t>CV</m:t>
            </m:r>
          </m:e>
          <m:sub>
            <m:r>
              <w:rPr>
                <w:rFonts w:ascii="Cambria Math" w:hAnsi="Cambria Math"/>
              </w:rPr>
              <m:t>P</m:t>
            </m:r>
          </m:sub>
        </m:sSub>
        <m:r>
          <m:rPr>
            <m:sty m:val="p"/>
          </m:rPr>
          <w:rPr>
            <w:rFonts w:ascii="Cambria Math" w:hAnsi="Cambria Math"/>
          </w:rPr>
          <m:t>≤</m:t>
        </m:r>
        <m:r>
          <w:rPr>
            <w:rFonts w:ascii="Cambria Math" w:hAnsi="Cambria Math"/>
          </w:rPr>
          <m:t>0.044</m:t>
        </m:r>
      </m:oMath>
      <w:r>
        <w:t xml:space="preserve">, </w:t>
      </w:r>
      <m:oMath>
        <m:sSub>
          <m:sSubPr>
            <m:ctrlPr>
              <w:rPr>
                <w:rFonts w:ascii="Cambria Math" w:hAnsi="Cambria Math"/>
              </w:rPr>
            </m:ctrlPr>
          </m:sSubPr>
          <m:e>
            <m:r>
              <m:rPr>
                <m:nor/>
              </m:rPr>
              <m:t>CV</m:t>
            </m:r>
          </m:e>
          <m:sub>
            <m:sSub>
              <m:sSubPr>
                <m:ctrlPr>
                  <w:rPr>
                    <w:rFonts w:ascii="Cambria Math" w:hAnsi="Cambria Math"/>
                  </w:rPr>
                </m:ctrlPr>
              </m:sSubPr>
              <m:e>
                <m:r>
                  <m:rPr>
                    <m:sty m:val="p"/>
                  </m:rPr>
                  <w:rPr>
                    <w:rFonts w:ascii="Cambria Math" w:hAnsi="Cambria Math"/>
                  </w:rPr>
                  <m:t>Δ</m:t>
                </m:r>
              </m:e>
              <m:sub>
                <m:r>
                  <w:rPr>
                    <w:rFonts w:ascii="Cambria Math" w:hAnsi="Cambria Math"/>
                  </w:rPr>
                  <m:t>k</m:t>
                </m:r>
              </m:sub>
            </m:sSub>
          </m:sub>
        </m:sSub>
        <m:r>
          <m:rPr>
            <m:sty m:val="p"/>
          </m:rPr>
          <w:rPr>
            <w:rFonts w:ascii="Cambria Math" w:hAnsi="Cambria Math"/>
          </w:rPr>
          <m:t>≤</m:t>
        </m:r>
        <m:r>
          <w:rPr>
            <w:rFonts w:ascii="Cambria Math" w:hAnsi="Cambria Math"/>
          </w:rPr>
          <m:t>0.036</m:t>
        </m:r>
      </m:oMath>
      <w:r>
        <w:t>. El coste computacional exhibe mayor variabilidad (</w:t>
      </w:r>
      <m:oMath>
        <m:sSub>
          <m:sSubPr>
            <m:ctrlPr>
              <w:rPr>
                <w:rFonts w:ascii="Cambria Math" w:hAnsi="Cambria Math"/>
              </w:rPr>
            </m:ctrlPr>
          </m:sSubPr>
          <m:e>
            <m:r>
              <m:rPr>
                <m:nor/>
              </m:rPr>
              <m:t>CV</m:t>
            </m:r>
          </m:e>
          <m:sub>
            <m:r>
              <w:rPr>
                <w:rFonts w:ascii="Cambria Math" w:hAnsi="Cambria Math"/>
              </w:rPr>
              <m:t>C</m:t>
            </m:r>
          </m:sub>
        </m:sSub>
        <m:r>
          <m:rPr>
            <m:sty m:val="p"/>
          </m:rPr>
          <w:rPr>
            <w:rFonts w:ascii="Cambria Math" w:hAnsi="Cambria Math"/>
          </w:rPr>
          <m:t>≤</m:t>
        </m:r>
        <m:r>
          <w:rPr>
            <w:rFonts w:ascii="Cambria Math" w:hAnsi="Cambria Math"/>
          </w:rPr>
          <m:t>0.225</m:t>
        </m:r>
      </m:oMath>
      <w:r>
        <w:t xml:space="preserve"> para SHAP con </w:t>
      </w:r>
      <w:proofErr w:type="spellStart"/>
      <w:r>
        <w:t>kernel</w:t>
      </w:r>
      <w:proofErr w:type="spellEnd"/>
      <w:r>
        <w:t xml:space="preserve">), lo que implica que los rankings de calidad son sustancialmente más reproducibles que las estimaciones de latencia. EXP1 </w:t>
      </w:r>
      <w:r>
        <w:rPr>
          <w:b/>
          <w:bCs/>
        </w:rPr>
        <w:t>no</w:t>
      </w:r>
      <w:r>
        <w:t xml:space="preserve"> contribuye a la inferencia confirmativa de EXP2 ni a las hipótesis H1-H3.</w:t>
      </w:r>
    </w:p>
    <w:p w14:paraId="110A1CB3" w14:textId="77777777" w:rsidR="00D762DD" w:rsidRDefault="00000000">
      <w:pPr>
        <w:pStyle w:val="Heading3"/>
      </w:pPr>
      <w:bookmarkStart w:id="79" w:name="X88dee61532cae681dfa2cfeee2779c5c9929176"/>
      <w:bookmarkStart w:id="80" w:name="_Toc238925734"/>
      <w:bookmarkEnd w:id="76"/>
      <w:r>
        <w:lastRenderedPageBreak/>
        <w:t xml:space="preserve">Fase de </w:t>
      </w:r>
      <w:proofErr w:type="spellStart"/>
      <w:r>
        <w:t>benchmark</w:t>
      </w:r>
      <w:proofErr w:type="spellEnd"/>
      <w:r>
        <w:t xml:space="preserve"> primario de robustez (EXP2)</w:t>
      </w:r>
      <w:bookmarkEnd w:id="80"/>
    </w:p>
    <w:p w14:paraId="4BFBBE7E" w14:textId="77777777" w:rsidR="00D762DD" w:rsidRDefault="00000000">
      <w:r>
        <w:t xml:space="preserve">La Fase EXP2 es la cohorte de evidencia confirmativa. Expande EXP1 a los cinco modelos y cuatro métodos explicadores, con cinco semillas y tres tamaños de muestra, bajo el protocolo FOM-7 descrito en la Sección 3.6. Los resultados de EXP2 son la fuente exclusiva de las afirmaciones estadísticas inferenciales del Estudio </w:t>
      </w:r>
      <w:proofErr w:type="spellStart"/>
      <w:r>
        <w:t>Omnibus</w:t>
      </w:r>
      <w:proofErr w:type="spellEnd"/>
      <w:r>
        <w:t xml:space="preserve"> </w:t>
      </w:r>
      <w:proofErr w:type="spellStart"/>
      <w:r>
        <w:t>Multimétrico</w:t>
      </w:r>
      <w:proofErr w:type="spellEnd"/>
      <w:r>
        <w:t xml:space="preserve"> y del Estudio Pareado LIME–SHAP.</w:t>
      </w:r>
    </w:p>
    <w:p w14:paraId="13C7BBD9" w14:textId="77777777" w:rsidR="00D762DD" w:rsidRDefault="00000000">
      <w:pPr>
        <w:pStyle w:val="Heading2"/>
      </w:pPr>
      <w:bookmarkStart w:id="81" w:name="Xb179eb5e9b7cbdb0e78e991d72b8aeee41d8932"/>
      <w:bookmarkStart w:id="82" w:name="_Toc238925735"/>
      <w:bookmarkEnd w:id="74"/>
      <w:bookmarkEnd w:id="79"/>
      <w:r>
        <w:t>Conjunto de datos y protocolo de preprocesamiento</w:t>
      </w:r>
      <w:bookmarkEnd w:id="82"/>
    </w:p>
    <w:p w14:paraId="707E1FAA" w14:textId="77777777" w:rsidR="00D762DD" w:rsidRDefault="00000000">
      <w:pPr>
        <w:pStyle w:val="Heading3"/>
      </w:pPr>
      <w:bookmarkStart w:id="83" w:name="descripción-del-conjunto-de-datos"/>
      <w:bookmarkStart w:id="84" w:name="_Toc238925736"/>
      <w:r>
        <w:t>Descripción del conjunto de datos</w:t>
      </w:r>
      <w:bookmarkEnd w:id="84"/>
    </w:p>
    <w:p w14:paraId="3191A090" w14:textId="77777777" w:rsidR="00D762DD" w:rsidRDefault="00000000">
      <w:r>
        <w:t xml:space="preserve">Ambos estudios utilizan el conjunto de datos UCI </w:t>
      </w:r>
      <w:proofErr w:type="spellStart"/>
      <w:r>
        <w:t>Adult</w:t>
      </w:r>
      <w:proofErr w:type="spellEnd"/>
      <w:r>
        <w:t xml:space="preserve"> </w:t>
      </w:r>
      <w:proofErr w:type="spellStart"/>
      <w:r>
        <w:t>Income</w:t>
      </w:r>
      <w:proofErr w:type="spellEnd"/>
      <w:r>
        <w:t xml:space="preserve"> (</w:t>
      </w:r>
      <w:proofErr w:type="spellStart"/>
      <w:r>
        <w:t>Breiman</w:t>
      </w:r>
      <w:proofErr w:type="spellEnd"/>
      <w:r>
        <w:t xml:space="preserve"> 2001; </w:t>
      </w:r>
      <w:proofErr w:type="spellStart"/>
      <w:r>
        <w:t>Kohavi</w:t>
      </w:r>
      <w:proofErr w:type="spellEnd"/>
      <w:r>
        <w:t xml:space="preserve"> and Becker 1996), ampliamente empleado en benchmarking de XAI por su estructura tabular heterogénea, su variable </w:t>
      </w:r>
      <w:proofErr w:type="gramStart"/>
      <w:r>
        <w:t>objetivo binaria</w:t>
      </w:r>
      <w:proofErr w:type="gramEnd"/>
      <w:r>
        <w:t xml:space="preserve"> bien definida y la disponibilidad de comparaciones publicadas que facilitan la verificación de reproducibilidad externa (Agarwal et al. 2022; Hedström et al. 2023).</w:t>
      </w:r>
    </w:p>
    <w:p w14:paraId="3AC98C0E" w14:textId="77777777" w:rsidR="00D762DD" w:rsidRDefault="00000000">
      <w:pPr>
        <w:pStyle w:val="BodyText"/>
      </w:pPr>
      <w:r>
        <w:t xml:space="preserve">El conjunto contiene 48,842 instancias, 14 características originales (6 numéricas y 8 categóricas) y una variable binaria de predicción. Las características numéricas son: edad, horas de trabajo por semana, educación en años, ganancia de capital, pérdida de capital y peso final del censo. Las categóricas incluyen: clase de trabajo, nivel de educación, estado civil, ocupación, relación familiar, raza, sexo y país de origen. La tasa de positivos (clase </w:t>
      </w:r>
      <m:oMath>
        <m:r>
          <m:rPr>
            <m:sty m:val="p"/>
          </m:rPr>
          <w:rPr>
            <w:rFonts w:ascii="Cambria Math" w:hAnsi="Cambria Math"/>
          </w:rPr>
          <m:t>&gt;</m:t>
        </m:r>
        <m:r>
          <w:rPr>
            <w:rFonts w:ascii="Cambria Math" w:hAnsi="Cambria Math"/>
          </w:rPr>
          <m:t>50</m:t>
        </m:r>
      </m:oMath>
      <w:r>
        <w:t>K USD) es del 23.9%, lo que implica un desbalance moderado controlado mediante el muestreo estratificado por cuadrante de error descrito en la Sección 3.4.</w:t>
      </w:r>
    </w:p>
    <w:p w14:paraId="610EC376" w14:textId="77777777" w:rsidR="00D762DD" w:rsidRDefault="00000000">
      <w:pPr>
        <w:pStyle w:val="Heading3"/>
      </w:pPr>
      <w:bookmarkStart w:id="85" w:name="carga-limpieza-y-partición"/>
      <w:bookmarkStart w:id="86" w:name="_Toc238925737"/>
      <w:bookmarkEnd w:id="83"/>
      <w:r>
        <w:t>Carga, limpieza y partición</w:t>
      </w:r>
      <w:bookmarkEnd w:id="86"/>
    </w:p>
    <w:p w14:paraId="0E6D5F8F" w14:textId="77777777" w:rsidR="00D762DD" w:rsidRDefault="00000000">
      <w:r>
        <w:t xml:space="preserve">El conjunto se carga mediante src/data_loading/adult.py con </w:t>
      </w:r>
      <w:proofErr w:type="spellStart"/>
      <w:r>
        <w:t>OpenML</w:t>
      </w:r>
      <w:proofErr w:type="spellEnd"/>
      <w:r>
        <w:t xml:space="preserve"> como fuente primaria y UCI como respaldo. El pipeline de limpieza aplica las siguientes transformaciones de forma determinista: (i) normalización de espacios en blanco en valores de texto, (</w:t>
      </w:r>
      <w:proofErr w:type="spellStart"/>
      <w:r>
        <w:t>ii</w:t>
      </w:r>
      <w:proofErr w:type="spellEnd"/>
      <w:r>
        <w:t xml:space="preserve">) </w:t>
      </w:r>
      <w:proofErr w:type="spellStart"/>
      <w:r>
        <w:t>canonicalización</w:t>
      </w:r>
      <w:proofErr w:type="spellEnd"/>
      <w:r>
        <w:t xml:space="preserve"> de valores faltantes ("?" </w:t>
      </w:r>
      <m:oMath>
        <m:r>
          <m:rPr>
            <m:sty m:val="p"/>
          </m:rPr>
          <w:rPr>
            <w:rFonts w:ascii="Cambria Math" w:hAnsi="Cambria Math"/>
          </w:rPr>
          <m:t>→</m:t>
        </m:r>
      </m:oMath>
      <w:r>
        <w:t xml:space="preserve"> NaN), (iii) unificación de etiquetas de objetivo ("&gt;50K." </w:t>
      </w:r>
      <m:oMath>
        <m:r>
          <m:rPr>
            <m:sty m:val="p"/>
          </m:rPr>
          <w:rPr>
            <w:rFonts w:ascii="Cambria Math" w:hAnsi="Cambria Math"/>
          </w:rPr>
          <m:t>→</m:t>
        </m:r>
      </m:oMath>
      <w:r>
        <w:t xml:space="preserve"> 1, "&lt;=50K." </w:t>
      </w:r>
      <m:oMath>
        <m:r>
          <m:rPr>
            <m:sty m:val="p"/>
          </m:rPr>
          <w:rPr>
            <w:rFonts w:ascii="Cambria Math" w:hAnsi="Cambria Math"/>
          </w:rPr>
          <m:t>→</m:t>
        </m:r>
      </m:oMath>
      <w:r>
        <w:t xml:space="preserve"> 0), (iv) eliminación de duplicados exactos, y (v) ordenamiento determinista de columnas.</w:t>
      </w:r>
    </w:p>
    <w:p w14:paraId="14F7B4B0" w14:textId="77777777" w:rsidR="00D762DD" w:rsidRDefault="00000000">
      <w:pPr>
        <w:pStyle w:val="BodyText"/>
      </w:pPr>
      <w:r>
        <w:t>La partición sigue el esquema estratificado:</w:t>
      </w:r>
    </w:p>
    <w:p w14:paraId="7DDB7F34" w14:textId="77777777" w:rsidR="00D762DD" w:rsidRPr="00A52D0E" w:rsidRDefault="00000000">
      <w:pPr>
        <w:pStyle w:val="BodyText"/>
        <w:rPr>
          <w:lang w:val="en-US"/>
        </w:rPr>
      </w:pPr>
      <w:proofErr w:type="spellStart"/>
      <m:oMathPara>
        <m:oMathParaPr>
          <m:jc m:val="center"/>
        </m:oMathParaPr>
        <m:oMath>
          <m:r>
            <m:rPr>
              <m:nor/>
            </m:rPr>
            <w:rPr>
              <w:lang w:val="en-US"/>
            </w:rPr>
            <w:lastRenderedPageBreak/>
            <m:t>train_test_split</m:t>
          </m:r>
          <w:proofErr w:type="spellEnd"/>
          <m:r>
            <w:rPr>
              <w:rFonts w:ascii="Cambria Math" w:hAnsi="Cambria Math"/>
              <w:lang w:val="en-US"/>
            </w:rPr>
            <m:t>​</m:t>
          </m:r>
          <m:d>
            <m:dPr>
              <m:ctrlPr>
                <w:rPr>
                  <w:rFonts w:ascii="Cambria Math" w:hAnsi="Cambria Math"/>
                </w:rPr>
              </m:ctrlPr>
            </m:dPr>
            <m:e>
              <m:r>
                <m:rPr>
                  <m:nor/>
                </m:rPr>
                <w:rPr>
                  <w:lang w:val="en-US"/>
                </w:rPr>
                <m:t>test_size</m:t>
              </m:r>
              <m:r>
                <m:rPr>
                  <m:sty m:val="p"/>
                </m:rPr>
                <w:rPr>
                  <w:rFonts w:ascii="Cambria Math" w:hAnsi="Cambria Math"/>
                  <w:lang w:val="en-US"/>
                </w:rPr>
                <m:t>=</m:t>
              </m:r>
              <m:r>
                <w:rPr>
                  <w:rFonts w:ascii="Cambria Math" w:hAnsi="Cambria Math"/>
                  <w:lang w:val="en-US"/>
                </w:rPr>
                <m:t>0.20</m:t>
              </m:r>
              <m:r>
                <m:rPr>
                  <m:sty m:val="p"/>
                </m:rPr>
                <w:rPr>
                  <w:rFonts w:ascii="Cambria Math" w:hAnsi="Cambria Math"/>
                  <w:lang w:val="en-US"/>
                </w:rPr>
                <m:t>,</m:t>
              </m:r>
              <m:r>
                <w:rPr>
                  <w:rFonts w:ascii="Cambria Math" w:hAnsi="Cambria Math"/>
                  <w:lang w:val="en-US"/>
                </w:rPr>
                <m:t> </m:t>
              </m:r>
              <m:r>
                <m:rPr>
                  <m:nor/>
                </m:rPr>
                <w:rPr>
                  <w:lang w:val="en-US"/>
                </w:rPr>
                <m:t>stratify</m:t>
              </m:r>
              <m:r>
                <m:rPr>
                  <m:sty m:val="p"/>
                </m:rPr>
                <w:rPr>
                  <w:rFonts w:ascii="Cambria Math" w:hAnsi="Cambria Math"/>
                  <w:lang w:val="en-US"/>
                </w:rPr>
                <m:t>=</m:t>
              </m:r>
              <m:r>
                <w:rPr>
                  <w:rFonts w:ascii="Cambria Math" w:hAnsi="Cambria Math"/>
                </w:rPr>
                <m:t>y</m:t>
              </m:r>
              <m:r>
                <m:rPr>
                  <m:sty m:val="p"/>
                </m:rPr>
                <w:rPr>
                  <w:rFonts w:ascii="Cambria Math" w:hAnsi="Cambria Math"/>
                  <w:lang w:val="en-US"/>
                </w:rPr>
                <m:t>,</m:t>
              </m:r>
              <m:r>
                <w:rPr>
                  <w:rFonts w:ascii="Cambria Math" w:hAnsi="Cambria Math"/>
                  <w:lang w:val="en-US"/>
                </w:rPr>
                <m:t> </m:t>
              </m:r>
              <m:r>
                <m:rPr>
                  <m:nor/>
                </m:rPr>
                <w:rPr>
                  <w:lang w:val="en-US"/>
                </w:rPr>
                <m:t>random_state</m:t>
              </m:r>
              <m:r>
                <m:rPr>
                  <m:sty m:val="p"/>
                </m:rPr>
                <w:rPr>
                  <w:rFonts w:ascii="Cambria Math" w:hAnsi="Cambria Math"/>
                  <w:lang w:val="en-US"/>
                </w:rPr>
                <m:t>=</m:t>
              </m:r>
              <m:r>
                <w:rPr>
                  <w:rFonts w:ascii="Cambria Math" w:hAnsi="Cambria Math"/>
                </w:rPr>
                <m:t>s</m:t>
              </m:r>
            </m:e>
          </m:d>
        </m:oMath>
      </m:oMathPara>
    </w:p>
    <w:p w14:paraId="68ABE1BA" w14:textId="77777777" w:rsidR="00D762DD" w:rsidRDefault="00000000">
      <w:r>
        <w:t xml:space="preserve">Para la semilla canónica </w:t>
      </w:r>
      <m:oMath>
        <m:r>
          <w:rPr>
            <w:rFonts w:ascii="Cambria Math" w:hAnsi="Cambria Math"/>
          </w:rPr>
          <m:t>s</m:t>
        </m:r>
        <m:r>
          <m:rPr>
            <m:sty m:val="p"/>
          </m:rPr>
          <w:rPr>
            <w:rFonts w:ascii="Cambria Math" w:hAnsi="Cambria Math"/>
          </w:rPr>
          <m:t>=</m:t>
        </m:r>
        <m:r>
          <w:rPr>
            <w:rFonts w:ascii="Cambria Math" w:hAnsi="Cambria Math"/>
          </w:rPr>
          <m:t>42</m:t>
        </m:r>
      </m:oMath>
      <w:r>
        <w:t>, la partición produce 39,032 instancias de entrenamiento y 9,758 de prueba.</w:t>
      </w:r>
    </w:p>
    <w:p w14:paraId="24FF95E2" w14:textId="77777777" w:rsidR="00D762DD" w:rsidRDefault="00000000">
      <w:pPr>
        <w:pStyle w:val="Heading3"/>
      </w:pPr>
      <w:bookmarkStart w:id="87" w:name="controles-de-fuga-de-datos"/>
      <w:bookmarkStart w:id="88" w:name="_Toc238925738"/>
      <w:bookmarkEnd w:id="85"/>
      <w:r>
        <w:t>Controles de fuga de datos</w:t>
      </w:r>
      <w:bookmarkEnd w:id="88"/>
    </w:p>
    <w:p w14:paraId="7C25B57F" w14:textId="77777777" w:rsidR="00D762DD" w:rsidRDefault="00000000">
      <w:r>
        <w:t>Los cuatro controles de fuga de datos se aplican de forma uniforme a todos los métodos explicadores:</w:t>
      </w:r>
    </w:p>
    <w:p w14:paraId="4DB0C465" w14:textId="77777777" w:rsidR="00D762DD" w:rsidRDefault="00000000">
      <w:pPr>
        <w:numPr>
          <w:ilvl w:val="0"/>
          <w:numId w:val="6"/>
        </w:numPr>
      </w:pPr>
      <w:r>
        <w:t xml:space="preserve">La partición estratificada se realiza </w:t>
      </w:r>
      <w:r>
        <w:rPr>
          <w:i/>
          <w:iCs/>
        </w:rPr>
        <w:t>antes</w:t>
      </w:r>
      <w:r>
        <w:t xml:space="preserve"> de ajustar cualquier transformación de preprocesamiento.</w:t>
      </w:r>
    </w:p>
    <w:p w14:paraId="116B28E4" w14:textId="77777777" w:rsidR="00D762DD" w:rsidRDefault="00000000">
      <w:pPr>
        <w:numPr>
          <w:ilvl w:val="0"/>
          <w:numId w:val="6"/>
        </w:numPr>
      </w:pPr>
      <w:proofErr w:type="spellStart"/>
      <w:r>
        <w:t>StandardScaler</w:t>
      </w:r>
      <w:proofErr w:type="spellEnd"/>
      <w:r>
        <w:t xml:space="preserve"> (numéricas) y </w:t>
      </w:r>
      <w:proofErr w:type="spellStart"/>
      <w:r>
        <w:t>OneHotEncoder</w:t>
      </w:r>
      <w:proofErr w:type="spellEnd"/>
      <w:r>
        <w:t xml:space="preserve"> (</w:t>
      </w:r>
      <w:proofErr w:type="spellStart"/>
      <w:r>
        <w:t>handle_unknown</w:t>
      </w:r>
      <w:proofErr w:type="spellEnd"/>
      <w:r>
        <w:t xml:space="preserve">='ignore', categóricas) se ajustan </w:t>
      </w:r>
      <w:r>
        <w:rPr>
          <w:b/>
          <w:bCs/>
        </w:rPr>
        <w:t>exclusivamente</w:t>
      </w:r>
      <w:r>
        <w:t xml:space="preserve"> sobre el conjunto de entrenamiento.</w:t>
      </w:r>
    </w:p>
    <w:p w14:paraId="570C7045" w14:textId="77777777" w:rsidR="00D762DD" w:rsidRDefault="00000000">
      <w:pPr>
        <w:numPr>
          <w:ilvl w:val="0"/>
          <w:numId w:val="6"/>
        </w:numPr>
      </w:pPr>
      <w:r>
        <w:t xml:space="preserve">El preprocesador ajustado se persiste como artefacto y es </w:t>
      </w:r>
      <w:r>
        <w:rPr>
          <w:b/>
          <w:bCs/>
        </w:rPr>
        <w:t>compartido</w:t>
      </w:r>
      <w:r>
        <w:t xml:space="preserve"> por todos los métodos XAI en cada ejecución, eliminando la variación por diferencias de escalado entre métodos.</w:t>
      </w:r>
    </w:p>
    <w:p w14:paraId="133BDECF" w14:textId="77777777" w:rsidR="00D762DD" w:rsidRDefault="00000000">
      <w:pPr>
        <w:numPr>
          <w:ilvl w:val="0"/>
          <w:numId w:val="6"/>
        </w:numPr>
      </w:pPr>
      <w:r>
        <w:t>Las explicaciones se generan sobre el espacio de características transformado que el modelo usó durante el entrenamiento.</w:t>
      </w:r>
    </w:p>
    <w:p w14:paraId="7ADF7992" w14:textId="77777777" w:rsidR="00D762DD" w:rsidRDefault="00000000">
      <w:pPr>
        <w:pStyle w:val="Heading2"/>
      </w:pPr>
      <w:bookmarkStart w:id="89" w:name="X810bf4db8899260d734480c9f59b02e6a2182a3"/>
      <w:bookmarkStart w:id="90" w:name="_Toc238925739"/>
      <w:bookmarkEnd w:id="81"/>
      <w:bookmarkEnd w:id="87"/>
      <w:r>
        <w:t xml:space="preserve">Diseño factorial del </w:t>
      </w:r>
      <w:proofErr w:type="spellStart"/>
      <w:r>
        <w:t>benchmark</w:t>
      </w:r>
      <w:proofErr w:type="spellEnd"/>
      <w:r>
        <w:t xml:space="preserve"> primario (EXP2)</w:t>
      </w:r>
      <w:bookmarkEnd w:id="90"/>
    </w:p>
    <w:p w14:paraId="6A47D617" w14:textId="77777777" w:rsidR="00D762DD" w:rsidRDefault="00000000">
      <w:r>
        <w:t xml:space="preserve">El </w:t>
      </w:r>
      <w:proofErr w:type="spellStart"/>
      <w:r>
        <w:t>benchmark</w:t>
      </w:r>
      <w:proofErr w:type="spellEnd"/>
      <w:r>
        <w:t xml:space="preserve"> primario adopta una estructura factorial cruzada de cuatro factores:</w:t>
      </w:r>
    </w:p>
    <w:p w14:paraId="60ED1A87" w14:textId="77777777" w:rsidR="00D762DD" w:rsidRDefault="00000000">
      <w:pPr>
        <w:pStyle w:val="BodyText"/>
      </w:pPr>
      <m:oMathPara>
        <m:oMathParaPr>
          <m:jc m:val="center"/>
        </m:oMathParaPr>
        <m:oMath>
          <m:r>
            <m:rPr>
              <m:scr m:val="script"/>
              <m:sty m:val="p"/>
            </m:rPr>
            <w:rPr>
              <w:rFonts w:ascii="Cambria Math" w:hAnsi="Cambria Math"/>
            </w:rPr>
            <m:t>D=</m:t>
          </m:r>
          <m:r>
            <w:rPr>
              <w:rFonts w:ascii="Cambria Math" w:hAnsi="Cambria Math"/>
            </w:rPr>
            <m:t>g</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n</m:t>
          </m:r>
        </m:oMath>
      </m:oMathPara>
    </w:p>
    <w:p w14:paraId="031F95A6" w14:textId="77777777" w:rsidR="00D762DD" w:rsidRDefault="00000000">
      <w:r>
        <w:t>donde:</w:t>
      </w:r>
    </w:p>
    <w:p w14:paraId="6DBCA44B" w14:textId="77777777" w:rsidR="00D762DD" w:rsidRDefault="00000000">
      <w:pPr>
        <w:numPr>
          <w:ilvl w:val="0"/>
          <w:numId w:val="7"/>
        </w:numPr>
      </w:pPr>
      <m:oMath>
        <m:r>
          <w:rPr>
            <w:rFonts w:ascii="Cambria Math" w:hAnsi="Cambria Math"/>
          </w:rPr>
          <m:t>g</m:t>
        </m:r>
        <m:r>
          <m:rPr>
            <m:sty m:val="p"/>
          </m:rPr>
          <w:rPr>
            <w:rFonts w:ascii="Cambria Math" w:hAnsi="Cambria Math"/>
          </w:rPr>
          <m:t>∈{</m:t>
        </m:r>
        <m:r>
          <m:rPr>
            <m:nor/>
          </m:rPr>
          <m:t>logreg</m:t>
        </m:r>
        <m:r>
          <m:rPr>
            <m:sty m:val="p"/>
          </m:rPr>
          <w:rPr>
            <w:rFonts w:ascii="Cambria Math" w:hAnsi="Cambria Math"/>
          </w:rPr>
          <m:t>,</m:t>
        </m:r>
        <m:r>
          <w:rPr>
            <w:rFonts w:ascii="Cambria Math" w:hAnsi="Cambria Math"/>
          </w:rPr>
          <m:t> </m:t>
        </m:r>
        <m:r>
          <m:rPr>
            <m:nor/>
          </m:rPr>
          <m:t>rf</m:t>
        </m:r>
        <m:r>
          <m:rPr>
            <m:sty m:val="p"/>
          </m:rPr>
          <w:rPr>
            <w:rFonts w:ascii="Cambria Math" w:hAnsi="Cambria Math"/>
          </w:rPr>
          <m:t>,</m:t>
        </m:r>
        <m:r>
          <w:rPr>
            <w:rFonts w:ascii="Cambria Math" w:hAnsi="Cambria Math"/>
          </w:rPr>
          <m:t> </m:t>
        </m:r>
        <m:r>
          <m:rPr>
            <m:nor/>
          </m:rPr>
          <m:t>xgb</m:t>
        </m:r>
        <m:r>
          <m:rPr>
            <m:sty m:val="p"/>
          </m:rPr>
          <w:rPr>
            <w:rFonts w:ascii="Cambria Math" w:hAnsi="Cambria Math"/>
          </w:rPr>
          <m:t>,</m:t>
        </m:r>
        <m:r>
          <w:rPr>
            <w:rFonts w:ascii="Cambria Math" w:hAnsi="Cambria Math"/>
          </w:rPr>
          <m:t> </m:t>
        </m:r>
        <m:r>
          <m:rPr>
            <m:nor/>
          </m:rPr>
          <m:t>svm</m:t>
        </m:r>
        <m:r>
          <m:rPr>
            <m:sty m:val="p"/>
          </m:rPr>
          <w:rPr>
            <w:rFonts w:ascii="Cambria Math" w:hAnsi="Cambria Math"/>
          </w:rPr>
          <m:t>,</m:t>
        </m:r>
        <m:r>
          <w:rPr>
            <w:rFonts w:ascii="Cambria Math" w:hAnsi="Cambria Math"/>
          </w:rPr>
          <m:t> </m:t>
        </m:r>
        <m:r>
          <m:rPr>
            <m:nor/>
          </m:rPr>
          <m:t>mlp</m:t>
        </m:r>
        <m:r>
          <m:rPr>
            <m:sty m:val="p"/>
          </m:rPr>
          <w:rPr>
            <w:rFonts w:ascii="Cambria Math" w:hAnsi="Cambria Math"/>
          </w:rPr>
          <m:t>}</m:t>
        </m:r>
      </m:oMath>
      <w:r>
        <w:t xml:space="preserve"> — familia de modelo predictivo (5 niveles),</w:t>
      </w:r>
    </w:p>
    <w:p w14:paraId="78F7CAC7" w14:textId="77777777" w:rsidR="00D762DD" w:rsidRDefault="00000000">
      <w:pPr>
        <w:numPr>
          <w:ilvl w:val="0"/>
          <w:numId w:val="7"/>
        </w:numPr>
      </w:pPr>
      <m:oMath>
        <m:r>
          <w:rPr>
            <w:rFonts w:ascii="Cambria Math" w:hAnsi="Cambria Math"/>
          </w:rPr>
          <m:t>k</m:t>
        </m:r>
        <m:r>
          <m:rPr>
            <m:sty m:val="p"/>
          </m:rPr>
          <w:rPr>
            <w:rFonts w:ascii="Cambria Math" w:hAnsi="Cambria Math"/>
          </w:rPr>
          <m:t>∈{</m:t>
        </m:r>
        <m:r>
          <m:rPr>
            <m:nor/>
          </m:rPr>
          <m:t>shap</m:t>
        </m:r>
        <m:r>
          <m:rPr>
            <m:sty m:val="p"/>
          </m:rPr>
          <w:rPr>
            <w:rFonts w:ascii="Cambria Math" w:hAnsi="Cambria Math"/>
          </w:rPr>
          <m:t>,</m:t>
        </m:r>
        <m:r>
          <w:rPr>
            <w:rFonts w:ascii="Cambria Math" w:hAnsi="Cambria Math"/>
          </w:rPr>
          <m:t> </m:t>
        </m:r>
        <m:r>
          <m:rPr>
            <m:nor/>
          </m:rPr>
          <m:t>lime</m:t>
        </m:r>
        <m:r>
          <m:rPr>
            <m:sty m:val="p"/>
          </m:rPr>
          <w:rPr>
            <w:rFonts w:ascii="Cambria Math" w:hAnsi="Cambria Math"/>
          </w:rPr>
          <m:t>,</m:t>
        </m:r>
        <m:r>
          <w:rPr>
            <w:rFonts w:ascii="Cambria Math" w:hAnsi="Cambria Math"/>
          </w:rPr>
          <m:t> </m:t>
        </m:r>
        <m:r>
          <m:rPr>
            <m:nor/>
          </m:rPr>
          <m:t>anchors</m:t>
        </m:r>
        <m:r>
          <m:rPr>
            <m:sty m:val="p"/>
          </m:rPr>
          <w:rPr>
            <w:rFonts w:ascii="Cambria Math" w:hAnsi="Cambria Math"/>
          </w:rPr>
          <m:t>,</m:t>
        </m:r>
        <m:r>
          <w:rPr>
            <w:rFonts w:ascii="Cambria Math" w:hAnsi="Cambria Math"/>
          </w:rPr>
          <m:t> </m:t>
        </m:r>
        <m:r>
          <m:rPr>
            <m:nor/>
          </m:rPr>
          <m:t>dice</m:t>
        </m:r>
        <m:r>
          <m:rPr>
            <m:sty m:val="p"/>
          </m:rPr>
          <w:rPr>
            <w:rFonts w:ascii="Cambria Math" w:hAnsi="Cambria Math"/>
          </w:rPr>
          <m:t>}</m:t>
        </m:r>
      </m:oMath>
      <w:r>
        <w:t xml:space="preserve"> — método de </w:t>
      </w:r>
      <w:proofErr w:type="spellStart"/>
      <w:r>
        <w:t>explicabilidad</w:t>
      </w:r>
      <w:proofErr w:type="spellEnd"/>
      <w:r>
        <w:t xml:space="preserve"> (4 niveles),</w:t>
      </w:r>
    </w:p>
    <w:p w14:paraId="552B3D09" w14:textId="77777777" w:rsidR="00D762DD" w:rsidRDefault="00000000">
      <w:pPr>
        <w:numPr>
          <w:ilvl w:val="0"/>
          <w:numId w:val="7"/>
        </w:numPr>
      </w:pPr>
      <m:oMath>
        <m:r>
          <w:rPr>
            <w:rFonts w:ascii="Cambria Math" w:hAnsi="Cambria Math"/>
          </w:rPr>
          <m:t>s</m:t>
        </m:r>
        <m:r>
          <m:rPr>
            <m:sty m:val="p"/>
          </m:rPr>
          <w:rPr>
            <w:rFonts w:ascii="Cambria Math" w:hAnsi="Cambria Math"/>
          </w:rPr>
          <m:t>∈{</m:t>
        </m:r>
        <m:r>
          <w:rPr>
            <w:rFonts w:ascii="Cambria Math" w:hAnsi="Cambria Math"/>
          </w:rPr>
          <m:t>42</m:t>
        </m:r>
        <m:r>
          <m:rPr>
            <m:sty m:val="p"/>
          </m:rPr>
          <w:rPr>
            <w:rFonts w:ascii="Cambria Math" w:hAnsi="Cambria Math"/>
          </w:rPr>
          <m:t>,</m:t>
        </m:r>
        <m:r>
          <w:rPr>
            <w:rFonts w:ascii="Cambria Math" w:hAnsi="Cambria Math"/>
          </w:rPr>
          <m:t> 123</m:t>
        </m:r>
        <m:r>
          <m:rPr>
            <m:sty m:val="p"/>
          </m:rPr>
          <w:rPr>
            <w:rFonts w:ascii="Cambria Math" w:hAnsi="Cambria Math"/>
          </w:rPr>
          <m:t>,</m:t>
        </m:r>
        <m:r>
          <w:rPr>
            <w:rFonts w:ascii="Cambria Math" w:hAnsi="Cambria Math"/>
          </w:rPr>
          <m:t> 456</m:t>
        </m:r>
        <m:r>
          <m:rPr>
            <m:sty m:val="p"/>
          </m:rPr>
          <w:rPr>
            <w:rFonts w:ascii="Cambria Math" w:hAnsi="Cambria Math"/>
          </w:rPr>
          <m:t>,</m:t>
        </m:r>
        <m:r>
          <w:rPr>
            <w:rFonts w:ascii="Cambria Math" w:hAnsi="Cambria Math"/>
          </w:rPr>
          <m:t> 789</m:t>
        </m:r>
        <m:r>
          <m:rPr>
            <m:sty m:val="p"/>
          </m:rPr>
          <w:rPr>
            <w:rFonts w:ascii="Cambria Math" w:hAnsi="Cambria Math"/>
          </w:rPr>
          <m:t>,</m:t>
        </m:r>
        <m:r>
          <w:rPr>
            <w:rFonts w:ascii="Cambria Math" w:hAnsi="Cambria Math"/>
          </w:rPr>
          <m:t> 999</m:t>
        </m:r>
        <m:r>
          <m:rPr>
            <m:sty m:val="p"/>
          </m:rPr>
          <w:rPr>
            <w:rFonts w:ascii="Cambria Math" w:hAnsi="Cambria Math"/>
          </w:rPr>
          <m:t>}</m:t>
        </m:r>
      </m:oMath>
      <w:r>
        <w:t xml:space="preserve"> — semilla de aleatoriedad (5 niveles),</w:t>
      </w:r>
    </w:p>
    <w:p w14:paraId="76D16F23" w14:textId="77777777" w:rsidR="00D762DD" w:rsidRDefault="00000000">
      <w:pPr>
        <w:numPr>
          <w:ilvl w:val="0"/>
          <w:numId w:val="7"/>
        </w:numPr>
      </w:pPr>
      <m:oMath>
        <m:r>
          <w:rPr>
            <w:rFonts w:ascii="Cambria Math" w:hAnsi="Cambria Math"/>
          </w:rPr>
          <m:t>n</m:t>
        </m:r>
        <m:r>
          <m:rPr>
            <m:sty m:val="p"/>
          </m:rPr>
          <w:rPr>
            <w:rFonts w:ascii="Cambria Math" w:hAnsi="Cambria Math"/>
          </w:rPr>
          <m:t>∈{</m:t>
        </m:r>
        <m:r>
          <w:rPr>
            <w:rFonts w:ascii="Cambria Math" w:hAnsi="Cambria Math"/>
          </w:rPr>
          <m:t>50</m:t>
        </m:r>
        <m:r>
          <m:rPr>
            <m:sty m:val="p"/>
          </m:rPr>
          <w:rPr>
            <w:rFonts w:ascii="Cambria Math" w:hAnsi="Cambria Math"/>
          </w:rPr>
          <m:t>,</m:t>
        </m:r>
        <m:r>
          <w:rPr>
            <w:rFonts w:ascii="Cambria Math" w:hAnsi="Cambria Math"/>
          </w:rPr>
          <m:t> 100</m:t>
        </m:r>
        <m:r>
          <m:rPr>
            <m:sty m:val="p"/>
          </m:rPr>
          <w:rPr>
            <w:rFonts w:ascii="Cambria Math" w:hAnsi="Cambria Math"/>
          </w:rPr>
          <m:t>,</m:t>
        </m:r>
        <m:r>
          <w:rPr>
            <w:rFonts w:ascii="Cambria Math" w:hAnsi="Cambria Math"/>
          </w:rPr>
          <m:t> 200</m:t>
        </m:r>
        <m:r>
          <m:rPr>
            <m:sty m:val="p"/>
          </m:rPr>
          <w:rPr>
            <w:rFonts w:ascii="Cambria Math" w:hAnsi="Cambria Math"/>
          </w:rPr>
          <m:t>}</m:t>
        </m:r>
      </m:oMath>
      <w:r>
        <w:t xml:space="preserve"> — instancias por cuadrante de error (3 niveles).</w:t>
      </w:r>
    </w:p>
    <w:p w14:paraId="5BA18EFE" w14:textId="77777777" w:rsidR="00D762DD" w:rsidRDefault="00000000">
      <w:r>
        <w:t>El tamaño del diseño planificado es:</w:t>
      </w:r>
    </w:p>
    <w:p w14:paraId="5FF79B16" w14:textId="77777777" w:rsidR="00D762DD" w:rsidRDefault="00000000">
      <w:pPr>
        <w:pStyle w:val="BodyText"/>
      </w:pPr>
      <m:oMathPara>
        <m:oMathParaPr>
          <m:jc m:val="center"/>
        </m:oMathParaPr>
        <m:oMath>
          <m:r>
            <m:rPr>
              <m:scr m:val="script"/>
              <m:sty m:val="p"/>
            </m:rPr>
            <w:rPr>
              <w:rFonts w:ascii="Cambria Math" w:hAnsi="Cambria Math"/>
            </w:rPr>
            <w:lastRenderedPageBreak/>
            <m:t>|D|=</m:t>
          </m:r>
          <m:r>
            <w:rPr>
              <w:rFonts w:ascii="Cambria Math" w:hAnsi="Cambria Math"/>
            </w:rPr>
            <m:t>5</m:t>
          </m:r>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300</m:t>
          </m:r>
          <m:r>
            <m:rPr>
              <m:nor/>
            </m:rPr>
            <m:t xml:space="preserve"> ejecuciones</m:t>
          </m:r>
        </m:oMath>
      </m:oMathPara>
    </w:p>
    <w:p w14:paraId="39057BA7" w14:textId="77777777" w:rsidR="00D762DD" w:rsidRDefault="00000000">
      <w:r>
        <w:t xml:space="preserve">Cada celda </w:t>
      </w:r>
      <m:oMath>
        <m:r>
          <m:rPr>
            <m:sty m:val="p"/>
          </m:rPr>
          <w:rPr>
            <w:rFonts w:ascii="Cambria Math" w:hAnsi="Cambria Math"/>
          </w:rPr>
          <m:t>(</m:t>
        </m:r>
        <m:r>
          <w:rPr>
            <w:rFonts w:ascii="Cambria Math" w:hAnsi="Cambria Math"/>
          </w:rPr>
          <m:t>g</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n</m:t>
        </m:r>
        <m:r>
          <m:rPr>
            <m:sty m:val="p"/>
          </m:rPr>
          <w:rPr>
            <w:rFonts w:ascii="Cambria Math" w:hAnsi="Cambria Math"/>
          </w:rPr>
          <m:t>)</m:t>
        </m:r>
      </m:oMath>
      <w:r>
        <w:t xml:space="preserve"> produce un artefacto de resultado independiente. La variación en </w:t>
      </w:r>
      <m:oMath>
        <m:r>
          <w:rPr>
            <w:rFonts w:ascii="Cambria Math" w:hAnsi="Cambria Math"/>
          </w:rPr>
          <m:t>s</m:t>
        </m:r>
      </m:oMath>
      <w:r>
        <w:t xml:space="preserve"> sirve para estimar la reproducibilidad del protocolo. La variación en </w:t>
      </w:r>
      <m:oMath>
        <m:r>
          <w:rPr>
            <w:rFonts w:ascii="Cambria Math" w:hAnsi="Cambria Math"/>
          </w:rPr>
          <m:t>n</m:t>
        </m:r>
      </m:oMath>
      <w:r>
        <w:t xml:space="preserve"> permite examinar la estabilidad de los rankings bajo distintos volúmenes de evidencia local.</w:t>
      </w:r>
    </w:p>
    <w:p w14:paraId="22657549" w14:textId="77777777" w:rsidR="00D762DD" w:rsidRDefault="00000000">
      <w:pPr>
        <w:pStyle w:val="Heading3"/>
      </w:pPr>
      <w:bookmarkStart w:id="91" w:name="X7f3be01e797123bdbedac923d646584591998bc"/>
      <w:bookmarkStart w:id="92" w:name="_Toc238925740"/>
      <w:r>
        <w:t>Jerarquía de análisis y unidad inferencial</w:t>
      </w:r>
      <w:bookmarkEnd w:id="92"/>
    </w:p>
    <w:p w14:paraId="29512D2A" w14:textId="77777777" w:rsidR="00D762DD" w:rsidRDefault="00000000">
      <w:r>
        <w:t xml:space="preserve">Para evitar la </w:t>
      </w:r>
      <w:proofErr w:type="spellStart"/>
      <w:r>
        <w:t>pseudo-replicación</w:t>
      </w:r>
      <w:proofErr w:type="spellEnd"/>
      <w:r>
        <w:t>, el análisis adopta una estructura jerárquica de tres niveles:</w:t>
      </w:r>
    </w:p>
    <w:p w14:paraId="2A3E6E37" w14:textId="77777777" w:rsidR="00D762DD" w:rsidRDefault="00000000">
      <w:pPr>
        <w:numPr>
          <w:ilvl w:val="0"/>
          <w:numId w:val="8"/>
        </w:numPr>
      </w:pPr>
      <w:r>
        <w:rPr>
          <w:b/>
          <w:bCs/>
        </w:rPr>
        <w:t>Nivel de instancia:</w:t>
      </w:r>
      <w:r>
        <w:t xml:space="preserve"> métricas computadas por instancia dentro de cada ejecución.</w:t>
      </w:r>
    </w:p>
    <w:p w14:paraId="3816F22C" w14:textId="77777777" w:rsidR="00D762DD" w:rsidRDefault="00000000">
      <w:pPr>
        <w:numPr>
          <w:ilvl w:val="0"/>
          <w:numId w:val="8"/>
        </w:numPr>
      </w:pPr>
      <w:r>
        <w:rPr>
          <w:b/>
          <w:bCs/>
        </w:rPr>
        <w:t>Nivel de ejecución:</w:t>
      </w:r>
      <w:r>
        <w:t xml:space="preserve"> media métrica por instancia, estimador del rendimiento del método </w:t>
      </w:r>
      <m:oMath>
        <m:r>
          <w:rPr>
            <w:rFonts w:ascii="Cambria Math" w:hAnsi="Cambria Math"/>
          </w:rPr>
          <m:t>k</m:t>
        </m:r>
      </m:oMath>
      <w:r>
        <w:t xml:space="preserve"> sobre el modelo </w:t>
      </w:r>
      <m:oMath>
        <m:r>
          <w:rPr>
            <w:rFonts w:ascii="Cambria Math" w:hAnsi="Cambria Math"/>
          </w:rPr>
          <m:t>g</m:t>
        </m:r>
      </m:oMath>
      <w:r>
        <w:t xml:space="preserve"> bajo semilla </w:t>
      </w:r>
      <m:oMath>
        <m:r>
          <w:rPr>
            <w:rFonts w:ascii="Cambria Math" w:hAnsi="Cambria Math"/>
          </w:rPr>
          <m:t>s</m:t>
        </m:r>
      </m:oMath>
      <w:r>
        <w:t xml:space="preserve"> y tamaño </w:t>
      </w:r>
      <m:oMath>
        <m:r>
          <w:rPr>
            <w:rFonts w:ascii="Cambria Math" w:hAnsi="Cambria Math"/>
          </w:rPr>
          <m:t>n</m:t>
        </m:r>
      </m:oMath>
      <w:r>
        <w:t xml:space="preserve">. Estimando declarado: </w:t>
      </w:r>
      <m:oMath>
        <m:sSub>
          <m:sSubPr>
            <m:ctrlPr>
              <w:rPr>
                <w:rFonts w:ascii="Cambria Math" w:hAnsi="Cambria Math"/>
              </w:rPr>
            </m:ctrlPr>
          </m:sSubPr>
          <m:e>
            <m:r>
              <w:rPr>
                <w:rFonts w:ascii="Cambria Math" w:hAnsi="Cambria Math"/>
              </w:rPr>
              <m:t>y</m:t>
            </m:r>
          </m:e>
          <m:sub>
            <m:r>
              <w:rPr>
                <w:rFonts w:ascii="Cambria Math" w:hAnsi="Cambria Math"/>
              </w:rPr>
              <m:t>g</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m</m:t>
            </m:r>
          </m:sub>
        </m:sSub>
      </m:oMath>
      <w:r>
        <w:t>.</w:t>
      </w:r>
    </w:p>
    <w:p w14:paraId="635552AE" w14:textId="77777777" w:rsidR="00D762DD" w:rsidRDefault="00000000">
      <w:pPr>
        <w:numPr>
          <w:ilvl w:val="0"/>
          <w:numId w:val="8"/>
        </w:numPr>
      </w:pPr>
      <w:r>
        <w:rPr>
          <w:b/>
          <w:bCs/>
        </w:rPr>
        <w:t>Nivel de bloque:</w:t>
      </w:r>
      <w:r>
        <w:t xml:space="preserve"> para los </w:t>
      </w:r>
      <w:proofErr w:type="spellStart"/>
      <w:r>
        <w:t>tests</w:t>
      </w:r>
      <w:proofErr w:type="spellEnd"/>
      <w:r>
        <w:t xml:space="preserve"> de Friedman, el bloque se define como </w:t>
      </w:r>
      <m:oMath>
        <m:r>
          <w:rPr>
            <w:rFonts w:ascii="Cambria Math" w:hAnsi="Cambria Math"/>
          </w:rPr>
          <m:t>b</m:t>
        </m:r>
        <m:r>
          <m:rPr>
            <m:sty m:val="p"/>
          </m:rPr>
          <w:rPr>
            <w:rFonts w:ascii="Cambria Math" w:hAnsi="Cambria Math"/>
          </w:rPr>
          <m:t>=(</m:t>
        </m:r>
        <m:r>
          <w:rPr>
            <w:rFonts w:ascii="Cambria Math" w:hAnsi="Cambria Math"/>
          </w:rPr>
          <m:t>g</m:t>
        </m:r>
        <m:r>
          <m:rPr>
            <m:sty m:val="p"/>
          </m:rPr>
          <w:rPr>
            <w:rFonts w:ascii="Cambria Math" w:hAnsi="Cambria Math"/>
          </w:rPr>
          <m:t>,</m:t>
        </m:r>
        <m:r>
          <w:rPr>
            <w:rFonts w:ascii="Cambria Math" w:hAnsi="Cambria Math"/>
          </w:rPr>
          <m:t>n</m:t>
        </m:r>
        <m:r>
          <m:rPr>
            <m:sty m:val="p"/>
          </m:rPr>
          <w:rPr>
            <w:rFonts w:ascii="Cambria Math" w:hAnsi="Cambria Math"/>
          </w:rPr>
          <m:t>)</m:t>
        </m:r>
      </m:oMath>
      <w:r>
        <w:t xml:space="preserve">, con la ejecución como unidad de observación dentro del bloque. Este diseño produce </w:t>
      </w:r>
      <m:oMath>
        <m:r>
          <w:rPr>
            <w:rFonts w:ascii="Cambria Math" w:hAnsi="Cambria Math"/>
          </w:rPr>
          <m:t>5</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15</m:t>
        </m:r>
      </m:oMath>
      <w:r>
        <w:t xml:space="preserve"> bloques completos.</w:t>
      </w:r>
    </w:p>
    <w:p w14:paraId="5B51CF1A" w14:textId="77777777" w:rsidR="00D762DD" w:rsidRDefault="00000000">
      <w:r>
        <w:t xml:space="preserve">La unidad inferencial primaria del Estudio Pareado LIME–SHAP es la </w:t>
      </w:r>
      <w:r>
        <w:rPr>
          <w:b/>
          <w:bCs/>
        </w:rPr>
        <w:t>celda pareada</w:t>
      </w:r>
      <w:r>
        <w:t xml:space="preserve"> </w:t>
      </w:r>
      <m:oMath>
        <m:r>
          <m:rPr>
            <m:sty m:val="p"/>
          </m:rPr>
          <w:rPr>
            <w:rFonts w:ascii="Cambria Math" w:hAnsi="Cambria Math"/>
          </w:rPr>
          <m:t>(</m:t>
        </m:r>
        <m:r>
          <w:rPr>
            <w:rFonts w:ascii="Cambria Math" w:hAnsi="Cambria Math"/>
          </w:rPr>
          <m:t>g</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n</m:t>
        </m:r>
        <m:r>
          <m:rPr>
            <m:sty m:val="p"/>
          </m:rPr>
          <w:rPr>
            <w:rFonts w:ascii="Cambria Math" w:hAnsi="Cambria Math"/>
          </w:rPr>
          <m:t>)</m:t>
        </m:r>
      </m:oMath>
      <w:r>
        <w:t>: las 75 tuplas para las que existen artefactos calificados de SHAP y LIME con coordenadas idénticas.</w:t>
      </w:r>
    </w:p>
    <w:p w14:paraId="6C82F5E1" w14:textId="77777777" w:rsidR="00D762DD" w:rsidRDefault="00000000">
      <w:pPr>
        <w:pStyle w:val="Heading2"/>
      </w:pPr>
      <w:bookmarkStart w:id="93" w:name="Xa1b63f5b80ef9314faeb5aae6b8d7e743e4217a"/>
      <w:bookmarkStart w:id="94" w:name="_Toc238925741"/>
      <w:bookmarkEnd w:id="89"/>
      <w:bookmarkEnd w:id="91"/>
      <w:r>
        <w:t>Protocolo de muestreo de instancias y configuración de explicadores</w:t>
      </w:r>
      <w:bookmarkEnd w:id="94"/>
    </w:p>
    <w:p w14:paraId="771FA5FB" w14:textId="77777777" w:rsidR="00D762DD" w:rsidRDefault="00000000">
      <w:pPr>
        <w:pStyle w:val="Heading3"/>
      </w:pPr>
      <w:bookmarkStart w:id="95" w:name="X22a27531824c8c7d79a9c6abca6e13f987fd35c"/>
      <w:bookmarkStart w:id="96" w:name="_Toc238925742"/>
      <w:r>
        <w:t>Muestreo estratificado por cuadrante de error</w:t>
      </w:r>
      <w:bookmarkEnd w:id="96"/>
    </w:p>
    <w:p w14:paraId="142F8818" w14:textId="77777777" w:rsidR="00D762DD" w:rsidRDefault="00000000">
      <w:r>
        <w:t xml:space="preserve">Las instancias para cada ejecución se seleccionan mediante muestreo estratificado por cuadrante de error de predicción: Verdaderos Positivos (VP), Verdaderos Negativos (VN), Falsos Positivos (FP) y Falsos Negativos (FN), con objetivo de </w:t>
      </w:r>
      <m:oMath>
        <m:r>
          <w:rPr>
            <w:rFonts w:ascii="Cambria Math" w:hAnsi="Cambria Math"/>
          </w:rPr>
          <m:t>n</m:t>
        </m:r>
      </m:oMath>
      <w:r>
        <w:t xml:space="preserve"> instancias por cuadrante:</w:t>
      </w:r>
    </w:p>
    <w:p w14:paraId="7E84C892" w14:textId="77777777" w:rsidR="00D762DD" w:rsidRPr="00A52D0E" w:rsidRDefault="00000000">
      <w:pPr>
        <w:pStyle w:val="BodyText"/>
        <w:rPr>
          <w:lang w:val="en-US"/>
        </w:rPr>
      </w:pPr>
      <m:oMathPara>
        <m:oMathParaPr>
          <m:jc m:val="center"/>
        </m:oMathParaPr>
        <m:oMath>
          <m:sSub>
            <m:sSubPr>
              <m:ctrlPr>
                <w:rPr>
                  <w:rFonts w:ascii="Cambria Math" w:hAnsi="Cambria Math"/>
                </w:rPr>
              </m:ctrlPr>
            </m:sSubPr>
            <m:e>
              <m:r>
                <m:rPr>
                  <m:scr m:val="script"/>
                  <m:sty m:val="p"/>
                </m:rPr>
                <w:rPr>
                  <w:rFonts w:ascii="Cambria Math" w:hAnsi="Cambria Math"/>
                  <w:lang w:val="en-US"/>
                </w:rPr>
                <m:t>I</m:t>
              </m:r>
            </m:e>
            <m:sub>
              <m:r>
                <w:rPr>
                  <w:rFonts w:ascii="Cambria Math" w:hAnsi="Cambria Math"/>
                </w:rPr>
                <m:t>g</m:t>
              </m:r>
              <m:r>
                <m:rPr>
                  <m:sty m:val="p"/>
                </m:rPr>
                <w:rPr>
                  <w:rFonts w:ascii="Cambria Math" w:hAnsi="Cambria Math"/>
                  <w:lang w:val="en-US"/>
                </w:rPr>
                <m:t>,</m:t>
              </m:r>
              <m:r>
                <w:rPr>
                  <w:rFonts w:ascii="Cambria Math" w:hAnsi="Cambria Math"/>
                </w:rPr>
                <m:t>s</m:t>
              </m:r>
              <m:r>
                <m:rPr>
                  <m:sty m:val="p"/>
                </m:rPr>
                <w:rPr>
                  <w:rFonts w:ascii="Cambria Math" w:hAnsi="Cambria Math"/>
                  <w:lang w:val="en-US"/>
                </w:rPr>
                <m:t>,</m:t>
              </m:r>
              <m:r>
                <w:rPr>
                  <w:rFonts w:ascii="Cambria Math" w:hAnsi="Cambria Math"/>
                </w:rPr>
                <m:t>n</m:t>
              </m:r>
            </m:sub>
          </m:sSub>
          <m:r>
            <m:rPr>
              <m:sty m:val="p"/>
            </m:rPr>
            <w:rPr>
              <w:rFonts w:ascii="Cambria Math" w:hAnsi="Cambria Math"/>
              <w:lang w:val="en-US"/>
            </w:rPr>
            <m:t>=</m:t>
          </m:r>
          <m:r>
            <m:rPr>
              <m:nor/>
            </m:rPr>
            <w:rPr>
              <w:lang w:val="en-US"/>
            </w:rPr>
            <m:t>StratSample</m:t>
          </m:r>
          <m:r>
            <w:rPr>
              <w:rFonts w:ascii="Cambria Math" w:hAnsi="Cambria Math"/>
              <w:lang w:val="en-US"/>
            </w:rPr>
            <m:t>​</m:t>
          </m:r>
          <m:d>
            <m:dPr>
              <m:ctrlPr>
                <w:rPr>
                  <w:rFonts w:ascii="Cambria Math" w:hAnsi="Cambria Math"/>
                </w:rPr>
              </m:ctrlPr>
            </m:dPr>
            <m:e>
              <m:sSub>
                <m:sSubPr>
                  <m:ctrlPr>
                    <w:rPr>
                      <w:rFonts w:ascii="Cambria Math" w:hAnsi="Cambria Math"/>
                    </w:rPr>
                  </m:ctrlPr>
                </m:sSubPr>
                <m:e>
                  <m:r>
                    <m:rPr>
                      <m:scr m:val="script"/>
                      <m:sty m:val="p"/>
                    </m:rPr>
                    <w:rPr>
                      <w:rFonts w:ascii="Cambria Math" w:hAnsi="Cambria Math"/>
                      <w:lang w:val="en-US"/>
                    </w:rPr>
                    <m:t>I</m:t>
                  </m:r>
                </m:e>
                <m:sub>
                  <m:r>
                    <m:rPr>
                      <m:nor/>
                    </m:rPr>
                    <w:rPr>
                      <w:lang w:val="en-US"/>
                    </w:rPr>
                    <m:t>test</m:t>
                  </m:r>
                </m:sub>
              </m:sSub>
              <m:r>
                <m:rPr>
                  <m:sty m:val="p"/>
                </m:rPr>
                <w:rPr>
                  <w:rFonts w:ascii="Cambria Math" w:hAnsi="Cambria Math"/>
                  <w:lang w:val="en-US"/>
                </w:rPr>
                <m:t>,</m:t>
              </m:r>
              <m:r>
                <w:rPr>
                  <w:rFonts w:ascii="Cambria Math" w:hAnsi="Cambria Math"/>
                  <w:lang w:val="en-US"/>
                </w:rPr>
                <m:t> </m:t>
              </m:r>
              <m:r>
                <m:rPr>
                  <m:nor/>
                </m:rPr>
                <w:rPr>
                  <w:lang w:val="en-US"/>
                </w:rPr>
                <m:t>strata</m:t>
              </m:r>
              <m:r>
                <m:rPr>
                  <m:sty m:val="p"/>
                </m:rPr>
                <w:rPr>
                  <w:rFonts w:ascii="Cambria Math" w:hAnsi="Cambria Math"/>
                  <w:lang w:val="en-US"/>
                </w:rPr>
                <m:t>={</m:t>
              </m:r>
              <m:r>
                <m:rPr>
                  <m:nor/>
                </m:rPr>
                <w:rPr>
                  <w:lang w:val="en-US"/>
                </w:rPr>
                <m:t>VP, VN, FP, FN</m:t>
              </m:r>
              <m:r>
                <m:rPr>
                  <m:sty m:val="p"/>
                </m:rPr>
                <w:rPr>
                  <w:rFonts w:ascii="Cambria Math" w:hAnsi="Cambria Math"/>
                  <w:lang w:val="en-US"/>
                </w:rPr>
                <m:t>},</m:t>
              </m:r>
              <m:r>
                <w:rPr>
                  <w:rFonts w:ascii="Cambria Math" w:hAnsi="Cambria Math"/>
                  <w:lang w:val="en-US"/>
                </w:rPr>
                <m:t> </m:t>
              </m:r>
              <m:sSub>
                <m:sSubPr>
                  <m:ctrlPr>
                    <w:rPr>
                      <w:rFonts w:ascii="Cambria Math" w:hAnsi="Cambria Math"/>
                    </w:rPr>
                  </m:ctrlPr>
                </m:sSubPr>
                <m:e>
                  <m:r>
                    <w:rPr>
                      <w:rFonts w:ascii="Cambria Math" w:hAnsi="Cambria Math"/>
                    </w:rPr>
                    <m:t>n</m:t>
                  </m:r>
                </m:e>
                <m:sub>
                  <m:r>
                    <m:rPr>
                      <m:nor/>
                    </m:rPr>
                    <w:rPr>
                      <w:lang w:val="en-US"/>
                    </w:rPr>
                    <m:t>per_strata</m:t>
                  </m:r>
                </m:sub>
              </m:sSub>
              <m:r>
                <m:rPr>
                  <m:sty m:val="p"/>
                </m:rPr>
                <w:rPr>
                  <w:rFonts w:ascii="Cambria Math" w:hAnsi="Cambria Math"/>
                  <w:lang w:val="en-US"/>
                </w:rPr>
                <m:t>=</m:t>
              </m:r>
              <m:r>
                <w:rPr>
                  <w:rFonts w:ascii="Cambria Math" w:hAnsi="Cambria Math"/>
                </w:rPr>
                <m:t>n</m:t>
              </m:r>
            </m:e>
          </m:d>
        </m:oMath>
      </m:oMathPara>
    </w:p>
    <w:p w14:paraId="470F90A9" w14:textId="77777777" w:rsidR="00D762DD" w:rsidRDefault="00000000">
      <w:r>
        <w:t xml:space="preserve">El tamaño nominal por ejecución es </w:t>
      </w:r>
      <m:oMath>
        <m:r>
          <w:rPr>
            <w:rFonts w:ascii="Cambria Math" w:hAnsi="Cambria Math"/>
          </w:rPr>
          <m:t>4n</m:t>
        </m:r>
      </m:oMath>
      <w:r>
        <w:t>, sujeto a la disponibilidad de instancias en cada cuadrante. El rango observado es de 27 a 800 instancias por ejecución (mediana: 400). Esta estrategia garantiza que el explicador se evalúa en los cuatro regímenes de decisión del modelo, no solo en los casos correctamente clasificados.</w:t>
      </w:r>
    </w:p>
    <w:p w14:paraId="3B2D748B" w14:textId="77777777" w:rsidR="00D762DD" w:rsidRDefault="00000000">
      <w:pPr>
        <w:pStyle w:val="Heading3"/>
      </w:pPr>
      <w:bookmarkStart w:id="97" w:name="configuración-de-los-explicadores"/>
      <w:bookmarkStart w:id="98" w:name="_Toc238925743"/>
      <w:bookmarkEnd w:id="95"/>
      <w:r>
        <w:lastRenderedPageBreak/>
        <w:t>Configuración de los explicadores</w:t>
      </w:r>
      <w:bookmarkEnd w:id="98"/>
    </w:p>
    <w:p w14:paraId="59DCC778" w14:textId="77777777" w:rsidR="00D762DD" w:rsidRDefault="00000000">
      <w:r>
        <w:t xml:space="preserve">Todos los métodos se ejecutan a través de </w:t>
      </w:r>
      <w:proofErr w:type="spellStart"/>
      <w:r>
        <w:t>ExplainerWrapper.explain_instance</w:t>
      </w:r>
      <w:proofErr w:type="spellEnd"/>
      <w:r>
        <w:t>, que registra el tiempo de ejecución y persiste las importancias de características. Los parámetros efectivos en EXP2 son:</w:t>
      </w:r>
    </w:p>
    <w:p w14:paraId="05DD31AC" w14:textId="77777777" w:rsidR="00D762DD" w:rsidRDefault="00000000">
      <w:pPr>
        <w:pStyle w:val="BodyText"/>
      </w:pPr>
      <w:r>
        <w:rPr>
          <w:b/>
          <w:bCs/>
        </w:rPr>
        <w:t>SHAP</w:t>
      </w:r>
      <w:r>
        <w:t xml:space="preserve"> (Lundberg 2017): </w:t>
      </w:r>
      <w:proofErr w:type="spellStart"/>
      <w:r>
        <w:t>TreeExplainer</w:t>
      </w:r>
      <w:proofErr w:type="spellEnd"/>
      <w:r>
        <w:t xml:space="preserve"> para </w:t>
      </w:r>
      <w:proofErr w:type="spellStart"/>
      <w:r>
        <w:t>rf</w:t>
      </w:r>
      <w:proofErr w:type="spellEnd"/>
      <w:r>
        <w:t xml:space="preserve"> y </w:t>
      </w:r>
      <w:proofErr w:type="spellStart"/>
      <w:r>
        <w:t>xgb</w:t>
      </w:r>
      <w:proofErr w:type="spellEnd"/>
      <w:r>
        <w:t xml:space="preserve">; </w:t>
      </w:r>
      <w:proofErr w:type="spellStart"/>
      <w:r>
        <w:t>KernelExplainer</w:t>
      </w:r>
      <w:proofErr w:type="spellEnd"/>
      <w:r>
        <w:t xml:space="preserve"> para </w:t>
      </w:r>
      <w:proofErr w:type="spellStart"/>
      <w:r>
        <w:t>logreg</w:t>
      </w:r>
      <w:proofErr w:type="spellEnd"/>
      <w:r>
        <w:t xml:space="preserve">, </w:t>
      </w:r>
      <w:proofErr w:type="spellStart"/>
      <w:r>
        <w:t>svm</w:t>
      </w:r>
      <w:proofErr w:type="spellEnd"/>
      <w:r>
        <w:t xml:space="preserve"> y </w:t>
      </w:r>
      <w:proofErr w:type="spellStart"/>
      <w:r>
        <w:t>mlp</w:t>
      </w:r>
      <w:proofErr w:type="spellEnd"/>
      <w:r>
        <w:t xml:space="preserve"> con conjunto de referencia </w:t>
      </w:r>
      <m:oMath>
        <m:sSub>
          <m:sSubPr>
            <m:ctrlPr>
              <w:rPr>
                <w:rFonts w:ascii="Cambria Math" w:hAnsi="Cambria Math"/>
              </w:rPr>
            </m:ctrlPr>
          </m:sSubPr>
          <m:e>
            <m:r>
              <w:rPr>
                <w:rFonts w:ascii="Cambria Math" w:hAnsi="Cambria Math"/>
              </w:rPr>
              <m:t>n</m:t>
            </m:r>
          </m:e>
          <m:sub>
            <m:r>
              <m:rPr>
                <m:nor/>
              </m:rPr>
              <m:t>bg</m:t>
            </m:r>
          </m:sub>
        </m:sSub>
        <m:r>
          <m:rPr>
            <m:sty m:val="p"/>
          </m:rPr>
          <w:rPr>
            <w:rFonts w:ascii="Cambria Math" w:hAnsi="Cambria Math"/>
          </w:rPr>
          <m:t>=</m:t>
        </m:r>
        <m:r>
          <w:rPr>
            <w:rFonts w:ascii="Cambria Math" w:hAnsi="Cambria Math"/>
          </w:rPr>
          <m:t>50</m:t>
        </m:r>
      </m:oMath>
      <w:r>
        <w:t xml:space="preserve"> muestras del conjunto de entrenamiento. Objetivo: probabilidad de la clase positiva.</w:t>
      </w:r>
    </w:p>
    <w:p w14:paraId="11C73641" w14:textId="77777777" w:rsidR="00D762DD" w:rsidRDefault="00000000">
      <w:pPr>
        <w:pStyle w:val="BodyText"/>
      </w:pPr>
      <w:r>
        <w:rPr>
          <w:b/>
          <w:bCs/>
        </w:rPr>
        <w:t>LIME</w:t>
      </w:r>
      <w:r>
        <w:t xml:space="preserve"> (Ribeiro 2016): </w:t>
      </w:r>
      <w:proofErr w:type="spellStart"/>
      <w:r>
        <w:t>LimeTabularExplainer</w:t>
      </w:r>
      <w:proofErr w:type="spellEnd"/>
      <w:r>
        <w:t xml:space="preserve"> con </w:t>
      </w:r>
      <w:proofErr w:type="spellStart"/>
      <w:r>
        <w:t>num_samples</w:t>
      </w:r>
      <w:proofErr w:type="spellEnd"/>
      <w:r>
        <w:t xml:space="preserve"> = 1{,}000, </w:t>
      </w:r>
      <w:proofErr w:type="spellStart"/>
      <w:r>
        <w:t>num_features</w:t>
      </w:r>
      <w:proofErr w:type="spellEnd"/>
      <w:r>
        <w:t xml:space="preserve"> = 10, </w:t>
      </w:r>
      <w:proofErr w:type="spellStart"/>
      <w:r>
        <w:t>kernel_width</w:t>
      </w:r>
      <w:proofErr w:type="spellEnd"/>
      <w:r>
        <w:t xml:space="preserve"> = 3.0, sin discretización de numéricas.</w:t>
      </w:r>
    </w:p>
    <w:p w14:paraId="227919E1" w14:textId="77777777" w:rsidR="00D762DD" w:rsidRDefault="00000000">
      <w:pPr>
        <w:pStyle w:val="BodyText"/>
      </w:pPr>
      <w:r>
        <w:rPr>
          <w:b/>
          <w:bCs/>
        </w:rPr>
        <w:t>Anchors</w:t>
      </w:r>
      <w:r>
        <w:t xml:space="preserve"> (Ribeiro 2018): </w:t>
      </w:r>
      <w:proofErr w:type="spellStart"/>
      <w:r>
        <w:t>AnchorTabular</w:t>
      </w:r>
      <w:proofErr w:type="spellEnd"/>
      <w:r>
        <w:t xml:space="preserve"> con umbral de precisión efectivo </w:t>
      </w:r>
      <m:oMath>
        <m:r>
          <w:rPr>
            <w:rFonts w:ascii="Cambria Math" w:hAnsi="Cambria Math"/>
          </w:rPr>
          <m:t>τ</m:t>
        </m:r>
        <m:r>
          <m:rPr>
            <m:sty m:val="p"/>
          </m:rPr>
          <w:rPr>
            <w:rFonts w:ascii="Cambria Math" w:hAnsi="Cambria Math"/>
          </w:rPr>
          <m:t>=</m:t>
        </m:r>
        <m:r>
          <w:rPr>
            <w:rFonts w:ascii="Cambria Math" w:hAnsi="Cambria Math"/>
          </w:rPr>
          <m:t>0.95</m:t>
        </m:r>
      </m:oMath>
      <w:r>
        <w:t xml:space="preserve"> (el parámetro YAML no es consumido en </w:t>
      </w:r>
      <w:proofErr w:type="spellStart"/>
      <w:r>
        <w:rPr>
          <w:i/>
          <w:iCs/>
        </w:rPr>
        <w:t>runtime</w:t>
      </w:r>
      <w:proofErr w:type="spellEnd"/>
      <w:r>
        <w:t xml:space="preserve">; el umbral es fijo). </w:t>
      </w:r>
      <w:proofErr w:type="spellStart"/>
      <w:r>
        <w:t>Caveat</w:t>
      </w:r>
      <w:proofErr w:type="spellEnd"/>
      <w:r>
        <w:t xml:space="preserve"> de implementación registrado en el inventario FOM-7.</w:t>
      </w:r>
    </w:p>
    <w:p w14:paraId="1AE2A468" w14:textId="77777777" w:rsidR="00D762DD" w:rsidRDefault="00000000">
      <w:pPr>
        <w:pStyle w:val="BodyText"/>
      </w:pPr>
      <w:proofErr w:type="spellStart"/>
      <w:r>
        <w:rPr>
          <w:b/>
          <w:bCs/>
        </w:rPr>
        <w:t>DiCE</w:t>
      </w:r>
      <w:proofErr w:type="spellEnd"/>
      <w:r>
        <w:t xml:space="preserve"> (</w:t>
      </w:r>
      <w:proofErr w:type="spellStart"/>
      <w:r>
        <w:t>Mothilal</w:t>
      </w:r>
      <w:proofErr w:type="spellEnd"/>
      <w:r>
        <w:t xml:space="preserve"> 2020): </w:t>
      </w:r>
      <w:proofErr w:type="spellStart"/>
      <w:r>
        <w:rPr>
          <w:i/>
          <w:iCs/>
        </w:rPr>
        <w:t>backend</w:t>
      </w:r>
      <w:proofErr w:type="spellEnd"/>
      <w:r>
        <w:t xml:space="preserve"> aleatorio, objetivo contrafactual de clase opuesta, importancia definida como </w:t>
      </w:r>
      <m:oMath>
        <m:sSub>
          <m:sSubPr>
            <m:ctrlPr>
              <w:rPr>
                <w:rFonts w:ascii="Cambria Math" w:hAnsi="Cambria Math"/>
              </w:rPr>
            </m:ctrlPr>
          </m:sSubPr>
          <m:e>
            <m:r>
              <m:rPr>
                <m:nor/>
              </m:rPr>
              <m:t>imp</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i</m:t>
            </m:r>
          </m:sub>
          <m:sup>
            <m:r>
              <m:rPr>
                <m:sty m:val="p"/>
              </m:rPr>
              <w:rPr>
                <w:rFonts w:ascii="Cambria Math" w:hAnsi="Cambria Math"/>
              </w:rPr>
              <m:t>'</m:t>
            </m:r>
          </m:sup>
        </m:sSubSup>
        <m:r>
          <m:rPr>
            <m:sty m:val="p"/>
          </m:rPr>
          <w:rPr>
            <w:rFonts w:ascii="Cambria Math" w:hAnsi="Cambria Math"/>
          </w:rPr>
          <m:t>|</m:t>
        </m:r>
      </m:oMath>
      <w:r>
        <w:t xml:space="preserve">, </w:t>
      </w:r>
      <w:proofErr w:type="spellStart"/>
      <w:r>
        <w:t>total_CFs</w:t>
      </w:r>
      <w:proofErr w:type="spellEnd"/>
      <w:r>
        <w:t xml:space="preserve"> = 1 efectivo (parámetro YAML no consumido).</w:t>
      </w:r>
    </w:p>
    <w:p w14:paraId="03C9F131" w14:textId="77777777" w:rsidR="00D762DD" w:rsidRDefault="00000000">
      <w:pPr>
        <w:pStyle w:val="Heading2"/>
      </w:pPr>
      <w:bookmarkStart w:id="99" w:name="operacionalización-de-las-métricas"/>
      <w:bookmarkStart w:id="100" w:name="_Toc238925744"/>
      <w:bookmarkEnd w:id="93"/>
      <w:bookmarkEnd w:id="97"/>
      <w:r>
        <w:t>Operacionalización de las métricas</w:t>
      </w:r>
      <w:bookmarkEnd w:id="100"/>
    </w:p>
    <w:p w14:paraId="75369C3F" w14:textId="77777777" w:rsidR="00D762DD" w:rsidRDefault="00000000">
      <w:r>
        <w:t>Las cinco métricas primarias se computan por instancia y se agregan a nivel de ejecución mediante media aritmética. La dirección de cada métrica se fija en el protocolo antes del análisis.</w:t>
      </w:r>
    </w:p>
    <w:p w14:paraId="4B15069C" w14:textId="77777777" w:rsidR="00D762DD" w:rsidRDefault="00000000">
      <w:pPr>
        <w:pStyle w:val="BodyText"/>
      </w:pPr>
      <w:r>
        <w:t xml:space="preserve">Estas métricas deben leerse como </w:t>
      </w:r>
      <w:proofErr w:type="spellStart"/>
      <w:r>
        <w:t>proxies</w:t>
      </w:r>
      <w:proofErr w:type="spellEnd"/>
      <w:r>
        <w:t xml:space="preserve"> operacionales de los constructos revisados en el Capítulo 2. Fidelidad, estabilidad, parsimonia, brecha de fidelidad y coste no son intercambiables con utilidad humana, plausibilidad semántica o causalidad del mecanismo; son indicadores reproducibles que permiten comparar artefactos explicativos bajo condiciones experimentales controladas (Carvalho et al. 2019; </w:t>
      </w:r>
      <w:proofErr w:type="spellStart"/>
      <w:r>
        <w:t>Tomsett</w:t>
      </w:r>
      <w:proofErr w:type="spellEnd"/>
      <w:r>
        <w:t xml:space="preserve"> et al. 2020; Nauta et al. 2023).</w:t>
      </w:r>
    </w:p>
    <w:p w14:paraId="00AB73E7" w14:textId="77777777" w:rsidR="00D762DD" w:rsidRDefault="00000000">
      <w:pPr>
        <w:pStyle w:val="Heading3"/>
      </w:pPr>
      <w:bookmarkStart w:id="101" w:name="fidelidad"/>
      <w:bookmarkStart w:id="102" w:name="_Toc238925745"/>
      <w:r>
        <w:t>Fidelidad</w:t>
      </w:r>
      <w:bookmarkEnd w:id="102"/>
    </w:p>
    <w:p w14:paraId="4C8A279B" w14:textId="77777777" w:rsidR="00D762DD" w:rsidRDefault="00000000">
      <w:r>
        <w:t>La fidelidad cuantifica la alineación entre las importancias del explicador y el efecto predictivo real bajo enmascaramiento individual de características:</w:t>
      </w:r>
    </w:p>
    <w:p w14:paraId="6B1E321C" w14:textId="77777777" w:rsidR="00D762DD" w:rsidRDefault="00000000">
      <w:pPr>
        <w:pStyle w:val="BodyText"/>
      </w:pPr>
      <m:oMathPara>
        <m:oMathParaPr>
          <m:jc m:val="center"/>
        </m:oMathParaPr>
        <m:oMath>
          <m:r>
            <w:rPr>
              <w:rFonts w:ascii="Cambria Math" w:hAnsi="Cambria Math"/>
            </w:rPr>
            <m:t>F</m:t>
          </m:r>
          <m:r>
            <m:rPr>
              <m:sty m:val="p"/>
            </m:rPr>
            <w:rPr>
              <w:rFonts w:ascii="Cambria Math" w:hAnsi="Cambria Math"/>
            </w:rPr>
            <m:t>=</m:t>
          </m:r>
          <m:r>
            <m:rPr>
              <m:nor/>
            </m:rPr>
            <m:t>corr</m:t>
          </m:r>
          <m:r>
            <w:rPr>
              <w:rFonts w:ascii="Cambria Math" w:hAnsi="Cambria Math"/>
            </w:rPr>
            <m:t>​</m:t>
          </m:r>
          <m:d>
            <m:dPr>
              <m:ctrlPr>
                <w:rPr>
                  <w:rFonts w:ascii="Cambria Math" w:hAnsi="Cambria Math"/>
                </w:rPr>
              </m:ctrlPr>
            </m:dPr>
            <m:e>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i</m:t>
                  </m:r>
                </m:sub>
              </m:sSub>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f</m:t>
              </m:r>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m:t>
                  </m:r>
                  <m:r>
                    <w:rPr>
                      <w:rFonts w:ascii="Cambria Math" w:hAnsi="Cambria Math"/>
                    </w:rPr>
                    <m:t>i</m:t>
                  </m:r>
                </m:sub>
              </m:sSub>
              <m:r>
                <m:rPr>
                  <m:sty m:val="p"/>
                </m:rPr>
                <w:rPr>
                  <w:rFonts w:ascii="Cambria Math" w:hAnsi="Cambria Math"/>
                </w:rPr>
                <m:t>)|</m:t>
              </m:r>
            </m:e>
          </m:d>
        </m:oMath>
      </m:oMathPara>
    </w:p>
    <w:p w14:paraId="00754873" w14:textId="77777777" w:rsidR="00D762DD" w:rsidRDefault="00000000">
      <w:r>
        <w:lastRenderedPageBreak/>
        <w:t xml:space="preserve">donde </w:t>
      </w:r>
      <m:oMath>
        <m:sSub>
          <m:sSubPr>
            <m:ctrlPr>
              <w:rPr>
                <w:rFonts w:ascii="Cambria Math" w:hAnsi="Cambria Math"/>
              </w:rPr>
            </m:ctrlPr>
          </m:sSubPr>
          <m:e>
            <m:r>
              <w:rPr>
                <w:rFonts w:ascii="Cambria Math" w:hAnsi="Cambria Math"/>
              </w:rPr>
              <m:t>x</m:t>
            </m:r>
          </m:e>
          <m:sub>
            <m:r>
              <m:rPr>
                <m:sty m:val="p"/>
              </m:rPr>
              <w:rPr>
                <w:rFonts w:ascii="Cambria Math" w:hAnsi="Cambria Math"/>
              </w:rPr>
              <m:t>-</m:t>
            </m:r>
            <m:r>
              <w:rPr>
                <w:rFonts w:ascii="Cambria Math" w:hAnsi="Cambria Math"/>
              </w:rPr>
              <m:t>i</m:t>
            </m:r>
          </m:sub>
        </m:sSub>
      </m:oMath>
      <w:r>
        <w:t xml:space="preserve"> sustituye la característica </w:t>
      </w:r>
      <m:oMath>
        <m:r>
          <w:rPr>
            <w:rFonts w:ascii="Cambria Math" w:hAnsi="Cambria Math"/>
          </w:rPr>
          <m:t>i</m:t>
        </m:r>
      </m:oMath>
      <w:r>
        <w:t xml:space="preserve"> por su media de entrenamiento. Dirección: </w:t>
      </w:r>
      <m:oMath>
        <m:r>
          <m:rPr>
            <m:sty m:val="p"/>
          </m:rPr>
          <w:rPr>
            <w:rFonts w:ascii="Cambria Math" w:hAnsi="Cambria Math"/>
          </w:rPr>
          <m:t>↑</m:t>
        </m:r>
      </m:oMath>
      <w:r>
        <w:t>. Implementación: src/metrics/fidelity.py.</w:t>
      </w:r>
    </w:p>
    <w:p w14:paraId="2E690306" w14:textId="77777777" w:rsidR="00D762DD" w:rsidRDefault="00000000">
      <w:pPr>
        <w:pStyle w:val="Heading3"/>
      </w:pPr>
      <w:bookmarkStart w:id="103" w:name="estabilidad"/>
      <w:bookmarkStart w:id="104" w:name="_Toc238925746"/>
      <w:bookmarkEnd w:id="101"/>
      <w:r>
        <w:t>Estabilidad</w:t>
      </w:r>
      <w:bookmarkEnd w:id="104"/>
    </w:p>
    <w:p w14:paraId="0DA5CD35" w14:textId="77777777" w:rsidR="00D762DD" w:rsidRDefault="00000000">
      <w:r>
        <w:t xml:space="preserve">La estabilidad mide la consistencia de las explicaciones bajo </w:t>
      </w:r>
      <m:oMath>
        <m:r>
          <w:rPr>
            <w:rFonts w:ascii="Cambria Math" w:hAnsi="Cambria Math"/>
          </w:rPr>
          <m:t>T</m:t>
        </m:r>
        <m:r>
          <m:rPr>
            <m:sty m:val="p"/>
          </m:rPr>
          <w:rPr>
            <w:rFonts w:ascii="Cambria Math" w:hAnsi="Cambria Math"/>
          </w:rPr>
          <m:t>=</m:t>
        </m:r>
        <m:r>
          <w:rPr>
            <w:rFonts w:ascii="Cambria Math" w:hAnsi="Cambria Math"/>
          </w:rPr>
          <m:t>15</m:t>
        </m:r>
      </m:oMath>
      <w:r>
        <w:t xml:space="preserve"> perturbaciones gaussianas </w:t>
      </w:r>
      <m:oMath>
        <m:sSup>
          <m:sSupPr>
            <m:ctrlPr>
              <w:rPr>
                <w:rFonts w:ascii="Cambria Math" w:hAnsi="Cambria Math"/>
              </w:rPr>
            </m:ctrlPr>
          </m:sSupPr>
          <m:e>
            <m:r>
              <w:rPr>
                <w:rFonts w:ascii="Cambria Math" w:hAnsi="Cambria Math"/>
              </w:rPr>
              <m:t>x</m:t>
            </m:r>
          </m:e>
          <m:sup>
            <m:r>
              <m:rPr>
                <m:sty m:val="p"/>
              </m:rPr>
              <w:rPr>
                <w:rFonts w:ascii="Cambria Math" w:hAnsi="Cambria Math"/>
              </w:rPr>
              <m:t>(</m:t>
            </m:r>
            <m:r>
              <w:rPr>
                <w:rFonts w:ascii="Cambria Math" w:hAnsi="Cambria Math"/>
              </w:rPr>
              <m:t>t</m:t>
            </m:r>
            <m:r>
              <m:rPr>
                <m:sty m:val="p"/>
              </m:rPr>
              <w:rPr>
                <w:rFonts w:ascii="Cambria Math" w:hAnsi="Cambria Math"/>
              </w:rPr>
              <m:t>)</m:t>
            </m:r>
          </m:sup>
        </m:sSup>
        <m:r>
          <m:rPr>
            <m:sty m:val="p"/>
          </m:rPr>
          <w:rPr>
            <w:rFonts w:ascii="Cambria Math" w:hAnsi="Cambria Math"/>
          </w:rPr>
          <m:t>=</m:t>
        </m:r>
        <m:r>
          <w:rPr>
            <w:rFonts w:ascii="Cambria Math" w:hAnsi="Cambria Math"/>
          </w:rPr>
          <m:t>x</m:t>
        </m:r>
        <m:r>
          <m:rPr>
            <m:sty m:val="p"/>
          </m:rPr>
          <w:rPr>
            <w:rFonts w:ascii="Cambria Math" w:hAnsi="Cambria Math"/>
          </w:rPr>
          <m:t>+</m:t>
        </m:r>
        <m:sSup>
          <m:sSupPr>
            <m:ctrlPr>
              <w:rPr>
                <w:rFonts w:ascii="Cambria Math" w:hAnsi="Cambria Math"/>
              </w:rPr>
            </m:ctrlPr>
          </m:sSupPr>
          <m:e>
            <m:r>
              <w:rPr>
                <w:rFonts w:ascii="Cambria Math" w:hAnsi="Cambria Math"/>
              </w:rPr>
              <m:t>ε</m:t>
            </m:r>
          </m:e>
          <m:sup>
            <m:r>
              <m:rPr>
                <m:sty m:val="p"/>
              </m:rPr>
              <w:rPr>
                <w:rFonts w:ascii="Cambria Math" w:hAnsi="Cambria Math"/>
              </w:rPr>
              <m:t>(</m:t>
            </m:r>
            <m:r>
              <w:rPr>
                <w:rFonts w:ascii="Cambria Math" w:hAnsi="Cambria Math"/>
              </w:rPr>
              <m:t>t</m:t>
            </m:r>
            <m:r>
              <m:rPr>
                <m:sty m:val="p"/>
              </m:rPr>
              <w:rPr>
                <w:rFonts w:ascii="Cambria Math" w:hAnsi="Cambria Math"/>
              </w:rPr>
              <m:t>)</m:t>
            </m:r>
          </m:sup>
        </m:sSup>
      </m:oMath>
      <w:r>
        <w:t xml:space="preserve">, </w:t>
      </w:r>
      <m:oMath>
        <m:sSup>
          <m:sSupPr>
            <m:ctrlPr>
              <w:rPr>
                <w:rFonts w:ascii="Cambria Math" w:hAnsi="Cambria Math"/>
              </w:rPr>
            </m:ctrlPr>
          </m:sSupPr>
          <m:e>
            <m:r>
              <w:rPr>
                <w:rFonts w:ascii="Cambria Math" w:hAnsi="Cambria Math"/>
              </w:rPr>
              <m:t>ε</m:t>
            </m:r>
          </m:e>
          <m:sup>
            <m:r>
              <m:rPr>
                <m:sty m:val="p"/>
              </m:rPr>
              <w:rPr>
                <w:rFonts w:ascii="Cambria Math" w:hAnsi="Cambria Math"/>
              </w:rPr>
              <m:t>(</m:t>
            </m:r>
            <m:r>
              <w:rPr>
                <w:rFonts w:ascii="Cambria Math" w:hAnsi="Cambria Math"/>
              </w:rPr>
              <m:t>t</m:t>
            </m:r>
            <m:r>
              <m:rPr>
                <m:sty m:val="p"/>
              </m:rPr>
              <w:rPr>
                <w:rFonts w:ascii="Cambria Math" w:hAnsi="Cambria Math"/>
              </w:rPr>
              <m:t>)</m:t>
            </m:r>
          </m:sup>
        </m:sSup>
        <m:r>
          <m:rPr>
            <m:scr m:val="script"/>
            <m:sty m:val="p"/>
          </m:rPr>
          <w:rPr>
            <w:rFonts w:ascii="Cambria Math" w:hAnsi="Cambria Math"/>
          </w:rPr>
          <m:t>∼N(</m:t>
        </m:r>
        <m:r>
          <w:rPr>
            <w:rFonts w:ascii="Cambria Math" w:hAnsi="Cambria Math"/>
          </w:rPr>
          <m:t>0</m:t>
        </m:r>
        <m:r>
          <m:rPr>
            <m:sty m:val="p"/>
          </m:rPr>
          <w:rPr>
            <w:rFonts w:ascii="Cambria Math" w:hAnsi="Cambria Math"/>
          </w:rPr>
          <m:t>,</m:t>
        </m:r>
        <m:sSup>
          <m:sSupPr>
            <m:ctrlPr>
              <w:rPr>
                <w:rFonts w:ascii="Cambria Math" w:hAnsi="Cambria Math"/>
              </w:rPr>
            </m:ctrlPr>
          </m:sSupPr>
          <m:e>
            <m:r>
              <w:rPr>
                <w:rFonts w:ascii="Cambria Math" w:hAnsi="Cambria Math"/>
              </w:rPr>
              <m:t>σ</m:t>
            </m:r>
          </m:e>
          <m:sup>
            <m:r>
              <w:rPr>
                <w:rFonts w:ascii="Cambria Math" w:hAnsi="Cambria Math"/>
              </w:rPr>
              <m:t>2</m:t>
            </m:r>
          </m:sup>
        </m:sSup>
        <m:r>
          <m:rPr>
            <m:sty m:val="b"/>
          </m:rPr>
          <w:rPr>
            <w:rFonts w:ascii="Cambria Math" w:hAnsi="Cambria Math"/>
          </w:rPr>
          <m:t>I</m:t>
        </m:r>
        <m:r>
          <m:rPr>
            <m:sty m:val="p"/>
          </m:rPr>
          <w:rPr>
            <w:rFonts w:ascii="Cambria Math" w:hAnsi="Cambria Math"/>
          </w:rPr>
          <m:t>)</m:t>
        </m:r>
      </m:oMath>
      <w:r>
        <w:t xml:space="preserve">, </w:t>
      </w:r>
      <m:oMath>
        <m:r>
          <w:rPr>
            <w:rFonts w:ascii="Cambria Math" w:hAnsi="Cambria Math"/>
          </w:rPr>
          <m:t>σ</m:t>
        </m:r>
        <m:r>
          <m:rPr>
            <m:sty m:val="p"/>
          </m:rPr>
          <w:rPr>
            <w:rFonts w:ascii="Cambria Math" w:hAnsi="Cambria Math"/>
          </w:rPr>
          <m:t>=</m:t>
        </m:r>
        <m:r>
          <w:rPr>
            <w:rFonts w:ascii="Cambria Math" w:hAnsi="Cambria Math"/>
          </w:rPr>
          <m:t>0.1</m:t>
        </m:r>
      </m:oMath>
      <w:r>
        <w:t>:</w:t>
      </w:r>
    </w:p>
    <w:p w14:paraId="2CBE28EF" w14:textId="77777777" w:rsidR="00D762DD" w:rsidRDefault="00000000">
      <w:pPr>
        <w:pStyle w:val="BodyText"/>
      </w:pPr>
      <m:oMathPara>
        <m:oMathParaPr>
          <m:jc m:val="center"/>
        </m:oMathParaPr>
        <m:oMath>
          <m:r>
            <w:rPr>
              <w:rFonts w:ascii="Cambria Math" w:hAnsi="Cambria Math"/>
            </w:rPr>
            <m:t>S</m:t>
          </m:r>
          <m:r>
            <m:rPr>
              <m:sty m:val="p"/>
            </m:rPr>
            <w:rPr>
              <w:rFonts w:ascii="Cambria Math" w:hAnsi="Cambria Math"/>
            </w:rPr>
            <m:t>=</m:t>
          </m:r>
          <m:f>
            <m:fPr>
              <m:ctrlPr>
                <w:rPr>
                  <w:rFonts w:ascii="Cambria Math" w:hAnsi="Cambria Math"/>
                </w:rPr>
              </m:ctrlPr>
            </m:fPr>
            <m:num>
              <m:r>
                <w:rPr>
                  <w:rFonts w:ascii="Cambria Math" w:hAnsi="Cambria Math"/>
                </w:rPr>
                <m:t>2</m:t>
              </m:r>
            </m:num>
            <m:den>
              <m:r>
                <w:rPr>
                  <w:rFonts w:ascii="Cambria Math" w:hAnsi="Cambria Math"/>
                </w:rPr>
                <m:t>T</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1</m:t>
              </m:r>
              <m:r>
                <m:rPr>
                  <m:sty m:val="p"/>
                </m:rPr>
                <w:rPr>
                  <w:rFonts w:ascii="Cambria Math" w:hAnsi="Cambria Math"/>
                </w:rPr>
                <m:t>)</m:t>
              </m:r>
            </m:den>
          </m:f>
          <m:nary>
            <m:naryPr>
              <m:chr m:val="∑"/>
              <m:limLoc m:val="undOvr"/>
              <m:supHide m:val="1"/>
              <m:ctrlPr>
                <w:rPr>
                  <w:rFonts w:ascii="Cambria Math" w:hAnsi="Cambria Math"/>
                </w:rPr>
              </m:ctrlPr>
            </m:naryPr>
            <m:sub>
              <m:r>
                <w:rPr>
                  <w:rFonts w:ascii="Cambria Math" w:hAnsi="Cambria Math"/>
                </w:rPr>
                <m:t>a</m:t>
              </m:r>
              <m:r>
                <m:rPr>
                  <m:sty m:val="p"/>
                </m:rPr>
                <w:rPr>
                  <w:rFonts w:ascii="Cambria Math" w:hAnsi="Cambria Math"/>
                </w:rPr>
                <m:t>&lt;</m:t>
              </m:r>
              <m:r>
                <w:rPr>
                  <w:rFonts w:ascii="Cambria Math" w:hAnsi="Cambria Math"/>
                </w:rPr>
                <m:t>b</m:t>
              </m:r>
            </m:sub>
            <m:sup>
              <m:r>
                <w:rPr>
                  <w:rFonts w:ascii="Cambria Math" w:hAnsi="Cambria Math"/>
                </w:rPr>
                <m:t>​</m:t>
              </m:r>
            </m:sup>
            <m:e>
              <m:r>
                <m:rPr>
                  <m:sty m:val="p"/>
                </m:rPr>
                <w:rPr>
                  <w:rFonts w:ascii="Cambria Math" w:hAnsi="Cambria Math"/>
                </w:rPr>
                <m:t>cos</m:t>
              </m:r>
            </m:e>
          </m:nary>
          <m:r>
            <w:rPr>
              <w:rFonts w:ascii="Cambria Math" w:hAnsi="Cambria Math"/>
            </w:rPr>
            <m:t>​</m:t>
          </m:r>
          <m:d>
            <m:dPr>
              <m:ctrlPr>
                <w:rPr>
                  <w:rFonts w:ascii="Cambria Math" w:hAnsi="Cambria Math"/>
                </w:rPr>
              </m:ctrlPr>
            </m:dPr>
            <m:e>
              <m:sSup>
                <m:sSupPr>
                  <m:ctrlPr>
                    <w:rPr>
                      <w:rFonts w:ascii="Cambria Math" w:hAnsi="Cambria Math"/>
                    </w:rPr>
                  </m:ctrlPr>
                </m:sSupPr>
                <m:e>
                  <m:r>
                    <w:rPr>
                      <w:rFonts w:ascii="Cambria Math" w:hAnsi="Cambria Math"/>
                    </w:rPr>
                    <m:t>e</m:t>
                  </m:r>
                </m:e>
                <m:sup>
                  <m:r>
                    <m:rPr>
                      <m:sty m:val="p"/>
                    </m:rPr>
                    <w:rPr>
                      <w:rFonts w:ascii="Cambria Math" w:hAnsi="Cambria Math"/>
                    </w:rPr>
                    <m:t>(</m:t>
                  </m:r>
                  <m:r>
                    <w:rPr>
                      <w:rFonts w:ascii="Cambria Math" w:hAnsi="Cambria Math"/>
                    </w:rPr>
                    <m:t>a</m:t>
                  </m:r>
                  <m:r>
                    <m:rPr>
                      <m:sty m:val="p"/>
                    </m:rPr>
                    <w:rPr>
                      <w:rFonts w:ascii="Cambria Math" w:hAnsi="Cambria Math"/>
                    </w:rPr>
                    <m:t>)</m:t>
                  </m:r>
                </m:sup>
              </m:sSup>
              <m:r>
                <m:rPr>
                  <m:sty m:val="p"/>
                </m:rPr>
                <w:rPr>
                  <w:rFonts w:ascii="Cambria Math" w:hAnsi="Cambria Math"/>
                </w:rPr>
                <m:t>,</m:t>
              </m:r>
              <m:r>
                <w:rPr>
                  <w:rFonts w:ascii="Cambria Math" w:hAnsi="Cambria Math"/>
                </w:rPr>
                <m:t> </m:t>
              </m:r>
              <m:sSup>
                <m:sSupPr>
                  <m:ctrlPr>
                    <w:rPr>
                      <w:rFonts w:ascii="Cambria Math" w:hAnsi="Cambria Math"/>
                    </w:rPr>
                  </m:ctrlPr>
                </m:sSupPr>
                <m:e>
                  <m:r>
                    <w:rPr>
                      <w:rFonts w:ascii="Cambria Math" w:hAnsi="Cambria Math"/>
                    </w:rPr>
                    <m:t>e</m:t>
                  </m:r>
                </m:e>
                <m:sup>
                  <m:r>
                    <m:rPr>
                      <m:sty m:val="p"/>
                    </m:rPr>
                    <w:rPr>
                      <w:rFonts w:ascii="Cambria Math" w:hAnsi="Cambria Math"/>
                    </w:rPr>
                    <m:t>(</m:t>
                  </m:r>
                  <m:r>
                    <w:rPr>
                      <w:rFonts w:ascii="Cambria Math" w:hAnsi="Cambria Math"/>
                    </w:rPr>
                    <m:t>b</m:t>
                  </m:r>
                  <m:r>
                    <m:rPr>
                      <m:sty m:val="p"/>
                    </m:rPr>
                    <w:rPr>
                      <w:rFonts w:ascii="Cambria Math" w:hAnsi="Cambria Math"/>
                    </w:rPr>
                    <m:t>)</m:t>
                  </m:r>
                </m:sup>
              </m:sSup>
            </m:e>
          </m:d>
        </m:oMath>
      </m:oMathPara>
    </w:p>
    <w:p w14:paraId="16351D46" w14:textId="77777777" w:rsidR="00D762DD" w:rsidRDefault="00000000">
      <w:r>
        <w:t xml:space="preserve">Con </w:t>
      </w:r>
      <m:oMath>
        <m:r>
          <w:rPr>
            <w:rFonts w:ascii="Cambria Math" w:hAnsi="Cambria Math"/>
          </w:rPr>
          <m:t>T</m:t>
        </m:r>
        <m:r>
          <m:rPr>
            <m:sty m:val="p"/>
          </m:rPr>
          <w:rPr>
            <w:rFonts w:ascii="Cambria Math" w:hAnsi="Cambria Math"/>
          </w:rPr>
          <m:t>=</m:t>
        </m:r>
        <m:r>
          <w:rPr>
            <w:rFonts w:ascii="Cambria Math" w:hAnsi="Cambria Math"/>
          </w:rPr>
          <m:t>15</m:t>
        </m:r>
      </m:oMath>
      <w:r>
        <w:t xml:space="preserve"> se forman </w:t>
      </w:r>
      <m:oMath>
        <m:d>
          <m:dPr>
            <m:ctrlPr>
              <w:rPr>
                <w:rFonts w:ascii="Cambria Math" w:hAnsi="Cambria Math"/>
              </w:rPr>
            </m:ctrlPr>
          </m:dPr>
          <m:e>
            <m:f>
              <m:fPr>
                <m:type m:val="noBar"/>
                <m:ctrlPr>
                  <w:rPr>
                    <w:rFonts w:ascii="Cambria Math" w:hAnsi="Cambria Math"/>
                  </w:rPr>
                </m:ctrlPr>
              </m:fPr>
              <m:num>
                <m:r>
                  <w:rPr>
                    <w:rFonts w:ascii="Cambria Math" w:hAnsi="Cambria Math"/>
                  </w:rPr>
                  <m:t>15</m:t>
                </m:r>
              </m:num>
              <m:den>
                <m:r>
                  <w:rPr>
                    <w:rFonts w:ascii="Cambria Math" w:hAnsi="Cambria Math"/>
                  </w:rPr>
                  <m:t>2</m:t>
                </m:r>
              </m:den>
            </m:f>
          </m:e>
        </m:d>
        <m:r>
          <m:rPr>
            <m:sty m:val="p"/>
          </m:rPr>
          <w:rPr>
            <w:rFonts w:ascii="Cambria Math" w:hAnsi="Cambria Math"/>
          </w:rPr>
          <m:t>=</m:t>
        </m:r>
        <m:r>
          <w:rPr>
            <w:rFonts w:ascii="Cambria Math" w:hAnsi="Cambria Math"/>
          </w:rPr>
          <m:t>105</m:t>
        </m:r>
      </m:oMath>
      <w:r>
        <w:t xml:space="preserve"> pares por instancia. Dirección: </w:t>
      </w:r>
      <m:oMath>
        <m:r>
          <m:rPr>
            <m:sty m:val="p"/>
          </m:rPr>
          <w:rPr>
            <w:rFonts w:ascii="Cambria Math" w:hAnsi="Cambria Math"/>
          </w:rPr>
          <m:t>↑</m:t>
        </m:r>
      </m:oMath>
      <w:r>
        <w:t>. Implementación: src/metrics/stability.py.</w:t>
      </w:r>
    </w:p>
    <w:p w14:paraId="0EB0CA5B" w14:textId="77777777" w:rsidR="00D762DD" w:rsidRDefault="00000000">
      <w:pPr>
        <w:pStyle w:val="Heading3"/>
      </w:pPr>
      <w:bookmarkStart w:id="105" w:name="parsimonia"/>
      <w:bookmarkStart w:id="106" w:name="_Toc238925747"/>
      <w:bookmarkEnd w:id="103"/>
      <w:r>
        <w:t>Parsimonia</w:t>
      </w:r>
      <w:bookmarkEnd w:id="106"/>
    </w:p>
    <w:p w14:paraId="2F4FBE91" w14:textId="77777777" w:rsidR="00D762DD" w:rsidRDefault="00000000">
      <w:r>
        <w:t>La parsimonia cuantifica la proporción de características activas (</w:t>
      </w:r>
      <m:oMath>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i</m:t>
            </m:r>
          </m:sub>
        </m:sSub>
        <m:r>
          <m:rPr>
            <m:sty m:val="p"/>
          </m:rPr>
          <w:rPr>
            <w:rFonts w:ascii="Cambria Math" w:hAnsi="Cambria Math"/>
          </w:rPr>
          <m:t>|&gt;</m:t>
        </m:r>
        <m:sSub>
          <m:sSubPr>
            <m:ctrlPr>
              <w:rPr>
                <w:rFonts w:ascii="Cambria Math" w:hAnsi="Cambria Math"/>
              </w:rPr>
            </m:ctrlPr>
          </m:sSubPr>
          <m:e>
            <m:r>
              <w:rPr>
                <w:rFonts w:ascii="Cambria Math" w:hAnsi="Cambria Math"/>
              </w:rPr>
              <m:t>τ</m:t>
            </m:r>
          </m:e>
          <m:sub>
            <m:r>
              <w:rPr>
                <w:rFonts w:ascii="Cambria Math" w:hAnsi="Cambria Math"/>
              </w:rPr>
              <m:t>s</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4</m:t>
            </m:r>
          </m:sup>
        </m:sSup>
      </m:oMath>
      <w:r>
        <w:t>) sobre el total de características transformadas:</w:t>
      </w:r>
    </w:p>
    <w:p w14:paraId="214E9708" w14:textId="77777777" w:rsidR="00D762DD" w:rsidRDefault="00000000">
      <w:pPr>
        <w:pStyle w:val="BodyText"/>
      </w:pPr>
      <m:oMathPara>
        <m:oMathParaPr>
          <m:jc m:val="center"/>
        </m:oMathParaPr>
        <m:oMath>
          <m:r>
            <w:rPr>
              <w:rFonts w:ascii="Cambria Math" w:hAnsi="Cambria Math"/>
            </w:rPr>
            <m:t>P</m:t>
          </m:r>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i</m:t>
              </m:r>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i</m:t>
                  </m:r>
                </m:sub>
              </m:sSub>
              <m:r>
                <m:rPr>
                  <m:sty m:val="p"/>
                </m:rPr>
                <w:rPr>
                  <w:rFonts w:ascii="Cambria Math" w:hAnsi="Cambria Math"/>
                </w:rPr>
                <m:t>|&gt;</m:t>
              </m:r>
              <m:sSub>
                <m:sSubPr>
                  <m:ctrlPr>
                    <w:rPr>
                      <w:rFonts w:ascii="Cambria Math" w:hAnsi="Cambria Math"/>
                    </w:rPr>
                  </m:ctrlPr>
                </m:sSubPr>
                <m:e>
                  <m:r>
                    <w:rPr>
                      <w:rFonts w:ascii="Cambria Math" w:hAnsi="Cambria Math"/>
                    </w:rPr>
                    <m:t>τ</m:t>
                  </m:r>
                </m:e>
                <m:sub>
                  <m:r>
                    <w:rPr>
                      <w:rFonts w:ascii="Cambria Math" w:hAnsi="Cambria Math"/>
                    </w:rPr>
                    <m:t>s</m:t>
                  </m:r>
                </m:sub>
              </m:sSub>
              <m:r>
                <m:rPr>
                  <m:sty m:val="p"/>
                </m:rPr>
                <w:rPr>
                  <w:rFonts w:ascii="Cambria Math" w:hAnsi="Cambria Math"/>
                </w:rPr>
                <m:t>}</m:t>
              </m:r>
            </m:num>
            <m:den>
              <m:r>
                <m:rPr>
                  <m:scr m:val="script"/>
                  <m:sty m:val="p"/>
                </m:rPr>
                <w:rPr>
                  <w:rFonts w:ascii="Cambria Math" w:hAnsi="Cambria Math"/>
                </w:rPr>
                <m:t>|F|</m:t>
              </m:r>
            </m:den>
          </m:f>
        </m:oMath>
      </m:oMathPara>
    </w:p>
    <w:p w14:paraId="5F04E1A3" w14:textId="77777777" w:rsidR="00D762DD" w:rsidRDefault="00000000">
      <w:r>
        <w:t xml:space="preserve">Un valor bajo indica mayor concisión. Dirección: </w:t>
      </w:r>
      <m:oMath>
        <m:r>
          <m:rPr>
            <m:sty m:val="p"/>
          </m:rPr>
          <w:rPr>
            <w:rFonts w:ascii="Cambria Math" w:hAnsi="Cambria Math"/>
          </w:rPr>
          <m:t>↓</m:t>
        </m:r>
      </m:oMath>
      <w:r>
        <w:t>. Implementación: src/metrics/sparsity.py.</w:t>
      </w:r>
    </w:p>
    <w:p w14:paraId="59511699" w14:textId="77777777" w:rsidR="00D762DD" w:rsidRDefault="00000000">
      <w:pPr>
        <w:pStyle w:val="Heading3"/>
      </w:pPr>
      <w:bookmarkStart w:id="107" w:name="brecha-de-fidelidad"/>
      <w:bookmarkStart w:id="108" w:name="_Toc238925748"/>
      <w:bookmarkEnd w:id="105"/>
      <w:r>
        <w:t>Brecha de fidelidad</w:t>
      </w:r>
      <w:bookmarkEnd w:id="108"/>
    </w:p>
    <w:p w14:paraId="16DCCECA" w14:textId="77777777" w:rsidR="00D762DD" w:rsidRDefault="00000000">
      <w:r>
        <w:t xml:space="preserve">La brecha de fidelidad cuantifica el cambio en la salida del modelo al enmascarar las </w:t>
      </w:r>
      <m:oMath>
        <m:r>
          <w:rPr>
            <w:rFonts w:ascii="Cambria Math" w:hAnsi="Cambria Math"/>
          </w:rPr>
          <m:t>k</m:t>
        </m:r>
        <m:r>
          <m:rPr>
            <m:sty m:val="p"/>
          </m:rPr>
          <w:rPr>
            <w:rFonts w:ascii="Cambria Math" w:hAnsi="Cambria Math"/>
          </w:rPr>
          <m:t>=</m:t>
        </m:r>
        <m:r>
          <w:rPr>
            <w:rFonts w:ascii="Cambria Math" w:hAnsi="Cambria Math"/>
          </w:rPr>
          <m:t>5</m:t>
        </m:r>
      </m:oMath>
      <w:r>
        <w:t xml:space="preserve"> características de mayor importancia:</w:t>
      </w:r>
    </w:p>
    <w:p w14:paraId="2FF5E1BE" w14:textId="77777777" w:rsidR="00D762DD" w:rsidRPr="00A52D0E" w:rsidRDefault="00000000">
      <w:pPr>
        <w:pStyle w:val="BodyText"/>
        <w:rPr>
          <w:lang w:val="en-US"/>
        </w:rPr>
      </w:pPr>
      <m:oMathPara>
        <m:oMathParaPr>
          <m:jc m:val="center"/>
        </m:oMathParaPr>
        <m:oMath>
          <m:sSub>
            <m:sSubPr>
              <m:ctrlPr>
                <w:rPr>
                  <w:rFonts w:ascii="Cambria Math" w:hAnsi="Cambria Math"/>
                </w:rPr>
              </m:ctrlPr>
            </m:sSubPr>
            <m:e>
              <m:r>
                <m:rPr>
                  <m:sty m:val="p"/>
                </m:rPr>
                <w:rPr>
                  <w:rFonts w:ascii="Cambria Math" w:hAnsi="Cambria Math"/>
                </w:rPr>
                <m:t>Δ</m:t>
              </m:r>
            </m:e>
            <m:sub>
              <m:r>
                <w:rPr>
                  <w:rFonts w:ascii="Cambria Math" w:hAnsi="Cambria Math"/>
                </w:rPr>
                <m:t>k</m:t>
              </m:r>
            </m:sub>
          </m:sSub>
          <m:r>
            <m:rPr>
              <m:sty m:val="p"/>
            </m:rPr>
            <w:rPr>
              <w:rFonts w:ascii="Cambria Math" w:hAnsi="Cambria Math"/>
              <w:lang w:val="en-US"/>
            </w:rPr>
            <m:t>=</m:t>
          </m:r>
          <m:d>
            <m:dPr>
              <m:begChr m:val="|"/>
              <m:endChr m:val="|"/>
              <m:ctrlPr>
                <w:rPr>
                  <w:rFonts w:ascii="Cambria Math" w:hAnsi="Cambria Math"/>
                </w:rPr>
              </m:ctrlPr>
            </m:dPr>
            <m:e>
              <m:r>
                <w:rPr>
                  <w:rFonts w:ascii="Cambria Math" w:hAnsi="Cambria Math"/>
                </w:rPr>
                <m:t>f</m:t>
              </m:r>
              <m:r>
                <m:rPr>
                  <m:sty m:val="p"/>
                </m:rPr>
                <w:rPr>
                  <w:rFonts w:ascii="Cambria Math" w:hAnsi="Cambria Math"/>
                  <w:lang w:val="en-US"/>
                </w:rPr>
                <m:t>(</m:t>
              </m:r>
              <m:r>
                <w:rPr>
                  <w:rFonts w:ascii="Cambria Math" w:hAnsi="Cambria Math"/>
                </w:rPr>
                <m:t>x</m:t>
              </m:r>
              <m:r>
                <m:rPr>
                  <m:sty m:val="p"/>
                </m:rPr>
                <w:rPr>
                  <w:rFonts w:ascii="Cambria Math" w:hAnsi="Cambria Math"/>
                  <w:lang w:val="en-US"/>
                </w:rPr>
                <m:t>)-</m:t>
              </m:r>
              <m:r>
                <w:rPr>
                  <w:rFonts w:ascii="Cambria Math" w:hAnsi="Cambria Math"/>
                </w:rPr>
                <m:t>f</m:t>
              </m:r>
              <m:r>
                <w:rPr>
                  <w:rFonts w:ascii="Cambria Math" w:hAnsi="Cambria Math"/>
                  <w:lang w:val="en-US"/>
                </w:rPr>
                <m:t>​</m:t>
              </m:r>
              <m:d>
                <m:dPr>
                  <m:ctrlPr>
                    <w:rPr>
                      <w:rFonts w:ascii="Cambria Math" w:hAnsi="Cambria Math"/>
                    </w:rPr>
                  </m:ctrlPr>
                </m:dPr>
                <m:e>
                  <m:sSub>
                    <m:sSubPr>
                      <m:ctrlPr>
                        <w:rPr>
                          <w:rFonts w:ascii="Cambria Math" w:hAnsi="Cambria Math"/>
                        </w:rPr>
                      </m:ctrlPr>
                    </m:sSubPr>
                    <m:e>
                      <m:r>
                        <w:rPr>
                          <w:rFonts w:ascii="Cambria Math" w:hAnsi="Cambria Math"/>
                        </w:rPr>
                        <m:t>x</m:t>
                      </m:r>
                    </m:e>
                    <m:sub>
                      <m:r>
                        <m:rPr>
                          <m:nor/>
                        </m:rPr>
                        <w:rPr>
                          <w:lang w:val="en-US"/>
                        </w:rPr>
                        <m:t>mask-top-</m:t>
                      </m:r>
                      <m:r>
                        <w:rPr>
                          <w:rFonts w:ascii="Cambria Math" w:hAnsi="Cambria Math"/>
                        </w:rPr>
                        <m:t>k</m:t>
                      </m:r>
                    </m:sub>
                  </m:sSub>
                </m:e>
              </m:d>
            </m:e>
          </m:d>
        </m:oMath>
      </m:oMathPara>
    </w:p>
    <w:p w14:paraId="06E1FF02" w14:textId="77777777" w:rsidR="00D762DD" w:rsidRDefault="00000000">
      <w:r>
        <w:t xml:space="preserve">donde </w:t>
      </w:r>
      <m:oMath>
        <m:r>
          <w:rPr>
            <w:rFonts w:ascii="Cambria Math" w:hAnsi="Cambria Math"/>
          </w:rPr>
          <m:t>f</m:t>
        </m:r>
        <m:r>
          <m:rPr>
            <m:sty m:val="p"/>
          </m:rPr>
          <w:rPr>
            <w:rFonts w:ascii="Cambria Math" w:hAnsi="Cambria Math"/>
          </w:rPr>
          <m:t>(⋅)</m:t>
        </m:r>
      </m:oMath>
      <w:r>
        <w:t xml:space="preserve"> devuelve la probabilidad de la clase positiva. Dirección: </w:t>
      </w:r>
      <m:oMath>
        <m:r>
          <m:rPr>
            <m:sty m:val="p"/>
          </m:rPr>
          <w:rPr>
            <w:rFonts w:ascii="Cambria Math" w:hAnsi="Cambria Math"/>
          </w:rPr>
          <m:t>↑</m:t>
        </m:r>
      </m:oMath>
      <w:r>
        <w:t>. Implementación: src/metrics/faithfulness.py.</w:t>
      </w:r>
    </w:p>
    <w:p w14:paraId="2700A00F" w14:textId="77777777" w:rsidR="00D762DD" w:rsidRDefault="00000000">
      <w:pPr>
        <w:pStyle w:val="Heading3"/>
      </w:pPr>
      <w:bookmarkStart w:id="109" w:name="coste-computacional"/>
      <w:bookmarkStart w:id="110" w:name="_Toc238925749"/>
      <w:bookmarkEnd w:id="107"/>
      <w:r>
        <w:t>Coste computacional</w:t>
      </w:r>
      <w:bookmarkEnd w:id="110"/>
    </w:p>
    <w:p w14:paraId="5E0918FE" w14:textId="77777777" w:rsidR="00D762DD" w:rsidRDefault="00000000">
      <w:r>
        <w:t>El coste (</w:t>
      </w:r>
      <m:oMath>
        <m:r>
          <w:rPr>
            <w:rFonts w:ascii="Cambria Math" w:hAnsi="Cambria Math"/>
          </w:rPr>
          <m:t>C</m:t>
        </m:r>
      </m:oMath>
      <w:r>
        <w:t xml:space="preserve">) es el tiempo de pared en milisegundos por instancia explicada, registrado en </w:t>
      </w:r>
      <w:proofErr w:type="spellStart"/>
      <w:r>
        <w:t>ExplainerWrapper</w:t>
      </w:r>
      <w:proofErr w:type="spellEnd"/>
      <w:r>
        <w:t xml:space="preserve"> bajo restricciones de recursos gestionadas por </w:t>
      </w:r>
      <w:proofErr w:type="spellStart"/>
      <w:r>
        <w:t>ResourceGuard</w:t>
      </w:r>
      <w:proofErr w:type="spellEnd"/>
      <w:r>
        <w:t xml:space="preserve"> (especificaciones en el Apéndice A). Dirección: </w:t>
      </w:r>
      <m:oMath>
        <m:r>
          <m:rPr>
            <m:sty m:val="p"/>
          </m:rPr>
          <w:rPr>
            <w:rFonts w:ascii="Cambria Math" w:hAnsi="Cambria Math"/>
          </w:rPr>
          <m:t>↓</m:t>
        </m:r>
      </m:oMath>
      <w:r>
        <w:t>.</w:t>
      </w:r>
    </w:p>
    <w:p w14:paraId="1E10B54C" w14:textId="77777777" w:rsidR="00D762DD" w:rsidRDefault="00000000">
      <w:pPr>
        <w:pStyle w:val="Heading3"/>
      </w:pPr>
      <w:bookmarkStart w:id="111" w:name="resumen-de-métricas-primarias"/>
      <w:bookmarkStart w:id="112" w:name="_Toc238925750"/>
      <w:bookmarkEnd w:id="109"/>
      <w:r>
        <w:lastRenderedPageBreak/>
        <w:t>Resumen de métricas primarias</w:t>
      </w:r>
      <w:bookmarkEnd w:id="112"/>
    </w:p>
    <w:tbl>
      <w:tblPr>
        <w:tblW w:w="5000" w:type="pct"/>
        <w:tblLayout w:type="fixed"/>
        <w:tblLook w:val="0000" w:firstRow="0" w:lastRow="0" w:firstColumn="0" w:lastColumn="0" w:noHBand="0" w:noVBand="0"/>
      </w:tblPr>
      <w:tblGrid>
        <w:gridCol w:w="9576"/>
      </w:tblGrid>
      <w:tr w:rsidR="00D762DD" w14:paraId="32A61CDA" w14:textId="77777777">
        <w:tc>
          <w:tcPr>
            <w:tcW w:w="7920" w:type="dxa"/>
          </w:tcPr>
          <w:p w14:paraId="0207E31B" w14:textId="77777777" w:rsidR="00D762DD" w:rsidRDefault="00000000">
            <w:pPr>
              <w:spacing w:before="200"/>
              <w:jc w:val="left"/>
            </w:pPr>
            <w:bookmarkStart w:id="113" w:name="tbl-metrics"/>
            <w:r>
              <w:t xml:space="preserve">Table 4.2: Métricas primarias del </w:t>
            </w:r>
            <w:proofErr w:type="spellStart"/>
            <w:r>
              <w:t>benchmark</w:t>
            </w:r>
            <w:proofErr w:type="spellEnd"/>
            <w:r>
              <w:t xml:space="preserve"> con unidades y direcciones. </w:t>
            </w:r>
          </w:p>
          <w:tbl>
            <w:tblPr>
              <w:tblW w:w="0" w:type="auto"/>
              <w:tblLook w:val="0020" w:firstRow="1" w:lastRow="0" w:firstColumn="0" w:lastColumn="0" w:noHBand="0" w:noVBand="0"/>
            </w:tblPr>
            <w:tblGrid>
              <w:gridCol w:w="1980"/>
              <w:gridCol w:w="1980"/>
              <w:gridCol w:w="1980"/>
              <w:gridCol w:w="1980"/>
            </w:tblGrid>
            <w:tr w:rsidR="00D762DD" w14:paraId="39A41FCD" w14:textId="77777777">
              <w:trPr>
                <w:tblHeader/>
              </w:trPr>
              <w:tc>
                <w:tcPr>
                  <w:tcW w:w="1980" w:type="dxa"/>
                </w:tcPr>
                <w:p w14:paraId="03A022A8" w14:textId="77777777" w:rsidR="00D762DD" w:rsidRDefault="00000000">
                  <w:pPr>
                    <w:jc w:val="center"/>
                  </w:pPr>
                  <w:r>
                    <w:t>Métrica</w:t>
                  </w:r>
                </w:p>
              </w:tc>
              <w:tc>
                <w:tcPr>
                  <w:tcW w:w="1980" w:type="dxa"/>
                </w:tcPr>
                <w:p w14:paraId="315E4214" w14:textId="77777777" w:rsidR="00D762DD" w:rsidRDefault="00000000">
                  <w:pPr>
                    <w:jc w:val="center"/>
                  </w:pPr>
                  <w:r>
                    <w:t>Símbolo</w:t>
                  </w:r>
                </w:p>
              </w:tc>
              <w:tc>
                <w:tcPr>
                  <w:tcW w:w="1980" w:type="dxa"/>
                </w:tcPr>
                <w:p w14:paraId="0819C8D5" w14:textId="77777777" w:rsidR="00D762DD" w:rsidRDefault="00000000">
                  <w:pPr>
                    <w:jc w:val="center"/>
                  </w:pPr>
                  <w:r>
                    <w:t>Unidad</w:t>
                  </w:r>
                </w:p>
              </w:tc>
              <w:tc>
                <w:tcPr>
                  <w:tcW w:w="1980" w:type="dxa"/>
                </w:tcPr>
                <w:p w14:paraId="603A5A39" w14:textId="77777777" w:rsidR="00D762DD" w:rsidRDefault="00000000">
                  <w:pPr>
                    <w:jc w:val="center"/>
                  </w:pPr>
                  <w:r>
                    <w:t>Dirección</w:t>
                  </w:r>
                </w:p>
              </w:tc>
            </w:tr>
            <w:tr w:rsidR="00D762DD" w14:paraId="0AA716FD" w14:textId="77777777">
              <w:tc>
                <w:tcPr>
                  <w:tcW w:w="1980" w:type="dxa"/>
                </w:tcPr>
                <w:p w14:paraId="6864CA98" w14:textId="77777777" w:rsidR="00D762DD" w:rsidRDefault="00000000">
                  <w:pPr>
                    <w:jc w:val="center"/>
                  </w:pPr>
                  <w:r>
                    <w:t>Fidelidad</w:t>
                  </w:r>
                </w:p>
              </w:tc>
              <w:tc>
                <w:tcPr>
                  <w:tcW w:w="1980" w:type="dxa"/>
                </w:tcPr>
                <w:p w14:paraId="7DBD2239" w14:textId="77777777" w:rsidR="00D762DD" w:rsidRDefault="00000000">
                  <w:pPr>
                    <w:jc w:val="center"/>
                  </w:pPr>
                  <m:oMathPara>
                    <m:oMath>
                      <m:r>
                        <w:rPr>
                          <w:rFonts w:ascii="Cambria Math" w:hAnsi="Cambria Math"/>
                        </w:rPr>
                        <m:t>F</m:t>
                      </m:r>
                    </m:oMath>
                  </m:oMathPara>
                </w:p>
              </w:tc>
              <w:tc>
                <w:tcPr>
                  <w:tcW w:w="1980" w:type="dxa"/>
                </w:tcPr>
                <w:p w14:paraId="5BD6F252" w14:textId="77777777" w:rsidR="00D762DD" w:rsidRDefault="00000000">
                  <w:pPr>
                    <w:jc w:val="center"/>
                  </w:pPr>
                  <w:r>
                    <w:t>score</w:t>
                  </w:r>
                </w:p>
              </w:tc>
              <w:tc>
                <w:tcPr>
                  <w:tcW w:w="1980" w:type="dxa"/>
                </w:tcPr>
                <w:p w14:paraId="601B1951" w14:textId="77777777" w:rsidR="00D762DD" w:rsidRDefault="00000000">
                  <w:pPr>
                    <w:jc w:val="center"/>
                  </w:pPr>
                  <m:oMathPara>
                    <m:oMath>
                      <m:r>
                        <m:rPr>
                          <m:sty m:val="p"/>
                        </m:rPr>
                        <w:rPr>
                          <w:rFonts w:ascii="Cambria Math" w:hAnsi="Cambria Math"/>
                        </w:rPr>
                        <m:t>↑</m:t>
                      </m:r>
                    </m:oMath>
                  </m:oMathPara>
                </w:p>
              </w:tc>
            </w:tr>
            <w:tr w:rsidR="00D762DD" w14:paraId="6AD44510" w14:textId="77777777">
              <w:tc>
                <w:tcPr>
                  <w:tcW w:w="1980" w:type="dxa"/>
                </w:tcPr>
                <w:p w14:paraId="4729A43A" w14:textId="77777777" w:rsidR="00D762DD" w:rsidRDefault="00000000">
                  <w:pPr>
                    <w:jc w:val="center"/>
                  </w:pPr>
                  <w:r>
                    <w:t>Estabilidad</w:t>
                  </w:r>
                </w:p>
              </w:tc>
              <w:tc>
                <w:tcPr>
                  <w:tcW w:w="1980" w:type="dxa"/>
                </w:tcPr>
                <w:p w14:paraId="238E2761" w14:textId="77777777" w:rsidR="00D762DD" w:rsidRDefault="00000000">
                  <w:pPr>
                    <w:jc w:val="center"/>
                  </w:pPr>
                  <m:oMathPara>
                    <m:oMath>
                      <m:r>
                        <w:rPr>
                          <w:rFonts w:ascii="Cambria Math" w:hAnsi="Cambria Math"/>
                        </w:rPr>
                        <m:t>S</m:t>
                      </m:r>
                    </m:oMath>
                  </m:oMathPara>
                </w:p>
              </w:tc>
              <w:tc>
                <w:tcPr>
                  <w:tcW w:w="1980" w:type="dxa"/>
                </w:tcPr>
                <w:p w14:paraId="1F8973B4" w14:textId="77777777" w:rsidR="00D762DD" w:rsidRDefault="00000000">
                  <w:pPr>
                    <w:jc w:val="center"/>
                  </w:pPr>
                  <w:r>
                    <w:t>similitud coseno</w:t>
                  </w:r>
                </w:p>
              </w:tc>
              <w:tc>
                <w:tcPr>
                  <w:tcW w:w="1980" w:type="dxa"/>
                </w:tcPr>
                <w:p w14:paraId="77289475" w14:textId="77777777" w:rsidR="00D762DD" w:rsidRDefault="00000000">
                  <w:pPr>
                    <w:jc w:val="center"/>
                  </w:pPr>
                  <m:oMathPara>
                    <m:oMath>
                      <m:r>
                        <m:rPr>
                          <m:sty m:val="p"/>
                        </m:rPr>
                        <w:rPr>
                          <w:rFonts w:ascii="Cambria Math" w:hAnsi="Cambria Math"/>
                        </w:rPr>
                        <m:t>↑</m:t>
                      </m:r>
                    </m:oMath>
                  </m:oMathPara>
                </w:p>
              </w:tc>
            </w:tr>
            <w:tr w:rsidR="00D762DD" w14:paraId="63B6CD93" w14:textId="77777777">
              <w:tc>
                <w:tcPr>
                  <w:tcW w:w="1980" w:type="dxa"/>
                </w:tcPr>
                <w:p w14:paraId="6C6A5AB1" w14:textId="77777777" w:rsidR="00D762DD" w:rsidRDefault="00000000">
                  <w:pPr>
                    <w:jc w:val="center"/>
                  </w:pPr>
                  <w:r>
                    <w:t>Parsimonia</w:t>
                  </w:r>
                </w:p>
              </w:tc>
              <w:tc>
                <w:tcPr>
                  <w:tcW w:w="1980" w:type="dxa"/>
                </w:tcPr>
                <w:p w14:paraId="47261716" w14:textId="77777777" w:rsidR="00D762DD" w:rsidRDefault="00000000">
                  <w:pPr>
                    <w:jc w:val="center"/>
                  </w:pPr>
                  <m:oMathPara>
                    <m:oMath>
                      <m:r>
                        <w:rPr>
                          <w:rFonts w:ascii="Cambria Math" w:hAnsi="Cambria Math"/>
                        </w:rPr>
                        <m:t>P</m:t>
                      </m:r>
                    </m:oMath>
                  </m:oMathPara>
                </w:p>
              </w:tc>
              <w:tc>
                <w:tcPr>
                  <w:tcW w:w="1980" w:type="dxa"/>
                </w:tcPr>
                <w:p w14:paraId="1B50784B" w14:textId="77777777" w:rsidR="00D762DD" w:rsidRDefault="00000000">
                  <w:pPr>
                    <w:jc w:val="center"/>
                  </w:pPr>
                  <w:r>
                    <w:t>proporción activa</w:t>
                  </w:r>
                </w:p>
              </w:tc>
              <w:tc>
                <w:tcPr>
                  <w:tcW w:w="1980" w:type="dxa"/>
                </w:tcPr>
                <w:p w14:paraId="79238BCA" w14:textId="77777777" w:rsidR="00D762DD" w:rsidRDefault="00000000">
                  <w:pPr>
                    <w:jc w:val="center"/>
                  </w:pPr>
                  <m:oMathPara>
                    <m:oMath>
                      <m:r>
                        <m:rPr>
                          <m:sty m:val="p"/>
                        </m:rPr>
                        <w:rPr>
                          <w:rFonts w:ascii="Cambria Math" w:hAnsi="Cambria Math"/>
                        </w:rPr>
                        <m:t>↓</m:t>
                      </m:r>
                    </m:oMath>
                  </m:oMathPara>
                </w:p>
              </w:tc>
            </w:tr>
            <w:tr w:rsidR="00D762DD" w14:paraId="6CFF23CB" w14:textId="77777777">
              <w:tc>
                <w:tcPr>
                  <w:tcW w:w="1980" w:type="dxa"/>
                </w:tcPr>
                <w:p w14:paraId="76F970B8" w14:textId="77777777" w:rsidR="00D762DD" w:rsidRDefault="00000000">
                  <w:pPr>
                    <w:jc w:val="center"/>
                  </w:pPr>
                  <w:r>
                    <w:t>Brecha de fidelidad</w:t>
                  </w:r>
                </w:p>
              </w:tc>
              <w:tc>
                <w:tcPr>
                  <w:tcW w:w="1980" w:type="dxa"/>
                </w:tcPr>
                <w:p w14:paraId="5A662765" w14:textId="77777777" w:rsidR="00D762DD" w:rsidRDefault="00000000">
                  <w:pPr>
                    <w:jc w:val="center"/>
                  </w:pPr>
                  <m:oMathPara>
                    <m:oMath>
                      <m:sSub>
                        <m:sSubPr>
                          <m:ctrlPr>
                            <w:rPr>
                              <w:rFonts w:ascii="Cambria Math" w:hAnsi="Cambria Math"/>
                            </w:rPr>
                          </m:ctrlPr>
                        </m:sSubPr>
                        <m:e>
                          <m:r>
                            <m:rPr>
                              <m:sty m:val="p"/>
                            </m:rPr>
                            <w:rPr>
                              <w:rFonts w:ascii="Cambria Math" w:hAnsi="Cambria Math"/>
                            </w:rPr>
                            <m:t>Δ</m:t>
                          </m:r>
                        </m:e>
                        <m:sub>
                          <m:r>
                            <w:rPr>
                              <w:rFonts w:ascii="Cambria Math" w:hAnsi="Cambria Math"/>
                            </w:rPr>
                            <m:t>k</m:t>
                          </m:r>
                        </m:sub>
                      </m:sSub>
                    </m:oMath>
                  </m:oMathPara>
                </w:p>
              </w:tc>
              <w:tc>
                <w:tcPr>
                  <w:tcW w:w="1980" w:type="dxa"/>
                </w:tcPr>
                <w:p w14:paraId="1C0244E8" w14:textId="77777777" w:rsidR="00D762DD" w:rsidRDefault="00000000">
                  <w:pPr>
                    <w:jc w:val="center"/>
                  </w:pPr>
                  <w:r>
                    <w:t>score</w:t>
                  </w:r>
                </w:p>
              </w:tc>
              <w:tc>
                <w:tcPr>
                  <w:tcW w:w="1980" w:type="dxa"/>
                </w:tcPr>
                <w:p w14:paraId="1E1A2B62" w14:textId="77777777" w:rsidR="00D762DD" w:rsidRDefault="00000000">
                  <w:pPr>
                    <w:jc w:val="center"/>
                  </w:pPr>
                  <m:oMathPara>
                    <m:oMath>
                      <m:r>
                        <m:rPr>
                          <m:sty m:val="p"/>
                        </m:rPr>
                        <w:rPr>
                          <w:rFonts w:ascii="Cambria Math" w:hAnsi="Cambria Math"/>
                        </w:rPr>
                        <m:t>↑</m:t>
                      </m:r>
                    </m:oMath>
                  </m:oMathPara>
                </w:p>
              </w:tc>
            </w:tr>
            <w:tr w:rsidR="00D762DD" w14:paraId="4C56ED29" w14:textId="77777777">
              <w:tc>
                <w:tcPr>
                  <w:tcW w:w="1980" w:type="dxa"/>
                </w:tcPr>
                <w:p w14:paraId="130D10BE" w14:textId="77777777" w:rsidR="00D762DD" w:rsidRDefault="00000000">
                  <w:pPr>
                    <w:jc w:val="center"/>
                  </w:pPr>
                  <w:r>
                    <w:t>Coste computacional</w:t>
                  </w:r>
                </w:p>
              </w:tc>
              <w:tc>
                <w:tcPr>
                  <w:tcW w:w="1980" w:type="dxa"/>
                </w:tcPr>
                <w:p w14:paraId="7748155F" w14:textId="77777777" w:rsidR="00D762DD" w:rsidRDefault="00000000">
                  <w:pPr>
                    <w:jc w:val="center"/>
                  </w:pPr>
                  <m:oMathPara>
                    <m:oMath>
                      <m:r>
                        <w:rPr>
                          <w:rFonts w:ascii="Cambria Math" w:hAnsi="Cambria Math"/>
                        </w:rPr>
                        <m:t>C</m:t>
                      </m:r>
                    </m:oMath>
                  </m:oMathPara>
                </w:p>
              </w:tc>
              <w:tc>
                <w:tcPr>
                  <w:tcW w:w="1980" w:type="dxa"/>
                </w:tcPr>
                <w:p w14:paraId="2368E13D" w14:textId="77777777" w:rsidR="00D762DD" w:rsidRDefault="00000000">
                  <w:pPr>
                    <w:jc w:val="center"/>
                  </w:pPr>
                  <w:r>
                    <w:t>ms/instancia</w:t>
                  </w:r>
                </w:p>
              </w:tc>
              <w:tc>
                <w:tcPr>
                  <w:tcW w:w="1980" w:type="dxa"/>
                </w:tcPr>
                <w:p w14:paraId="0995A13A" w14:textId="77777777" w:rsidR="00D762DD" w:rsidRDefault="00000000">
                  <w:pPr>
                    <w:jc w:val="center"/>
                  </w:pPr>
                  <m:oMathPara>
                    <m:oMath>
                      <m:r>
                        <m:rPr>
                          <m:sty m:val="p"/>
                        </m:rPr>
                        <w:rPr>
                          <w:rFonts w:ascii="Cambria Math" w:hAnsi="Cambria Math"/>
                        </w:rPr>
                        <m:t>↓</m:t>
                      </m:r>
                    </m:oMath>
                  </m:oMathPara>
                </w:p>
              </w:tc>
            </w:tr>
            <w:bookmarkEnd w:id="113"/>
          </w:tbl>
          <w:p w14:paraId="3DD5157C" w14:textId="77777777" w:rsidR="00D762DD" w:rsidRDefault="00D762DD"/>
        </w:tc>
      </w:tr>
    </w:tbl>
    <w:p w14:paraId="29AD92C4" w14:textId="77777777" w:rsidR="00D762DD" w:rsidRDefault="00000000">
      <w:pPr>
        <w:pStyle w:val="Heading2"/>
      </w:pPr>
      <w:bookmarkStart w:id="114" w:name="protocolo-de-operación-fom-7"/>
      <w:bookmarkStart w:id="115" w:name="_Toc238925751"/>
      <w:bookmarkEnd w:id="99"/>
      <w:bookmarkEnd w:id="111"/>
      <w:r>
        <w:t>Protocolo de operación FOM-7</w:t>
      </w:r>
      <w:bookmarkEnd w:id="115"/>
    </w:p>
    <w:p w14:paraId="02E42C31" w14:textId="77777777" w:rsidR="00D762DD" w:rsidRDefault="00000000">
      <w:r>
        <w:t>FOM-7 (</w:t>
      </w:r>
      <w:r>
        <w:rPr>
          <w:i/>
          <w:iCs/>
        </w:rPr>
        <w:t xml:space="preserve">Framework </w:t>
      </w:r>
      <w:proofErr w:type="spellStart"/>
      <w:r>
        <w:rPr>
          <w:i/>
          <w:iCs/>
        </w:rPr>
        <w:t>Operation</w:t>
      </w:r>
      <w:proofErr w:type="spellEnd"/>
      <w:r>
        <w:rPr>
          <w:i/>
          <w:iCs/>
        </w:rPr>
        <w:t xml:space="preserve"> Method</w:t>
      </w:r>
      <w:r>
        <w:t>, siete puertas) es la contribución metodológica central de este estudio. Fue derivado de: (i) los requisitos de benchmarking reproducible documentados en la literatura (Canha et al. 2025; Agarwal et al. 2022; Hedström et al. 2023), y (</w:t>
      </w:r>
      <w:proofErr w:type="spellStart"/>
      <w:r>
        <w:t>ii</w:t>
      </w:r>
      <w:proofErr w:type="spellEnd"/>
      <w:r>
        <w:t xml:space="preserve">) los modos de fallo observados en EXP1: deriva de protocolo, fallos de integridad de artefactos y exportaciones de análisis no equivalentes entre ejecuciones. Las siete puertas son </w:t>
      </w:r>
      <w:r>
        <w:rPr>
          <w:b/>
          <w:bCs/>
        </w:rPr>
        <w:t>secuenciales</w:t>
      </w:r>
      <w:r>
        <w:t>: cada puerta debe ser satisfecha antes de proceder a la siguiente, y un fallo en cualquier puerta degrada los outputs afectados a estatus descriptivo.</w:t>
      </w:r>
    </w:p>
    <w:p w14:paraId="0680161E" w14:textId="77777777" w:rsidR="00D762DD" w:rsidRDefault="00000000">
      <w:pPr>
        <w:pStyle w:val="BodyText"/>
      </w:pPr>
      <w:r>
        <w:rPr>
          <w:b/>
          <w:bCs/>
        </w:rPr>
        <w:t>Puerta 1 — Congelación del protocolo.</w:t>
      </w:r>
      <w:r>
        <w:t xml:space="preserve"> Bloqueo de versiones de código, archivos de configuración YAML, factores del diseño y plan de inferencia estadística </w:t>
      </w:r>
      <w:r>
        <w:rPr>
          <w:i/>
          <w:iCs/>
        </w:rPr>
        <w:t>antes</w:t>
      </w:r>
      <w:r>
        <w:t xml:space="preserve"> de iniciar cualquier ejecución confirmativa. Formalizado mediante </w:t>
      </w:r>
      <w:proofErr w:type="spellStart"/>
      <w:r>
        <w:t>configs</w:t>
      </w:r>
      <w:proofErr w:type="spellEnd"/>
      <w:r>
        <w:t>/</w:t>
      </w:r>
      <w:proofErr w:type="spellStart"/>
      <w:r>
        <w:t>experiments</w:t>
      </w:r>
      <w:proofErr w:type="spellEnd"/>
      <w:r>
        <w:t>/exp2_scaled/</w:t>
      </w:r>
      <w:proofErr w:type="spellStart"/>
      <w:r>
        <w:t>manifest.yaml</w:t>
      </w:r>
      <w:proofErr w:type="spellEnd"/>
      <w:r>
        <w:t>.</w:t>
      </w:r>
    </w:p>
    <w:p w14:paraId="7ADD26DB" w14:textId="77777777" w:rsidR="00D762DD" w:rsidRDefault="00000000">
      <w:pPr>
        <w:pStyle w:val="BodyText"/>
      </w:pPr>
      <w:r>
        <w:rPr>
          <w:b/>
          <w:bCs/>
        </w:rPr>
        <w:t>Puerta 2 — Ejecución por lotes controlada.</w:t>
      </w:r>
      <w:r>
        <w:t xml:space="preserve"> Ejecución de las 300 celdas desde el manifiesto declarativo, con semillas fijas y registro del contexto de tiempo de ejecución. No se permiten modificaciones ad-hoc de configuración.</w:t>
      </w:r>
    </w:p>
    <w:p w14:paraId="1128ABF8" w14:textId="77777777" w:rsidR="00D762DD" w:rsidRDefault="00000000">
      <w:pPr>
        <w:pStyle w:val="BodyText"/>
      </w:pPr>
      <w:r>
        <w:rPr>
          <w:b/>
          <w:bCs/>
        </w:rPr>
        <w:lastRenderedPageBreak/>
        <w:t>Puerta 3 — Auditoría de integridad de artefactos.</w:t>
      </w:r>
      <w:r>
        <w:t xml:space="preserve"> Inspección determinista de cada </w:t>
      </w:r>
      <w:proofErr w:type="spellStart"/>
      <w:proofErr w:type="gramStart"/>
      <w:r>
        <w:t>results.json</w:t>
      </w:r>
      <w:proofErr w:type="spellEnd"/>
      <w:proofErr w:type="gramEnd"/>
      <w:r>
        <w:t>: detección y exclusión de archivos vacíos, con esquema incompatible o con valores numéricos inválidos. Ningún artefacto excluido se reemplaza mediante reconstrucción sintética. Esta decisión descarta deliberadamente las estrategias de imputación habituales en presencia de datos faltantes (Adhikari 2022): imputar una métrica de calidad equivaldría a fabricar evidencia sobre el comportamiento de un explicador que no llegó a ejecutarse, de modo que la cobertura reducida se declara y se cuantifica (Sección 3.7) en lugar de completarse.</w:t>
      </w:r>
    </w:p>
    <w:p w14:paraId="6059FC91" w14:textId="77777777" w:rsidR="00D762DD" w:rsidRDefault="00000000">
      <w:pPr>
        <w:pStyle w:val="BodyText"/>
      </w:pPr>
      <w:r>
        <w:rPr>
          <w:b/>
          <w:bCs/>
        </w:rPr>
        <w:t>Puerta 4 — Armonización a tablas listas para el análisis.</w:t>
      </w:r>
      <w:r>
        <w:t xml:space="preserve"> Estandarización de claves y campos de métricas: las diferencias de esquema entre cohortes se resuelven mediante un proceso auditado que genera tablas </w:t>
      </w:r>
      <w:proofErr w:type="spellStart"/>
      <w:r>
        <w:t>merge</w:t>
      </w:r>
      <w:proofErr w:type="spellEnd"/>
      <w:r>
        <w:t>-seguras.</w:t>
      </w:r>
    </w:p>
    <w:p w14:paraId="773B3EB5" w14:textId="77777777" w:rsidR="00D762DD" w:rsidRDefault="00000000">
      <w:pPr>
        <w:pStyle w:val="BodyText"/>
      </w:pPr>
      <w:r>
        <w:rPr>
          <w:b/>
          <w:bCs/>
        </w:rPr>
        <w:t>Puerta 5 — Exportación inferencial.</w:t>
      </w:r>
      <w:r>
        <w:t xml:space="preserve"> Generación determinista de tablas </w:t>
      </w:r>
      <w:proofErr w:type="gramStart"/>
      <w:r>
        <w:t>de test</w:t>
      </w:r>
      <w:proofErr w:type="gramEnd"/>
      <w:r>
        <w:t xml:space="preserve"> </w:t>
      </w:r>
      <w:proofErr w:type="spellStart"/>
      <w:r>
        <w:t>omnibus</w:t>
      </w:r>
      <w:proofErr w:type="spellEnd"/>
      <w:r>
        <w:t xml:space="preserve"> y pruebas pareadas exclusivamente desde entradas calificadas. La superposición de recuperación para </w:t>
      </w:r>
      <w:proofErr w:type="spellStart"/>
      <w:r>
        <w:t>mlp_shap</w:t>
      </w:r>
      <w:proofErr w:type="spellEnd"/>
      <w:r>
        <w:t>/</w:t>
      </w:r>
      <w:proofErr w:type="spellStart"/>
      <w:r>
        <w:t>svm_shap</w:t>
      </w:r>
      <w:proofErr w:type="spellEnd"/>
      <w:r>
        <w:t xml:space="preserve"> (outputs/batch_results.csv) es la única excepción explícitamente documentada.</w:t>
      </w:r>
    </w:p>
    <w:p w14:paraId="36E1A582" w14:textId="77777777" w:rsidR="00D762DD" w:rsidRDefault="00000000">
      <w:pPr>
        <w:pStyle w:val="BodyText"/>
      </w:pPr>
      <w:r>
        <w:rPr>
          <w:b/>
          <w:bCs/>
        </w:rPr>
        <w:t>Puerta 6 — Perfilado de reproducibilidad.</w:t>
      </w:r>
      <w:r>
        <w:t xml:space="preserve"> Cuantificación de la dispersión entre ejecuciones y del CV en configuraciones replicadas de EXP1. Fundamenta la proposición P1 y establece el rango de variabilidad esperada para interpretar los intervalos de confianza de EXP2.</w:t>
      </w:r>
    </w:p>
    <w:p w14:paraId="09973A88" w14:textId="77777777" w:rsidR="00D762DD" w:rsidRDefault="00000000">
      <w:pPr>
        <w:pStyle w:val="BodyText"/>
      </w:pPr>
      <w:r>
        <w:rPr>
          <w:b/>
          <w:bCs/>
        </w:rPr>
        <w:t>Puerta 7 — Reporte con trazabilidad de afirmaciones.</w:t>
      </w:r>
      <w:r>
        <w:t xml:space="preserve"> Las afirmaciones inferenciales se emiten únicamente cuando todas las puertas previas están satisfechas y son trazables a artefactos fuente específicos. Cualquier afirmación no trazable se presenta como descriptiva.</w:t>
      </w:r>
    </w:p>
    <w:p w14:paraId="09AD1FC4" w14:textId="77777777" w:rsidR="00D762DD" w:rsidRDefault="00000000">
      <w:pPr>
        <w:pStyle w:val="BodyText"/>
      </w:pPr>
      <w:r>
        <w:t>El flujo compacto del protocolo es:</w:t>
      </w:r>
    </w:p>
    <w:p w14:paraId="51A86A0F" w14:textId="77777777" w:rsidR="00D762DD" w:rsidRDefault="00000000">
      <w:pPr>
        <w:pStyle w:val="BodyText"/>
      </w:pPr>
      <m:oMathPara>
        <m:oMathParaPr>
          <m:jc m:val="center"/>
        </m:oMathParaPr>
        <m:oMath>
          <m:r>
            <m:rPr>
              <m:nor/>
            </m:rPr>
            <m:t>Congelación</m:t>
          </m:r>
          <m:r>
            <m:rPr>
              <m:sty m:val="p"/>
            </m:rPr>
            <w:rPr>
              <w:rFonts w:ascii="Cambria Math" w:hAnsi="Cambria Math"/>
            </w:rPr>
            <m:t>→</m:t>
          </m:r>
          <m:r>
            <m:rPr>
              <m:nor/>
            </m:rPr>
            <m:t>Ejecución</m:t>
          </m:r>
          <m:r>
            <m:rPr>
              <m:sty m:val="p"/>
            </m:rPr>
            <w:rPr>
              <w:rFonts w:ascii="Cambria Math" w:hAnsi="Cambria Math"/>
            </w:rPr>
            <m:t>→</m:t>
          </m:r>
          <m:r>
            <m:rPr>
              <m:nor/>
            </m:rPr>
            <m:t>Auditoría</m:t>
          </m:r>
          <m:r>
            <m:rPr>
              <m:sty m:val="p"/>
            </m:rPr>
            <w:rPr>
              <w:rFonts w:ascii="Cambria Math" w:hAnsi="Cambria Math"/>
            </w:rPr>
            <m:t>→</m:t>
          </m:r>
          <m:r>
            <m:rPr>
              <m:nor/>
            </m:rPr>
            <m:t>Armonización</m:t>
          </m:r>
          <m:r>
            <m:rPr>
              <m:sty m:val="p"/>
            </m:rPr>
            <w:rPr>
              <w:rFonts w:ascii="Cambria Math" w:hAnsi="Cambria Math"/>
            </w:rPr>
            <m:t>→</m:t>
          </m:r>
          <m:r>
            <m:rPr>
              <m:nor/>
            </m:rPr>
            <m:t>Exportación</m:t>
          </m:r>
          <m:r>
            <m:rPr>
              <m:sty m:val="p"/>
            </m:rPr>
            <w:rPr>
              <w:rFonts w:ascii="Cambria Math" w:hAnsi="Cambria Math"/>
            </w:rPr>
            <m:t>→</m:t>
          </m:r>
          <m:r>
            <m:rPr>
              <m:nor/>
            </m:rPr>
            <m:t>Perfilado</m:t>
          </m:r>
          <m:r>
            <m:rPr>
              <m:sty m:val="p"/>
            </m:rPr>
            <w:rPr>
              <w:rFonts w:ascii="Cambria Math" w:hAnsi="Cambria Math"/>
            </w:rPr>
            <m:t>→</m:t>
          </m:r>
          <m:r>
            <m:rPr>
              <m:nor/>
            </m:rPr>
            <m:t>Reporte</m:t>
          </m:r>
        </m:oMath>
      </m:oMathPara>
    </w:p>
    <w:p w14:paraId="44F9A2B5" w14:textId="77777777" w:rsidR="00D762DD" w:rsidRDefault="00000000">
      <w:r>
        <w:t xml:space="preserve">La Tabla </w:t>
      </w:r>
      <w:hyperlink w:anchor="tbl-fom7-gates">
        <w:r>
          <w:rPr>
            <w:rStyle w:val="Hyperlink"/>
          </w:rPr>
          <w:t>Table 4.3</w:t>
        </w:r>
      </w:hyperlink>
      <w:r>
        <w:t xml:space="preserve"> resume la función de gobierno de cada puerta. La tabla explicita qué entra, qué sale y qué modo de fallo queda controlado, de modo que FOM-7 pueda auditarse como protocolo y no solo como narración metodológica.</w:t>
      </w:r>
    </w:p>
    <w:tbl>
      <w:tblPr>
        <w:tblW w:w="5000" w:type="pct"/>
        <w:tblLayout w:type="fixed"/>
        <w:tblLook w:val="0000" w:firstRow="0" w:lastRow="0" w:firstColumn="0" w:lastColumn="0" w:noHBand="0" w:noVBand="0"/>
      </w:tblPr>
      <w:tblGrid>
        <w:gridCol w:w="9576"/>
      </w:tblGrid>
      <w:tr w:rsidR="00D762DD" w14:paraId="3C1C9FBE" w14:textId="77777777">
        <w:tc>
          <w:tcPr>
            <w:tcW w:w="7920" w:type="dxa"/>
          </w:tcPr>
          <w:p w14:paraId="37E3CAC1" w14:textId="77777777" w:rsidR="00D762DD" w:rsidRDefault="00000000">
            <w:pPr>
              <w:spacing w:before="200"/>
              <w:jc w:val="left"/>
            </w:pPr>
            <w:bookmarkStart w:id="116" w:name="tbl-fom7-gates"/>
            <w:r>
              <w:t>Table 4.3: Puertas FOM-7, artefactos y modos de fallo controlados.</w:t>
            </w:r>
          </w:p>
          <w:tbl>
            <w:tblPr>
              <w:tblW w:w="5000" w:type="pct"/>
              <w:tblLayout w:type="fixed"/>
              <w:tblLook w:val="0020" w:firstRow="1" w:lastRow="0" w:firstColumn="0" w:lastColumn="0" w:noHBand="0" w:noVBand="0"/>
            </w:tblPr>
            <w:tblGrid>
              <w:gridCol w:w="1560"/>
              <w:gridCol w:w="1560"/>
              <w:gridCol w:w="1560"/>
              <w:gridCol w:w="1560"/>
              <w:gridCol w:w="1560"/>
              <w:gridCol w:w="1560"/>
            </w:tblGrid>
            <w:tr w:rsidR="00D762DD" w14:paraId="3D91C665" w14:textId="77777777">
              <w:trPr>
                <w:tblHeader/>
              </w:trPr>
              <w:tc>
                <w:tcPr>
                  <w:tcW w:w="1320" w:type="dxa"/>
                </w:tcPr>
                <w:p w14:paraId="38E60F27" w14:textId="77777777" w:rsidR="00D762DD" w:rsidRDefault="00000000">
                  <w:pPr>
                    <w:jc w:val="center"/>
                  </w:pPr>
                  <w:r>
                    <w:lastRenderedPageBreak/>
                    <w:t>Puerta</w:t>
                  </w:r>
                </w:p>
              </w:tc>
              <w:tc>
                <w:tcPr>
                  <w:tcW w:w="1320" w:type="dxa"/>
                </w:tcPr>
                <w:p w14:paraId="6CE0181E" w14:textId="77777777" w:rsidR="00D762DD" w:rsidRDefault="00000000">
                  <w:pPr>
                    <w:jc w:val="center"/>
                  </w:pPr>
                  <w:r>
                    <w:t>Propósito</w:t>
                  </w:r>
                </w:p>
              </w:tc>
              <w:tc>
                <w:tcPr>
                  <w:tcW w:w="1320" w:type="dxa"/>
                </w:tcPr>
                <w:p w14:paraId="6C0A25A4" w14:textId="77777777" w:rsidR="00D762DD" w:rsidRDefault="00000000">
                  <w:pPr>
                    <w:jc w:val="center"/>
                  </w:pPr>
                  <w:r>
                    <w:t>Artefacto de entrada</w:t>
                  </w:r>
                </w:p>
              </w:tc>
              <w:tc>
                <w:tcPr>
                  <w:tcW w:w="1320" w:type="dxa"/>
                </w:tcPr>
                <w:p w14:paraId="5C52F066" w14:textId="77777777" w:rsidR="00D762DD" w:rsidRDefault="00000000">
                  <w:pPr>
                    <w:jc w:val="center"/>
                  </w:pPr>
                  <w:r>
                    <w:t>Artefacto de salida</w:t>
                  </w:r>
                </w:p>
              </w:tc>
              <w:tc>
                <w:tcPr>
                  <w:tcW w:w="1320" w:type="dxa"/>
                </w:tcPr>
                <w:p w14:paraId="74DD6194" w14:textId="77777777" w:rsidR="00D762DD" w:rsidRDefault="00000000">
                  <w:pPr>
                    <w:jc w:val="center"/>
                  </w:pPr>
                  <w:r>
                    <w:t>Fallo controlado</w:t>
                  </w:r>
                </w:p>
              </w:tc>
              <w:tc>
                <w:tcPr>
                  <w:tcW w:w="1320" w:type="dxa"/>
                </w:tcPr>
                <w:p w14:paraId="6BF55383" w14:textId="77777777" w:rsidR="00D762DD" w:rsidRDefault="00000000">
                  <w:pPr>
                    <w:jc w:val="center"/>
                  </w:pPr>
                  <w:r>
                    <w:t>Evidencia</w:t>
                  </w:r>
                </w:p>
              </w:tc>
            </w:tr>
            <w:tr w:rsidR="00D762DD" w14:paraId="657B6DD2" w14:textId="77777777">
              <w:tc>
                <w:tcPr>
                  <w:tcW w:w="1320" w:type="dxa"/>
                </w:tcPr>
                <w:p w14:paraId="1C74E9A2" w14:textId="77777777" w:rsidR="00D762DD" w:rsidRDefault="00000000">
                  <w:pPr>
                    <w:jc w:val="center"/>
                  </w:pPr>
                  <w:r>
                    <w:t>1. Congelación</w:t>
                  </w:r>
                </w:p>
              </w:tc>
              <w:tc>
                <w:tcPr>
                  <w:tcW w:w="1320" w:type="dxa"/>
                </w:tcPr>
                <w:p w14:paraId="4C33B6A1" w14:textId="77777777" w:rsidR="00D762DD" w:rsidRDefault="00000000">
                  <w:pPr>
                    <w:jc w:val="center"/>
                  </w:pPr>
                  <w:r>
                    <w:t>Fijar diseño, versiones y plan inferencial antes de EXP2</w:t>
                  </w:r>
                </w:p>
              </w:tc>
              <w:tc>
                <w:tcPr>
                  <w:tcW w:w="1320" w:type="dxa"/>
                </w:tcPr>
                <w:p w14:paraId="76F222F7" w14:textId="77777777" w:rsidR="00D762DD" w:rsidRDefault="00000000">
                  <w:pPr>
                    <w:jc w:val="center"/>
                  </w:pPr>
                  <w:proofErr w:type="spellStart"/>
                  <w:r>
                    <w:t>configs</w:t>
                  </w:r>
                  <w:proofErr w:type="spellEnd"/>
                  <w:r>
                    <w:t>/</w:t>
                  </w:r>
                  <w:proofErr w:type="spellStart"/>
                  <w:r>
                    <w:t>experiments</w:t>
                  </w:r>
                  <w:proofErr w:type="spellEnd"/>
                  <w:r>
                    <w:t>/exp2_scaled/</w:t>
                  </w:r>
                  <w:proofErr w:type="spellStart"/>
                  <w:r>
                    <w:t>manifest.yaml</w:t>
                  </w:r>
                  <w:proofErr w:type="spellEnd"/>
                  <w:r>
                    <w:t>, código versionado</w:t>
                  </w:r>
                </w:p>
              </w:tc>
              <w:tc>
                <w:tcPr>
                  <w:tcW w:w="1320" w:type="dxa"/>
                </w:tcPr>
                <w:p w14:paraId="42344DD3" w14:textId="77777777" w:rsidR="00D762DD" w:rsidRDefault="00000000">
                  <w:pPr>
                    <w:jc w:val="center"/>
                  </w:pPr>
                  <w:r>
                    <w:t>Diseño factorial declarado</w:t>
                  </w:r>
                </w:p>
              </w:tc>
              <w:tc>
                <w:tcPr>
                  <w:tcW w:w="1320" w:type="dxa"/>
                </w:tcPr>
                <w:p w14:paraId="6B9A674C" w14:textId="77777777" w:rsidR="00D762DD" w:rsidRDefault="00000000">
                  <w:pPr>
                    <w:jc w:val="center"/>
                  </w:pPr>
                  <w:r>
                    <w:t xml:space="preserve">Deriva de protocolo, cambio </w:t>
                  </w:r>
                  <w:proofErr w:type="spellStart"/>
                  <w:r>
                    <w:t>post-hoc</w:t>
                  </w:r>
                  <w:proofErr w:type="spellEnd"/>
                  <w:r>
                    <w:t xml:space="preserve"> de hipótesis</w:t>
                  </w:r>
                </w:p>
              </w:tc>
              <w:tc>
                <w:tcPr>
                  <w:tcW w:w="1320" w:type="dxa"/>
                </w:tcPr>
                <w:p w14:paraId="1D79D209" w14:textId="77777777" w:rsidR="00D762DD" w:rsidRDefault="00000000">
                  <w:pPr>
                    <w:jc w:val="center"/>
                  </w:pPr>
                  <w:proofErr w:type="spellStart"/>
                  <w:proofErr w:type="gramStart"/>
                  <w:r>
                    <w:t>manifest.yaml</w:t>
                  </w:r>
                  <w:proofErr w:type="spellEnd"/>
                  <w:proofErr w:type="gramEnd"/>
                  <w:r>
                    <w:t xml:space="preserve">, </w:t>
                  </w:r>
                  <w:proofErr w:type="spellStart"/>
                  <w:r>
                    <w:t>commit</w:t>
                  </w:r>
                  <w:proofErr w:type="spellEnd"/>
                  <w:r>
                    <w:t xml:space="preserve"> de tesis</w:t>
                  </w:r>
                </w:p>
              </w:tc>
            </w:tr>
            <w:tr w:rsidR="00D762DD" w14:paraId="022F4878" w14:textId="77777777">
              <w:tc>
                <w:tcPr>
                  <w:tcW w:w="1320" w:type="dxa"/>
                </w:tcPr>
                <w:p w14:paraId="4B31073A" w14:textId="77777777" w:rsidR="00D762DD" w:rsidRDefault="00000000">
                  <w:pPr>
                    <w:jc w:val="center"/>
                  </w:pPr>
                  <w:r>
                    <w:t>2. Ejecución</w:t>
                  </w:r>
                </w:p>
              </w:tc>
              <w:tc>
                <w:tcPr>
                  <w:tcW w:w="1320" w:type="dxa"/>
                </w:tcPr>
                <w:p w14:paraId="32EF122A" w14:textId="77777777" w:rsidR="00D762DD" w:rsidRDefault="00000000">
                  <w:pPr>
                    <w:jc w:val="center"/>
                  </w:pPr>
                  <w:r>
                    <w:t>Ejecutar celdas desde configuración declarativa</w:t>
                  </w:r>
                </w:p>
              </w:tc>
              <w:tc>
                <w:tcPr>
                  <w:tcW w:w="1320" w:type="dxa"/>
                </w:tcPr>
                <w:p w14:paraId="1898A3C9" w14:textId="77777777" w:rsidR="00D762DD" w:rsidRDefault="00000000">
                  <w:pPr>
                    <w:jc w:val="center"/>
                  </w:pPr>
                  <w:r>
                    <w:t>YAML por celda, modelos congelados</w:t>
                  </w:r>
                </w:p>
              </w:tc>
              <w:tc>
                <w:tcPr>
                  <w:tcW w:w="1320" w:type="dxa"/>
                </w:tcPr>
                <w:p w14:paraId="32D01749" w14:textId="77777777" w:rsidR="00D762DD" w:rsidRPr="00A52D0E" w:rsidRDefault="00000000">
                  <w:pPr>
                    <w:jc w:val="center"/>
                    <w:rPr>
                      <w:lang w:val="en-US"/>
                    </w:rPr>
                  </w:pPr>
                  <w:r w:rsidRPr="00A52D0E">
                    <w:rPr>
                      <w:lang w:val="en-US"/>
                    </w:rPr>
                    <w:t>Árbol experiments/exp2_scaled/results/</w:t>
                  </w:r>
                </w:p>
              </w:tc>
              <w:tc>
                <w:tcPr>
                  <w:tcW w:w="1320" w:type="dxa"/>
                </w:tcPr>
                <w:p w14:paraId="741A0702" w14:textId="77777777" w:rsidR="00D762DD" w:rsidRDefault="00000000">
                  <w:pPr>
                    <w:jc w:val="center"/>
                  </w:pPr>
                  <w:r>
                    <w:t>Ejecuciones ad-hoc, semillas no registradas</w:t>
                  </w:r>
                </w:p>
              </w:tc>
              <w:tc>
                <w:tcPr>
                  <w:tcW w:w="1320" w:type="dxa"/>
                </w:tcPr>
                <w:p w14:paraId="258BE079" w14:textId="77777777" w:rsidR="00D762DD" w:rsidRDefault="00000000">
                  <w:pPr>
                    <w:jc w:val="center"/>
                  </w:pPr>
                  <w:proofErr w:type="spellStart"/>
                  <w:proofErr w:type="gramStart"/>
                  <w:r>
                    <w:t>results.json</w:t>
                  </w:r>
                  <w:proofErr w:type="spellEnd"/>
                  <w:proofErr w:type="gramEnd"/>
                  <w:r>
                    <w:t xml:space="preserve"> por celda</w:t>
                  </w:r>
                </w:p>
              </w:tc>
            </w:tr>
            <w:tr w:rsidR="00D762DD" w:rsidRPr="00A52D0E" w14:paraId="043CA944" w14:textId="77777777">
              <w:tc>
                <w:tcPr>
                  <w:tcW w:w="1320" w:type="dxa"/>
                </w:tcPr>
                <w:p w14:paraId="6AFBD425" w14:textId="77777777" w:rsidR="00D762DD" w:rsidRDefault="00000000">
                  <w:pPr>
                    <w:jc w:val="center"/>
                  </w:pPr>
                  <w:r>
                    <w:t>3. Auditoría</w:t>
                  </w:r>
                </w:p>
              </w:tc>
              <w:tc>
                <w:tcPr>
                  <w:tcW w:w="1320" w:type="dxa"/>
                </w:tcPr>
                <w:p w14:paraId="5A068441" w14:textId="77777777" w:rsidR="00D762DD" w:rsidRDefault="00000000">
                  <w:pPr>
                    <w:jc w:val="center"/>
                  </w:pPr>
                  <w:r>
                    <w:t>Calificar integridad de resultados</w:t>
                  </w:r>
                </w:p>
              </w:tc>
              <w:tc>
                <w:tcPr>
                  <w:tcW w:w="1320" w:type="dxa"/>
                </w:tcPr>
                <w:p w14:paraId="470CA946" w14:textId="77777777" w:rsidR="00D762DD" w:rsidRDefault="00000000">
                  <w:pPr>
                    <w:jc w:val="center"/>
                  </w:pPr>
                  <w:proofErr w:type="spellStart"/>
                  <w:proofErr w:type="gramStart"/>
                  <w:r>
                    <w:t>results.json</w:t>
                  </w:r>
                  <w:proofErr w:type="spellEnd"/>
                  <w:proofErr w:type="gramEnd"/>
                  <w:r>
                    <w:t xml:space="preserve"> crudos</w:t>
                  </w:r>
                </w:p>
              </w:tc>
              <w:tc>
                <w:tcPr>
                  <w:tcW w:w="1320" w:type="dxa"/>
                </w:tcPr>
                <w:p w14:paraId="4BC6BF57" w14:textId="77777777" w:rsidR="00D762DD" w:rsidRDefault="00000000">
                  <w:pPr>
                    <w:jc w:val="center"/>
                  </w:pPr>
                  <w:r>
                    <w:t>Inventario de celdas analizables</w:t>
                  </w:r>
                </w:p>
              </w:tc>
              <w:tc>
                <w:tcPr>
                  <w:tcW w:w="1320" w:type="dxa"/>
                </w:tcPr>
                <w:p w14:paraId="22A74F70" w14:textId="77777777" w:rsidR="00D762DD" w:rsidRDefault="00000000">
                  <w:pPr>
                    <w:jc w:val="center"/>
                  </w:pPr>
                  <w:r>
                    <w:t>Archivos vacíos, esquemas incompatibles, valores inválidos</w:t>
                  </w:r>
                </w:p>
              </w:tc>
              <w:tc>
                <w:tcPr>
                  <w:tcW w:w="1320" w:type="dxa"/>
                </w:tcPr>
                <w:p w14:paraId="079F4592" w14:textId="77777777" w:rsidR="00D762DD" w:rsidRPr="00A52D0E" w:rsidRDefault="00000000">
                  <w:pPr>
                    <w:jc w:val="center"/>
                    <w:rPr>
                      <w:lang w:val="en-US"/>
                    </w:rPr>
                  </w:pPr>
                  <w:r w:rsidRPr="00A52D0E">
                    <w:rPr>
                      <w:lang w:val="en-US"/>
                    </w:rPr>
                    <w:t>outputs/analysis/paper_a_exp2_stats/exp2_run_inventory.csv</w:t>
                  </w:r>
                </w:p>
              </w:tc>
            </w:tr>
            <w:tr w:rsidR="00D762DD" w:rsidRPr="00A52D0E" w14:paraId="790D4376" w14:textId="77777777">
              <w:tc>
                <w:tcPr>
                  <w:tcW w:w="1320" w:type="dxa"/>
                </w:tcPr>
                <w:p w14:paraId="26364429" w14:textId="77777777" w:rsidR="00D762DD" w:rsidRDefault="00000000">
                  <w:pPr>
                    <w:jc w:val="center"/>
                  </w:pPr>
                  <w:r>
                    <w:t>4. Armonización</w:t>
                  </w:r>
                </w:p>
              </w:tc>
              <w:tc>
                <w:tcPr>
                  <w:tcW w:w="1320" w:type="dxa"/>
                </w:tcPr>
                <w:p w14:paraId="0AE1A40D" w14:textId="77777777" w:rsidR="00D762DD" w:rsidRDefault="00000000">
                  <w:pPr>
                    <w:jc w:val="center"/>
                  </w:pPr>
                  <w:r>
                    <w:t>Convertir resultados heterogéneos en tablas de análisis</w:t>
                  </w:r>
                </w:p>
              </w:tc>
              <w:tc>
                <w:tcPr>
                  <w:tcW w:w="1320" w:type="dxa"/>
                </w:tcPr>
                <w:p w14:paraId="0D5F4152" w14:textId="77777777" w:rsidR="00D762DD" w:rsidRDefault="00000000">
                  <w:pPr>
                    <w:jc w:val="center"/>
                  </w:pPr>
                  <w:r>
                    <w:t>Artefactos calificados y outputs/batch_results.csv</w:t>
                  </w:r>
                </w:p>
              </w:tc>
              <w:tc>
                <w:tcPr>
                  <w:tcW w:w="1320" w:type="dxa"/>
                </w:tcPr>
                <w:p w14:paraId="1A599BEA" w14:textId="77777777" w:rsidR="00D762DD" w:rsidRDefault="00000000">
                  <w:pPr>
                    <w:jc w:val="center"/>
                  </w:pPr>
                  <w:r>
                    <w:t>Métricas a nivel de ejecución y bloque</w:t>
                  </w:r>
                </w:p>
              </w:tc>
              <w:tc>
                <w:tcPr>
                  <w:tcW w:w="1320" w:type="dxa"/>
                </w:tcPr>
                <w:p w14:paraId="7ABF3187" w14:textId="77777777" w:rsidR="00D762DD" w:rsidRDefault="00000000">
                  <w:pPr>
                    <w:jc w:val="center"/>
                  </w:pPr>
                  <w:r>
                    <w:t>Campos no comparables, mezclas de esquema</w:t>
                  </w:r>
                </w:p>
              </w:tc>
              <w:tc>
                <w:tcPr>
                  <w:tcW w:w="1320" w:type="dxa"/>
                </w:tcPr>
                <w:p w14:paraId="13DBF9DD" w14:textId="77777777" w:rsidR="00D762DD" w:rsidRPr="00A52D0E" w:rsidRDefault="00000000">
                  <w:pPr>
                    <w:jc w:val="center"/>
                    <w:rPr>
                      <w:lang w:val="en-US"/>
                    </w:rPr>
                  </w:pPr>
                  <w:r w:rsidRPr="00A52D0E">
                    <w:rPr>
                      <w:lang w:val="en-US"/>
                    </w:rPr>
                    <w:t>exp2_run_level_metrics.csv, exp2_block_method_summary.csv</w:t>
                  </w:r>
                </w:p>
              </w:tc>
            </w:tr>
            <w:tr w:rsidR="00D762DD" w:rsidRPr="00A52D0E" w14:paraId="15BE5F7E" w14:textId="77777777">
              <w:tc>
                <w:tcPr>
                  <w:tcW w:w="1320" w:type="dxa"/>
                </w:tcPr>
                <w:p w14:paraId="0CE1FE35" w14:textId="77777777" w:rsidR="00D762DD" w:rsidRDefault="00000000">
                  <w:pPr>
                    <w:jc w:val="center"/>
                  </w:pPr>
                  <w:r>
                    <w:t>5. Exportación</w:t>
                  </w:r>
                </w:p>
              </w:tc>
              <w:tc>
                <w:tcPr>
                  <w:tcW w:w="1320" w:type="dxa"/>
                </w:tcPr>
                <w:p w14:paraId="54E1DFF0" w14:textId="77777777" w:rsidR="00D762DD" w:rsidRDefault="00000000">
                  <w:pPr>
                    <w:jc w:val="center"/>
                  </w:pPr>
                  <w:r>
                    <w:t xml:space="preserve">Generar tablas inferenciales </w:t>
                  </w:r>
                  <w:r>
                    <w:lastRenderedPageBreak/>
                    <w:t>deterministas</w:t>
                  </w:r>
                </w:p>
              </w:tc>
              <w:tc>
                <w:tcPr>
                  <w:tcW w:w="1320" w:type="dxa"/>
                </w:tcPr>
                <w:p w14:paraId="7858EC3A" w14:textId="77777777" w:rsidR="00D762DD" w:rsidRDefault="00000000">
                  <w:pPr>
                    <w:jc w:val="center"/>
                  </w:pPr>
                  <w:r>
                    <w:lastRenderedPageBreak/>
                    <w:t>Tablas armonizadas</w:t>
                  </w:r>
                </w:p>
              </w:tc>
              <w:tc>
                <w:tcPr>
                  <w:tcW w:w="1320" w:type="dxa"/>
                </w:tcPr>
                <w:p w14:paraId="066B5872" w14:textId="77777777" w:rsidR="00D762DD" w:rsidRDefault="00000000">
                  <w:pPr>
                    <w:jc w:val="center"/>
                  </w:pPr>
                  <w:r>
                    <w:t xml:space="preserve">Friedman, Nemenyi y Wilcoxon </w:t>
                  </w:r>
                  <w:r>
                    <w:lastRenderedPageBreak/>
                    <w:t>exportados</w:t>
                  </w:r>
                </w:p>
              </w:tc>
              <w:tc>
                <w:tcPr>
                  <w:tcW w:w="1320" w:type="dxa"/>
                </w:tcPr>
                <w:p w14:paraId="5F2CCC21" w14:textId="77777777" w:rsidR="00D762DD" w:rsidRDefault="00000000">
                  <w:pPr>
                    <w:jc w:val="center"/>
                  </w:pPr>
                  <w:r>
                    <w:lastRenderedPageBreak/>
                    <w:t xml:space="preserve">Cálculos manuales, doble conteo, </w:t>
                  </w:r>
                  <w:proofErr w:type="spellStart"/>
                  <w:r>
                    <w:lastRenderedPageBreak/>
                    <w:t>pseudorreplicación</w:t>
                  </w:r>
                  <w:proofErr w:type="spellEnd"/>
                </w:p>
              </w:tc>
              <w:tc>
                <w:tcPr>
                  <w:tcW w:w="1320" w:type="dxa"/>
                </w:tcPr>
                <w:p w14:paraId="549FE91A" w14:textId="77777777" w:rsidR="00D762DD" w:rsidRPr="00A52D0E" w:rsidRDefault="00000000">
                  <w:pPr>
                    <w:jc w:val="center"/>
                    <w:rPr>
                      <w:lang w:val="en-US"/>
                    </w:rPr>
                  </w:pPr>
                  <w:r w:rsidRPr="00A52D0E">
                    <w:rPr>
                      <w:lang w:val="en-US"/>
                    </w:rPr>
                    <w:lastRenderedPageBreak/>
                    <w:t xml:space="preserve">friedman_results.csv, </w:t>
                  </w:r>
                  <w:proofErr w:type="spellStart"/>
                  <w:r w:rsidRPr="00A52D0E">
                    <w:rPr>
                      <w:lang w:val="en-US"/>
                    </w:rPr>
                    <w:t>nemenyi</w:t>
                  </w:r>
                  <w:proofErr w:type="spellEnd"/>
                  <w:r w:rsidRPr="00A52D0E">
                    <w:rPr>
                      <w:lang w:val="en-US"/>
                    </w:rPr>
                    <w:t>_*.cs</w:t>
                  </w:r>
                  <w:r w:rsidRPr="00A52D0E">
                    <w:rPr>
                      <w:lang w:val="en-US"/>
                    </w:rPr>
                    <w:lastRenderedPageBreak/>
                    <w:t>v, wilcoxon_*.csv</w:t>
                  </w:r>
                </w:p>
              </w:tc>
            </w:tr>
            <w:tr w:rsidR="00D762DD" w:rsidRPr="00A52D0E" w14:paraId="7515B350" w14:textId="77777777">
              <w:tc>
                <w:tcPr>
                  <w:tcW w:w="1320" w:type="dxa"/>
                </w:tcPr>
                <w:p w14:paraId="43621E78" w14:textId="77777777" w:rsidR="00D762DD" w:rsidRDefault="00000000">
                  <w:pPr>
                    <w:jc w:val="center"/>
                  </w:pPr>
                  <w:r>
                    <w:lastRenderedPageBreak/>
                    <w:t>6. Perfilado</w:t>
                  </w:r>
                </w:p>
              </w:tc>
              <w:tc>
                <w:tcPr>
                  <w:tcW w:w="1320" w:type="dxa"/>
                </w:tcPr>
                <w:p w14:paraId="2637B631" w14:textId="77777777" w:rsidR="00D762DD" w:rsidRDefault="00000000">
                  <w:pPr>
                    <w:jc w:val="center"/>
                  </w:pPr>
                  <w:r>
                    <w:t>Cuantificar reproducibilidad bajo semillas</w:t>
                  </w:r>
                </w:p>
              </w:tc>
              <w:tc>
                <w:tcPr>
                  <w:tcW w:w="1320" w:type="dxa"/>
                </w:tcPr>
                <w:p w14:paraId="42552C0D" w14:textId="77777777" w:rsidR="00D762DD" w:rsidRDefault="00000000">
                  <w:pPr>
                    <w:jc w:val="center"/>
                  </w:pPr>
                  <w:r>
                    <w:t>Réplicas EXP1 y métricas primarias</w:t>
                  </w:r>
                </w:p>
              </w:tc>
              <w:tc>
                <w:tcPr>
                  <w:tcW w:w="1320" w:type="dxa"/>
                </w:tcPr>
                <w:p w14:paraId="5887B5AE" w14:textId="77777777" w:rsidR="00D762DD" w:rsidRDefault="00000000">
                  <w:pPr>
                    <w:jc w:val="center"/>
                  </w:pPr>
                  <w:r>
                    <w:t>CV por método/métrica</w:t>
                  </w:r>
                </w:p>
              </w:tc>
              <w:tc>
                <w:tcPr>
                  <w:tcW w:w="1320" w:type="dxa"/>
                </w:tcPr>
                <w:p w14:paraId="6951AE92" w14:textId="77777777" w:rsidR="00D762DD" w:rsidRDefault="00000000">
                  <w:pPr>
                    <w:jc w:val="center"/>
                  </w:pPr>
                  <w:r>
                    <w:t>Confundir variación de semilla con efecto de método</w:t>
                  </w:r>
                </w:p>
              </w:tc>
              <w:tc>
                <w:tcPr>
                  <w:tcW w:w="1320" w:type="dxa"/>
                </w:tcPr>
                <w:p w14:paraId="7DA3197C" w14:textId="77777777" w:rsidR="00D762DD" w:rsidRPr="00A52D0E" w:rsidRDefault="00000000">
                  <w:pPr>
                    <w:jc w:val="center"/>
                    <w:rPr>
                      <w:lang w:val="en-US"/>
                    </w:rPr>
                  </w:pPr>
                  <w:r w:rsidRPr="00A52D0E">
                    <w:rPr>
                      <w:lang w:val="en-US"/>
                    </w:rPr>
                    <w:t>experiments/exp1_adult/reproducibility/reproducibility_report.csv</w:t>
                  </w:r>
                </w:p>
              </w:tc>
            </w:tr>
            <w:tr w:rsidR="00D762DD" w14:paraId="35564D26" w14:textId="77777777">
              <w:tc>
                <w:tcPr>
                  <w:tcW w:w="1320" w:type="dxa"/>
                </w:tcPr>
                <w:p w14:paraId="5C8CFB46" w14:textId="77777777" w:rsidR="00D762DD" w:rsidRDefault="00000000">
                  <w:pPr>
                    <w:jc w:val="center"/>
                  </w:pPr>
                  <w:r>
                    <w:t>7. Reporte</w:t>
                  </w:r>
                </w:p>
              </w:tc>
              <w:tc>
                <w:tcPr>
                  <w:tcW w:w="1320" w:type="dxa"/>
                </w:tcPr>
                <w:p w14:paraId="279085F9" w14:textId="77777777" w:rsidR="00D762DD" w:rsidRDefault="00000000">
                  <w:pPr>
                    <w:jc w:val="center"/>
                  </w:pPr>
                  <w:r>
                    <w:t xml:space="preserve">Vincular cada </w:t>
                  </w:r>
                  <w:proofErr w:type="spellStart"/>
                  <w:r>
                    <w:t>claim</w:t>
                  </w:r>
                  <w:proofErr w:type="spellEnd"/>
                  <w:r>
                    <w:t xml:space="preserve"> con evidencia identificable</w:t>
                  </w:r>
                </w:p>
              </w:tc>
              <w:tc>
                <w:tcPr>
                  <w:tcW w:w="1320" w:type="dxa"/>
                </w:tcPr>
                <w:p w14:paraId="6E705741" w14:textId="77777777" w:rsidR="00D762DD" w:rsidRDefault="00000000">
                  <w:pPr>
                    <w:jc w:val="center"/>
                  </w:pPr>
                  <w:r>
                    <w:t>Resultados, tablas, scripts, limitaciones</w:t>
                  </w:r>
                </w:p>
              </w:tc>
              <w:tc>
                <w:tcPr>
                  <w:tcW w:w="1320" w:type="dxa"/>
                </w:tcPr>
                <w:p w14:paraId="66D0427C" w14:textId="77777777" w:rsidR="00D762DD" w:rsidRDefault="00000000">
                  <w:pPr>
                    <w:jc w:val="center"/>
                  </w:pPr>
                  <w:proofErr w:type="spellStart"/>
                  <w:r>
                    <w:t>Claims</w:t>
                  </w:r>
                  <w:proofErr w:type="spellEnd"/>
                  <w:r>
                    <w:t xml:space="preserve"> trazables en Capítulo 4</w:t>
                  </w:r>
                </w:p>
              </w:tc>
              <w:tc>
                <w:tcPr>
                  <w:tcW w:w="1320" w:type="dxa"/>
                </w:tcPr>
                <w:p w14:paraId="5E938236" w14:textId="77777777" w:rsidR="00D762DD" w:rsidRDefault="00000000">
                  <w:pPr>
                    <w:jc w:val="center"/>
                  </w:pPr>
                  <w:proofErr w:type="spellStart"/>
                  <w:r>
                    <w:t>Sobreclaiming</w:t>
                  </w:r>
                  <w:proofErr w:type="spellEnd"/>
                  <w:r>
                    <w:t>, afirmaciones no auditables</w:t>
                  </w:r>
                </w:p>
              </w:tc>
              <w:tc>
                <w:tcPr>
                  <w:tcW w:w="1320" w:type="dxa"/>
                </w:tcPr>
                <w:p w14:paraId="5BF7326C" w14:textId="77777777" w:rsidR="00D762DD" w:rsidRDefault="00000000">
                  <w:pPr>
                    <w:jc w:val="center"/>
                  </w:pPr>
                  <w:r>
                    <w:t xml:space="preserve">Tablas </w:t>
                  </w:r>
                  <w:hyperlink w:anchor="tbl-results-overview">
                    <w:r>
                      <w:rPr>
                        <w:rStyle w:val="Hyperlink"/>
                      </w:rPr>
                      <w:t>Table 5.1</w:t>
                    </w:r>
                  </w:hyperlink>
                  <w:r>
                    <w:t xml:space="preserve"> y </w:t>
                  </w:r>
                  <w:hyperlink w:anchor="tbl-claim-traceability">
                    <w:r>
                      <w:rPr>
                        <w:rStyle w:val="Hyperlink"/>
                      </w:rPr>
                      <w:t>Table 5.7</w:t>
                    </w:r>
                  </w:hyperlink>
                </w:p>
              </w:tc>
            </w:tr>
            <w:bookmarkEnd w:id="116"/>
          </w:tbl>
          <w:p w14:paraId="4ADA8492" w14:textId="77777777" w:rsidR="00D762DD" w:rsidRDefault="00D762DD"/>
        </w:tc>
      </w:tr>
    </w:tbl>
    <w:p w14:paraId="31291989" w14:textId="77777777" w:rsidR="00D762DD" w:rsidRDefault="00000000">
      <w:pPr>
        <w:pStyle w:val="Heading2"/>
      </w:pPr>
      <w:bookmarkStart w:id="117" w:name="X70736bc07e73377e919d2c60f119994d057bf14"/>
      <w:bookmarkStart w:id="118" w:name="_Toc238925752"/>
      <w:bookmarkEnd w:id="114"/>
      <w:r>
        <w:lastRenderedPageBreak/>
        <w:t>Cobertura de artefactos y análisis del impacto de datos faltantes</w:t>
      </w:r>
      <w:bookmarkEnd w:id="118"/>
    </w:p>
    <w:p w14:paraId="10C56AA0" w14:textId="77777777" w:rsidR="00D762DD" w:rsidRDefault="00000000">
      <w:pPr>
        <w:pStyle w:val="Heading3"/>
      </w:pPr>
      <w:bookmarkStart w:id="119" w:name="inventario-de-cobertura"/>
      <w:bookmarkStart w:id="120" w:name="_Toc238925753"/>
      <w:r>
        <w:t>Inventario de cobertura</w:t>
      </w:r>
      <w:bookmarkEnd w:id="120"/>
    </w:p>
    <w:p w14:paraId="0098250A" w14:textId="77777777" w:rsidR="00D762DD" w:rsidRDefault="00000000">
      <w:r>
        <w:t>El análisis de cobertura se realizó directamente sobre el árbol de resultados comprometidos (</w:t>
      </w:r>
      <w:proofErr w:type="spellStart"/>
      <w:r>
        <w:t>experiments</w:t>
      </w:r>
      <w:proofErr w:type="spellEnd"/>
      <w:r>
        <w:t>/exp2_scaled/</w:t>
      </w:r>
      <w:proofErr w:type="spellStart"/>
      <w:r>
        <w:t>results</w:t>
      </w:r>
      <w:proofErr w:type="spellEnd"/>
      <w:r>
        <w:t xml:space="preserve">/), verificando la presencia y el tamaño no nulo de cada </w:t>
      </w:r>
      <w:proofErr w:type="spellStart"/>
      <w:proofErr w:type="gramStart"/>
      <w:r>
        <w:t>results.json</w:t>
      </w:r>
      <w:proofErr w:type="spellEnd"/>
      <w:proofErr w:type="gramEnd"/>
      <w:r>
        <w:t xml:space="preserve"> en las 300 celdas del diseño.</w:t>
      </w:r>
    </w:p>
    <w:tbl>
      <w:tblPr>
        <w:tblW w:w="5000" w:type="pct"/>
        <w:tblLayout w:type="fixed"/>
        <w:tblLook w:val="0000" w:firstRow="0" w:lastRow="0" w:firstColumn="0" w:lastColumn="0" w:noHBand="0" w:noVBand="0"/>
      </w:tblPr>
      <w:tblGrid>
        <w:gridCol w:w="9576"/>
      </w:tblGrid>
      <w:tr w:rsidR="00D762DD" w14:paraId="7A8D5EEC" w14:textId="77777777">
        <w:tc>
          <w:tcPr>
            <w:tcW w:w="7920" w:type="dxa"/>
          </w:tcPr>
          <w:p w14:paraId="67D1AADA" w14:textId="77777777" w:rsidR="00D762DD" w:rsidRDefault="00000000">
            <w:pPr>
              <w:spacing w:before="200"/>
              <w:jc w:val="left"/>
            </w:pPr>
            <w:bookmarkStart w:id="121" w:name="tbl-coverage"/>
            <w:r>
              <w:t xml:space="preserve">Table 4.4: Inventario de cobertura de artefactos. EXP2 incluye la superposición de recuperación de 30 filas para celdas </w:t>
            </w:r>
            <w:proofErr w:type="spellStart"/>
            <w:r>
              <w:t>mlp_shap</w:t>
            </w:r>
            <w:proofErr w:type="spellEnd"/>
            <w:r>
              <w:t>/</w:t>
            </w:r>
            <w:proofErr w:type="spellStart"/>
            <w:r>
              <w:t>svm_shap</w:t>
            </w:r>
            <w:proofErr w:type="spellEnd"/>
            <w:r>
              <w:t xml:space="preserve">. </w:t>
            </w:r>
          </w:p>
          <w:tbl>
            <w:tblPr>
              <w:tblW w:w="0" w:type="auto"/>
              <w:tblLook w:val="0020" w:firstRow="1" w:lastRow="0" w:firstColumn="0" w:lastColumn="0" w:noHBand="0" w:noVBand="0"/>
            </w:tblPr>
            <w:tblGrid>
              <w:gridCol w:w="1584"/>
              <w:gridCol w:w="1584"/>
              <w:gridCol w:w="1584"/>
              <w:gridCol w:w="1584"/>
              <w:gridCol w:w="1584"/>
            </w:tblGrid>
            <w:tr w:rsidR="00D762DD" w14:paraId="729B1456" w14:textId="77777777">
              <w:trPr>
                <w:tblHeader/>
              </w:trPr>
              <w:tc>
                <w:tcPr>
                  <w:tcW w:w="1584" w:type="dxa"/>
                </w:tcPr>
                <w:p w14:paraId="71944C34" w14:textId="77777777" w:rsidR="00D762DD" w:rsidRDefault="00000000">
                  <w:pPr>
                    <w:jc w:val="center"/>
                  </w:pPr>
                  <w:r>
                    <w:t>Cohorte</w:t>
                  </w:r>
                </w:p>
              </w:tc>
              <w:tc>
                <w:tcPr>
                  <w:tcW w:w="1584" w:type="dxa"/>
                </w:tcPr>
                <w:p w14:paraId="613C587B" w14:textId="77777777" w:rsidR="00D762DD" w:rsidRDefault="00000000">
                  <w:pPr>
                    <w:jc w:val="center"/>
                  </w:pPr>
                  <w:r>
                    <w:t>Planificadas</w:t>
                  </w:r>
                </w:p>
              </w:tc>
              <w:tc>
                <w:tcPr>
                  <w:tcW w:w="1584" w:type="dxa"/>
                </w:tcPr>
                <w:p w14:paraId="631B4E9B" w14:textId="77777777" w:rsidR="00D762DD" w:rsidRDefault="00000000">
                  <w:pPr>
                    <w:jc w:val="center"/>
                  </w:pPr>
                  <w:r>
                    <w:t>Presentes</w:t>
                  </w:r>
                </w:p>
              </w:tc>
              <w:tc>
                <w:tcPr>
                  <w:tcW w:w="1584" w:type="dxa"/>
                </w:tcPr>
                <w:p w14:paraId="29A38E0A" w14:textId="77777777" w:rsidR="00D762DD" w:rsidRDefault="00000000">
                  <w:pPr>
                    <w:jc w:val="center"/>
                  </w:pPr>
                  <w:r>
                    <w:t>Analizables</w:t>
                  </w:r>
                </w:p>
              </w:tc>
              <w:tc>
                <w:tcPr>
                  <w:tcW w:w="1584" w:type="dxa"/>
                </w:tcPr>
                <w:p w14:paraId="028CE789" w14:textId="77777777" w:rsidR="00D762DD" w:rsidRDefault="00000000">
                  <w:pPr>
                    <w:jc w:val="center"/>
                  </w:pPr>
                  <w:r>
                    <w:t>Cobertura</w:t>
                  </w:r>
                </w:p>
              </w:tc>
            </w:tr>
            <w:tr w:rsidR="00D762DD" w14:paraId="094AD5EB" w14:textId="77777777">
              <w:tc>
                <w:tcPr>
                  <w:tcW w:w="1584" w:type="dxa"/>
                </w:tcPr>
                <w:p w14:paraId="42680F78" w14:textId="77777777" w:rsidR="00D762DD" w:rsidRDefault="00000000">
                  <w:pPr>
                    <w:jc w:val="center"/>
                  </w:pPr>
                  <w:r>
                    <w:t>EXP1 (calibración)</w:t>
                  </w:r>
                </w:p>
              </w:tc>
              <w:tc>
                <w:tcPr>
                  <w:tcW w:w="1584" w:type="dxa"/>
                </w:tcPr>
                <w:p w14:paraId="2D26527A" w14:textId="77777777" w:rsidR="00D762DD" w:rsidRDefault="00000000">
                  <w:pPr>
                    <w:jc w:val="center"/>
                  </w:pPr>
                  <w:r>
                    <w:t>75</w:t>
                  </w:r>
                </w:p>
              </w:tc>
              <w:tc>
                <w:tcPr>
                  <w:tcW w:w="1584" w:type="dxa"/>
                </w:tcPr>
                <w:p w14:paraId="3236CAAB" w14:textId="77777777" w:rsidR="00D762DD" w:rsidRDefault="00000000">
                  <w:pPr>
                    <w:jc w:val="center"/>
                  </w:pPr>
                  <w:r>
                    <w:t>75</w:t>
                  </w:r>
                </w:p>
              </w:tc>
              <w:tc>
                <w:tcPr>
                  <w:tcW w:w="1584" w:type="dxa"/>
                </w:tcPr>
                <w:p w14:paraId="7B09CC5F" w14:textId="77777777" w:rsidR="00D762DD" w:rsidRDefault="00000000">
                  <w:pPr>
                    <w:jc w:val="center"/>
                  </w:pPr>
                  <w:r>
                    <w:t>66</w:t>
                  </w:r>
                </w:p>
              </w:tc>
              <w:tc>
                <w:tcPr>
                  <w:tcW w:w="1584" w:type="dxa"/>
                </w:tcPr>
                <w:p w14:paraId="41F258F0" w14:textId="77777777" w:rsidR="00D762DD" w:rsidRDefault="00000000">
                  <w:pPr>
                    <w:jc w:val="center"/>
                  </w:pPr>
                  <w:r>
                    <w:t>88.0%</w:t>
                  </w:r>
                </w:p>
              </w:tc>
            </w:tr>
            <w:tr w:rsidR="00D762DD" w14:paraId="0E0A7480" w14:textId="77777777">
              <w:tc>
                <w:tcPr>
                  <w:tcW w:w="1584" w:type="dxa"/>
                </w:tcPr>
                <w:p w14:paraId="16FD4CF9" w14:textId="77777777" w:rsidR="00D762DD" w:rsidRDefault="00000000">
                  <w:pPr>
                    <w:jc w:val="center"/>
                  </w:pPr>
                  <w:r>
                    <w:t>EXP2 (</w:t>
                  </w:r>
                  <w:proofErr w:type="spellStart"/>
                  <w:r>
                    <w:t>benchmark</w:t>
                  </w:r>
                  <w:proofErr w:type="spellEnd"/>
                  <w:r>
                    <w:t xml:space="preserve"> primario)</w:t>
                  </w:r>
                </w:p>
              </w:tc>
              <w:tc>
                <w:tcPr>
                  <w:tcW w:w="1584" w:type="dxa"/>
                </w:tcPr>
                <w:p w14:paraId="0E7EB391" w14:textId="77777777" w:rsidR="00D762DD" w:rsidRDefault="00000000">
                  <w:pPr>
                    <w:jc w:val="center"/>
                  </w:pPr>
                  <w:r>
                    <w:t>300</w:t>
                  </w:r>
                </w:p>
              </w:tc>
              <w:tc>
                <w:tcPr>
                  <w:tcW w:w="1584" w:type="dxa"/>
                </w:tcPr>
                <w:p w14:paraId="2DBB839D" w14:textId="77777777" w:rsidR="00D762DD" w:rsidRDefault="00000000">
                  <w:pPr>
                    <w:jc w:val="center"/>
                  </w:pPr>
                  <w:r>
                    <w:t>299</w:t>
                  </w:r>
                </w:p>
              </w:tc>
              <w:tc>
                <w:tcPr>
                  <w:tcW w:w="1584" w:type="dxa"/>
                </w:tcPr>
                <w:p w14:paraId="0DB4F1E2" w14:textId="77777777" w:rsidR="00D762DD" w:rsidRDefault="00000000">
                  <w:pPr>
                    <w:jc w:val="center"/>
                  </w:pPr>
                  <w:r>
                    <w:t>275</w:t>
                  </w:r>
                </w:p>
              </w:tc>
              <w:tc>
                <w:tcPr>
                  <w:tcW w:w="1584" w:type="dxa"/>
                </w:tcPr>
                <w:p w14:paraId="71B02864" w14:textId="77777777" w:rsidR="00D762DD" w:rsidRDefault="00000000">
                  <w:pPr>
                    <w:jc w:val="center"/>
                  </w:pPr>
                  <w:r>
                    <w:t>91.7%</w:t>
                  </w:r>
                </w:p>
              </w:tc>
            </w:tr>
            <w:bookmarkEnd w:id="121"/>
          </w:tbl>
          <w:p w14:paraId="422402D4" w14:textId="77777777" w:rsidR="00D762DD" w:rsidRDefault="00D762DD"/>
        </w:tc>
      </w:tr>
    </w:tbl>
    <w:p w14:paraId="1C7F70C2" w14:textId="77777777" w:rsidR="00D762DD" w:rsidRDefault="00000000">
      <w:pPr>
        <w:pStyle w:val="BodyText"/>
      </w:pPr>
      <w:r>
        <w:lastRenderedPageBreak/>
        <w:t xml:space="preserve">La </w:t>
      </w:r>
      <w:r>
        <w:rPr>
          <w:b/>
          <w:bCs/>
        </w:rPr>
        <w:t>única celda físicamente faltante</w:t>
      </w:r>
      <w:r>
        <w:t xml:space="preserve"> en EXP2 es svm_shap_s456_n200 (verificado por inspección directa del árbol de artefactos). Las 25 celdas con cobertura analítica reducida presentan artefactos físicamente </w:t>
      </w:r>
      <w:proofErr w:type="gramStart"/>
      <w:r>
        <w:t>presentes</w:t>
      </w:r>
      <w:proofErr w:type="gramEnd"/>
      <w:r>
        <w:t xml:space="preserve"> pero con diferencias de esquema; se concentran en Anchors (18 celdas) y </w:t>
      </w:r>
      <w:proofErr w:type="spellStart"/>
      <w:r>
        <w:t>DiCE</w:t>
      </w:r>
      <w:proofErr w:type="spellEnd"/>
      <w:r>
        <w:t xml:space="preserve"> (7 celdas), con SHAP y LIME en cobertura completa (75/75 tras la superposición de recuperación).</w:t>
      </w:r>
    </w:p>
    <w:tbl>
      <w:tblPr>
        <w:tblW w:w="5000" w:type="pct"/>
        <w:tblLayout w:type="fixed"/>
        <w:tblLook w:val="0000" w:firstRow="0" w:lastRow="0" w:firstColumn="0" w:lastColumn="0" w:noHBand="0" w:noVBand="0"/>
      </w:tblPr>
      <w:tblGrid>
        <w:gridCol w:w="9576"/>
      </w:tblGrid>
      <w:tr w:rsidR="00D762DD" w14:paraId="1F94A032" w14:textId="77777777">
        <w:tc>
          <w:tcPr>
            <w:tcW w:w="7920" w:type="dxa"/>
          </w:tcPr>
          <w:p w14:paraId="6015810A" w14:textId="77777777" w:rsidR="00D762DD" w:rsidRDefault="00000000">
            <w:pPr>
              <w:spacing w:before="200"/>
              <w:jc w:val="left"/>
            </w:pPr>
            <w:bookmarkStart w:id="122" w:name="tbl-coverage-method"/>
            <w:r>
              <w:t>Table 4.5: Cobertura analítica por método. SHAP incluye la superposición de recuperación.</w:t>
            </w:r>
          </w:p>
          <w:tbl>
            <w:tblPr>
              <w:tblW w:w="0" w:type="auto"/>
              <w:tblLook w:val="0020" w:firstRow="1" w:lastRow="0" w:firstColumn="0" w:lastColumn="0" w:noHBand="0" w:noVBand="0"/>
            </w:tblPr>
            <w:tblGrid>
              <w:gridCol w:w="1980"/>
              <w:gridCol w:w="1980"/>
              <w:gridCol w:w="1980"/>
              <w:gridCol w:w="1980"/>
            </w:tblGrid>
            <w:tr w:rsidR="00D762DD" w14:paraId="0ED0060D" w14:textId="77777777">
              <w:trPr>
                <w:tblHeader/>
              </w:trPr>
              <w:tc>
                <w:tcPr>
                  <w:tcW w:w="1980" w:type="dxa"/>
                </w:tcPr>
                <w:p w14:paraId="3404502C" w14:textId="77777777" w:rsidR="00D762DD" w:rsidRDefault="00000000">
                  <w:pPr>
                    <w:jc w:val="center"/>
                  </w:pPr>
                  <w:r>
                    <w:t>Método</w:t>
                  </w:r>
                </w:p>
              </w:tc>
              <w:tc>
                <w:tcPr>
                  <w:tcW w:w="1980" w:type="dxa"/>
                </w:tcPr>
                <w:p w14:paraId="24848546" w14:textId="77777777" w:rsidR="00D762DD" w:rsidRDefault="00000000">
                  <w:pPr>
                    <w:jc w:val="center"/>
                  </w:pPr>
                  <w:r>
                    <w:t>Planificadas</w:t>
                  </w:r>
                </w:p>
              </w:tc>
              <w:tc>
                <w:tcPr>
                  <w:tcW w:w="1980" w:type="dxa"/>
                </w:tcPr>
                <w:p w14:paraId="0AF98761" w14:textId="77777777" w:rsidR="00D762DD" w:rsidRDefault="00000000">
                  <w:pPr>
                    <w:jc w:val="center"/>
                  </w:pPr>
                  <w:r>
                    <w:t>Analizables</w:t>
                  </w:r>
                </w:p>
              </w:tc>
              <w:tc>
                <w:tcPr>
                  <w:tcW w:w="1980" w:type="dxa"/>
                </w:tcPr>
                <w:p w14:paraId="21CB4984" w14:textId="77777777" w:rsidR="00D762DD" w:rsidRDefault="00000000">
                  <w:pPr>
                    <w:jc w:val="center"/>
                  </w:pPr>
                  <w:r>
                    <w:t>Cobertura</w:t>
                  </w:r>
                </w:p>
              </w:tc>
            </w:tr>
            <w:tr w:rsidR="00D762DD" w14:paraId="42F6BCD3" w14:textId="77777777">
              <w:tc>
                <w:tcPr>
                  <w:tcW w:w="1980" w:type="dxa"/>
                </w:tcPr>
                <w:p w14:paraId="5D84E3EF" w14:textId="77777777" w:rsidR="00D762DD" w:rsidRDefault="00000000">
                  <w:pPr>
                    <w:jc w:val="center"/>
                  </w:pPr>
                  <w:r>
                    <w:t>SHAP</w:t>
                  </w:r>
                </w:p>
              </w:tc>
              <w:tc>
                <w:tcPr>
                  <w:tcW w:w="1980" w:type="dxa"/>
                </w:tcPr>
                <w:p w14:paraId="4E291F0A" w14:textId="77777777" w:rsidR="00D762DD" w:rsidRDefault="00000000">
                  <w:pPr>
                    <w:jc w:val="center"/>
                  </w:pPr>
                  <w:r>
                    <w:t>75</w:t>
                  </w:r>
                </w:p>
              </w:tc>
              <w:tc>
                <w:tcPr>
                  <w:tcW w:w="1980" w:type="dxa"/>
                </w:tcPr>
                <w:p w14:paraId="1A98ACF5" w14:textId="77777777" w:rsidR="00D762DD" w:rsidRDefault="00000000">
                  <w:pPr>
                    <w:jc w:val="center"/>
                  </w:pPr>
                  <w:r>
                    <w:t>75</w:t>
                  </w:r>
                </w:p>
              </w:tc>
              <w:tc>
                <w:tcPr>
                  <w:tcW w:w="1980" w:type="dxa"/>
                </w:tcPr>
                <w:p w14:paraId="6E30032D" w14:textId="77777777" w:rsidR="00D762DD" w:rsidRDefault="00000000">
                  <w:pPr>
                    <w:jc w:val="center"/>
                  </w:pPr>
                  <w:r>
                    <w:t>100.0%</w:t>
                  </w:r>
                </w:p>
              </w:tc>
            </w:tr>
            <w:tr w:rsidR="00D762DD" w14:paraId="4657CCC9" w14:textId="77777777">
              <w:tc>
                <w:tcPr>
                  <w:tcW w:w="1980" w:type="dxa"/>
                </w:tcPr>
                <w:p w14:paraId="0EB6BEA6" w14:textId="77777777" w:rsidR="00D762DD" w:rsidRDefault="00000000">
                  <w:pPr>
                    <w:jc w:val="center"/>
                  </w:pPr>
                  <w:r>
                    <w:t>LIME</w:t>
                  </w:r>
                </w:p>
              </w:tc>
              <w:tc>
                <w:tcPr>
                  <w:tcW w:w="1980" w:type="dxa"/>
                </w:tcPr>
                <w:p w14:paraId="13BCB189" w14:textId="77777777" w:rsidR="00D762DD" w:rsidRDefault="00000000">
                  <w:pPr>
                    <w:jc w:val="center"/>
                  </w:pPr>
                  <w:r>
                    <w:t>75</w:t>
                  </w:r>
                </w:p>
              </w:tc>
              <w:tc>
                <w:tcPr>
                  <w:tcW w:w="1980" w:type="dxa"/>
                </w:tcPr>
                <w:p w14:paraId="48F39655" w14:textId="77777777" w:rsidR="00D762DD" w:rsidRDefault="00000000">
                  <w:pPr>
                    <w:jc w:val="center"/>
                  </w:pPr>
                  <w:r>
                    <w:t>75</w:t>
                  </w:r>
                </w:p>
              </w:tc>
              <w:tc>
                <w:tcPr>
                  <w:tcW w:w="1980" w:type="dxa"/>
                </w:tcPr>
                <w:p w14:paraId="43DB123F" w14:textId="77777777" w:rsidR="00D762DD" w:rsidRDefault="00000000">
                  <w:pPr>
                    <w:jc w:val="center"/>
                  </w:pPr>
                  <w:r>
                    <w:t>100.0%</w:t>
                  </w:r>
                </w:p>
              </w:tc>
            </w:tr>
            <w:tr w:rsidR="00D762DD" w14:paraId="52F8C91E" w14:textId="77777777">
              <w:tc>
                <w:tcPr>
                  <w:tcW w:w="1980" w:type="dxa"/>
                </w:tcPr>
                <w:p w14:paraId="315802F4" w14:textId="77777777" w:rsidR="00D762DD" w:rsidRDefault="00000000">
                  <w:pPr>
                    <w:jc w:val="center"/>
                  </w:pPr>
                  <w:r>
                    <w:t>Anchors</w:t>
                  </w:r>
                </w:p>
              </w:tc>
              <w:tc>
                <w:tcPr>
                  <w:tcW w:w="1980" w:type="dxa"/>
                </w:tcPr>
                <w:p w14:paraId="18760C81" w14:textId="77777777" w:rsidR="00D762DD" w:rsidRDefault="00000000">
                  <w:pPr>
                    <w:jc w:val="center"/>
                  </w:pPr>
                  <w:r>
                    <w:t>75</w:t>
                  </w:r>
                </w:p>
              </w:tc>
              <w:tc>
                <w:tcPr>
                  <w:tcW w:w="1980" w:type="dxa"/>
                </w:tcPr>
                <w:p w14:paraId="03CA7DBE" w14:textId="77777777" w:rsidR="00D762DD" w:rsidRDefault="00000000">
                  <w:pPr>
                    <w:jc w:val="center"/>
                  </w:pPr>
                  <w:r>
                    <w:t>57</w:t>
                  </w:r>
                </w:p>
              </w:tc>
              <w:tc>
                <w:tcPr>
                  <w:tcW w:w="1980" w:type="dxa"/>
                </w:tcPr>
                <w:p w14:paraId="0A46A370" w14:textId="77777777" w:rsidR="00D762DD" w:rsidRDefault="00000000">
                  <w:pPr>
                    <w:jc w:val="center"/>
                  </w:pPr>
                  <w:r>
                    <w:t>76.0%</w:t>
                  </w:r>
                </w:p>
              </w:tc>
            </w:tr>
            <w:tr w:rsidR="00D762DD" w14:paraId="1EC33E7A" w14:textId="77777777">
              <w:tc>
                <w:tcPr>
                  <w:tcW w:w="1980" w:type="dxa"/>
                </w:tcPr>
                <w:p w14:paraId="2D485E0A" w14:textId="77777777" w:rsidR="00D762DD" w:rsidRDefault="00000000">
                  <w:pPr>
                    <w:jc w:val="center"/>
                  </w:pPr>
                  <w:proofErr w:type="spellStart"/>
                  <w:r>
                    <w:t>DiCE</w:t>
                  </w:r>
                  <w:proofErr w:type="spellEnd"/>
                </w:p>
              </w:tc>
              <w:tc>
                <w:tcPr>
                  <w:tcW w:w="1980" w:type="dxa"/>
                </w:tcPr>
                <w:p w14:paraId="4C4C6CD0" w14:textId="77777777" w:rsidR="00D762DD" w:rsidRDefault="00000000">
                  <w:pPr>
                    <w:jc w:val="center"/>
                  </w:pPr>
                  <w:r>
                    <w:t>75</w:t>
                  </w:r>
                </w:p>
              </w:tc>
              <w:tc>
                <w:tcPr>
                  <w:tcW w:w="1980" w:type="dxa"/>
                </w:tcPr>
                <w:p w14:paraId="2AF756D5" w14:textId="77777777" w:rsidR="00D762DD" w:rsidRDefault="00000000">
                  <w:pPr>
                    <w:jc w:val="center"/>
                  </w:pPr>
                  <w:r>
                    <w:t>68</w:t>
                  </w:r>
                </w:p>
              </w:tc>
              <w:tc>
                <w:tcPr>
                  <w:tcW w:w="1980" w:type="dxa"/>
                </w:tcPr>
                <w:p w14:paraId="6DCAF91A" w14:textId="77777777" w:rsidR="00D762DD" w:rsidRDefault="00000000">
                  <w:pPr>
                    <w:jc w:val="center"/>
                  </w:pPr>
                  <w:r>
                    <w:t>90.7%</w:t>
                  </w:r>
                </w:p>
              </w:tc>
            </w:tr>
            <w:bookmarkEnd w:id="122"/>
          </w:tbl>
          <w:p w14:paraId="434094AE" w14:textId="77777777" w:rsidR="00D762DD" w:rsidRDefault="00D762DD"/>
        </w:tc>
      </w:tr>
    </w:tbl>
    <w:p w14:paraId="23D24E7F" w14:textId="77777777" w:rsidR="00D762DD" w:rsidRDefault="00000000">
      <w:pPr>
        <w:pStyle w:val="Heading3"/>
      </w:pPr>
      <w:bookmarkStart w:id="123" w:name="Xcb4396ffd8bf23e7b418105a9e8d3fef7075c0b"/>
      <w:bookmarkStart w:id="124" w:name="_Toc238925754"/>
      <w:bookmarkEnd w:id="119"/>
      <w:r>
        <w:t>Evaluación cuantitativa del impacto estadístico</w:t>
      </w:r>
      <w:bookmarkEnd w:id="124"/>
    </w:p>
    <w:p w14:paraId="561A17AE" w14:textId="77777777" w:rsidR="00D762DD" w:rsidRDefault="00000000">
      <w:r>
        <w:t xml:space="preserve">El impacto de las 25 celdas ausentes se evalúa en tres dimensiones: completitud de bloques de Friedman, precisión de medias globales de Anchors y </w:t>
      </w:r>
      <w:proofErr w:type="spellStart"/>
      <w:r>
        <w:t>DiCE</w:t>
      </w:r>
      <w:proofErr w:type="spellEnd"/>
      <w:r>
        <w:t>, e integridad del Estudio Pareado LIME–SHAP.</w:t>
      </w:r>
    </w:p>
    <w:p w14:paraId="420B5B3B" w14:textId="77777777" w:rsidR="00D762DD" w:rsidRDefault="00000000">
      <w:pPr>
        <w:pStyle w:val="BodyText"/>
      </w:pPr>
      <w:r>
        <w:rPr>
          <w:b/>
          <w:bCs/>
        </w:rPr>
        <w:t>Completitud de bloques de Friedman.</w:t>
      </w:r>
      <w:r>
        <w:t xml:space="preserve"> </w:t>
      </w:r>
      <w:proofErr w:type="gramStart"/>
      <w:r>
        <w:t>El test</w:t>
      </w:r>
      <w:proofErr w:type="gramEnd"/>
      <w:r>
        <w:t xml:space="preserve"> de Friedman opera sobre </w:t>
      </w:r>
      <m:oMath>
        <m:r>
          <w:rPr>
            <w:rFonts w:ascii="Cambria Math" w:hAnsi="Cambria Math"/>
          </w:rPr>
          <m:t>B</m:t>
        </m:r>
        <m:r>
          <m:rPr>
            <m:sty m:val="p"/>
          </m:rPr>
          <w:rPr>
            <w:rFonts w:ascii="Cambria Math" w:hAnsi="Cambria Math"/>
          </w:rPr>
          <m:t>=</m:t>
        </m:r>
        <m:r>
          <w:rPr>
            <w:rFonts w:ascii="Cambria Math" w:hAnsi="Cambria Math"/>
          </w:rPr>
          <m:t>15</m:t>
        </m:r>
      </m:oMath>
      <w:r>
        <w:t xml:space="preserve"> bloques </w:t>
      </w:r>
      <m:oMath>
        <m:r>
          <m:rPr>
            <m:sty m:val="p"/>
          </m:rPr>
          <w:rPr>
            <w:rFonts w:ascii="Cambria Math" w:hAnsi="Cambria Math"/>
          </w:rPr>
          <m:t>(</m:t>
        </m:r>
        <m:r>
          <w:rPr>
            <w:rFonts w:ascii="Cambria Math" w:hAnsi="Cambria Math"/>
          </w:rPr>
          <m:t>g</m:t>
        </m:r>
        <m:r>
          <m:rPr>
            <m:sty m:val="p"/>
          </m:rPr>
          <w:rPr>
            <w:rFonts w:ascii="Cambria Math" w:hAnsi="Cambria Math"/>
          </w:rPr>
          <m:t>,</m:t>
        </m:r>
        <m:r>
          <w:rPr>
            <w:rFonts w:ascii="Cambria Math" w:hAnsi="Cambria Math"/>
          </w:rPr>
          <m:t>n</m:t>
        </m:r>
        <m:r>
          <m:rPr>
            <m:sty m:val="p"/>
          </m:rPr>
          <w:rPr>
            <w:rFonts w:ascii="Cambria Math" w:hAnsi="Cambria Math"/>
          </w:rPr>
          <m:t>)</m:t>
        </m:r>
      </m:oMath>
      <w:r>
        <w:t xml:space="preserve"> completos: un bloque es completo si los cuatro métodos tienen al menos una ejecución analizable. Verificación directa: los 15/15 bloques son completos para todos los métodos. La completitud de bloques garantiza la </w:t>
      </w:r>
      <w:proofErr w:type="spellStart"/>
      <w:r>
        <w:t>ejecutabilidad</w:t>
      </w:r>
      <w:proofErr w:type="spellEnd"/>
      <w:r>
        <w:t xml:space="preserve"> y validez </w:t>
      </w:r>
      <w:proofErr w:type="gramStart"/>
      <w:r>
        <w:t>del test</w:t>
      </w:r>
      <w:proofErr w:type="gramEnd"/>
      <w:r>
        <w:t xml:space="preserve"> de Friedman (Demšar 2006).</w:t>
      </w:r>
    </w:p>
    <w:p w14:paraId="48B7CB49" w14:textId="77777777" w:rsidR="00D762DD" w:rsidRDefault="00000000">
      <w:pPr>
        <w:pStyle w:val="BodyText"/>
      </w:pPr>
      <w:r>
        <w:rPr>
          <w:b/>
          <w:bCs/>
        </w:rPr>
        <w:t>Impacto en la precisión de los estimados de Anchors.</w:t>
      </w:r>
      <w:r>
        <w:t xml:space="preserve"> Con 57/75 = 76.0% de cobertura, algunos bloques de Anchors se estiman con </w:t>
      </w:r>
      <m:oMath>
        <m:r>
          <w:rPr>
            <w:rFonts w:ascii="Cambria Math" w:hAnsi="Cambria Math"/>
          </w:rPr>
          <m:t>r</m:t>
        </m:r>
        <m:r>
          <m:rPr>
            <m:sty m:val="p"/>
          </m:rPr>
          <w:rPr>
            <w:rFonts w:ascii="Cambria Math" w:hAnsi="Cambria Math"/>
          </w:rPr>
          <m:t>&lt;</m:t>
        </m:r>
        <m:r>
          <w:rPr>
            <w:rFonts w:ascii="Cambria Math" w:hAnsi="Cambria Math"/>
          </w:rPr>
          <m:t>5</m:t>
        </m:r>
      </m:oMath>
      <w:r>
        <w:t xml:space="preserve"> semillas. En el caso más desfavorable (bloques logreg-Anchors y mlp-Anchors, </w:t>
      </w:r>
      <m:oMath>
        <m:r>
          <w:rPr>
            <w:rFonts w:ascii="Cambria Math" w:hAnsi="Cambria Math"/>
          </w:rPr>
          <m:t>r</m:t>
        </m:r>
        <m:r>
          <m:rPr>
            <m:sty m:val="p"/>
          </m:rPr>
          <w:rPr>
            <w:rFonts w:ascii="Cambria Math" w:hAnsi="Cambria Math"/>
          </w:rPr>
          <m:t>≈</m:t>
        </m:r>
        <m:r>
          <w:rPr>
            <w:rFonts w:ascii="Cambria Math" w:hAnsi="Cambria Math"/>
          </w:rPr>
          <m:t>2.3</m:t>
        </m:r>
      </m:oMath>
      <w:r>
        <w:t xml:space="preserve"> semillas por </w:t>
      </w:r>
      <m:oMath>
        <m:r>
          <m:rPr>
            <m:sty m:val="p"/>
          </m:rPr>
          <w:rPr>
            <w:rFonts w:ascii="Cambria Math" w:hAnsi="Cambria Math"/>
          </w:rPr>
          <m:t>(</m:t>
        </m:r>
        <m:r>
          <w:rPr>
            <w:rFonts w:ascii="Cambria Math" w:hAnsi="Cambria Math"/>
          </w:rPr>
          <m:t>g</m:t>
        </m:r>
        <m:r>
          <m:rPr>
            <m:sty m:val="p"/>
          </m:rPr>
          <w:rPr>
            <w:rFonts w:ascii="Cambria Math" w:hAnsi="Cambria Math"/>
          </w:rPr>
          <m:t>,</m:t>
        </m:r>
        <m:r>
          <w:rPr>
            <w:rFonts w:ascii="Cambria Math" w:hAnsi="Cambria Math"/>
          </w:rPr>
          <m:t>n</m:t>
        </m:r>
        <m:r>
          <m:rPr>
            <m:sty m:val="p"/>
          </m:rPr>
          <w:rPr>
            <w:rFonts w:ascii="Cambria Math" w:hAnsi="Cambria Math"/>
          </w:rPr>
          <m:t>)</m:t>
        </m:r>
      </m:oMath>
      <w:r>
        <w:t>), la varianza del estimador de bloque se infla según:</w:t>
      </w:r>
    </w:p>
    <w:p w14:paraId="4DFE9C17" w14:textId="77777777" w:rsidR="00D762DD" w:rsidRDefault="00000000">
      <w:pPr>
        <w:pStyle w:val="BodyText"/>
      </w:pPr>
      <m:oMathPara>
        <m:oMathParaPr>
          <m:jc m:val="center"/>
        </m:oMathParaPr>
        <m:oMath>
          <m:r>
            <m:rPr>
              <m:nor/>
            </m:rPr>
            <m:t>Var</m:t>
          </m:r>
          <m:r>
            <w:rPr>
              <w:rFonts w:ascii="Cambria Math" w:hAnsi="Cambria Math"/>
            </w:rPr>
            <m:t>​</m:t>
          </m:r>
          <m:d>
            <m:dPr>
              <m:ctrlPr>
                <w:rPr>
                  <w:rFonts w:ascii="Cambria Math" w:hAnsi="Cambria Math"/>
                </w:rPr>
              </m:ctrlPr>
            </m:dPr>
            <m:e>
              <m:sSub>
                <m:sSubPr>
                  <m:ctrlPr>
                    <w:rPr>
                      <w:rFonts w:ascii="Cambria Math" w:hAnsi="Cambria Math"/>
                    </w:rPr>
                  </m:ctrlPr>
                </m:sSubPr>
                <m:e>
                  <m:acc>
                    <m:accPr>
                      <m:ctrlPr>
                        <w:rPr>
                          <w:rFonts w:ascii="Cambria Math" w:hAnsi="Cambria Math"/>
                        </w:rPr>
                      </m:ctrlPr>
                    </m:accPr>
                    <m:e>
                      <m:r>
                        <w:rPr>
                          <w:rFonts w:ascii="Cambria Math" w:hAnsi="Cambria Math"/>
                        </w:rPr>
                        <m:t>μ</m:t>
                      </m:r>
                    </m:e>
                  </m:acc>
                </m:e>
                <m:sub>
                  <m:r>
                    <w:rPr>
                      <w:rFonts w:ascii="Cambria Math" w:hAnsi="Cambria Math"/>
                    </w:rPr>
                    <m:t>g</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n</m:t>
                  </m:r>
                </m:sub>
              </m:sSub>
            </m:e>
          </m:d>
          <m:r>
            <m:rPr>
              <m:sty m:val="p"/>
            </m:rPr>
            <w:rPr>
              <w:rFonts w:ascii="Cambria Math" w:hAnsi="Cambria Math"/>
            </w:rPr>
            <m:t>=</m:t>
          </m:r>
          <m:f>
            <m:fPr>
              <m:ctrlPr>
                <w:rPr>
                  <w:rFonts w:ascii="Cambria Math" w:hAnsi="Cambria Math"/>
                </w:rPr>
              </m:ctrlPr>
            </m:fPr>
            <m:num>
              <m:sSubSup>
                <m:sSubSupPr>
                  <m:ctrlPr>
                    <w:rPr>
                      <w:rFonts w:ascii="Cambria Math" w:hAnsi="Cambria Math"/>
                    </w:rPr>
                  </m:ctrlPr>
                </m:sSubSupPr>
                <m:e>
                  <m:r>
                    <w:rPr>
                      <w:rFonts w:ascii="Cambria Math" w:hAnsi="Cambria Math"/>
                    </w:rPr>
                    <m:t>σ</m:t>
                  </m:r>
                </m:e>
                <m:sub>
                  <m:r>
                    <w:rPr>
                      <w:rFonts w:ascii="Cambria Math" w:hAnsi="Cambria Math"/>
                    </w:rPr>
                    <m:t>g</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n</m:t>
                  </m:r>
                </m:sub>
                <m:sup>
                  <m:r>
                    <w:rPr>
                      <w:rFonts w:ascii="Cambria Math" w:hAnsi="Cambria Math"/>
                    </w:rPr>
                    <m:t>2</m:t>
                  </m:r>
                </m:sup>
              </m:sSubSup>
            </m:num>
            <m:den>
              <m:r>
                <w:rPr>
                  <w:rFonts w:ascii="Cambria Math" w:hAnsi="Cambria Math"/>
                </w:rPr>
                <m:t>r</m:t>
              </m:r>
            </m:den>
          </m:f>
        </m:oMath>
      </m:oMathPara>
    </w:p>
    <w:p w14:paraId="3BB6FFC3" w14:textId="77777777" w:rsidR="00D762DD" w:rsidRDefault="00000000">
      <w:r>
        <w:lastRenderedPageBreak/>
        <w:t xml:space="preserve">Con </w:t>
      </w:r>
      <m:oMath>
        <m:r>
          <w:rPr>
            <w:rFonts w:ascii="Cambria Math" w:hAnsi="Cambria Math"/>
          </w:rPr>
          <m:t>r</m:t>
        </m:r>
        <m:r>
          <m:rPr>
            <m:sty m:val="p"/>
          </m:rPr>
          <w:rPr>
            <w:rFonts w:ascii="Cambria Math" w:hAnsi="Cambria Math"/>
          </w:rPr>
          <m:t>=</m:t>
        </m:r>
        <m:r>
          <w:rPr>
            <w:rFonts w:ascii="Cambria Math" w:hAnsi="Cambria Math"/>
          </w:rPr>
          <m:t>5</m:t>
        </m:r>
      </m:oMath>
      <w:r>
        <w:t xml:space="preserve"> planificados versus </w:t>
      </w:r>
      <m:oMath>
        <m:r>
          <w:rPr>
            <w:rFonts w:ascii="Cambria Math" w:hAnsi="Cambria Math"/>
          </w:rPr>
          <m:t>r</m:t>
        </m:r>
        <m:r>
          <m:rPr>
            <m:sty m:val="p"/>
          </m:rPr>
          <w:rPr>
            <w:rFonts w:ascii="Cambria Math" w:hAnsi="Cambria Math"/>
          </w:rPr>
          <m:t>≈</m:t>
        </m:r>
        <m:r>
          <w:rPr>
            <w:rFonts w:ascii="Cambria Math" w:hAnsi="Cambria Math"/>
          </w:rPr>
          <m:t>2.3</m:t>
        </m:r>
      </m:oMath>
      <w:r>
        <w:t xml:space="preserve"> observados, el error estándar se infla por un factor de </w:t>
      </w:r>
      <m:oMath>
        <m:rad>
          <m:radPr>
            <m:degHide m:val="1"/>
            <m:ctrlPr>
              <w:rPr>
                <w:rFonts w:ascii="Cambria Math" w:hAnsi="Cambria Math"/>
              </w:rPr>
            </m:ctrlPr>
          </m:radPr>
          <m:deg/>
          <m:e>
            <m:r>
              <w:rPr>
                <w:rFonts w:ascii="Cambria Math" w:hAnsi="Cambria Math"/>
              </w:rPr>
              <m:t>5</m:t>
            </m:r>
            <m:r>
              <m:rPr>
                <m:sty m:val="p"/>
              </m:rPr>
              <w:rPr>
                <w:rFonts w:ascii="Cambria Math" w:hAnsi="Cambria Math"/>
              </w:rPr>
              <m:t>/</m:t>
            </m:r>
            <m:r>
              <w:rPr>
                <w:rFonts w:ascii="Cambria Math" w:hAnsi="Cambria Math"/>
              </w:rPr>
              <m:t>2.3</m:t>
            </m:r>
          </m:e>
        </m:rad>
        <m:r>
          <m:rPr>
            <m:sty m:val="p"/>
          </m:rPr>
          <w:rPr>
            <w:rFonts w:ascii="Cambria Math" w:hAnsi="Cambria Math"/>
          </w:rPr>
          <m:t>≈</m:t>
        </m:r>
        <m:r>
          <w:rPr>
            <w:rFonts w:ascii="Cambria Math" w:hAnsi="Cambria Math"/>
          </w:rPr>
          <m:t>1.47</m:t>
        </m:r>
      </m:oMath>
      <w:r>
        <w:t xml:space="preserve"> (incremento del 47%). Este incremento amplía los intervalos de confianza de las medias de Anchors en esos bloques, pero no invalida </w:t>
      </w:r>
      <w:proofErr w:type="gramStart"/>
      <w:r>
        <w:t>el test</w:t>
      </w:r>
      <w:proofErr w:type="gramEnd"/>
      <w:r>
        <w:t xml:space="preserve"> de Friedman por tres razones: (i) </w:t>
      </w:r>
      <w:proofErr w:type="gramStart"/>
      <w:r>
        <w:t>el test</w:t>
      </w:r>
      <w:proofErr w:type="gramEnd"/>
      <w:r>
        <w:t xml:space="preserve"> de Friedman es un procedimiento de rangos, robusto a la inflación de varianza en bloques individuales; (</w:t>
      </w:r>
      <w:proofErr w:type="spellStart"/>
      <w:r>
        <w:t>ii</w:t>
      </w:r>
      <w:proofErr w:type="spellEnd"/>
      <w:r>
        <w:t xml:space="preserve">) los estadísticos de Friedman del estudio </w:t>
      </w:r>
      <w:proofErr w:type="spellStart"/>
      <w:r>
        <w:t>omnibus</w:t>
      </w:r>
      <w:proofErr w:type="spellEnd"/>
      <w:r>
        <w:t xml:space="preserve"> superan </w:t>
      </w:r>
      <m:oMath>
        <m:sSup>
          <m:sSupPr>
            <m:ctrlPr>
              <w:rPr>
                <w:rFonts w:ascii="Cambria Math" w:hAnsi="Cambria Math"/>
              </w:rPr>
            </m:ctrlPr>
          </m:sSupPr>
          <m:e>
            <m:r>
              <w:rPr>
                <w:rFonts w:ascii="Cambria Math" w:hAnsi="Cambria Math"/>
              </w:rPr>
              <m:t>χ</m:t>
            </m:r>
          </m:e>
          <m:sup>
            <m:r>
              <w:rPr>
                <w:rFonts w:ascii="Cambria Math" w:hAnsi="Cambria Math"/>
              </w:rPr>
              <m:t>2</m:t>
            </m:r>
          </m:sup>
        </m:sSup>
        <m:r>
          <m:rPr>
            <m:sty m:val="p"/>
          </m:rPr>
          <w:rPr>
            <w:rFonts w:ascii="Cambria Math" w:hAnsi="Cambria Math"/>
          </w:rPr>
          <m:t>=</m:t>
        </m:r>
        <m:r>
          <w:rPr>
            <w:rFonts w:ascii="Cambria Math" w:hAnsi="Cambria Math"/>
          </w:rPr>
          <m:t>30.44</m:t>
        </m:r>
      </m:oMath>
      <w:r>
        <w:t xml:space="preserve"> en todas las métricas, muy por encima del umbral crítico </w:t>
      </w:r>
      <m:oMath>
        <m:sSubSup>
          <m:sSubSupPr>
            <m:ctrlPr>
              <w:rPr>
                <w:rFonts w:ascii="Cambria Math" w:hAnsi="Cambria Math"/>
              </w:rPr>
            </m:ctrlPr>
          </m:sSubSupPr>
          <m:e>
            <m:r>
              <w:rPr>
                <w:rFonts w:ascii="Cambria Math" w:hAnsi="Cambria Math"/>
              </w:rPr>
              <m:t>χ</m:t>
            </m:r>
          </m:e>
          <m:sub>
            <m:r>
              <w:rPr>
                <w:rFonts w:ascii="Cambria Math" w:hAnsi="Cambria Math"/>
              </w:rPr>
              <m:t>0.05</m:t>
            </m:r>
            <m:r>
              <m:rPr>
                <m:sty m:val="p"/>
              </m:rPr>
              <w:rPr>
                <w:rFonts w:ascii="Cambria Math" w:hAnsi="Cambria Math"/>
              </w:rPr>
              <m:t>,</m:t>
            </m:r>
            <m:r>
              <w:rPr>
                <w:rFonts w:ascii="Cambria Math" w:hAnsi="Cambria Math"/>
              </w:rPr>
              <m:t>3</m:t>
            </m:r>
          </m:sub>
          <m:sup>
            <m:r>
              <w:rPr>
                <w:rFonts w:ascii="Cambria Math" w:hAnsi="Cambria Math"/>
              </w:rPr>
              <m:t>2</m:t>
            </m:r>
          </m:sup>
        </m:sSubSup>
        <m:r>
          <m:rPr>
            <m:sty m:val="p"/>
          </m:rPr>
          <w:rPr>
            <w:rFonts w:ascii="Cambria Math" w:hAnsi="Cambria Math"/>
          </w:rPr>
          <m:t>=</m:t>
        </m:r>
        <m:r>
          <w:rPr>
            <w:rFonts w:ascii="Cambria Math" w:hAnsi="Cambria Math"/>
          </w:rPr>
          <m:t>7.81</m:t>
        </m:r>
      </m:oMath>
      <w:r>
        <w:t>; (iii) el margen de seguridad para la métrica con menor estadístico (Coste) es:</w:t>
      </w:r>
    </w:p>
    <w:p w14:paraId="767EBAC5" w14:textId="77777777" w:rsidR="00D762DD" w:rsidRDefault="00000000">
      <w:pPr>
        <w:pStyle w:val="BodyText"/>
      </w:pPr>
      <m:oMathPara>
        <m:oMathParaPr>
          <m:jc m:val="center"/>
        </m:oMathParaPr>
        <m:oMath>
          <m:r>
            <m:rPr>
              <m:nor/>
            </m:rPr>
            <m:t>Margen</m:t>
          </m:r>
          <m:r>
            <m:rPr>
              <m:sty m:val="p"/>
            </m:rPr>
            <w:rPr>
              <w:rFonts w:ascii="Cambria Math" w:hAnsi="Cambria Math"/>
            </w:rPr>
            <m:t>=</m:t>
          </m:r>
          <m:f>
            <m:fPr>
              <m:ctrlPr>
                <w:rPr>
                  <w:rFonts w:ascii="Cambria Math" w:hAnsi="Cambria Math"/>
                </w:rPr>
              </m:ctrlPr>
            </m:fPr>
            <m:num>
              <m:r>
                <w:rPr>
                  <w:rFonts w:ascii="Cambria Math" w:hAnsi="Cambria Math"/>
                </w:rPr>
                <m:t>30.44</m:t>
              </m:r>
              <m:r>
                <m:rPr>
                  <m:sty m:val="p"/>
                </m:rPr>
                <w:rPr>
                  <w:rFonts w:ascii="Cambria Math" w:hAnsi="Cambria Math"/>
                </w:rPr>
                <m:t>-</m:t>
              </m:r>
              <m:r>
                <w:rPr>
                  <w:rFonts w:ascii="Cambria Math" w:hAnsi="Cambria Math"/>
                </w:rPr>
                <m:t>7.81</m:t>
              </m:r>
            </m:num>
            <m:den>
              <m:r>
                <w:rPr>
                  <w:rFonts w:ascii="Cambria Math" w:hAnsi="Cambria Math"/>
                </w:rPr>
                <m:t>7.81</m:t>
              </m:r>
            </m:den>
          </m:f>
          <m:r>
            <m:rPr>
              <m:sty m:val="p"/>
            </m:rPr>
            <w:rPr>
              <w:rFonts w:ascii="Cambria Math" w:hAnsi="Cambria Math"/>
            </w:rPr>
            <m:t>×</m:t>
          </m:r>
          <m:r>
            <w:rPr>
              <w:rFonts w:ascii="Cambria Math" w:hAnsi="Cambria Math"/>
            </w:rPr>
            <m:t>100</m:t>
          </m:r>
          <m:r>
            <m:rPr>
              <m:sty m:val="p"/>
            </m:rPr>
            <w:rPr>
              <w:rFonts w:ascii="Cambria Math" w:hAnsi="Cambria Math"/>
            </w:rPr>
            <m:t>%=</m:t>
          </m:r>
          <m:r>
            <w:rPr>
              <w:rFonts w:ascii="Cambria Math" w:hAnsi="Cambria Math"/>
            </w:rPr>
            <m:t>290</m:t>
          </m:r>
          <m:r>
            <m:rPr>
              <m:sty m:val="p"/>
            </m:rPr>
            <w:rPr>
              <w:rFonts w:ascii="Cambria Math" w:hAnsi="Cambria Math"/>
            </w:rPr>
            <m:t>%</m:t>
          </m:r>
        </m:oMath>
      </m:oMathPara>
    </w:p>
    <w:p w14:paraId="76D01D16" w14:textId="77777777" w:rsidR="00D762DD" w:rsidRDefault="00000000">
      <w:r>
        <w:t>Para acotar el margen de forma explícita se aplica una prueba de esfuerzo deliberadamente severa sobre la métrica menos favorable: se divide por dos el estadístico observado de Coste, una degradación que excede con holgura la inflación de varianza calculada de 1.47. El resultado sigue siendo significativo:</w:t>
      </w:r>
    </w:p>
    <w:p w14:paraId="28F8C935" w14:textId="77777777" w:rsidR="00D762DD"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χ</m:t>
              </m:r>
            </m:e>
            <m:sub>
              <m:r>
                <m:rPr>
                  <m:nor/>
                </m:rPr>
                <m:t>estrés</m:t>
              </m:r>
            </m:sub>
            <m:sup>
              <m:r>
                <w:rPr>
                  <w:rFonts w:ascii="Cambria Math" w:hAnsi="Cambria Math"/>
                </w:rPr>
                <m:t>2</m:t>
              </m:r>
            </m:sup>
          </m:sSubSup>
          <m:r>
            <m:rPr>
              <m:sty m:val="p"/>
            </m:rPr>
            <w:rPr>
              <w:rFonts w:ascii="Cambria Math" w:hAnsi="Cambria Math"/>
            </w:rPr>
            <m:t>=</m:t>
          </m:r>
          <m:f>
            <m:fPr>
              <m:ctrlPr>
                <w:rPr>
                  <w:rFonts w:ascii="Cambria Math" w:hAnsi="Cambria Math"/>
                </w:rPr>
              </m:ctrlPr>
            </m:fPr>
            <m:num>
              <m:r>
                <w:rPr>
                  <w:rFonts w:ascii="Cambria Math" w:hAnsi="Cambria Math"/>
                </w:rPr>
                <m:t>30.44</m:t>
              </m:r>
            </m:num>
            <m:den>
              <m:r>
                <w:rPr>
                  <w:rFonts w:ascii="Cambria Math" w:hAnsi="Cambria Math"/>
                </w:rPr>
                <m:t>2</m:t>
              </m:r>
            </m:den>
          </m:f>
          <m:r>
            <m:rPr>
              <m:sty m:val="p"/>
            </m:rPr>
            <w:rPr>
              <w:rFonts w:ascii="Cambria Math" w:hAnsi="Cambria Math"/>
            </w:rPr>
            <m:t>=</m:t>
          </m:r>
          <m:r>
            <w:rPr>
              <w:rFonts w:ascii="Cambria Math" w:hAnsi="Cambria Math"/>
            </w:rPr>
            <m:t>15.22 </m:t>
          </m:r>
          <m:r>
            <m:rPr>
              <m:sty m:val="p"/>
            </m:rPr>
            <w:rPr>
              <w:rFonts w:ascii="Cambria Math" w:hAnsi="Cambria Math"/>
            </w:rPr>
            <m:t>⇒</m:t>
          </m:r>
          <m:r>
            <w:rPr>
              <w:rFonts w:ascii="Cambria Math" w:hAnsi="Cambria Math"/>
            </w:rPr>
            <m:t> p</m:t>
          </m:r>
          <m:r>
            <m:rPr>
              <m:sty m:val="p"/>
            </m:rPr>
            <w:rPr>
              <w:rFonts w:ascii="Cambria Math" w:hAnsi="Cambria Math"/>
            </w:rPr>
            <m:t>=</m:t>
          </m:r>
          <m:r>
            <w:rPr>
              <w:rFonts w:ascii="Cambria Math" w:hAnsi="Cambria Math"/>
            </w:rPr>
            <m:t>P​</m:t>
          </m:r>
          <m:d>
            <m:dPr>
              <m:ctrlPr>
                <w:rPr>
                  <w:rFonts w:ascii="Cambria Math" w:hAnsi="Cambria Math"/>
                </w:rPr>
              </m:ctrlPr>
            </m:dPr>
            <m:e>
              <m:sSubSup>
                <m:sSubSupPr>
                  <m:ctrlPr>
                    <w:rPr>
                      <w:rFonts w:ascii="Cambria Math" w:hAnsi="Cambria Math"/>
                    </w:rPr>
                  </m:ctrlPr>
                </m:sSubSupPr>
                <m:e>
                  <m:r>
                    <w:rPr>
                      <w:rFonts w:ascii="Cambria Math" w:hAnsi="Cambria Math"/>
                    </w:rPr>
                    <m:t>χ</m:t>
                  </m:r>
                </m:e>
                <m:sub>
                  <m:r>
                    <w:rPr>
                      <w:rFonts w:ascii="Cambria Math" w:hAnsi="Cambria Math"/>
                    </w:rPr>
                    <m:t>3</m:t>
                  </m:r>
                </m:sub>
                <m:sup>
                  <m:r>
                    <w:rPr>
                      <w:rFonts w:ascii="Cambria Math" w:hAnsi="Cambria Math"/>
                    </w:rPr>
                    <m:t>2</m:t>
                  </m:r>
                </m:sup>
              </m:sSubSup>
              <m:r>
                <m:rPr>
                  <m:sty m:val="p"/>
                </m:rPr>
                <w:rPr>
                  <w:rFonts w:ascii="Cambria Math" w:hAnsi="Cambria Math"/>
                </w:rPr>
                <m:t>&gt;</m:t>
              </m:r>
              <m:r>
                <w:rPr>
                  <w:rFonts w:ascii="Cambria Math" w:hAnsi="Cambria Math"/>
                </w:rPr>
                <m:t>15.22</m:t>
              </m:r>
            </m:e>
          </m:d>
          <m:r>
            <m:rPr>
              <m:sty m:val="p"/>
            </m:rPr>
            <w:rPr>
              <w:rFonts w:ascii="Cambria Math" w:hAnsi="Cambria Math"/>
            </w:rPr>
            <m:t>=</m:t>
          </m:r>
          <m:r>
            <w:rPr>
              <w:rFonts w:ascii="Cambria Math" w:hAnsi="Cambria Math"/>
            </w:rPr>
            <m:t>0.0016</m:t>
          </m:r>
          <m:r>
            <m:rPr>
              <m:sty m:val="p"/>
            </m:rPr>
            <w:rPr>
              <w:rFonts w:ascii="Cambria Math" w:hAnsi="Cambria Math"/>
            </w:rPr>
            <m:t>&lt;</m:t>
          </m:r>
          <m:r>
            <w:rPr>
              <w:rFonts w:ascii="Cambria Math" w:hAnsi="Cambria Math"/>
            </w:rPr>
            <m:t>0.05</m:t>
          </m:r>
        </m:oMath>
      </m:oMathPara>
    </w:p>
    <w:p w14:paraId="6B4BC59A" w14:textId="77777777" w:rsidR="00D762DD" w:rsidRDefault="00000000">
      <w:r>
        <w:t xml:space="preserve">Conviene precisar qué operación es esta y qué no es. Dividir el estadístico por dos no equivale a una reducción del poder del 50%: es una degradación directa de la evidencia observada, aplicada como cota inferior conservadora. Bajo la interpretación alternativa —reducir a la mitad el parámetro de no centralidad </w:t>
      </w:r>
      <m:oMath>
        <m:r>
          <w:rPr>
            <w:rFonts w:ascii="Cambria Math" w:hAnsi="Cambria Math"/>
          </w:rPr>
          <m:t>λ</m:t>
        </m:r>
        <m:r>
          <m:rPr>
            <m:sty m:val="p"/>
          </m:rPr>
          <w:rPr>
            <w:rFonts w:ascii="Cambria Math" w:hAnsi="Cambria Math"/>
          </w:rPr>
          <m:t>=</m:t>
        </m:r>
        <m:sSubSup>
          <m:sSubSupPr>
            <m:ctrlPr>
              <w:rPr>
                <w:rFonts w:ascii="Cambria Math" w:hAnsi="Cambria Math"/>
              </w:rPr>
            </m:ctrlPr>
          </m:sSubSupPr>
          <m:e>
            <m:r>
              <w:rPr>
                <w:rFonts w:ascii="Cambria Math" w:hAnsi="Cambria Math"/>
              </w:rPr>
              <m:t>χ</m:t>
            </m:r>
          </m:e>
          <m:sub>
            <m:r>
              <w:rPr>
                <w:rFonts w:ascii="Cambria Math" w:hAnsi="Cambria Math"/>
              </w:rPr>
              <m:t>F</m:t>
            </m:r>
          </m:sub>
          <m:sup>
            <m:r>
              <w:rPr>
                <w:rFonts w:ascii="Cambria Math" w:hAnsi="Cambria Math"/>
              </w:rPr>
              <m:t>2</m:t>
            </m:r>
          </m:sup>
        </m:sSubSup>
        <m:r>
          <m:rPr>
            <m:sty m:val="p"/>
          </m:rPr>
          <w:rPr>
            <w:rFonts w:ascii="Cambria Math" w:hAnsi="Cambria Math"/>
          </w:rPr>
          <m:t>-</m:t>
        </m:r>
        <m:r>
          <w:rPr>
            <w:rFonts w:ascii="Cambria Math" w:hAnsi="Cambria Math"/>
          </w:rPr>
          <m:t>gl</m:t>
        </m:r>
        <m:r>
          <m:rPr>
            <m:sty m:val="p"/>
          </m:rPr>
          <w:rPr>
            <w:rFonts w:ascii="Cambria Math" w:hAnsi="Cambria Math"/>
          </w:rPr>
          <m:t>=</m:t>
        </m:r>
        <m:r>
          <w:rPr>
            <w:rFonts w:ascii="Cambria Math" w:hAnsi="Cambria Math"/>
          </w:rPr>
          <m:t>27.44</m:t>
        </m:r>
      </m:oMath>
      <w:r>
        <w:t xml:space="preserve">, de modo que </w:t>
      </w:r>
      <m:oMath>
        <m:r>
          <m:rPr>
            <m:scr m:val="double-struck"/>
            <m:sty m:val="p"/>
          </m:rPr>
          <w:rPr>
            <w:rFonts w:ascii="Cambria Math" w:hAnsi="Cambria Math"/>
          </w:rPr>
          <m:t>E[</m:t>
        </m:r>
        <m:sSup>
          <m:sSupPr>
            <m:ctrlPr>
              <w:rPr>
                <w:rFonts w:ascii="Cambria Math" w:hAnsi="Cambria Math"/>
              </w:rPr>
            </m:ctrlPr>
          </m:sSupPr>
          <m:e>
            <m:r>
              <w:rPr>
                <w:rFonts w:ascii="Cambria Math" w:hAnsi="Cambria Math"/>
              </w:rPr>
              <m:t>χ</m:t>
            </m:r>
          </m:e>
          <m:sup>
            <m:r>
              <w:rPr>
                <w:rFonts w:ascii="Cambria Math" w:hAnsi="Cambria Math"/>
              </w:rPr>
              <m:t>2</m:t>
            </m:r>
          </m:sup>
        </m:sSup>
        <m:r>
          <m:rPr>
            <m:sty m:val="p"/>
          </m:rPr>
          <w:rPr>
            <w:rFonts w:ascii="Cambria Math" w:hAnsi="Cambria Math"/>
          </w:rPr>
          <m:t>]=</m:t>
        </m:r>
        <m:r>
          <w:rPr>
            <w:rFonts w:ascii="Cambria Math" w:hAnsi="Cambria Math"/>
          </w:rPr>
          <m:t>gl</m:t>
        </m:r>
        <m:r>
          <m:rPr>
            <m:sty m:val="p"/>
          </m:rPr>
          <w:rPr>
            <w:rFonts w:ascii="Cambria Math" w:hAnsi="Cambria Math"/>
          </w:rPr>
          <m:t>+</m:t>
        </m:r>
        <m:r>
          <w:rPr>
            <w:rFonts w:ascii="Cambria Math" w:hAnsi="Cambria Math"/>
          </w:rPr>
          <m:t>λ</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16.72</m:t>
        </m:r>
      </m:oMath>
      <w:r>
        <w:t>— la conclusión es todavía más holgada (</w:t>
      </w:r>
      <m:oMath>
        <m:r>
          <w:rPr>
            <w:rFonts w:ascii="Cambria Math" w:hAnsi="Cambria Math"/>
          </w:rPr>
          <m:t>p</m:t>
        </m:r>
        <m:r>
          <m:rPr>
            <m:sty m:val="p"/>
          </m:rPr>
          <w:rPr>
            <w:rFonts w:ascii="Cambria Math" w:hAnsi="Cambria Math"/>
          </w:rPr>
          <m:t>=</m:t>
        </m:r>
        <m:r>
          <w:rPr>
            <w:rFonts w:ascii="Cambria Math" w:hAnsi="Cambria Math"/>
          </w:rPr>
          <m:t>0.0008</m:t>
        </m:r>
      </m:oMath>
      <w:r>
        <w:t xml:space="preserve">). Ambas lecturas dejan el estadístico por encima del umbral crítico </w:t>
      </w:r>
      <m:oMath>
        <m:sSubSup>
          <m:sSubSupPr>
            <m:ctrlPr>
              <w:rPr>
                <w:rFonts w:ascii="Cambria Math" w:hAnsi="Cambria Math"/>
              </w:rPr>
            </m:ctrlPr>
          </m:sSubSupPr>
          <m:e>
            <m:r>
              <w:rPr>
                <w:rFonts w:ascii="Cambria Math" w:hAnsi="Cambria Math"/>
              </w:rPr>
              <m:t>χ</m:t>
            </m:r>
          </m:e>
          <m:sub>
            <m:r>
              <w:rPr>
                <w:rFonts w:ascii="Cambria Math" w:hAnsi="Cambria Math"/>
              </w:rPr>
              <m:t>0.05</m:t>
            </m:r>
            <m:r>
              <m:rPr>
                <m:sty m:val="p"/>
              </m:rPr>
              <w:rPr>
                <w:rFonts w:ascii="Cambria Math" w:hAnsi="Cambria Math"/>
              </w:rPr>
              <m:t>,</m:t>
            </m:r>
            <m:r>
              <w:rPr>
                <w:rFonts w:ascii="Cambria Math" w:hAnsi="Cambria Math"/>
              </w:rPr>
              <m:t>3</m:t>
            </m:r>
          </m:sub>
          <m:sup>
            <m:r>
              <w:rPr>
                <w:rFonts w:ascii="Cambria Math" w:hAnsi="Cambria Math"/>
              </w:rPr>
              <m:t>2</m:t>
            </m:r>
          </m:sup>
        </m:sSubSup>
        <m:r>
          <m:rPr>
            <m:sty m:val="p"/>
          </m:rPr>
          <w:rPr>
            <w:rFonts w:ascii="Cambria Math" w:hAnsi="Cambria Math"/>
          </w:rPr>
          <m:t>=</m:t>
        </m:r>
        <m:r>
          <w:rPr>
            <w:rFonts w:ascii="Cambria Math" w:hAnsi="Cambria Math"/>
          </w:rPr>
          <m:t>7.815</m:t>
        </m:r>
      </m:oMath>
      <w:r>
        <w:t>, de modo que la significación de Coste no depende de cuál de las dos se adopte.</w:t>
      </w:r>
    </w:p>
    <w:p w14:paraId="54E88C7F" w14:textId="77777777" w:rsidR="00D762DD" w:rsidRDefault="00000000">
      <w:pPr>
        <w:pStyle w:val="BodyText"/>
      </w:pPr>
      <w:r>
        <w:rPr>
          <w:b/>
          <w:bCs/>
        </w:rPr>
        <w:t>Integridad del Estudio Pareado LIME–SHAP.</w:t>
      </w:r>
      <w:r>
        <w:t xml:space="preserve"> Con cobertura completa de SHAP (75/75) y LIME (75/75), su cobertura pareada es del 100%. Los datos faltantes de Anchors y </w:t>
      </w:r>
      <w:proofErr w:type="spellStart"/>
      <w:r>
        <w:t>DiCE</w:t>
      </w:r>
      <w:proofErr w:type="spellEnd"/>
      <w:r>
        <w:t xml:space="preserve"> </w:t>
      </w:r>
      <w:r>
        <w:rPr>
          <w:b/>
          <w:bCs/>
        </w:rPr>
        <w:t>no afectan</w:t>
      </w:r>
      <w:r>
        <w:t xml:space="preserve"> a este estudio.</w:t>
      </w:r>
    </w:p>
    <w:p w14:paraId="7862BF2C" w14:textId="77777777" w:rsidR="00D762DD" w:rsidRDefault="00000000">
      <w:pPr>
        <w:pStyle w:val="BodyText"/>
      </w:pPr>
      <w:r>
        <w:rPr>
          <w:b/>
          <w:bCs/>
        </w:rPr>
        <w:t>Dirección del sesgo de selección en Anchors.</w:t>
      </w:r>
      <w:r>
        <w:t xml:space="preserve"> El análisis anterior cuantifica el efecto de la cobertura reducida sobre la </w:t>
      </w:r>
      <w:r>
        <w:rPr>
          <w:i/>
          <w:iCs/>
        </w:rPr>
        <w:t>varianza</w:t>
      </w:r>
      <w:r>
        <w:t xml:space="preserve"> de los estimadores, pero la ausencia de datos en Anchors no </w:t>
      </w:r>
      <w:r>
        <w:lastRenderedPageBreak/>
        <w:t xml:space="preserve">es aleatoria y exige además una consideración sobre el </w:t>
      </w:r>
      <w:r>
        <w:rPr>
          <w:i/>
          <w:iCs/>
        </w:rPr>
        <w:t>sesgo</w:t>
      </w:r>
      <w:r>
        <w:t xml:space="preserve">. Las 18 celdas ausentes lo están porque el algoritmo no convergió a una regla con precisión </w:t>
      </w:r>
      <m:oMath>
        <m:r>
          <m:rPr>
            <m:sty m:val="p"/>
          </m:rPr>
          <w:rPr>
            <w:rFonts w:ascii="Cambria Math" w:hAnsi="Cambria Math"/>
          </w:rPr>
          <m:t>≥</m:t>
        </m:r>
        <m:r>
          <w:rPr>
            <w:rFonts w:ascii="Cambria Math" w:hAnsi="Cambria Math"/>
          </w:rPr>
          <m:t>τ</m:t>
        </m:r>
      </m:oMath>
      <w:r>
        <w:t xml:space="preserve"> dentro del límite de búsqueda: la ausencia depende del resultado que se habría observado, es decir, es </w:t>
      </w:r>
      <w:proofErr w:type="spellStart"/>
      <w:r>
        <w:rPr>
          <w:i/>
          <w:iCs/>
        </w:rPr>
        <w:t>missing</w:t>
      </w:r>
      <w:proofErr w:type="spellEnd"/>
      <w:r>
        <w:rPr>
          <w:i/>
          <w:iCs/>
        </w:rPr>
        <w:t xml:space="preserve"> </w:t>
      </w:r>
      <w:proofErr w:type="spellStart"/>
      <w:r>
        <w:rPr>
          <w:i/>
          <w:iCs/>
        </w:rPr>
        <w:t>not</w:t>
      </w:r>
      <w:proofErr w:type="spellEnd"/>
      <w:r>
        <w:rPr>
          <w:i/>
          <w:iCs/>
        </w:rPr>
        <w:t xml:space="preserve"> at </w:t>
      </w:r>
      <w:proofErr w:type="spellStart"/>
      <w:r>
        <w:rPr>
          <w:i/>
          <w:iCs/>
        </w:rPr>
        <w:t>random</w:t>
      </w:r>
      <w:proofErr w:type="spellEnd"/>
      <w:r>
        <w:t xml:space="preserve"> (MNAR) y se concentra en los estratos de mayor incertidumbre local, precisamente aquellos en los que Anchors habría obtenido previsiblemente sus peores métricas. La consecuencia es direccional: las medias de calidad reportadas para Anchors son, con toda probabilidad, </w:t>
      </w:r>
      <w:r>
        <w:rPr>
          <w:b/>
          <w:bCs/>
        </w:rPr>
        <w:t>optimistas</w:t>
      </w:r>
      <w:r>
        <w:t xml:space="preserve"> respecto a su rendimiento sobre el conjunto completo de celdas intentadas.</w:t>
      </w:r>
    </w:p>
    <w:p w14:paraId="7F4CEF6B" w14:textId="77777777" w:rsidR="00D762DD" w:rsidRDefault="00000000">
      <w:pPr>
        <w:pStyle w:val="BodyText"/>
      </w:pPr>
      <w:r>
        <w:t>El análisis de sensibilidad al umbral (</w:t>
      </w:r>
      <w:hyperlink w:anchor="tbl-appendix-anchors-sensitivity">
        <w:r>
          <w:rPr>
            <w:rStyle w:val="Hyperlink"/>
          </w:rPr>
          <w:t>Table 7.10</w:t>
        </w:r>
      </w:hyperlink>
      <w:r>
        <w:t xml:space="preserve">) ofrece una estimación empírica de la magnitud de este efecto. Al relajar </w:t>
      </w:r>
      <m:oMath>
        <m:r>
          <w:rPr>
            <w:rFonts w:ascii="Cambria Math" w:hAnsi="Cambria Math"/>
          </w:rPr>
          <m:t>τ</m:t>
        </m:r>
      </m:oMath>
      <w:r>
        <w:t xml:space="preserve"> de 0.95 a 0.90, la cobertura asciende de 57/75 (76%) a 72/75 (96%) y la fidelidad media </w:t>
      </w:r>
      <w:r>
        <w:rPr>
          <w:i/>
          <w:iCs/>
        </w:rPr>
        <w:t>aumenta</w:t>
      </w:r>
      <w:r>
        <w:t xml:space="preserve"> de 0.386 a 0.421 —no disminuye—, lo que confirma que las celdas recuperadas al relajar el criterio no son las de peor calidad bajo la métrica de correlación de importancias, sino que el umbral y la métrica de fidelidad no están alineados. El sesgo existe, por tanto, pero su magnitud es moderada y su dirección no invalida la posición de Anchors en el ordenamiento: el método ya ocupa la tercera o cuarta posición incluso bajo esta estimación potencialmente favorable. Esta consideración refuerza —no debilita— la cautela con la que el Capítulo 6 recomienda el uso de Anchors.</w:t>
      </w:r>
    </w:p>
    <w:p w14:paraId="4589E690" w14:textId="77777777" w:rsidR="00D762DD" w:rsidRDefault="00000000">
      <w:pPr>
        <w:pStyle w:val="BodyText"/>
      </w:pPr>
      <w:r>
        <w:rPr>
          <w:b/>
          <w:bCs/>
        </w:rPr>
        <w:t>Conclusión.</w:t>
      </w:r>
      <w:r>
        <w:t xml:space="preserve"> El impacto estadístico de los 25 artefactos analíticamente ausentes es mínimo: los </w:t>
      </w:r>
      <w:proofErr w:type="spellStart"/>
      <w:r>
        <w:t>tests</w:t>
      </w:r>
      <w:proofErr w:type="spellEnd"/>
      <w:r>
        <w:t xml:space="preserve"> de Friedman permanecen significativos con márgenes de seguridad </w:t>
      </w:r>
      <m:oMath>
        <m:r>
          <m:rPr>
            <m:sty m:val="p"/>
          </m:rPr>
          <w:rPr>
            <w:rFonts w:ascii="Cambria Math" w:hAnsi="Cambria Math"/>
          </w:rPr>
          <m:t>≥</m:t>
        </m:r>
        <m:r>
          <w:rPr>
            <w:rFonts w:ascii="Cambria Math" w:hAnsi="Cambria Math"/>
          </w:rPr>
          <m:t>290</m:t>
        </m:r>
        <m:r>
          <m:rPr>
            <m:sty m:val="p"/>
          </m:rPr>
          <w:rPr>
            <w:rFonts w:ascii="Cambria Math" w:hAnsi="Cambria Math"/>
          </w:rPr>
          <m:t>%</m:t>
        </m:r>
      </m:oMath>
      <w:r>
        <w:t>, el Estudio Pareado LIME–SHAP tiene cobertura completa, y la única limitación real son los intervalos de confianza de Anchors en los bloques logreg y mlp. Esta limitación se registra como caveat explícito en la interpretación de los resultados del Capítulo 4.</w:t>
      </w:r>
    </w:p>
    <w:p w14:paraId="565F048B" w14:textId="77777777" w:rsidR="00D762DD" w:rsidRDefault="00000000">
      <w:pPr>
        <w:pStyle w:val="Heading2"/>
      </w:pPr>
      <w:bookmarkStart w:id="125" w:name="plan-de-inferencia-estadística"/>
      <w:bookmarkStart w:id="126" w:name="_Toc238925755"/>
      <w:bookmarkEnd w:id="117"/>
      <w:bookmarkEnd w:id="123"/>
      <w:r>
        <w:t>Plan de inferencia estadística</w:t>
      </w:r>
      <w:bookmarkEnd w:id="126"/>
    </w:p>
    <w:p w14:paraId="163E275C" w14:textId="77777777" w:rsidR="00D762DD" w:rsidRDefault="00000000">
      <w:pPr>
        <w:pStyle w:val="Heading3"/>
      </w:pPr>
      <w:bookmarkStart w:id="127" w:name="Xb1cf6929af397b34ac8b341602720570fd1cf16"/>
      <w:bookmarkStart w:id="128" w:name="_Toc238925756"/>
      <w:r>
        <w:t xml:space="preserve">Estudio </w:t>
      </w:r>
      <w:proofErr w:type="spellStart"/>
      <w:r>
        <w:t>Omnibus</w:t>
      </w:r>
      <w:proofErr w:type="spellEnd"/>
      <w:r>
        <w:t xml:space="preserve"> </w:t>
      </w:r>
      <w:proofErr w:type="spellStart"/>
      <w:r>
        <w:t>Multimétrico</w:t>
      </w:r>
      <w:proofErr w:type="spellEnd"/>
      <w:r>
        <w:t xml:space="preserve">: test </w:t>
      </w:r>
      <w:proofErr w:type="spellStart"/>
      <w:r>
        <w:t>omnibus</w:t>
      </w:r>
      <w:proofErr w:type="spellEnd"/>
      <w:r>
        <w:t xml:space="preserve"> de Friedman</w:t>
      </w:r>
      <w:bookmarkEnd w:id="128"/>
    </w:p>
    <w:p w14:paraId="6978A63F" w14:textId="77777777" w:rsidR="00D762DD" w:rsidRDefault="00000000">
      <w:r>
        <w:t xml:space="preserve">Para contrastar H1 y H2, se aplica </w:t>
      </w:r>
      <w:proofErr w:type="gramStart"/>
      <w:r>
        <w:t>el test</w:t>
      </w:r>
      <w:proofErr w:type="gramEnd"/>
      <w:r>
        <w:t xml:space="preserve"> de Friedman (Friedman 1937) sobre los </w:t>
      </w:r>
      <m:oMath>
        <m:r>
          <w:rPr>
            <w:rFonts w:ascii="Cambria Math" w:hAnsi="Cambria Math"/>
          </w:rPr>
          <m:t>B</m:t>
        </m:r>
        <m:r>
          <m:rPr>
            <m:sty m:val="p"/>
          </m:rPr>
          <w:rPr>
            <w:rFonts w:ascii="Cambria Math" w:hAnsi="Cambria Math"/>
          </w:rPr>
          <m:t>=</m:t>
        </m:r>
        <m:r>
          <w:rPr>
            <w:rFonts w:ascii="Cambria Math" w:hAnsi="Cambria Math"/>
          </w:rPr>
          <m:t>15</m:t>
        </m:r>
      </m:oMath>
      <w:r>
        <w:t xml:space="preserve"> bloques completos con </w:t>
      </w:r>
      <m:oMath>
        <m:r>
          <w:rPr>
            <w:rFonts w:ascii="Cambria Math" w:hAnsi="Cambria Math"/>
          </w:rPr>
          <m:t>k</m:t>
        </m:r>
        <m:r>
          <m:rPr>
            <m:sty m:val="p"/>
          </m:rPr>
          <w:rPr>
            <w:rFonts w:ascii="Cambria Math" w:hAnsi="Cambria Math"/>
          </w:rPr>
          <m:t>=</m:t>
        </m:r>
        <m:r>
          <w:rPr>
            <w:rFonts w:ascii="Cambria Math" w:hAnsi="Cambria Math"/>
          </w:rPr>
          <m:t>4</m:t>
        </m:r>
      </m:oMath>
      <w:r>
        <w:t xml:space="preserve"> tratamientos. El estadístico se calcula sobre los rangos </w:t>
      </w:r>
      <m:oMath>
        <m:sSub>
          <m:sSubPr>
            <m:ctrlPr>
              <w:rPr>
                <w:rFonts w:ascii="Cambria Math" w:hAnsi="Cambria Math"/>
              </w:rPr>
            </m:ctrlPr>
          </m:sSubPr>
          <m:e>
            <m:r>
              <w:rPr>
                <w:rFonts w:ascii="Cambria Math" w:hAnsi="Cambria Math"/>
              </w:rPr>
              <m:t>r</m:t>
            </m:r>
          </m:e>
          <m:sub>
            <m:r>
              <w:rPr>
                <w:rFonts w:ascii="Cambria Math" w:hAnsi="Cambria Math"/>
              </w:rPr>
              <m:t>bj</m:t>
            </m:r>
          </m:sub>
        </m:sSub>
      </m:oMath>
      <w:r>
        <w:t xml:space="preserve"> de cada tratamiento </w:t>
      </w:r>
      <m:oMath>
        <m:r>
          <w:rPr>
            <w:rFonts w:ascii="Cambria Math" w:hAnsi="Cambria Math"/>
          </w:rPr>
          <m:t>j</m:t>
        </m:r>
      </m:oMath>
      <w:r>
        <w:t xml:space="preserve"> dentro de cada bloque </w:t>
      </w:r>
      <m:oMath>
        <m:r>
          <w:rPr>
            <w:rFonts w:ascii="Cambria Math" w:hAnsi="Cambria Math"/>
          </w:rPr>
          <m:t>b</m:t>
        </m:r>
      </m:oMath>
      <w:r>
        <w:t>:</w:t>
      </w:r>
    </w:p>
    <w:p w14:paraId="548EB712" w14:textId="77777777" w:rsidR="00D762DD"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χ</m:t>
              </m:r>
            </m:e>
            <m:sub>
              <m:r>
                <w:rPr>
                  <w:rFonts w:ascii="Cambria Math" w:hAnsi="Cambria Math"/>
                </w:rPr>
                <m:t>F</m:t>
              </m:r>
            </m:sub>
            <m:sup>
              <m:r>
                <w:rPr>
                  <w:rFonts w:ascii="Cambria Math" w:hAnsi="Cambria Math"/>
                </w:rPr>
                <m:t>2</m:t>
              </m:r>
            </m:sup>
          </m:sSubSup>
          <m:r>
            <m:rPr>
              <m:sty m:val="p"/>
            </m:rPr>
            <w:rPr>
              <w:rFonts w:ascii="Cambria Math" w:hAnsi="Cambria Math"/>
            </w:rPr>
            <m:t>=</m:t>
          </m:r>
          <m:f>
            <m:fPr>
              <m:ctrlPr>
                <w:rPr>
                  <w:rFonts w:ascii="Cambria Math" w:hAnsi="Cambria Math"/>
                </w:rPr>
              </m:ctrlPr>
            </m:fPr>
            <m:num>
              <m:r>
                <w:rPr>
                  <w:rFonts w:ascii="Cambria Math" w:hAnsi="Cambria Math"/>
                </w:rPr>
                <m:t>12B</m:t>
              </m:r>
            </m:num>
            <m:den>
              <m:r>
                <w:rPr>
                  <w:rFonts w:ascii="Cambria Math" w:hAnsi="Cambria Math"/>
                </w:rPr>
                <m:t>k</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1</m:t>
              </m:r>
              <m:r>
                <m:rPr>
                  <m:sty m:val="p"/>
                </m:rPr>
                <w:rPr>
                  <w:rFonts w:ascii="Cambria Math" w:hAnsi="Cambria Math"/>
                </w:rPr>
                <m:t>)</m:t>
              </m:r>
            </m:den>
          </m:f>
          <m:nary>
            <m:naryPr>
              <m:chr m:val="∑"/>
              <m:limLoc m:val="undOvr"/>
              <m:ctrlPr>
                <w:rPr>
                  <w:rFonts w:ascii="Cambria Math" w:hAnsi="Cambria Math"/>
                </w:rPr>
              </m:ctrlPr>
            </m:naryPr>
            <m:sub>
              <m:r>
                <w:rPr>
                  <w:rFonts w:ascii="Cambria Math" w:hAnsi="Cambria Math"/>
                </w:rPr>
                <m:t>j</m:t>
              </m:r>
              <m:r>
                <m:rPr>
                  <m:sty m:val="p"/>
                </m:rPr>
                <w:rPr>
                  <w:rFonts w:ascii="Cambria Math" w:hAnsi="Cambria Math"/>
                </w:rPr>
                <m:t>=</m:t>
              </m:r>
              <m:r>
                <w:rPr>
                  <w:rFonts w:ascii="Cambria Math" w:hAnsi="Cambria Math"/>
                </w:rPr>
                <m:t>1</m:t>
              </m:r>
            </m:sub>
            <m:sup>
              <m:r>
                <w:rPr>
                  <w:rFonts w:ascii="Cambria Math" w:hAnsi="Cambria Math"/>
                </w:rPr>
                <m:t>k</m:t>
              </m:r>
            </m:sup>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acc>
                            <m:accPr>
                              <m:chr m:val="‾"/>
                              <m:ctrlPr>
                                <w:rPr>
                                  <w:rFonts w:ascii="Cambria Math" w:hAnsi="Cambria Math"/>
                                </w:rPr>
                              </m:ctrlPr>
                            </m:accPr>
                            <m:e>
                              <m:r>
                                <w:rPr>
                                  <w:rFonts w:ascii="Cambria Math" w:hAnsi="Cambria Math"/>
                                </w:rPr>
                                <m:t>r</m:t>
                              </m:r>
                            </m:e>
                          </m:acc>
                        </m:e>
                        <m:sub>
                          <m:r>
                            <w:rPr>
                              <w:rFonts w:ascii="Cambria Math" w:hAnsi="Cambria Math"/>
                            </w:rPr>
                            <m:t>j</m:t>
                          </m:r>
                        </m:sub>
                      </m:sSub>
                      <m:r>
                        <m:rPr>
                          <m:sty m:val="p"/>
                        </m:rPr>
                        <w:rPr>
                          <w:rFonts w:ascii="Cambria Math" w:hAnsi="Cambria Math"/>
                        </w:rPr>
                        <m:t>-</m:t>
                      </m:r>
                      <m:f>
                        <m:fPr>
                          <m:ctrlPr>
                            <w:rPr>
                              <w:rFonts w:ascii="Cambria Math" w:hAnsi="Cambria Math"/>
                            </w:rPr>
                          </m:ctrlPr>
                        </m:fPr>
                        <m:num>
                          <m:r>
                            <w:rPr>
                              <w:rFonts w:ascii="Cambria Math" w:hAnsi="Cambria Math"/>
                            </w:rPr>
                            <m:t>k</m:t>
                          </m:r>
                          <m:r>
                            <m:rPr>
                              <m:sty m:val="p"/>
                            </m:rPr>
                            <w:rPr>
                              <w:rFonts w:ascii="Cambria Math" w:hAnsi="Cambria Math"/>
                            </w:rPr>
                            <m:t>+</m:t>
                          </m:r>
                          <m:r>
                            <w:rPr>
                              <w:rFonts w:ascii="Cambria Math" w:hAnsi="Cambria Math"/>
                            </w:rPr>
                            <m:t>1</m:t>
                          </m:r>
                        </m:num>
                        <m:den>
                          <m:r>
                            <w:rPr>
                              <w:rFonts w:ascii="Cambria Math" w:hAnsi="Cambria Math"/>
                            </w:rPr>
                            <m:t>2</m:t>
                          </m:r>
                        </m:den>
                      </m:f>
                    </m:e>
                  </m:d>
                </m:e>
                <m:sup>
                  <m:r>
                    <w:rPr>
                      <w:rFonts w:ascii="Cambria Math" w:hAnsi="Cambria Math"/>
                    </w:rPr>
                    <m:t>2</m:t>
                  </m:r>
                </m:sup>
              </m:sSup>
            </m:e>
          </m:nary>
        </m:oMath>
      </m:oMathPara>
    </w:p>
    <w:p w14:paraId="021214DF" w14:textId="77777777" w:rsidR="00D762DD" w:rsidRDefault="00000000">
      <w:r>
        <w:t xml:space="preserve">donde </w:t>
      </w:r>
      <m:oMath>
        <m:sSub>
          <m:sSubPr>
            <m:ctrlPr>
              <w:rPr>
                <w:rFonts w:ascii="Cambria Math" w:hAnsi="Cambria Math"/>
              </w:rPr>
            </m:ctrlPr>
          </m:sSubPr>
          <m:e>
            <m:acc>
              <m:accPr>
                <m:chr m:val="‾"/>
                <m:ctrlPr>
                  <w:rPr>
                    <w:rFonts w:ascii="Cambria Math" w:hAnsi="Cambria Math"/>
                  </w:rPr>
                </m:ctrlPr>
              </m:accPr>
              <m:e>
                <m:r>
                  <w:rPr>
                    <w:rFonts w:ascii="Cambria Math" w:hAnsi="Cambria Math"/>
                  </w:rPr>
                  <m:t>r</m:t>
                </m:r>
              </m:e>
            </m:acc>
          </m:e>
          <m:sub>
            <m:r>
              <w:rPr>
                <w:rFonts w:ascii="Cambria Math" w:hAnsi="Cambria Math"/>
              </w:rPr>
              <m:t>j</m:t>
            </m:r>
          </m:sub>
        </m:sSub>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B</m:t>
            </m:r>
          </m:den>
        </m:f>
        <m:nary>
          <m:naryPr>
            <m:chr m:val="∑"/>
            <m:limLoc m:val="undOvr"/>
            <m:ctrlPr>
              <w:rPr>
                <w:rFonts w:ascii="Cambria Math" w:hAnsi="Cambria Math"/>
              </w:rPr>
            </m:ctrlPr>
          </m:naryPr>
          <m:sub>
            <m:r>
              <w:rPr>
                <w:rFonts w:ascii="Cambria Math" w:hAnsi="Cambria Math"/>
              </w:rPr>
              <m:t>b</m:t>
            </m:r>
            <m:r>
              <m:rPr>
                <m:sty m:val="p"/>
              </m:rPr>
              <w:rPr>
                <w:rFonts w:ascii="Cambria Math" w:hAnsi="Cambria Math"/>
              </w:rPr>
              <m:t>=</m:t>
            </m:r>
            <m:r>
              <w:rPr>
                <w:rFonts w:ascii="Cambria Math" w:hAnsi="Cambria Math"/>
              </w:rPr>
              <m:t>1</m:t>
            </m:r>
          </m:sub>
          <m:sup>
            <m:r>
              <w:rPr>
                <w:rFonts w:ascii="Cambria Math" w:hAnsi="Cambria Math"/>
              </w:rPr>
              <m:t>B</m:t>
            </m:r>
          </m:sup>
          <m:e>
            <m:sSub>
              <m:sSubPr>
                <m:ctrlPr>
                  <w:rPr>
                    <w:rFonts w:ascii="Cambria Math" w:hAnsi="Cambria Math"/>
                  </w:rPr>
                </m:ctrlPr>
              </m:sSubPr>
              <m:e>
                <m:r>
                  <w:rPr>
                    <w:rFonts w:ascii="Cambria Math" w:hAnsi="Cambria Math"/>
                  </w:rPr>
                  <m:t>r</m:t>
                </m:r>
              </m:e>
              <m:sub>
                <m:r>
                  <w:rPr>
                    <w:rFonts w:ascii="Cambria Math" w:hAnsi="Cambria Math"/>
                  </w:rPr>
                  <m:t>bj</m:t>
                </m:r>
              </m:sub>
            </m:sSub>
          </m:e>
        </m:nary>
      </m:oMath>
      <w:r>
        <w:t xml:space="preserve">. Bajo </w:t>
      </w:r>
      <m:oMath>
        <m:sSub>
          <m:sSubPr>
            <m:ctrlPr>
              <w:rPr>
                <w:rFonts w:ascii="Cambria Math" w:hAnsi="Cambria Math"/>
              </w:rPr>
            </m:ctrlPr>
          </m:sSubPr>
          <m:e>
            <m:r>
              <w:rPr>
                <w:rFonts w:ascii="Cambria Math" w:hAnsi="Cambria Math"/>
              </w:rPr>
              <m:t>H</m:t>
            </m:r>
          </m:e>
          <m:sub>
            <m:r>
              <w:rPr>
                <w:rFonts w:ascii="Cambria Math" w:hAnsi="Cambria Math"/>
              </w:rPr>
              <m:t>0</m:t>
            </m:r>
          </m:sub>
        </m:sSub>
      </m:oMath>
      <w:r>
        <w:t xml:space="preserve">, </w:t>
      </w:r>
      <m:oMath>
        <m:sSubSup>
          <m:sSubSupPr>
            <m:ctrlPr>
              <w:rPr>
                <w:rFonts w:ascii="Cambria Math" w:hAnsi="Cambria Math"/>
              </w:rPr>
            </m:ctrlPr>
          </m:sSubSupPr>
          <m:e>
            <m:r>
              <w:rPr>
                <w:rFonts w:ascii="Cambria Math" w:hAnsi="Cambria Math"/>
              </w:rPr>
              <m:t>χ</m:t>
            </m:r>
          </m:e>
          <m:sub>
            <m:r>
              <w:rPr>
                <w:rFonts w:ascii="Cambria Math" w:hAnsi="Cambria Math"/>
              </w:rPr>
              <m:t>F</m:t>
            </m:r>
          </m:sub>
          <m:sup>
            <m:r>
              <w:rPr>
                <w:rFonts w:ascii="Cambria Math" w:hAnsi="Cambria Math"/>
              </w:rPr>
              <m:t>2</m:t>
            </m:r>
          </m:sup>
        </m:sSubSup>
        <m:r>
          <m:rPr>
            <m:sty m:val="p"/>
          </m:rPr>
          <w:rPr>
            <w:rFonts w:ascii="Cambria Math" w:hAnsi="Cambria Math"/>
          </w:rPr>
          <m:t>∼</m:t>
        </m:r>
        <m:sSubSup>
          <m:sSubSupPr>
            <m:ctrlPr>
              <w:rPr>
                <w:rFonts w:ascii="Cambria Math" w:hAnsi="Cambria Math"/>
              </w:rPr>
            </m:ctrlPr>
          </m:sSubSupPr>
          <m:e>
            <m:r>
              <w:rPr>
                <w:rFonts w:ascii="Cambria Math" w:hAnsi="Cambria Math"/>
              </w:rPr>
              <m:t>χ</m:t>
            </m:r>
          </m:e>
          <m:sub>
            <m:r>
              <w:rPr>
                <w:rFonts w:ascii="Cambria Math" w:hAnsi="Cambria Math"/>
              </w:rPr>
              <m:t>k</m:t>
            </m:r>
            <m:r>
              <m:rPr>
                <m:sty m:val="p"/>
              </m:rPr>
              <w:rPr>
                <w:rFonts w:ascii="Cambria Math" w:hAnsi="Cambria Math"/>
              </w:rPr>
              <m:t>-</m:t>
            </m:r>
            <m:r>
              <w:rPr>
                <w:rFonts w:ascii="Cambria Math" w:hAnsi="Cambria Math"/>
              </w:rPr>
              <m:t>1</m:t>
            </m:r>
          </m:sub>
          <m:sup>
            <m:r>
              <w:rPr>
                <w:rFonts w:ascii="Cambria Math" w:hAnsi="Cambria Math"/>
              </w:rPr>
              <m:t>2</m:t>
            </m:r>
          </m:sup>
        </m:sSubSup>
      </m:oMath>
      <w:r>
        <w:t xml:space="preserve"> asintóticamente para </w:t>
      </w:r>
      <m:oMath>
        <m:r>
          <w:rPr>
            <w:rFonts w:ascii="Cambria Math" w:hAnsi="Cambria Math"/>
          </w:rPr>
          <m:t>B</m:t>
        </m:r>
        <m:r>
          <m:rPr>
            <m:sty m:val="p"/>
          </m:rPr>
          <w:rPr>
            <w:rFonts w:ascii="Cambria Math" w:hAnsi="Cambria Math"/>
          </w:rPr>
          <m:t>≥</m:t>
        </m:r>
        <m:r>
          <w:rPr>
            <w:rFonts w:ascii="Cambria Math" w:hAnsi="Cambria Math"/>
          </w:rPr>
          <m:t>10</m:t>
        </m:r>
      </m:oMath>
      <w:r>
        <w:t xml:space="preserve"> (Demšar 2006). El tamaño del efecto se reporta mediante la </w:t>
      </w:r>
      <m:oMath>
        <m:r>
          <w:rPr>
            <w:rFonts w:ascii="Cambria Math" w:hAnsi="Cambria Math"/>
          </w:rPr>
          <m:t>W</m:t>
        </m:r>
      </m:oMath>
      <w:r>
        <w:t xml:space="preserve"> de Kendall:</w:t>
      </w:r>
    </w:p>
    <w:p w14:paraId="0AB74EA3" w14:textId="77777777" w:rsidR="00D762DD" w:rsidRDefault="00000000">
      <w:pPr>
        <w:pStyle w:val="BodyText"/>
      </w:pPr>
      <m:oMathPara>
        <m:oMathParaPr>
          <m:jc m:val="center"/>
        </m:oMathParaPr>
        <m:oMath>
          <m:r>
            <w:rPr>
              <w:rFonts w:ascii="Cambria Math" w:hAnsi="Cambria Math"/>
            </w:rPr>
            <m:t>W</m:t>
          </m:r>
          <m:r>
            <m:rPr>
              <m:sty m:val="p"/>
            </m:rPr>
            <w:rPr>
              <w:rFonts w:ascii="Cambria Math" w:hAnsi="Cambria Math"/>
            </w:rPr>
            <m:t>=</m:t>
          </m:r>
          <m:f>
            <m:fPr>
              <m:ctrlPr>
                <w:rPr>
                  <w:rFonts w:ascii="Cambria Math" w:hAnsi="Cambria Math"/>
                </w:rPr>
              </m:ctrlPr>
            </m:fPr>
            <m:num>
              <m:sSubSup>
                <m:sSubSupPr>
                  <m:ctrlPr>
                    <w:rPr>
                      <w:rFonts w:ascii="Cambria Math" w:hAnsi="Cambria Math"/>
                    </w:rPr>
                  </m:ctrlPr>
                </m:sSubSupPr>
                <m:e>
                  <m:r>
                    <w:rPr>
                      <w:rFonts w:ascii="Cambria Math" w:hAnsi="Cambria Math"/>
                    </w:rPr>
                    <m:t>χ</m:t>
                  </m:r>
                </m:e>
                <m:sub>
                  <m:r>
                    <w:rPr>
                      <w:rFonts w:ascii="Cambria Math" w:hAnsi="Cambria Math"/>
                    </w:rPr>
                    <m:t>F</m:t>
                  </m:r>
                </m:sub>
                <m:sup>
                  <m:r>
                    <w:rPr>
                      <w:rFonts w:ascii="Cambria Math" w:hAnsi="Cambria Math"/>
                    </w:rPr>
                    <m:t>2</m:t>
                  </m:r>
                </m:sup>
              </m:sSubSup>
            </m:num>
            <m:den>
              <m:r>
                <w:rPr>
                  <w:rFonts w:ascii="Cambria Math" w:hAnsi="Cambria Math"/>
                </w:rPr>
                <m:t>B</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1</m:t>
              </m:r>
              <m:r>
                <m:rPr>
                  <m:sty m:val="p"/>
                </m:rPr>
                <w:rPr>
                  <w:rFonts w:ascii="Cambria Math" w:hAnsi="Cambria Math"/>
                </w:rPr>
                <m:t>)</m:t>
              </m:r>
            </m:den>
          </m:f>
        </m:oMath>
      </m:oMathPara>
    </w:p>
    <w:p w14:paraId="3550695B" w14:textId="77777777" w:rsidR="00D762DD" w:rsidRDefault="00000000">
      <w:r>
        <w:t xml:space="preserve">donde </w:t>
      </w:r>
      <m:oMath>
        <m:r>
          <w:rPr>
            <w:rFonts w:ascii="Cambria Math" w:hAnsi="Cambria Math"/>
          </w:rPr>
          <m:t>W</m:t>
        </m:r>
        <m:r>
          <m:rPr>
            <m:sty m:val="p"/>
          </m:rPr>
          <w:rPr>
            <w:rFonts w:ascii="Cambria Math" w:hAnsi="Cambria Math"/>
          </w:rPr>
          <m:t>=</m:t>
        </m:r>
        <m:r>
          <w:rPr>
            <w:rFonts w:ascii="Cambria Math" w:hAnsi="Cambria Math"/>
          </w:rPr>
          <m:t>1</m:t>
        </m:r>
      </m:oMath>
      <w:r>
        <w:t xml:space="preserve"> indica concordancia perfecta entre bloques.</w:t>
      </w:r>
    </w:p>
    <w:p w14:paraId="68E6A3FC" w14:textId="77777777" w:rsidR="00D762DD" w:rsidRDefault="00000000">
      <w:pPr>
        <w:pStyle w:val="Heading3"/>
      </w:pPr>
      <w:bookmarkStart w:id="129" w:name="localización-post-hoc-nemenyi"/>
      <w:bookmarkStart w:id="130" w:name="_Toc238925757"/>
      <w:bookmarkEnd w:id="127"/>
      <w:r>
        <w:t xml:space="preserve">Localización </w:t>
      </w:r>
      <w:proofErr w:type="spellStart"/>
      <w:r>
        <w:t>post-hoc</w:t>
      </w:r>
      <w:proofErr w:type="spellEnd"/>
      <w:r>
        <w:t xml:space="preserve">: </w:t>
      </w:r>
      <w:proofErr w:type="spellStart"/>
      <w:r>
        <w:t>Nemenyi</w:t>
      </w:r>
      <w:bookmarkEnd w:id="130"/>
      <w:proofErr w:type="spellEnd"/>
    </w:p>
    <w:p w14:paraId="732DE6A1" w14:textId="77777777" w:rsidR="00D762DD" w:rsidRDefault="00000000">
      <w:r>
        <w:t xml:space="preserve">Cuando Friedman rechaza </w:t>
      </w:r>
      <m:oMath>
        <m:sSub>
          <m:sSubPr>
            <m:ctrlPr>
              <w:rPr>
                <w:rFonts w:ascii="Cambria Math" w:hAnsi="Cambria Math"/>
              </w:rPr>
            </m:ctrlPr>
          </m:sSubPr>
          <m:e>
            <m:r>
              <w:rPr>
                <w:rFonts w:ascii="Cambria Math" w:hAnsi="Cambria Math"/>
              </w:rPr>
              <m:t>H</m:t>
            </m:r>
          </m:e>
          <m:sub>
            <m:r>
              <w:rPr>
                <w:rFonts w:ascii="Cambria Math" w:hAnsi="Cambria Math"/>
              </w:rPr>
              <m:t>0</m:t>
            </m:r>
          </m:sub>
        </m:sSub>
      </m:oMath>
      <w:r>
        <w:t xml:space="preserve">, se aplica la prueba post-hoc de Nemenyi (Nemenyi 1963). La diferencia crítica al nivel </w:t>
      </w:r>
      <m:oMath>
        <m:r>
          <w:rPr>
            <w:rFonts w:ascii="Cambria Math" w:hAnsi="Cambria Math"/>
          </w:rPr>
          <m:t>α</m:t>
        </m:r>
        <m:r>
          <m:rPr>
            <m:sty m:val="p"/>
          </m:rPr>
          <w:rPr>
            <w:rFonts w:ascii="Cambria Math" w:hAnsi="Cambria Math"/>
          </w:rPr>
          <m:t>=</m:t>
        </m:r>
        <m:r>
          <w:rPr>
            <w:rFonts w:ascii="Cambria Math" w:hAnsi="Cambria Math"/>
          </w:rPr>
          <m:t>0.05</m:t>
        </m:r>
      </m:oMath>
      <w:r>
        <w:t xml:space="preserve"> con </w:t>
      </w:r>
      <m:oMath>
        <m:r>
          <w:rPr>
            <w:rFonts w:ascii="Cambria Math" w:hAnsi="Cambria Math"/>
          </w:rPr>
          <m:t>k</m:t>
        </m:r>
        <m:r>
          <m:rPr>
            <m:sty m:val="p"/>
          </m:rPr>
          <w:rPr>
            <w:rFonts w:ascii="Cambria Math" w:hAnsi="Cambria Math"/>
          </w:rPr>
          <m:t>=</m:t>
        </m:r>
        <m:r>
          <w:rPr>
            <w:rFonts w:ascii="Cambria Math" w:hAnsi="Cambria Math"/>
          </w:rPr>
          <m:t>4</m:t>
        </m:r>
      </m:oMath>
      <w:r>
        <w:t xml:space="preserve"> y </w:t>
      </w:r>
      <m:oMath>
        <m:r>
          <w:rPr>
            <w:rFonts w:ascii="Cambria Math" w:hAnsi="Cambria Math"/>
          </w:rPr>
          <m:t>B</m:t>
        </m:r>
        <m:r>
          <m:rPr>
            <m:sty m:val="p"/>
          </m:rPr>
          <w:rPr>
            <w:rFonts w:ascii="Cambria Math" w:hAnsi="Cambria Math"/>
          </w:rPr>
          <m:t>=</m:t>
        </m:r>
        <m:r>
          <w:rPr>
            <w:rFonts w:ascii="Cambria Math" w:hAnsi="Cambria Math"/>
          </w:rPr>
          <m:t>15</m:t>
        </m:r>
      </m:oMath>
      <w:r>
        <w:t xml:space="preserve"> es:</w:t>
      </w:r>
    </w:p>
    <w:p w14:paraId="42F59C2F" w14:textId="77777777" w:rsidR="00D762DD" w:rsidRPr="00A52D0E" w:rsidRDefault="00000000">
      <w:pPr>
        <w:pStyle w:val="BodyText"/>
        <w:rPr>
          <w:lang w:val="en-US"/>
        </w:rPr>
      </w:pPr>
      <m:oMathPara>
        <m:oMathParaPr>
          <m:jc m:val="center"/>
        </m:oMathParaPr>
        <m:oMath>
          <m:r>
            <m:rPr>
              <m:nor/>
            </m:rPr>
            <w:rPr>
              <w:lang w:val="en-US"/>
            </w:rPr>
            <m:t>CD</m:t>
          </m:r>
          <m:r>
            <m:rPr>
              <m:sty m:val="p"/>
            </m:rPr>
            <w:rPr>
              <w:rFonts w:ascii="Cambria Math" w:hAnsi="Cambria Math"/>
              <w:lang w:val="en-US"/>
            </w:rPr>
            <m:t>=</m:t>
          </m:r>
          <m:sSub>
            <m:sSubPr>
              <m:ctrlPr>
                <w:rPr>
                  <w:rFonts w:ascii="Cambria Math" w:hAnsi="Cambria Math"/>
                </w:rPr>
              </m:ctrlPr>
            </m:sSubPr>
            <m:e>
              <m:r>
                <w:rPr>
                  <w:rFonts w:ascii="Cambria Math" w:hAnsi="Cambria Math"/>
                </w:rPr>
                <m:t>q</m:t>
              </m:r>
            </m:e>
            <m:sub>
              <m:r>
                <w:rPr>
                  <w:rFonts w:ascii="Cambria Math" w:hAnsi="Cambria Math"/>
                </w:rPr>
                <m:t>α</m:t>
              </m:r>
            </m:sub>
          </m:sSub>
          <m:rad>
            <m:radPr>
              <m:degHide m:val="1"/>
              <m:ctrlPr>
                <w:rPr>
                  <w:rFonts w:ascii="Cambria Math" w:hAnsi="Cambria Math"/>
                </w:rPr>
              </m:ctrlPr>
            </m:radPr>
            <m:deg/>
            <m:e>
              <m:f>
                <m:fPr>
                  <m:ctrlPr>
                    <w:rPr>
                      <w:rFonts w:ascii="Cambria Math" w:hAnsi="Cambria Math"/>
                    </w:rPr>
                  </m:ctrlPr>
                </m:fPr>
                <m:num>
                  <m:r>
                    <w:rPr>
                      <w:rFonts w:ascii="Cambria Math" w:hAnsi="Cambria Math"/>
                    </w:rPr>
                    <m:t>k</m:t>
                  </m:r>
                  <m:r>
                    <m:rPr>
                      <m:sty m:val="p"/>
                    </m:rPr>
                    <w:rPr>
                      <w:rFonts w:ascii="Cambria Math" w:hAnsi="Cambria Math"/>
                      <w:lang w:val="en-US"/>
                    </w:rPr>
                    <m:t>(</m:t>
                  </m:r>
                  <m:r>
                    <w:rPr>
                      <w:rFonts w:ascii="Cambria Math" w:hAnsi="Cambria Math"/>
                    </w:rPr>
                    <m:t>k</m:t>
                  </m:r>
                  <m:r>
                    <m:rPr>
                      <m:sty m:val="p"/>
                    </m:rPr>
                    <w:rPr>
                      <w:rFonts w:ascii="Cambria Math" w:hAnsi="Cambria Math"/>
                      <w:lang w:val="en-US"/>
                    </w:rPr>
                    <m:t>+</m:t>
                  </m:r>
                  <m:r>
                    <w:rPr>
                      <w:rFonts w:ascii="Cambria Math" w:hAnsi="Cambria Math"/>
                      <w:lang w:val="en-US"/>
                    </w:rPr>
                    <m:t>1</m:t>
                  </m:r>
                  <m:r>
                    <m:rPr>
                      <m:sty m:val="p"/>
                    </m:rPr>
                    <w:rPr>
                      <w:rFonts w:ascii="Cambria Math" w:hAnsi="Cambria Math"/>
                      <w:lang w:val="en-US"/>
                    </w:rPr>
                    <m:t>)</m:t>
                  </m:r>
                </m:num>
                <m:den>
                  <m:r>
                    <w:rPr>
                      <w:rFonts w:ascii="Cambria Math" w:hAnsi="Cambria Math"/>
                      <w:lang w:val="en-US"/>
                    </w:rPr>
                    <m:t>6</m:t>
                  </m:r>
                  <m:r>
                    <w:rPr>
                      <w:rFonts w:ascii="Cambria Math" w:hAnsi="Cambria Math"/>
                    </w:rPr>
                    <m:t>B</m:t>
                  </m:r>
                </m:den>
              </m:f>
            </m:e>
          </m:rad>
          <m:r>
            <m:rPr>
              <m:sty m:val="p"/>
            </m:rPr>
            <w:rPr>
              <w:rFonts w:ascii="Cambria Math" w:hAnsi="Cambria Math"/>
              <w:lang w:val="en-US"/>
            </w:rPr>
            <m:t>≈</m:t>
          </m:r>
          <m:r>
            <w:rPr>
              <w:rFonts w:ascii="Cambria Math" w:hAnsi="Cambria Math"/>
              <w:lang w:val="en-US"/>
            </w:rPr>
            <m:t>2.569</m:t>
          </m:r>
          <m:r>
            <m:rPr>
              <m:sty m:val="p"/>
            </m:rPr>
            <w:rPr>
              <w:rFonts w:ascii="Cambria Math" w:hAnsi="Cambria Math"/>
              <w:lang w:val="en-US"/>
            </w:rPr>
            <m:t>×</m:t>
          </m:r>
          <m:rad>
            <m:radPr>
              <m:degHide m:val="1"/>
              <m:ctrlPr>
                <w:rPr>
                  <w:rFonts w:ascii="Cambria Math" w:hAnsi="Cambria Math"/>
                </w:rPr>
              </m:ctrlPr>
            </m:radPr>
            <m:deg/>
            <m:e>
              <m:f>
                <m:fPr>
                  <m:ctrlPr>
                    <w:rPr>
                      <w:rFonts w:ascii="Cambria Math" w:hAnsi="Cambria Math"/>
                    </w:rPr>
                  </m:ctrlPr>
                </m:fPr>
                <m:num>
                  <m:r>
                    <w:rPr>
                      <w:rFonts w:ascii="Cambria Math" w:hAnsi="Cambria Math"/>
                      <w:lang w:val="en-US"/>
                    </w:rPr>
                    <m:t>4</m:t>
                  </m:r>
                  <m:r>
                    <m:rPr>
                      <m:sty m:val="p"/>
                    </m:rPr>
                    <w:rPr>
                      <w:rFonts w:ascii="Cambria Math" w:hAnsi="Cambria Math"/>
                      <w:lang w:val="en-US"/>
                    </w:rPr>
                    <m:t>×</m:t>
                  </m:r>
                  <m:r>
                    <w:rPr>
                      <w:rFonts w:ascii="Cambria Math" w:hAnsi="Cambria Math"/>
                      <w:lang w:val="en-US"/>
                    </w:rPr>
                    <m:t>5</m:t>
                  </m:r>
                </m:num>
                <m:den>
                  <m:r>
                    <w:rPr>
                      <w:rFonts w:ascii="Cambria Math" w:hAnsi="Cambria Math"/>
                      <w:lang w:val="en-US"/>
                    </w:rPr>
                    <m:t>6</m:t>
                  </m:r>
                  <m:r>
                    <m:rPr>
                      <m:sty m:val="p"/>
                    </m:rPr>
                    <w:rPr>
                      <w:rFonts w:ascii="Cambria Math" w:hAnsi="Cambria Math"/>
                      <w:lang w:val="en-US"/>
                    </w:rPr>
                    <m:t>×</m:t>
                  </m:r>
                  <m:r>
                    <w:rPr>
                      <w:rFonts w:ascii="Cambria Math" w:hAnsi="Cambria Math"/>
                      <w:lang w:val="en-US"/>
                    </w:rPr>
                    <m:t>15</m:t>
                  </m:r>
                </m:den>
              </m:f>
            </m:e>
          </m:rad>
          <m:r>
            <m:rPr>
              <m:sty m:val="p"/>
            </m:rPr>
            <w:rPr>
              <w:rFonts w:ascii="Cambria Math" w:hAnsi="Cambria Math"/>
              <w:lang w:val="en-US"/>
            </w:rPr>
            <m:t>≈</m:t>
          </m:r>
          <m:r>
            <w:rPr>
              <w:rFonts w:ascii="Cambria Math" w:hAnsi="Cambria Math"/>
              <w:lang w:val="en-US"/>
            </w:rPr>
            <m:t>1.211</m:t>
          </m:r>
          <m:r>
            <m:rPr>
              <m:nor/>
            </m:rPr>
            <w:rPr>
              <w:lang w:val="en-US"/>
            </w:rPr>
            <m:t xml:space="preserve"> rangos</m:t>
          </m:r>
        </m:oMath>
      </m:oMathPara>
    </w:p>
    <w:p w14:paraId="63758DEA" w14:textId="77777777" w:rsidR="00D762DD" w:rsidRDefault="00000000">
      <w:r>
        <w:t xml:space="preserve">Dos métodos se consideran significativamente distintos si </w:t>
      </w:r>
      <m:oMath>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r</m:t>
                </m:r>
              </m:e>
            </m:acc>
          </m:e>
          <m:sub>
            <m:r>
              <w:rPr>
                <w:rFonts w:ascii="Cambria Math" w:hAnsi="Cambria Math"/>
              </w:rPr>
              <m:t>i</m:t>
            </m:r>
          </m:sub>
        </m:sSub>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r</m:t>
                </m:r>
              </m:e>
            </m:acc>
          </m:e>
          <m:sub>
            <m:r>
              <w:rPr>
                <w:rFonts w:ascii="Cambria Math" w:hAnsi="Cambria Math"/>
              </w:rPr>
              <m:t>j</m:t>
            </m:r>
          </m:sub>
        </m:sSub>
        <m:r>
          <m:rPr>
            <m:sty m:val="p"/>
          </m:rPr>
          <w:rPr>
            <w:rFonts w:ascii="Cambria Math" w:hAnsi="Cambria Math"/>
          </w:rPr>
          <m:t>|&gt;</m:t>
        </m:r>
        <m:r>
          <m:rPr>
            <m:nor/>
          </m:rPr>
          <m:t>CD</m:t>
        </m:r>
      </m:oMath>
      <w:r>
        <w:t>.</w:t>
      </w:r>
    </w:p>
    <w:p w14:paraId="2FD237DB" w14:textId="77777777" w:rsidR="00D762DD" w:rsidRDefault="00000000">
      <w:pPr>
        <w:pStyle w:val="Heading3"/>
      </w:pPr>
      <w:bookmarkStart w:id="131" w:name="X82a710d830240cc18776e0ef609d9e71b3f53e7"/>
      <w:bookmarkStart w:id="132" w:name="_Toc238925758"/>
      <w:bookmarkEnd w:id="129"/>
      <w:r>
        <w:t>Wilcoxon pareado: conjuntos de 45 y 75 celdas</w:t>
      </w:r>
      <w:bookmarkEnd w:id="132"/>
    </w:p>
    <w:p w14:paraId="2EB58AFA" w14:textId="77777777" w:rsidR="00D762DD" w:rsidRDefault="00000000">
      <w:r>
        <w:t xml:space="preserve">Para contrastar H3 se aplica </w:t>
      </w:r>
      <w:proofErr w:type="gramStart"/>
      <w:r>
        <w:t>el test</w:t>
      </w:r>
      <w:proofErr w:type="gramEnd"/>
      <w:r>
        <w:t xml:space="preserve"> de Wilcoxon con rangos con signo bilateral (Wilcoxon 1945) sobre diferencias pareadas </w:t>
      </w:r>
      <m:oMath>
        <m:sSub>
          <m:sSubPr>
            <m:ctrlPr>
              <w:rPr>
                <w:rFonts w:ascii="Cambria Math" w:hAnsi="Cambria Math"/>
              </w:rPr>
            </m:ctrlPr>
          </m:sSubPr>
          <m:e>
            <m:r>
              <w:rPr>
                <w:rFonts w:ascii="Cambria Math" w:hAnsi="Cambria Math"/>
              </w:rPr>
              <m:t>d</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m:rPr>
                <m:nor/>
              </m:rPr>
              <m:t>SHAP</m:t>
            </m:r>
            <m:r>
              <m:rPr>
                <m:sty m:val="p"/>
              </m:rPr>
              <w:rPr>
                <w:rFonts w:ascii="Cambria Math" w:hAnsi="Cambria Math"/>
              </w:rPr>
              <m:t>,</m:t>
            </m:r>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m:rPr>
                <m:nor/>
              </m:rPr>
              <m:t>LIME</m:t>
            </m:r>
            <m:r>
              <m:rPr>
                <m:sty m:val="p"/>
              </m:rPr>
              <w:rPr>
                <w:rFonts w:ascii="Cambria Math" w:hAnsi="Cambria Math"/>
              </w:rPr>
              <m:t>,</m:t>
            </m:r>
            <m:r>
              <w:rPr>
                <w:rFonts w:ascii="Cambria Math" w:hAnsi="Cambria Math"/>
              </w:rPr>
              <m:t>i</m:t>
            </m:r>
          </m:sub>
        </m:sSub>
      </m:oMath>
      <w:r>
        <w:t xml:space="preserve"> en dos conjuntos:</w:t>
      </w:r>
    </w:p>
    <w:p w14:paraId="05A15810" w14:textId="77777777" w:rsidR="00D762DD" w:rsidRDefault="00000000">
      <w:pPr>
        <w:numPr>
          <w:ilvl w:val="0"/>
          <w:numId w:val="9"/>
        </w:numPr>
      </w:pPr>
      <w:r>
        <w:rPr>
          <w:b/>
          <w:bCs/>
        </w:rPr>
        <w:t>Wilcoxon-45</w:t>
      </w:r>
      <w:r>
        <w:t xml:space="preserve">: 45 celdas con </w:t>
      </w:r>
      <m:oMath>
        <m:r>
          <w:rPr>
            <w:rFonts w:ascii="Cambria Math" w:hAnsi="Cambria Math"/>
          </w:rPr>
          <m:t>g</m:t>
        </m:r>
        <m:r>
          <m:rPr>
            <m:sty m:val="p"/>
          </m:rPr>
          <w:rPr>
            <w:rFonts w:ascii="Cambria Math" w:hAnsi="Cambria Math"/>
          </w:rPr>
          <m:t>∈{</m:t>
        </m:r>
      </m:oMath>
      <w:r>
        <w:t>logreg, rf, xgb</w:t>
      </w:r>
      <m:oMath>
        <m:r>
          <m:rPr>
            <m:sty m:val="p"/>
          </m:rPr>
          <w:rPr>
            <w:rFonts w:ascii="Cambria Math" w:hAnsi="Cambria Math"/>
          </w:rPr>
          <m:t>}</m:t>
        </m:r>
      </m:oMath>
      <w:r>
        <w:t xml:space="preserve"> (conjunto primario con </w:t>
      </w:r>
      <w:proofErr w:type="spellStart"/>
      <w:r>
        <w:t>TreeSHAP</w:t>
      </w:r>
      <w:proofErr w:type="spellEnd"/>
      <w:r>
        <w:t xml:space="preserve"> exacto).</w:t>
      </w:r>
    </w:p>
    <w:p w14:paraId="19BC1CFB" w14:textId="77777777" w:rsidR="00D762DD" w:rsidRDefault="00000000">
      <w:pPr>
        <w:numPr>
          <w:ilvl w:val="0"/>
          <w:numId w:val="9"/>
        </w:numPr>
      </w:pPr>
      <w:r>
        <w:rPr>
          <w:b/>
          <w:bCs/>
        </w:rPr>
        <w:t>Wilcoxon-75</w:t>
      </w:r>
      <w:r>
        <w:t xml:space="preserve">: 75 celdas completas (análisis de sensibilidad que incluye SVM y MLP con </w:t>
      </w:r>
      <w:proofErr w:type="spellStart"/>
      <w:r>
        <w:t>KernelSHAP</w:t>
      </w:r>
      <w:proofErr w:type="spellEnd"/>
      <w:r>
        <w:t>).</w:t>
      </w:r>
    </w:p>
    <w:p w14:paraId="60B08161" w14:textId="77777777" w:rsidR="00D762DD" w:rsidRDefault="00000000">
      <w:r>
        <w:t xml:space="preserve">El tamaño del efecto se reporta como </w:t>
      </w:r>
      <m:oMath>
        <m:sSub>
          <m:sSubPr>
            <m:ctrlPr>
              <w:rPr>
                <w:rFonts w:ascii="Cambria Math" w:hAnsi="Cambria Math"/>
              </w:rPr>
            </m:ctrlPr>
          </m:sSubPr>
          <m:e>
            <m:r>
              <w:rPr>
                <w:rFonts w:ascii="Cambria Math" w:hAnsi="Cambria Math"/>
              </w:rPr>
              <m:t>d</m:t>
            </m:r>
          </m:e>
          <m:sub>
            <m:r>
              <w:rPr>
                <w:rFonts w:ascii="Cambria Math" w:hAnsi="Cambria Math"/>
              </w:rPr>
              <m:t>z</m:t>
            </m:r>
          </m:sub>
        </m:sSub>
      </m:oMath>
      <w:r>
        <w:t xml:space="preserve"> de Cohen (Lakens 2013):</w:t>
      </w:r>
    </w:p>
    <w:p w14:paraId="6E6048EB" w14:textId="77777777" w:rsidR="00D762DD" w:rsidRDefault="00000000">
      <w:pPr>
        <w:pStyle w:val="BodyText"/>
      </w:pPr>
      <m:oMathPara>
        <m:oMathParaPr>
          <m:jc m:val="center"/>
        </m:oMathParaPr>
        <m:oMath>
          <m:sSub>
            <m:sSubPr>
              <m:ctrlPr>
                <w:rPr>
                  <w:rFonts w:ascii="Cambria Math" w:hAnsi="Cambria Math"/>
                </w:rPr>
              </m:ctrlPr>
            </m:sSubPr>
            <m:e>
              <m:r>
                <w:rPr>
                  <w:rFonts w:ascii="Cambria Math" w:hAnsi="Cambria Math"/>
                </w:rPr>
                <m:t>d</m:t>
              </m:r>
            </m:e>
            <m:sub>
              <m:r>
                <w:rPr>
                  <w:rFonts w:ascii="Cambria Math" w:hAnsi="Cambria Math"/>
                </w:rPr>
                <m:t>z</m:t>
              </m:r>
            </m:sub>
          </m:sSub>
          <m:r>
            <m:rPr>
              <m:sty m:val="p"/>
            </m:rPr>
            <w:rPr>
              <w:rFonts w:ascii="Cambria Math" w:hAnsi="Cambria Math"/>
            </w:rPr>
            <m:t>=</m:t>
          </m:r>
          <m:f>
            <m:fPr>
              <m:ctrlPr>
                <w:rPr>
                  <w:rFonts w:ascii="Cambria Math" w:hAnsi="Cambria Math"/>
                </w:rPr>
              </m:ctrlPr>
            </m:fPr>
            <m:num>
              <m:acc>
                <m:accPr>
                  <m:chr m:val="‾"/>
                  <m:ctrlPr>
                    <w:rPr>
                      <w:rFonts w:ascii="Cambria Math" w:hAnsi="Cambria Math"/>
                    </w:rPr>
                  </m:ctrlPr>
                </m:accPr>
                <m:e>
                  <m:r>
                    <w:rPr>
                      <w:rFonts w:ascii="Cambria Math" w:hAnsi="Cambria Math"/>
                    </w:rPr>
                    <m:t>d</m:t>
                  </m:r>
                </m:e>
              </m:acc>
            </m:num>
            <m:den>
              <m:sSub>
                <m:sSubPr>
                  <m:ctrlPr>
                    <w:rPr>
                      <w:rFonts w:ascii="Cambria Math" w:hAnsi="Cambria Math"/>
                    </w:rPr>
                  </m:ctrlPr>
                </m:sSubPr>
                <m:e>
                  <m:r>
                    <w:rPr>
                      <w:rFonts w:ascii="Cambria Math" w:hAnsi="Cambria Math"/>
                    </w:rPr>
                    <m:t>s</m:t>
                  </m:r>
                </m:e>
                <m:sub>
                  <m:r>
                    <w:rPr>
                      <w:rFonts w:ascii="Cambria Math" w:hAnsi="Cambria Math"/>
                    </w:rPr>
                    <m:t>d</m:t>
                  </m:r>
                </m:sub>
              </m:sSub>
            </m:den>
          </m:f>
        </m:oMath>
      </m:oMathPara>
    </w:p>
    <w:p w14:paraId="7EDA41AC" w14:textId="77777777" w:rsidR="00D762DD" w:rsidRDefault="00000000">
      <w:r>
        <w:lastRenderedPageBreak/>
        <w:t>con interpretación convencional: pequeño (</w:t>
      </w:r>
      <m:oMath>
        <m:r>
          <w:rPr>
            <w:rFonts w:ascii="Cambria Math" w:hAnsi="Cambria Math"/>
          </w:rPr>
          <m:t>0.2</m:t>
        </m:r>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z</m:t>
            </m:r>
          </m:sub>
        </m:sSub>
        <m:r>
          <m:rPr>
            <m:sty m:val="p"/>
          </m:rPr>
          <w:rPr>
            <w:rFonts w:ascii="Cambria Math" w:hAnsi="Cambria Math"/>
          </w:rPr>
          <m:t>&lt;</m:t>
        </m:r>
        <m:r>
          <w:rPr>
            <w:rFonts w:ascii="Cambria Math" w:hAnsi="Cambria Math"/>
          </w:rPr>
          <m:t>0.5</m:t>
        </m:r>
      </m:oMath>
      <w:r>
        <w:t>), mediano (</w:t>
      </w:r>
      <m:oMath>
        <m:r>
          <w:rPr>
            <w:rFonts w:ascii="Cambria Math" w:hAnsi="Cambria Math"/>
          </w:rPr>
          <m:t>0.5</m:t>
        </m:r>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z</m:t>
            </m:r>
          </m:sub>
        </m:sSub>
        <m:r>
          <m:rPr>
            <m:sty m:val="p"/>
          </m:rPr>
          <w:rPr>
            <w:rFonts w:ascii="Cambria Math" w:hAnsi="Cambria Math"/>
          </w:rPr>
          <m:t>&lt;</m:t>
        </m:r>
        <m:r>
          <w:rPr>
            <w:rFonts w:ascii="Cambria Math" w:hAnsi="Cambria Math"/>
          </w:rPr>
          <m:t>0.8</m:t>
        </m:r>
      </m:oMath>
      <w:r>
        <w:t>), grande (</w:t>
      </w:r>
      <m:oMath>
        <m:sSub>
          <m:sSubPr>
            <m:ctrlPr>
              <w:rPr>
                <w:rFonts w:ascii="Cambria Math" w:hAnsi="Cambria Math"/>
              </w:rPr>
            </m:ctrlPr>
          </m:sSubPr>
          <m:e>
            <m:r>
              <w:rPr>
                <w:rFonts w:ascii="Cambria Math" w:hAnsi="Cambria Math"/>
              </w:rPr>
              <m:t>d</m:t>
            </m:r>
          </m:e>
          <m:sub>
            <m:r>
              <w:rPr>
                <w:rFonts w:ascii="Cambria Math" w:hAnsi="Cambria Math"/>
              </w:rPr>
              <m:t>z</m:t>
            </m:r>
          </m:sub>
        </m:sSub>
        <m:r>
          <m:rPr>
            <m:sty m:val="p"/>
          </m:rPr>
          <w:rPr>
            <w:rFonts w:ascii="Cambria Math" w:hAnsi="Cambria Math"/>
          </w:rPr>
          <m:t>≥</m:t>
        </m:r>
        <m:r>
          <w:rPr>
            <w:rFonts w:ascii="Cambria Math" w:hAnsi="Cambria Math"/>
          </w:rPr>
          <m:t>0.8</m:t>
        </m:r>
      </m:oMath>
      <w:r>
        <w:t>).</w:t>
      </w:r>
    </w:p>
    <w:p w14:paraId="16166FAE" w14:textId="77777777" w:rsidR="00D762DD" w:rsidRDefault="00000000">
      <w:pPr>
        <w:pStyle w:val="Heading3"/>
      </w:pPr>
      <w:bookmarkStart w:id="133" w:name="control-de-multiplicidad"/>
      <w:bookmarkStart w:id="134" w:name="_Toc238925759"/>
      <w:bookmarkEnd w:id="131"/>
      <w:r>
        <w:t>Control de multiplicidad</w:t>
      </w:r>
      <w:bookmarkEnd w:id="134"/>
    </w:p>
    <w:p w14:paraId="75C713FD" w14:textId="77777777" w:rsidR="00D762DD" w:rsidRDefault="00000000">
      <w:r>
        <w:t>Las pruebas se organizan en tres familias inferenciales independientes, con corrección de Holm-Bonferroni dentro de cada familia:</w:t>
      </w:r>
    </w:p>
    <w:tbl>
      <w:tblPr>
        <w:tblW w:w="5000" w:type="pct"/>
        <w:tblLayout w:type="fixed"/>
        <w:tblLook w:val="0000" w:firstRow="0" w:lastRow="0" w:firstColumn="0" w:lastColumn="0" w:noHBand="0" w:noVBand="0"/>
      </w:tblPr>
      <w:tblGrid>
        <w:gridCol w:w="9576"/>
      </w:tblGrid>
      <w:tr w:rsidR="00D762DD" w14:paraId="70CE3961" w14:textId="77777777">
        <w:tc>
          <w:tcPr>
            <w:tcW w:w="7920" w:type="dxa"/>
          </w:tcPr>
          <w:p w14:paraId="7156D06F" w14:textId="77777777" w:rsidR="00D762DD" w:rsidRDefault="00000000">
            <w:pPr>
              <w:spacing w:before="200"/>
              <w:jc w:val="left"/>
            </w:pPr>
            <w:bookmarkStart w:id="135" w:name="tbl-stat-plan"/>
            <w:r>
              <w:t>Table 4.6: Familias inferenciales y control de multiplicidad. No se aplica corrección conjunta entre familias; cada familia responde a una pregunta con unidades de análisis distintas (Demšar 2006).</w:t>
            </w:r>
          </w:p>
          <w:tbl>
            <w:tblPr>
              <w:tblW w:w="5000" w:type="pct"/>
              <w:tblLayout w:type="fixed"/>
              <w:tblLook w:val="0020" w:firstRow="1" w:lastRow="0" w:firstColumn="0" w:lastColumn="0" w:noHBand="0" w:noVBand="0"/>
            </w:tblPr>
            <w:tblGrid>
              <w:gridCol w:w="2553"/>
              <w:gridCol w:w="1985"/>
              <w:gridCol w:w="1418"/>
              <w:gridCol w:w="3404"/>
            </w:tblGrid>
            <w:tr w:rsidR="00D762DD" w14:paraId="0FF87DA3" w14:textId="77777777">
              <w:trPr>
                <w:tblHeader/>
              </w:trPr>
              <w:tc>
                <w:tcPr>
                  <w:tcW w:w="2160" w:type="dxa"/>
                </w:tcPr>
                <w:p w14:paraId="2A873886" w14:textId="77777777" w:rsidR="00D762DD" w:rsidRDefault="00000000">
                  <w:pPr>
                    <w:jc w:val="center"/>
                  </w:pPr>
                  <w:r>
                    <w:t>Familia</w:t>
                  </w:r>
                </w:p>
              </w:tc>
              <w:tc>
                <w:tcPr>
                  <w:tcW w:w="1680" w:type="dxa"/>
                </w:tcPr>
                <w:p w14:paraId="20902C72" w14:textId="77777777" w:rsidR="00D762DD" w:rsidRDefault="00000000">
                  <w:pPr>
                    <w:jc w:val="center"/>
                  </w:pPr>
                  <w:proofErr w:type="spellStart"/>
                  <w:r>
                    <w:t>Tests</w:t>
                  </w:r>
                  <w:proofErr w:type="spellEnd"/>
                </w:p>
              </w:tc>
              <w:tc>
                <w:tcPr>
                  <w:tcW w:w="1200" w:type="dxa"/>
                </w:tcPr>
                <w:p w14:paraId="5605DAFE" w14:textId="77777777" w:rsidR="00D762DD" w:rsidRDefault="00000000">
                  <w:pPr>
                    <w:jc w:val="center"/>
                  </w:pPr>
                  <m:oMathPara>
                    <m:oMath>
                      <m:r>
                        <w:rPr>
                          <w:rFonts w:ascii="Cambria Math" w:hAnsi="Cambria Math"/>
                        </w:rPr>
                        <m:t>n</m:t>
                      </m:r>
                    </m:oMath>
                  </m:oMathPara>
                </w:p>
              </w:tc>
              <w:tc>
                <w:tcPr>
                  <w:tcW w:w="2880" w:type="dxa"/>
                </w:tcPr>
                <w:p w14:paraId="39AF2A59" w14:textId="77777777" w:rsidR="00D762DD" w:rsidRDefault="00000000">
                  <w:pPr>
                    <w:jc w:val="center"/>
                  </w:pPr>
                  <w:r>
                    <w:t>Corrección</w:t>
                  </w:r>
                </w:p>
              </w:tc>
            </w:tr>
            <w:tr w:rsidR="00D762DD" w14:paraId="253BF46D" w14:textId="77777777">
              <w:tc>
                <w:tcPr>
                  <w:tcW w:w="2160" w:type="dxa"/>
                </w:tcPr>
                <w:p w14:paraId="4AF89FDE" w14:textId="77777777" w:rsidR="00D762DD" w:rsidRDefault="00000000">
                  <w:pPr>
                    <w:jc w:val="center"/>
                  </w:pPr>
                  <w:r>
                    <w:t xml:space="preserve">Friedman (estudio </w:t>
                  </w:r>
                  <w:proofErr w:type="spellStart"/>
                  <w:r>
                    <w:t>omnibus</w:t>
                  </w:r>
                  <w:proofErr w:type="spellEnd"/>
                  <w:r>
                    <w:t>)</w:t>
                  </w:r>
                </w:p>
              </w:tc>
              <w:tc>
                <w:tcPr>
                  <w:tcW w:w="1680" w:type="dxa"/>
                </w:tcPr>
                <w:p w14:paraId="3F19F6B1" w14:textId="77777777" w:rsidR="00D762DD" w:rsidRDefault="00000000">
                  <w:pPr>
                    <w:jc w:val="center"/>
                  </w:pPr>
                  <w:r>
                    <w:t>5 (uno por métrica)</w:t>
                  </w:r>
                </w:p>
              </w:tc>
              <w:tc>
                <w:tcPr>
                  <w:tcW w:w="1200" w:type="dxa"/>
                </w:tcPr>
                <w:p w14:paraId="6219C57B" w14:textId="77777777" w:rsidR="00D762DD" w:rsidRDefault="00000000">
                  <w:pPr>
                    <w:jc w:val="center"/>
                  </w:pPr>
                  <w:r>
                    <w:t>15 bloques</w:t>
                  </w:r>
                </w:p>
              </w:tc>
              <w:tc>
                <w:tcPr>
                  <w:tcW w:w="2880" w:type="dxa"/>
                </w:tcPr>
                <w:p w14:paraId="11B9F014" w14:textId="77777777" w:rsidR="00D762DD" w:rsidRDefault="00000000">
                  <w:pPr>
                    <w:jc w:val="center"/>
                  </w:pPr>
                  <w:r>
                    <w:t>Holm-Bonferroni</w:t>
                  </w:r>
                </w:p>
              </w:tc>
            </w:tr>
            <w:tr w:rsidR="00D762DD" w14:paraId="69BA14D2" w14:textId="77777777">
              <w:tc>
                <w:tcPr>
                  <w:tcW w:w="2160" w:type="dxa"/>
                </w:tcPr>
                <w:p w14:paraId="081CC62E" w14:textId="77777777" w:rsidR="00D762DD" w:rsidRDefault="00000000">
                  <w:pPr>
                    <w:jc w:val="center"/>
                  </w:pPr>
                  <w:r>
                    <w:t xml:space="preserve">Wilcoxon-45 (estudio </w:t>
                  </w:r>
                  <w:proofErr w:type="spellStart"/>
                  <w:r>
                    <w:t>omnibus</w:t>
                  </w:r>
                  <w:proofErr w:type="spellEnd"/>
                  <w:r>
                    <w:t>)</w:t>
                  </w:r>
                </w:p>
              </w:tc>
              <w:tc>
                <w:tcPr>
                  <w:tcW w:w="1680" w:type="dxa"/>
                </w:tcPr>
                <w:p w14:paraId="52EB7840" w14:textId="77777777" w:rsidR="00D762DD" w:rsidRDefault="00000000">
                  <w:pPr>
                    <w:jc w:val="center"/>
                  </w:pPr>
                  <w:r>
                    <w:t>5</w:t>
                  </w:r>
                </w:p>
              </w:tc>
              <w:tc>
                <w:tcPr>
                  <w:tcW w:w="1200" w:type="dxa"/>
                </w:tcPr>
                <w:p w14:paraId="2E71092A" w14:textId="77777777" w:rsidR="00D762DD" w:rsidRDefault="00000000">
                  <w:pPr>
                    <w:jc w:val="center"/>
                  </w:pPr>
                  <w:r>
                    <w:t>45 celdas</w:t>
                  </w:r>
                </w:p>
              </w:tc>
              <w:tc>
                <w:tcPr>
                  <w:tcW w:w="2880" w:type="dxa"/>
                </w:tcPr>
                <w:p w14:paraId="417968E6" w14:textId="77777777" w:rsidR="00D762DD" w:rsidRDefault="00000000">
                  <w:pPr>
                    <w:jc w:val="center"/>
                  </w:pPr>
                  <w:r>
                    <w:t>Holm-Bonferroni</w:t>
                  </w:r>
                </w:p>
              </w:tc>
            </w:tr>
            <w:tr w:rsidR="00D762DD" w14:paraId="1093B238" w14:textId="77777777">
              <w:tc>
                <w:tcPr>
                  <w:tcW w:w="2160" w:type="dxa"/>
                </w:tcPr>
                <w:p w14:paraId="22BDB141" w14:textId="77777777" w:rsidR="00D762DD" w:rsidRDefault="00000000">
                  <w:pPr>
                    <w:jc w:val="center"/>
                  </w:pPr>
                  <w:r>
                    <w:t>Wilcoxon-75 (</w:t>
                  </w:r>
                  <w:proofErr w:type="spellStart"/>
                  <w:r>
                    <w:t>omnibus</w:t>
                  </w:r>
                  <w:proofErr w:type="spellEnd"/>
                  <w:r>
                    <w:t xml:space="preserve"> y pareado)</w:t>
                  </w:r>
                </w:p>
              </w:tc>
              <w:tc>
                <w:tcPr>
                  <w:tcW w:w="1680" w:type="dxa"/>
                </w:tcPr>
                <w:p w14:paraId="6245D2D8" w14:textId="77777777" w:rsidR="00D762DD" w:rsidRDefault="00000000">
                  <w:pPr>
                    <w:jc w:val="center"/>
                  </w:pPr>
                  <w:r>
                    <w:t>5</w:t>
                  </w:r>
                </w:p>
              </w:tc>
              <w:tc>
                <w:tcPr>
                  <w:tcW w:w="1200" w:type="dxa"/>
                </w:tcPr>
                <w:p w14:paraId="2BB68635" w14:textId="77777777" w:rsidR="00D762DD" w:rsidRDefault="00000000">
                  <w:pPr>
                    <w:jc w:val="center"/>
                  </w:pPr>
                  <w:r>
                    <w:t>75 celdas</w:t>
                  </w:r>
                </w:p>
              </w:tc>
              <w:tc>
                <w:tcPr>
                  <w:tcW w:w="2880" w:type="dxa"/>
                </w:tcPr>
                <w:p w14:paraId="14475BA6" w14:textId="77777777" w:rsidR="00D762DD" w:rsidRDefault="00000000">
                  <w:pPr>
                    <w:jc w:val="center"/>
                  </w:pPr>
                  <w:r>
                    <w:t>Holm-Bonferroni</w:t>
                  </w:r>
                </w:p>
              </w:tc>
            </w:tr>
            <w:bookmarkEnd w:id="135"/>
          </w:tbl>
          <w:p w14:paraId="0D28C9B1" w14:textId="77777777" w:rsidR="00D762DD" w:rsidRDefault="00D762DD"/>
        </w:tc>
      </w:tr>
    </w:tbl>
    <w:p w14:paraId="327C3347" w14:textId="77777777" w:rsidR="00D762DD" w:rsidRDefault="00000000">
      <w:pPr>
        <w:pStyle w:val="Heading3"/>
      </w:pPr>
      <w:bookmarkStart w:id="136" w:name="X8d8a6fe44143f1c1b581a8bcb7389a6bd938df3"/>
      <w:bookmarkStart w:id="137" w:name="_Toc238925760"/>
      <w:bookmarkEnd w:id="133"/>
      <w:r>
        <w:t>Resumen del plan estadístico por hipótesis</w:t>
      </w:r>
      <w:bookmarkEnd w:id="137"/>
    </w:p>
    <w:tbl>
      <w:tblPr>
        <w:tblW w:w="5000" w:type="pct"/>
        <w:tblLayout w:type="fixed"/>
        <w:tblLook w:val="0000" w:firstRow="0" w:lastRow="0" w:firstColumn="0" w:lastColumn="0" w:noHBand="0" w:noVBand="0"/>
      </w:tblPr>
      <w:tblGrid>
        <w:gridCol w:w="9576"/>
      </w:tblGrid>
      <w:tr w:rsidR="00D762DD" w14:paraId="2C525167" w14:textId="77777777">
        <w:tc>
          <w:tcPr>
            <w:tcW w:w="7920" w:type="dxa"/>
          </w:tcPr>
          <w:p w14:paraId="61C7FA24" w14:textId="77777777" w:rsidR="00D762DD" w:rsidRDefault="00000000">
            <w:pPr>
              <w:spacing w:before="200"/>
              <w:jc w:val="left"/>
            </w:pPr>
            <w:bookmarkStart w:id="138" w:name="tbl-hypo-plan"/>
            <w:r>
              <w:t>Table 4.7: Plan de decisiones estadísticas por hipótesis.</w:t>
            </w:r>
          </w:p>
          <w:tbl>
            <w:tblPr>
              <w:tblW w:w="5000" w:type="pct"/>
              <w:tblLayout w:type="fixed"/>
              <w:tblLook w:val="0020" w:firstRow="1" w:lastRow="0" w:firstColumn="0" w:lastColumn="0" w:noHBand="0" w:noVBand="0"/>
            </w:tblPr>
            <w:tblGrid>
              <w:gridCol w:w="3432"/>
              <w:gridCol w:w="1872"/>
              <w:gridCol w:w="1560"/>
              <w:gridCol w:w="2496"/>
            </w:tblGrid>
            <w:tr w:rsidR="00D762DD" w14:paraId="771EA014" w14:textId="77777777">
              <w:trPr>
                <w:tblHeader/>
              </w:trPr>
              <w:tc>
                <w:tcPr>
                  <w:tcW w:w="2904" w:type="dxa"/>
                </w:tcPr>
                <w:p w14:paraId="4FD41EA1" w14:textId="77777777" w:rsidR="00D762DD" w:rsidRDefault="00000000">
                  <w:pPr>
                    <w:jc w:val="center"/>
                  </w:pPr>
                  <w:r>
                    <w:t>Hipótesis</w:t>
                  </w:r>
                </w:p>
              </w:tc>
              <w:tc>
                <w:tcPr>
                  <w:tcW w:w="1584" w:type="dxa"/>
                </w:tcPr>
                <w:p w14:paraId="17A7E161" w14:textId="77777777" w:rsidR="00D762DD" w:rsidRDefault="00000000">
                  <w:pPr>
                    <w:jc w:val="center"/>
                  </w:pPr>
                  <w:r>
                    <w:t>Test</w:t>
                  </w:r>
                </w:p>
              </w:tc>
              <w:tc>
                <w:tcPr>
                  <w:tcW w:w="1320" w:type="dxa"/>
                </w:tcPr>
                <w:p w14:paraId="1E7E0661" w14:textId="77777777" w:rsidR="00D762DD" w:rsidRDefault="00000000">
                  <w:pPr>
                    <w:jc w:val="center"/>
                  </w:pPr>
                  <m:oMathPara>
                    <m:oMath>
                      <m:r>
                        <w:rPr>
                          <w:rFonts w:ascii="Cambria Math" w:hAnsi="Cambria Math"/>
                        </w:rPr>
                        <m:t>n</m:t>
                      </m:r>
                    </m:oMath>
                  </m:oMathPara>
                </w:p>
              </w:tc>
              <w:tc>
                <w:tcPr>
                  <w:tcW w:w="2112" w:type="dxa"/>
                </w:tcPr>
                <w:p w14:paraId="63C77D4B" w14:textId="77777777" w:rsidR="00D762DD" w:rsidRDefault="00000000">
                  <w:pPr>
                    <w:jc w:val="center"/>
                  </w:pPr>
                  <w:r>
                    <w:t>Diseño</w:t>
                  </w:r>
                </w:p>
              </w:tc>
            </w:tr>
            <w:tr w:rsidR="00D762DD" w14:paraId="63C10483" w14:textId="77777777">
              <w:tc>
                <w:tcPr>
                  <w:tcW w:w="2904" w:type="dxa"/>
                </w:tcPr>
                <w:p w14:paraId="6CF00671" w14:textId="77777777" w:rsidR="00D762DD" w:rsidRDefault="00000000">
                  <w:pPr>
                    <w:jc w:val="center"/>
                  </w:pPr>
                  <w:r>
                    <w:t>H1 (fidelidad)</w:t>
                  </w:r>
                </w:p>
              </w:tc>
              <w:tc>
                <w:tcPr>
                  <w:tcW w:w="1584" w:type="dxa"/>
                </w:tcPr>
                <w:p w14:paraId="4F33FB89" w14:textId="77777777" w:rsidR="00D762DD" w:rsidRDefault="00000000">
                  <w:pPr>
                    <w:jc w:val="center"/>
                  </w:pPr>
                  <w:r>
                    <w:t xml:space="preserve">Friedman + </w:t>
                  </w:r>
                  <w:proofErr w:type="spellStart"/>
                  <w:r>
                    <w:t>Nemenyi</w:t>
                  </w:r>
                  <w:proofErr w:type="spellEnd"/>
                </w:p>
              </w:tc>
              <w:tc>
                <w:tcPr>
                  <w:tcW w:w="1320" w:type="dxa"/>
                </w:tcPr>
                <w:p w14:paraId="1845928F" w14:textId="77777777" w:rsidR="00D762DD" w:rsidRDefault="00000000">
                  <w:pPr>
                    <w:jc w:val="center"/>
                  </w:pPr>
                  <w:r>
                    <w:t>15 bloques</w:t>
                  </w:r>
                </w:p>
              </w:tc>
              <w:tc>
                <w:tcPr>
                  <w:tcW w:w="2112" w:type="dxa"/>
                </w:tcPr>
                <w:p w14:paraId="40143EFB" w14:textId="77777777" w:rsidR="00D762DD" w:rsidRDefault="00000000">
                  <w:pPr>
                    <w:jc w:val="center"/>
                  </w:pPr>
                  <w:r>
                    <w:t>4 métodos × 15 bloques</w:t>
                  </w:r>
                </w:p>
              </w:tc>
            </w:tr>
            <w:tr w:rsidR="00D762DD" w14:paraId="27232819" w14:textId="77777777">
              <w:tc>
                <w:tcPr>
                  <w:tcW w:w="2904" w:type="dxa"/>
                </w:tcPr>
                <w:p w14:paraId="7ED713EA" w14:textId="77777777" w:rsidR="00D762DD" w:rsidRDefault="00000000">
                  <w:pPr>
                    <w:jc w:val="center"/>
                  </w:pPr>
                  <w:r>
                    <w:t>H2 (estabilidad)</w:t>
                  </w:r>
                </w:p>
              </w:tc>
              <w:tc>
                <w:tcPr>
                  <w:tcW w:w="1584" w:type="dxa"/>
                </w:tcPr>
                <w:p w14:paraId="1C2401A7" w14:textId="77777777" w:rsidR="00D762DD" w:rsidRDefault="00000000">
                  <w:pPr>
                    <w:jc w:val="center"/>
                  </w:pPr>
                  <w:r>
                    <w:t xml:space="preserve">Friedman + </w:t>
                  </w:r>
                  <w:proofErr w:type="spellStart"/>
                  <w:r>
                    <w:t>Nemenyi</w:t>
                  </w:r>
                  <w:proofErr w:type="spellEnd"/>
                </w:p>
              </w:tc>
              <w:tc>
                <w:tcPr>
                  <w:tcW w:w="1320" w:type="dxa"/>
                </w:tcPr>
                <w:p w14:paraId="2C603112" w14:textId="77777777" w:rsidR="00D762DD" w:rsidRDefault="00000000">
                  <w:pPr>
                    <w:jc w:val="center"/>
                  </w:pPr>
                  <w:r>
                    <w:t>15 bloques</w:t>
                  </w:r>
                </w:p>
              </w:tc>
              <w:tc>
                <w:tcPr>
                  <w:tcW w:w="2112" w:type="dxa"/>
                </w:tcPr>
                <w:p w14:paraId="01474B5F" w14:textId="77777777" w:rsidR="00D762DD" w:rsidRDefault="00000000">
                  <w:pPr>
                    <w:jc w:val="center"/>
                  </w:pPr>
                  <w:r>
                    <w:t>4 métodos × 15 bloques</w:t>
                  </w:r>
                </w:p>
              </w:tc>
            </w:tr>
            <w:tr w:rsidR="00D762DD" w14:paraId="51E6DD06" w14:textId="77777777">
              <w:tc>
                <w:tcPr>
                  <w:tcW w:w="2904" w:type="dxa"/>
                </w:tcPr>
                <w:p w14:paraId="0AC5FD7C" w14:textId="77777777" w:rsidR="00D762DD" w:rsidRDefault="00000000">
                  <w:pPr>
                    <w:jc w:val="center"/>
                  </w:pPr>
                  <w:r>
                    <w:t>H3 (relación SHAP-LIME)</w:t>
                  </w:r>
                </w:p>
              </w:tc>
              <w:tc>
                <w:tcPr>
                  <w:tcW w:w="1584" w:type="dxa"/>
                </w:tcPr>
                <w:p w14:paraId="689A3814" w14:textId="77777777" w:rsidR="00D762DD" w:rsidRDefault="00000000">
                  <w:pPr>
                    <w:jc w:val="center"/>
                  </w:pPr>
                  <w:r>
                    <w:t xml:space="preserve">Wilcoxon </w:t>
                  </w:r>
                  <w:r>
                    <w:lastRenderedPageBreak/>
                    <w:t>bilateral</w:t>
                  </w:r>
                </w:p>
              </w:tc>
              <w:tc>
                <w:tcPr>
                  <w:tcW w:w="1320" w:type="dxa"/>
                </w:tcPr>
                <w:p w14:paraId="7F663808" w14:textId="77777777" w:rsidR="00D762DD" w:rsidRDefault="00000000">
                  <w:pPr>
                    <w:jc w:val="center"/>
                  </w:pPr>
                  <w:r>
                    <w:lastRenderedPageBreak/>
                    <w:t>75 pares</w:t>
                  </w:r>
                </w:p>
              </w:tc>
              <w:tc>
                <w:tcPr>
                  <w:tcW w:w="2112" w:type="dxa"/>
                </w:tcPr>
                <w:p w14:paraId="0F808E7C" w14:textId="77777777" w:rsidR="00D762DD" w:rsidRDefault="00000000">
                  <w:pPr>
                    <w:jc w:val="center"/>
                  </w:pPr>
                  <m:oMath>
                    <m:r>
                      <m:rPr>
                        <m:sty m:val="p"/>
                      </m:rPr>
                      <w:rPr>
                        <w:rFonts w:ascii="Cambria Math" w:hAnsi="Cambria Math"/>
                      </w:rPr>
                      <m:t>(</m:t>
                    </m:r>
                    <m:r>
                      <w:rPr>
                        <w:rFonts w:ascii="Cambria Math" w:hAnsi="Cambria Math"/>
                      </w:rPr>
                      <m:t>g</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n</m:t>
                    </m:r>
                    <m:r>
                      <m:rPr>
                        <m:sty m:val="p"/>
                      </m:rPr>
                      <w:rPr>
                        <w:rFonts w:ascii="Cambria Math" w:hAnsi="Cambria Math"/>
                      </w:rPr>
                      <m:t>)</m:t>
                    </m:r>
                  </m:oMath>
                  <w:r>
                    <w:t xml:space="preserve"> idénticos</w:t>
                  </w:r>
                </w:p>
              </w:tc>
            </w:tr>
            <w:tr w:rsidR="00D762DD" w14:paraId="589924EE" w14:textId="77777777">
              <w:tc>
                <w:tcPr>
                  <w:tcW w:w="2904" w:type="dxa"/>
                </w:tcPr>
                <w:p w14:paraId="20BA0EF1" w14:textId="77777777" w:rsidR="00D762DD" w:rsidRDefault="00000000">
                  <w:pPr>
                    <w:jc w:val="center"/>
                  </w:pPr>
                  <w:r>
                    <w:t>P1 (reproducibilidad)</w:t>
                  </w:r>
                </w:p>
              </w:tc>
              <w:tc>
                <w:tcPr>
                  <w:tcW w:w="1584" w:type="dxa"/>
                </w:tcPr>
                <w:p w14:paraId="1CDBEC46" w14:textId="77777777" w:rsidR="00D762DD" w:rsidRDefault="00000000">
                  <w:pPr>
                    <w:jc w:val="center"/>
                  </w:pPr>
                  <w:r>
                    <w:t>CV sobre EXP1</w:t>
                  </w:r>
                </w:p>
              </w:tc>
              <w:tc>
                <w:tcPr>
                  <w:tcW w:w="1320" w:type="dxa"/>
                </w:tcPr>
                <w:p w14:paraId="3C04002A" w14:textId="77777777" w:rsidR="00D762DD" w:rsidRDefault="00000000">
                  <w:pPr>
                    <w:jc w:val="center"/>
                  </w:pPr>
                  <w:r>
                    <w:t>5 semillas</w:t>
                  </w:r>
                </w:p>
              </w:tc>
              <w:tc>
                <w:tcPr>
                  <w:tcW w:w="2112" w:type="dxa"/>
                </w:tcPr>
                <w:p w14:paraId="008710B8" w14:textId="77777777" w:rsidR="00D762DD" w:rsidRDefault="00000000">
                  <w:pPr>
                    <w:jc w:val="center"/>
                  </w:pPr>
                  <w:r>
                    <w:t>Por método</w:t>
                  </w:r>
                </w:p>
              </w:tc>
            </w:tr>
            <w:bookmarkEnd w:id="138"/>
          </w:tbl>
          <w:p w14:paraId="062AA03F" w14:textId="77777777" w:rsidR="00D762DD" w:rsidRDefault="00D762DD"/>
        </w:tc>
      </w:tr>
    </w:tbl>
    <w:p w14:paraId="6D099EF4" w14:textId="77777777" w:rsidR="00D762DD" w:rsidRDefault="00000000">
      <w:pPr>
        <w:pStyle w:val="Heading2"/>
      </w:pPr>
      <w:bookmarkStart w:id="139" w:name="amenazas-a-la-validez"/>
      <w:bookmarkStart w:id="140" w:name="_Toc238925761"/>
      <w:bookmarkEnd w:id="125"/>
      <w:bookmarkEnd w:id="136"/>
      <w:r>
        <w:lastRenderedPageBreak/>
        <w:t>Amenazas a la validez</w:t>
      </w:r>
      <w:bookmarkEnd w:id="140"/>
    </w:p>
    <w:p w14:paraId="2523DBDF" w14:textId="77777777" w:rsidR="00D762DD" w:rsidRDefault="00000000">
      <w:r>
        <w:t xml:space="preserve">La interpretación de los resultados se acota mediante cinco familias de amenazas. Estas amenazas no invalidan el diseño, pero delimitan qué tipo de afirmación puede sostenerse a partir del </w:t>
      </w:r>
      <w:proofErr w:type="spellStart"/>
      <w:r>
        <w:t>benchmark</w:t>
      </w:r>
      <w:proofErr w:type="spellEnd"/>
      <w:r>
        <w:t>.</w:t>
      </w:r>
    </w:p>
    <w:tbl>
      <w:tblPr>
        <w:tblW w:w="5000" w:type="pct"/>
        <w:tblLayout w:type="fixed"/>
        <w:tblLook w:val="0000" w:firstRow="0" w:lastRow="0" w:firstColumn="0" w:lastColumn="0" w:noHBand="0" w:noVBand="0"/>
      </w:tblPr>
      <w:tblGrid>
        <w:gridCol w:w="9576"/>
      </w:tblGrid>
      <w:tr w:rsidR="00D762DD" w14:paraId="64DDBDEE" w14:textId="77777777">
        <w:tc>
          <w:tcPr>
            <w:tcW w:w="7920" w:type="dxa"/>
          </w:tcPr>
          <w:p w14:paraId="6BB6BCC5" w14:textId="77777777" w:rsidR="00D762DD" w:rsidRDefault="00000000">
            <w:pPr>
              <w:spacing w:before="200"/>
              <w:jc w:val="left"/>
            </w:pPr>
            <w:bookmarkStart w:id="141" w:name="tbl-validity-threats"/>
            <w:r>
              <w:t>Table 4.8: Amenazas a la validez, controles y riesgo residual.</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2337"/>
              <w:gridCol w:w="2337"/>
              <w:gridCol w:w="2338"/>
              <w:gridCol w:w="2338"/>
            </w:tblGrid>
            <w:tr w:rsidR="00D762DD" w14:paraId="1CEE4F0D" w14:textId="77777777" w:rsidTr="00972D74">
              <w:trPr>
                <w:tblHeader/>
              </w:trPr>
              <w:tc>
                <w:tcPr>
                  <w:tcW w:w="1980" w:type="dxa"/>
                </w:tcPr>
                <w:p w14:paraId="5C74CBB3" w14:textId="77777777" w:rsidR="00D762DD" w:rsidRPr="00972D74" w:rsidRDefault="00000000">
                  <w:pPr>
                    <w:jc w:val="center"/>
                    <w:rPr>
                      <w:b/>
                      <w:bCs/>
                    </w:rPr>
                  </w:pPr>
                  <w:r w:rsidRPr="00972D74">
                    <w:rPr>
                      <w:b/>
                      <w:bCs/>
                    </w:rPr>
                    <w:t>Familia</w:t>
                  </w:r>
                </w:p>
              </w:tc>
              <w:tc>
                <w:tcPr>
                  <w:tcW w:w="1980" w:type="dxa"/>
                </w:tcPr>
                <w:p w14:paraId="07B76EDE" w14:textId="77777777" w:rsidR="00D762DD" w:rsidRPr="00972D74" w:rsidRDefault="00000000">
                  <w:pPr>
                    <w:jc w:val="center"/>
                    <w:rPr>
                      <w:b/>
                      <w:bCs/>
                    </w:rPr>
                  </w:pPr>
                  <w:r w:rsidRPr="00972D74">
                    <w:rPr>
                      <w:b/>
                      <w:bCs/>
                    </w:rPr>
                    <w:t>Amenaza principal</w:t>
                  </w:r>
                </w:p>
              </w:tc>
              <w:tc>
                <w:tcPr>
                  <w:tcW w:w="1980" w:type="dxa"/>
                </w:tcPr>
                <w:p w14:paraId="2324F026" w14:textId="77777777" w:rsidR="00D762DD" w:rsidRPr="00972D74" w:rsidRDefault="00000000">
                  <w:pPr>
                    <w:jc w:val="center"/>
                    <w:rPr>
                      <w:b/>
                      <w:bCs/>
                    </w:rPr>
                  </w:pPr>
                  <w:r w:rsidRPr="00972D74">
                    <w:rPr>
                      <w:b/>
                      <w:bCs/>
                    </w:rPr>
                    <w:t>Control aplicado</w:t>
                  </w:r>
                </w:p>
              </w:tc>
              <w:tc>
                <w:tcPr>
                  <w:tcW w:w="1980" w:type="dxa"/>
                </w:tcPr>
                <w:p w14:paraId="5B1DAFCE" w14:textId="77777777" w:rsidR="00D762DD" w:rsidRPr="00972D74" w:rsidRDefault="00000000">
                  <w:pPr>
                    <w:jc w:val="center"/>
                    <w:rPr>
                      <w:b/>
                      <w:bCs/>
                    </w:rPr>
                  </w:pPr>
                  <w:r w:rsidRPr="00972D74">
                    <w:rPr>
                      <w:b/>
                      <w:bCs/>
                    </w:rPr>
                    <w:t>Riesgo residual</w:t>
                  </w:r>
                </w:p>
              </w:tc>
            </w:tr>
            <w:tr w:rsidR="00D762DD" w14:paraId="18A7A6BD" w14:textId="77777777" w:rsidTr="00972D74">
              <w:tc>
                <w:tcPr>
                  <w:tcW w:w="1980" w:type="dxa"/>
                </w:tcPr>
                <w:p w14:paraId="7D5B57B2" w14:textId="77777777" w:rsidR="00D762DD" w:rsidRDefault="00000000">
                  <w:pPr>
                    <w:jc w:val="center"/>
                  </w:pPr>
                  <w:r>
                    <w:t>Validez interna</w:t>
                  </w:r>
                </w:p>
              </w:tc>
              <w:tc>
                <w:tcPr>
                  <w:tcW w:w="1980" w:type="dxa"/>
                </w:tcPr>
                <w:p w14:paraId="34404DC9" w14:textId="77777777" w:rsidR="00D762DD" w:rsidRDefault="00000000">
                  <w:pPr>
                    <w:jc w:val="center"/>
                  </w:pPr>
                  <w:r>
                    <w:t>Diferencias atribuibles al modelo o preprocesamiento, no al explicador</w:t>
                  </w:r>
                </w:p>
              </w:tc>
              <w:tc>
                <w:tcPr>
                  <w:tcW w:w="1980" w:type="dxa"/>
                </w:tcPr>
                <w:p w14:paraId="21F4F741" w14:textId="77777777" w:rsidR="00D762DD" w:rsidRDefault="00000000">
                  <w:pPr>
                    <w:jc w:val="center"/>
                  </w:pPr>
                  <w:r>
                    <w:t>Modelos y preprocesador congelados; misma partición y mismas semillas por celda</w:t>
                  </w:r>
                </w:p>
              </w:tc>
              <w:tc>
                <w:tcPr>
                  <w:tcW w:w="1980" w:type="dxa"/>
                </w:tcPr>
                <w:p w14:paraId="4DBE4D48" w14:textId="77777777" w:rsidR="00D762DD" w:rsidRDefault="00000000">
                  <w:pPr>
                    <w:jc w:val="center"/>
                  </w:pPr>
                  <w:r>
                    <w:t>Variación no observada por implementación interna de cada librería</w:t>
                  </w:r>
                </w:p>
              </w:tc>
            </w:tr>
            <w:tr w:rsidR="00D762DD" w14:paraId="6E59F4CE" w14:textId="77777777" w:rsidTr="00972D74">
              <w:tc>
                <w:tcPr>
                  <w:tcW w:w="1980" w:type="dxa"/>
                </w:tcPr>
                <w:p w14:paraId="72B4637E" w14:textId="77777777" w:rsidR="00D762DD" w:rsidRDefault="00000000">
                  <w:pPr>
                    <w:jc w:val="center"/>
                  </w:pPr>
                  <w:r>
                    <w:t>Validez de constructo</w:t>
                  </w:r>
                </w:p>
              </w:tc>
              <w:tc>
                <w:tcPr>
                  <w:tcW w:w="1980" w:type="dxa"/>
                </w:tcPr>
                <w:p w14:paraId="0D59D9E1" w14:textId="77777777" w:rsidR="00D762DD" w:rsidRDefault="00000000">
                  <w:pPr>
                    <w:jc w:val="center"/>
                  </w:pPr>
                  <w:r>
                    <w:t>Métricas automáticas que no capturan utilidad humana, plausibilidad o causalidad</w:t>
                  </w:r>
                </w:p>
              </w:tc>
              <w:tc>
                <w:tcPr>
                  <w:tcW w:w="1980" w:type="dxa"/>
                </w:tcPr>
                <w:p w14:paraId="4B083F04" w14:textId="77777777" w:rsidR="00D762DD" w:rsidRDefault="00000000">
                  <w:pPr>
                    <w:jc w:val="center"/>
                  </w:pPr>
                  <w:r>
                    <w:t xml:space="preserve">Definición previa de fidelidad, estabilidad, parsimonia, brecha y coste como </w:t>
                  </w:r>
                  <w:proofErr w:type="spellStart"/>
                  <w:r>
                    <w:t>proxies</w:t>
                  </w:r>
                  <w:proofErr w:type="spellEnd"/>
                  <w:r>
                    <w:t xml:space="preserve"> </w:t>
                  </w:r>
                  <w:proofErr w:type="spellStart"/>
                  <w:r>
                    <w:t>functionally-grounded</w:t>
                  </w:r>
                  <w:proofErr w:type="spellEnd"/>
                </w:p>
              </w:tc>
              <w:tc>
                <w:tcPr>
                  <w:tcW w:w="1980" w:type="dxa"/>
                </w:tcPr>
                <w:p w14:paraId="166651B9" w14:textId="77777777" w:rsidR="00D762DD" w:rsidRDefault="00000000">
                  <w:pPr>
                    <w:jc w:val="center"/>
                  </w:pPr>
                  <w:r>
                    <w:t>No se infiere utilidad humana directa ni verdad causal</w:t>
                  </w:r>
                </w:p>
              </w:tc>
            </w:tr>
            <w:tr w:rsidR="00D762DD" w14:paraId="46F39C39" w14:textId="77777777" w:rsidTr="00972D74">
              <w:tc>
                <w:tcPr>
                  <w:tcW w:w="1980" w:type="dxa"/>
                </w:tcPr>
                <w:p w14:paraId="0C11716F" w14:textId="77777777" w:rsidR="00D762DD" w:rsidRDefault="00000000">
                  <w:pPr>
                    <w:jc w:val="center"/>
                  </w:pPr>
                  <w:r>
                    <w:t>Validez externa</w:t>
                  </w:r>
                </w:p>
              </w:tc>
              <w:tc>
                <w:tcPr>
                  <w:tcW w:w="1980" w:type="dxa"/>
                </w:tcPr>
                <w:p w14:paraId="143966B3" w14:textId="77777777" w:rsidR="00D762DD" w:rsidRDefault="00000000">
                  <w:pPr>
                    <w:jc w:val="center"/>
                  </w:pPr>
                  <w:r>
                    <w:t xml:space="preserve">Generalización fuera de </w:t>
                  </w:r>
                  <w:proofErr w:type="spellStart"/>
                  <w:r>
                    <w:t>Adult</w:t>
                  </w:r>
                  <w:proofErr w:type="spellEnd"/>
                  <w:r>
                    <w:t xml:space="preserve"> </w:t>
                  </w:r>
                  <w:proofErr w:type="spellStart"/>
                  <w:r>
                    <w:t>Income</w:t>
                  </w:r>
                  <w:proofErr w:type="spellEnd"/>
                  <w:r>
                    <w:t xml:space="preserve"> y clasificación tabular binaria</w:t>
                  </w:r>
                </w:p>
              </w:tc>
              <w:tc>
                <w:tcPr>
                  <w:tcW w:w="1980" w:type="dxa"/>
                </w:tcPr>
                <w:p w14:paraId="79259D6B" w14:textId="77777777" w:rsidR="00D762DD" w:rsidRDefault="00000000">
                  <w:pPr>
                    <w:jc w:val="center"/>
                  </w:pPr>
                  <w:proofErr w:type="spellStart"/>
                  <w:r>
                    <w:t>Framing</w:t>
                  </w:r>
                  <w:proofErr w:type="spellEnd"/>
                  <w:r>
                    <w:t xml:space="preserve"> explícito como </w:t>
                  </w:r>
                  <w:proofErr w:type="spellStart"/>
                  <w:r>
                    <w:t>benchmark</w:t>
                  </w:r>
                  <w:proofErr w:type="spellEnd"/>
                  <w:r>
                    <w:t xml:space="preserve"> tabular </w:t>
                  </w:r>
                  <w:proofErr w:type="spellStart"/>
                  <w:r>
                    <w:t>Adult</w:t>
                  </w:r>
                  <w:proofErr w:type="spellEnd"/>
                  <w:r>
                    <w:t>; comparación con literatura XAI tabular</w:t>
                  </w:r>
                </w:p>
              </w:tc>
              <w:tc>
                <w:tcPr>
                  <w:tcW w:w="1980" w:type="dxa"/>
                </w:tcPr>
                <w:p w14:paraId="3314FB25" w14:textId="77777777" w:rsidR="00D762DD" w:rsidRDefault="00000000">
                  <w:pPr>
                    <w:jc w:val="center"/>
                  </w:pPr>
                  <w:r>
                    <w:t>No cubre imágenes, texto, series temporales ni dominios causales</w:t>
                  </w:r>
                </w:p>
              </w:tc>
            </w:tr>
            <w:tr w:rsidR="00D762DD" w14:paraId="7908CFD1" w14:textId="77777777" w:rsidTr="00972D74">
              <w:tc>
                <w:tcPr>
                  <w:tcW w:w="1980" w:type="dxa"/>
                </w:tcPr>
                <w:p w14:paraId="0ABD1220" w14:textId="77777777" w:rsidR="00D762DD" w:rsidRDefault="00000000">
                  <w:pPr>
                    <w:jc w:val="center"/>
                  </w:pPr>
                  <w:r>
                    <w:t xml:space="preserve">Conclusión </w:t>
                  </w:r>
                  <w:r>
                    <w:lastRenderedPageBreak/>
                    <w:t>estadística</w:t>
                  </w:r>
                </w:p>
              </w:tc>
              <w:tc>
                <w:tcPr>
                  <w:tcW w:w="1980" w:type="dxa"/>
                </w:tcPr>
                <w:p w14:paraId="126CF9D2" w14:textId="77777777" w:rsidR="00D762DD" w:rsidRDefault="00000000">
                  <w:pPr>
                    <w:jc w:val="center"/>
                  </w:pPr>
                  <w:proofErr w:type="spellStart"/>
                  <w:r>
                    <w:lastRenderedPageBreak/>
                    <w:t>Pseudorreplicación</w:t>
                  </w:r>
                  <w:proofErr w:type="spellEnd"/>
                  <w:r>
                    <w:t xml:space="preserve">, </w:t>
                  </w:r>
                  <w:r>
                    <w:lastRenderedPageBreak/>
                    <w:t>multiplicidad y datos faltantes</w:t>
                  </w:r>
                </w:p>
              </w:tc>
              <w:tc>
                <w:tcPr>
                  <w:tcW w:w="1980" w:type="dxa"/>
                </w:tcPr>
                <w:p w14:paraId="79B8967F" w14:textId="77777777" w:rsidR="00D762DD" w:rsidRDefault="00000000">
                  <w:pPr>
                    <w:jc w:val="center"/>
                  </w:pPr>
                  <w:r>
                    <w:lastRenderedPageBreak/>
                    <w:t xml:space="preserve">Unidad inferencial </w:t>
                  </w:r>
                  <w:r>
                    <w:lastRenderedPageBreak/>
                    <w:t>por bloque/celda; Friedman, Nemenyi, Wilcoxon y Holm-Bonferroni; análisis de cobertura</w:t>
                  </w:r>
                </w:p>
              </w:tc>
              <w:tc>
                <w:tcPr>
                  <w:tcW w:w="1980" w:type="dxa"/>
                </w:tcPr>
                <w:p w14:paraId="39728298" w14:textId="77777777" w:rsidR="00D762DD" w:rsidRDefault="00000000">
                  <w:pPr>
                    <w:jc w:val="center"/>
                  </w:pPr>
                  <w:r>
                    <w:lastRenderedPageBreak/>
                    <w:t xml:space="preserve">Menor precisión en </w:t>
                  </w:r>
                  <w:r>
                    <w:lastRenderedPageBreak/>
                    <w:t>Anchors para bloques con baja cobertura</w:t>
                  </w:r>
                </w:p>
              </w:tc>
            </w:tr>
            <w:tr w:rsidR="00D762DD" w14:paraId="32B49200" w14:textId="77777777" w:rsidTr="00972D74">
              <w:tc>
                <w:tcPr>
                  <w:tcW w:w="1980" w:type="dxa"/>
                </w:tcPr>
                <w:p w14:paraId="62197385" w14:textId="77777777" w:rsidR="00D762DD" w:rsidRDefault="00000000">
                  <w:pPr>
                    <w:jc w:val="center"/>
                  </w:pPr>
                  <w:r>
                    <w:lastRenderedPageBreak/>
                    <w:t>Reproducibilidad</w:t>
                  </w:r>
                </w:p>
              </w:tc>
              <w:tc>
                <w:tcPr>
                  <w:tcW w:w="1980" w:type="dxa"/>
                </w:tcPr>
                <w:p w14:paraId="0571930E" w14:textId="77777777" w:rsidR="00D762DD" w:rsidRDefault="00000000">
                  <w:pPr>
                    <w:jc w:val="center"/>
                  </w:pPr>
                  <w:r>
                    <w:t>Dependencia de versiones, semillas, recursos y artefactos locales</w:t>
                  </w:r>
                </w:p>
              </w:tc>
              <w:tc>
                <w:tcPr>
                  <w:tcW w:w="1980" w:type="dxa"/>
                </w:tcPr>
                <w:p w14:paraId="71233C7A" w14:textId="77777777" w:rsidR="00D762DD" w:rsidRDefault="00000000">
                  <w:pPr>
                    <w:jc w:val="center"/>
                  </w:pPr>
                  <w:r>
                    <w:t xml:space="preserve">Manifiestos YAML, artefactos versionados, scripts de análisis y DOI </w:t>
                  </w:r>
                  <w:proofErr w:type="spellStart"/>
                  <w:r>
                    <w:t>Zenodo</w:t>
                  </w:r>
                  <w:proofErr w:type="spellEnd"/>
                </w:p>
              </w:tc>
              <w:tc>
                <w:tcPr>
                  <w:tcW w:w="1980" w:type="dxa"/>
                </w:tcPr>
                <w:p w14:paraId="6FD3FD98" w14:textId="77777777" w:rsidR="00D762DD" w:rsidRDefault="00000000">
                  <w:pPr>
                    <w:jc w:val="center"/>
                  </w:pPr>
                  <w:r>
                    <w:t>Reproducción completa requiere entorno compatible con Python 3.11 y dependencias fijadas</w:t>
                  </w:r>
                </w:p>
              </w:tc>
            </w:tr>
            <w:bookmarkEnd w:id="141"/>
          </w:tbl>
          <w:p w14:paraId="5451E57D" w14:textId="77777777" w:rsidR="00D762DD" w:rsidRDefault="00D762DD"/>
        </w:tc>
      </w:tr>
    </w:tbl>
    <w:p w14:paraId="29CC4547" w14:textId="77777777" w:rsidR="00D762DD" w:rsidRDefault="00000000">
      <w:pPr>
        <w:pStyle w:val="BodyText"/>
      </w:pPr>
      <w:r>
        <w:lastRenderedPageBreak/>
        <w:t>El límite más importante es de constructo: el estudio produce evidencia computacional reproducible sobre artefactos explicativos, no una validación psicológica o causal de la explicación. Esta delimitación es consistente con el Capítulo 2 y protege la interpretación de los resultados del Capítulo 4.</w:t>
      </w:r>
    </w:p>
    <w:p w14:paraId="1C8A8B43" w14:textId="77777777" w:rsidR="00D762DD" w:rsidRDefault="00000000">
      <w:pPr>
        <w:pStyle w:val="Heading2"/>
      </w:pPr>
      <w:bookmarkStart w:id="142" w:name="trazabilidad-y-reproducibilidad"/>
      <w:bookmarkStart w:id="143" w:name="_Toc238925762"/>
      <w:bookmarkEnd w:id="139"/>
      <w:r>
        <w:t>Trazabilidad y reproducibilidad</w:t>
      </w:r>
      <w:bookmarkEnd w:id="143"/>
    </w:p>
    <w:p w14:paraId="0A0D5459" w14:textId="77777777" w:rsidR="00D762DD" w:rsidRDefault="00000000">
      <w:r>
        <w:t>Todos los análisis del Capítulo 4 son reproducibles desde el repositorio público https://github.com/jonnabio/xai-eval-framework, archivado con DOI 10.5281/zenodo.21538180 (</w:t>
      </w:r>
      <w:proofErr w:type="spellStart"/>
      <w:r>
        <w:t>commit</w:t>
      </w:r>
      <w:proofErr w:type="spellEnd"/>
      <w:r>
        <w:t xml:space="preserve"> 553f65d71b077ec181ad36da7bb6e7c9942fe116, 2026-07-24), que es el corte de evidencia efectivamente reportado en el Capítulo 4: 299 artefactos comprometidos y 275 ejecuciones analizables tras la superposición de recuperación. El DOI de concepto 10.5281/zenodo.19297723 resuelve siempre a la versión más reciente. La instantánea previa 10.5281/zenodo.19297724 (abril de 2026) permanece archivada por procedencia, pero es anterior a la superposición de recuperación y no corresponde a las cifras reportadas aquí. Los anclajes de reproducibilidad principales son:</w:t>
      </w:r>
    </w:p>
    <w:p w14:paraId="3C6986FD" w14:textId="77777777" w:rsidR="00D762DD" w:rsidRDefault="00000000">
      <w:pPr>
        <w:numPr>
          <w:ilvl w:val="0"/>
          <w:numId w:val="10"/>
        </w:numPr>
      </w:pPr>
      <w:proofErr w:type="spellStart"/>
      <w:r>
        <w:t>configs</w:t>
      </w:r>
      <w:proofErr w:type="spellEnd"/>
      <w:r>
        <w:t>/</w:t>
      </w:r>
      <w:proofErr w:type="spellStart"/>
      <w:r>
        <w:t>experiments</w:t>
      </w:r>
      <w:proofErr w:type="spellEnd"/>
      <w:r>
        <w:t>/exp2_scaled/</w:t>
      </w:r>
      <w:proofErr w:type="spellStart"/>
      <w:r>
        <w:t>manifest.yaml</w:t>
      </w:r>
      <w:proofErr w:type="spellEnd"/>
      <w:r>
        <w:t xml:space="preserve"> — diseño factorial declarado (300 celdas).</w:t>
      </w:r>
    </w:p>
    <w:p w14:paraId="376C7BA4" w14:textId="77777777" w:rsidR="00D762DD" w:rsidRDefault="00000000">
      <w:pPr>
        <w:numPr>
          <w:ilvl w:val="0"/>
          <w:numId w:val="10"/>
        </w:numPr>
      </w:pPr>
      <w:proofErr w:type="spellStart"/>
      <w:r>
        <w:lastRenderedPageBreak/>
        <w:t>experiments</w:t>
      </w:r>
      <w:proofErr w:type="spellEnd"/>
      <w:r>
        <w:t>/exp2_scaled/</w:t>
      </w:r>
      <w:proofErr w:type="spellStart"/>
      <w:r>
        <w:t>results</w:t>
      </w:r>
      <w:proofErr w:type="spellEnd"/>
      <w:r>
        <w:t xml:space="preserve">/ — árbol de artefactos por ejecución (299 archivos </w:t>
      </w:r>
      <w:proofErr w:type="spellStart"/>
      <w:proofErr w:type="gramStart"/>
      <w:r>
        <w:t>results.json</w:t>
      </w:r>
      <w:proofErr w:type="spellEnd"/>
      <w:proofErr w:type="gramEnd"/>
      <w:r>
        <w:t xml:space="preserve"> no vacíos).</w:t>
      </w:r>
    </w:p>
    <w:p w14:paraId="57D0135A" w14:textId="77777777" w:rsidR="00D762DD" w:rsidRDefault="00000000">
      <w:pPr>
        <w:numPr>
          <w:ilvl w:val="0"/>
          <w:numId w:val="10"/>
        </w:numPr>
      </w:pPr>
      <w:r>
        <w:t>outputs/batch_results.csv — superposición de recuperación (30 filas).</w:t>
      </w:r>
    </w:p>
    <w:p w14:paraId="64833631" w14:textId="77777777" w:rsidR="00D762DD" w:rsidRDefault="00000000">
      <w:pPr>
        <w:numPr>
          <w:ilvl w:val="0"/>
          <w:numId w:val="10"/>
        </w:numPr>
      </w:pPr>
      <w:r>
        <w:t>scripts/run_exp2_statistical_analysis.py — generación determinista de tablas inferenciales.</w:t>
      </w:r>
    </w:p>
    <w:p w14:paraId="18C2CF1E" w14:textId="77777777" w:rsidR="00D762DD" w:rsidRDefault="00000000">
      <w:pPr>
        <w:numPr>
          <w:ilvl w:val="0"/>
          <w:numId w:val="10"/>
        </w:numPr>
      </w:pPr>
      <w:r>
        <w:t>outputs/</w:t>
      </w:r>
      <w:proofErr w:type="spellStart"/>
      <w:r>
        <w:t>analysis</w:t>
      </w:r>
      <w:proofErr w:type="spellEnd"/>
      <w:r>
        <w:t>/paper_a_exp2_stats/ — exportaciones inferenciales de referencia.</w:t>
      </w:r>
    </w:p>
    <w:p w14:paraId="04907929" w14:textId="77777777" w:rsidR="00D762DD" w:rsidRDefault="00000000">
      <w:r>
        <w:t>Las especificaciones completas del entorno de ejecución, los parámetros de restricción de recursos y las instrucciones de reproducción paso a paso figuran en el Apéndice E.</w:t>
      </w:r>
    </w:p>
    <w:p w14:paraId="3584C368" w14:textId="77777777" w:rsidR="00D762DD" w:rsidRDefault="00000000">
      <w:pPr>
        <w:pStyle w:val="Heading2"/>
      </w:pPr>
      <w:bookmarkStart w:id="144" w:name="sec-estudios-complementarios"/>
      <w:bookmarkStart w:id="145" w:name="_Toc238925763"/>
      <w:bookmarkEnd w:id="142"/>
      <w:r>
        <w:t>Estudios complementarios: EXP3 y EXP4</w:t>
      </w:r>
      <w:bookmarkEnd w:id="145"/>
    </w:p>
    <w:p w14:paraId="41493862" w14:textId="77777777" w:rsidR="00D762DD" w:rsidRDefault="00000000">
      <w:r>
        <w:t xml:space="preserve">El diseño experimental principal comprende las fases EXP1 y EXP2 descritas en las secciones anteriores. Dos estudios complementarios amplían el alcance de la evidencia sin alterar el protocolo confirmativo: EXP3 extiende la validación de fidelidad a </w:t>
      </w:r>
      <w:proofErr w:type="spellStart"/>
      <w:r>
        <w:t>datasets</w:t>
      </w:r>
      <w:proofErr w:type="spellEnd"/>
      <w:r>
        <w:t xml:space="preserve"> adicionales y EXP4 cuantifica la fiabilidad de los evaluadores semánticos LLM como instrumento de medición.</w:t>
      </w:r>
    </w:p>
    <w:p w14:paraId="3104EC02" w14:textId="77777777" w:rsidR="00D762DD" w:rsidRDefault="00000000">
      <w:pPr>
        <w:pStyle w:val="Heading3"/>
      </w:pPr>
      <w:bookmarkStart w:id="146" w:name="sec-exp3-diseno"/>
      <w:bookmarkStart w:id="147" w:name="_Toc238925764"/>
      <w:r>
        <w:t xml:space="preserve">EXP3: Validación cruzada de fidelidad en </w:t>
      </w:r>
      <w:proofErr w:type="spellStart"/>
      <w:r>
        <w:t>datasets</w:t>
      </w:r>
      <w:proofErr w:type="spellEnd"/>
      <w:r>
        <w:t xml:space="preserve"> adicionales</w:t>
      </w:r>
      <w:bookmarkEnd w:id="147"/>
    </w:p>
    <w:p w14:paraId="24DECB7D" w14:textId="77777777" w:rsidR="00D762DD" w:rsidRDefault="00000000">
      <w:r>
        <w:t xml:space="preserve">EXP3 replica parcialmente los ordenamientos de fidelidad fuera del </w:t>
      </w:r>
      <w:proofErr w:type="spellStart"/>
      <w:r>
        <w:t>dataset</w:t>
      </w:r>
      <w:proofErr w:type="spellEnd"/>
      <w:r>
        <w:t xml:space="preserve"> primario mediante dos </w:t>
      </w:r>
      <w:proofErr w:type="spellStart"/>
      <w:r>
        <w:t>datasets</w:t>
      </w:r>
      <w:proofErr w:type="spellEnd"/>
      <w:r>
        <w:t xml:space="preserve"> tabulares de clasificación binaria:</w:t>
      </w:r>
    </w:p>
    <w:p w14:paraId="12314E2F" w14:textId="77777777" w:rsidR="00D762DD" w:rsidRDefault="00000000">
      <w:pPr>
        <w:numPr>
          <w:ilvl w:val="0"/>
          <w:numId w:val="11"/>
        </w:numPr>
      </w:pPr>
      <w:proofErr w:type="spellStart"/>
      <w:r>
        <w:rPr>
          <w:b/>
          <w:bCs/>
        </w:rPr>
        <w:t>Breast</w:t>
      </w:r>
      <w:proofErr w:type="spellEnd"/>
      <w:r>
        <w:rPr>
          <w:b/>
          <w:bCs/>
        </w:rPr>
        <w:t xml:space="preserve"> </w:t>
      </w:r>
      <w:proofErr w:type="spellStart"/>
      <w:r>
        <w:rPr>
          <w:b/>
          <w:bCs/>
        </w:rPr>
        <w:t>Cancer</w:t>
      </w:r>
      <w:proofErr w:type="spellEnd"/>
      <w:r>
        <w:rPr>
          <w:b/>
          <w:bCs/>
        </w:rPr>
        <w:t xml:space="preserve"> Wisconsin</w:t>
      </w:r>
      <w:r>
        <w:t xml:space="preserve"> (</w:t>
      </w:r>
      <w:proofErr w:type="spellStart"/>
      <w:r>
        <w:t>Dua</w:t>
      </w:r>
      <w:proofErr w:type="spellEnd"/>
      <w:r>
        <w:t xml:space="preserve"> and Graff 2019): </w:t>
      </w:r>
      <m:oMath>
        <m:r>
          <w:rPr>
            <w:rFonts w:ascii="Cambria Math" w:hAnsi="Cambria Math"/>
          </w:rPr>
          <m:t>n</m:t>
        </m:r>
        <m:r>
          <m:rPr>
            <m:sty m:val="p"/>
          </m:rPr>
          <w:rPr>
            <w:rFonts w:ascii="Cambria Math" w:hAnsi="Cambria Math"/>
          </w:rPr>
          <m:t>=</m:t>
        </m:r>
        <m:r>
          <w:rPr>
            <w:rFonts w:ascii="Cambria Math" w:hAnsi="Cambria Math"/>
          </w:rPr>
          <m:t>569</m:t>
        </m:r>
      </m:oMath>
      <w:r>
        <w:t xml:space="preserve"> instancias, 30 características numéricas continuas (sin categóricas), clasificación binaria maligno/benigno.</w:t>
      </w:r>
    </w:p>
    <w:p w14:paraId="08911767" w14:textId="77777777" w:rsidR="00D762DD" w:rsidRDefault="00000000">
      <w:pPr>
        <w:numPr>
          <w:ilvl w:val="0"/>
          <w:numId w:val="11"/>
        </w:numPr>
      </w:pPr>
      <w:r>
        <w:rPr>
          <w:b/>
          <w:bCs/>
        </w:rPr>
        <w:t>German Credit</w:t>
      </w:r>
      <w:r>
        <w:t xml:space="preserve"> (</w:t>
      </w:r>
      <w:proofErr w:type="spellStart"/>
      <w:r>
        <w:t>Dua</w:t>
      </w:r>
      <w:proofErr w:type="spellEnd"/>
      <w:r>
        <w:t xml:space="preserve"> and Graff 2019): </w:t>
      </w:r>
      <m:oMath>
        <m:r>
          <w:rPr>
            <w:rFonts w:ascii="Cambria Math" w:hAnsi="Cambria Math"/>
          </w:rPr>
          <m:t>n</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000</m:t>
        </m:r>
      </m:oMath>
      <w:r>
        <w:t xml:space="preserve"> instancias, 20 características (mixtas numéricas y codificadas), clasificación binaria crédito-bueno/malo.</w:t>
      </w:r>
    </w:p>
    <w:p w14:paraId="413B71FB" w14:textId="77777777" w:rsidR="00D762DD" w:rsidRDefault="00000000">
      <w:r>
        <w:t xml:space="preserve">El diseño base de EXP3 cruza dos modelos (Random Forest y </w:t>
      </w:r>
      <w:proofErr w:type="spellStart"/>
      <w:r>
        <w:t>XGBoost</w:t>
      </w:r>
      <w:proofErr w:type="spellEnd"/>
      <w:r>
        <w:t>), tres semillas (</w:t>
      </w:r>
      <m:oMath>
        <m:r>
          <m:rPr>
            <m:sty m:val="p"/>
          </m:rPr>
          <w:rPr>
            <w:rFonts w:ascii="Cambria Math" w:hAnsi="Cambria Math"/>
          </w:rPr>
          <m:t>{</m:t>
        </m:r>
        <m:r>
          <w:rPr>
            <w:rFonts w:ascii="Cambria Math" w:hAnsi="Cambria Math"/>
          </w:rPr>
          <m:t>42</m:t>
        </m:r>
        <m:r>
          <m:rPr>
            <m:sty m:val="p"/>
          </m:rPr>
          <w:rPr>
            <w:rFonts w:ascii="Cambria Math" w:hAnsi="Cambria Math"/>
          </w:rPr>
          <m:t>,</m:t>
        </m:r>
        <m:r>
          <w:rPr>
            <w:rFonts w:ascii="Cambria Math" w:hAnsi="Cambria Math"/>
          </w:rPr>
          <m:t>123</m:t>
        </m:r>
        <m:r>
          <m:rPr>
            <m:sty m:val="p"/>
          </m:rPr>
          <w:rPr>
            <w:rFonts w:ascii="Cambria Math" w:hAnsi="Cambria Math"/>
          </w:rPr>
          <m:t>,</m:t>
        </m:r>
        <m:r>
          <w:rPr>
            <w:rFonts w:ascii="Cambria Math" w:hAnsi="Cambria Math"/>
          </w:rPr>
          <m:t>456</m:t>
        </m:r>
        <m:r>
          <m:rPr>
            <m:sty m:val="p"/>
          </m:rPr>
          <w:rPr>
            <w:rFonts w:ascii="Cambria Math" w:hAnsi="Cambria Math"/>
          </w:rPr>
          <m:t>}</m:t>
        </m:r>
      </m:oMath>
      <w:r>
        <w:t xml:space="preserve">) y los dos datasets, produciendo </w:t>
      </w:r>
      <m:oMath>
        <m:r>
          <w:rPr>
            <w:rFonts w:ascii="Cambria Math" w:hAnsi="Cambria Math"/>
          </w:rPr>
          <m:t>2</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12</m:t>
        </m:r>
      </m:oMath>
      <w:r>
        <w:t xml:space="preserve"> comparaciones pareadas SHAP–Anchors. La métrica evaluada es fidelidad con la misma operacionalización que EXP2 (correlación importancias–enmascaramiento). Una extensión posterior incorporó LIME en los mismos </w:t>
      </w:r>
      <w:proofErr w:type="spellStart"/>
      <w:r>
        <w:t>datasets</w:t>
      </w:r>
      <w:proofErr w:type="spellEnd"/>
      <w:r>
        <w:t xml:space="preserve"> y modelos, reportando fidelidad y estabilidad de LIME bajo el protocolo EXP2. </w:t>
      </w:r>
      <w:r>
        <w:lastRenderedPageBreak/>
        <w:t xml:space="preserve">Sin embargo, la estabilidad de SHAP no fue instrumentada en esa extensión, por lo que EXP3 proporciona validación </w:t>
      </w:r>
      <w:proofErr w:type="spellStart"/>
      <w:r>
        <w:t>cross-dataset</w:t>
      </w:r>
      <w:proofErr w:type="spellEnd"/>
      <w:r>
        <w:t xml:space="preserve"> parcial de los ordenamientos de fidelidad, pero no un contraste pareado SHAP-LIME completo de estabilidad fuera de UCI </w:t>
      </w:r>
      <w:proofErr w:type="spellStart"/>
      <w:r>
        <w:t>Adult</w:t>
      </w:r>
      <w:proofErr w:type="spellEnd"/>
      <w:r>
        <w:t xml:space="preserve"> </w:t>
      </w:r>
      <w:proofErr w:type="spellStart"/>
      <w:r>
        <w:t>Income</w:t>
      </w:r>
      <w:proofErr w:type="spellEnd"/>
      <w:r>
        <w:t>.</w:t>
      </w:r>
    </w:p>
    <w:p w14:paraId="2090806E" w14:textId="77777777" w:rsidR="00D762DD" w:rsidRDefault="00000000">
      <w:pPr>
        <w:pStyle w:val="Heading3"/>
      </w:pPr>
      <w:bookmarkStart w:id="148" w:name="sec-exp4-diseno"/>
      <w:bookmarkStart w:id="149" w:name="_Toc238925765"/>
      <w:bookmarkEnd w:id="146"/>
      <w:r>
        <w:t>EXP4: Estudio de fiabilidad de jueces LLM para evaluación semántica</w:t>
      </w:r>
      <w:bookmarkEnd w:id="149"/>
    </w:p>
    <w:p w14:paraId="629BB20F" w14:textId="77777777" w:rsidR="00D762DD" w:rsidRDefault="00000000">
      <w:r>
        <w:t xml:space="preserve">EXP4 es un estudio de calibración empírica cuyo propósito es cuantificar la convergencia </w:t>
      </w:r>
      <w:proofErr w:type="spellStart"/>
      <w:r>
        <w:t>inter-juez</w:t>
      </w:r>
      <w:proofErr w:type="spellEnd"/>
      <w:r>
        <w:t xml:space="preserve"> de evaluadores LLM sobre explicaciones del corpus experimental de EXP2. Su función en la tesis es proporcionar evidencia cuantitativa de la brecha de evaluación semántica identificada en la taxonomía del Capítulo 5 (Brecha 3, §</w:t>
      </w:r>
      <w:proofErr w:type="spellStart"/>
      <w:r>
        <w:t>sec</w:t>
      </w:r>
      <w:proofErr w:type="spellEnd"/>
      <w:r>
        <w:t>-</w:t>
      </w:r>
      <w:proofErr w:type="spellStart"/>
      <w:r>
        <w:t>taxonomia</w:t>
      </w:r>
      <w:proofErr w:type="spellEnd"/>
      <w:r>
        <w:t>-brechas: la evaluación semántica crece más rápido que su base de validación empírica).</w:t>
      </w:r>
    </w:p>
    <w:p w14:paraId="0A0AC8D6" w14:textId="77777777" w:rsidR="00D762DD" w:rsidRDefault="00000000">
      <w:pPr>
        <w:pStyle w:val="BodyText"/>
      </w:pPr>
      <w:r>
        <w:rPr>
          <w:b/>
          <w:bCs/>
        </w:rPr>
        <w:t>Muestra.</w:t>
      </w:r>
      <w:r>
        <w:t xml:space="preserve"> Se seleccionaron </w:t>
      </w:r>
      <m:oMath>
        <m:r>
          <w:rPr>
            <w:rFonts w:ascii="Cambria Math" w:hAnsi="Cambria Math"/>
          </w:rPr>
          <m:t>n</m:t>
        </m:r>
        <m:r>
          <m:rPr>
            <m:sty m:val="p"/>
          </m:rPr>
          <w:rPr>
            <w:rFonts w:ascii="Cambria Math" w:hAnsi="Cambria Math"/>
          </w:rPr>
          <m:t>=</m:t>
        </m:r>
        <m:r>
          <w:rPr>
            <w:rFonts w:ascii="Cambria Math" w:hAnsi="Cambria Math"/>
          </w:rPr>
          <m:t>147</m:t>
        </m:r>
      </m:oMath>
      <w:r>
        <w:t xml:space="preserve"> pares de salidas de explicación del corpus EXP2, estratificados para representar los cinco modelos y los cuatro métodos explicadores. Cada par contiene la salida de texto de dos explicaciones sobre la misma instancia o configuración comparable.</w:t>
      </w:r>
    </w:p>
    <w:p w14:paraId="5AC775FC" w14:textId="77777777" w:rsidR="00D762DD" w:rsidRDefault="00000000">
      <w:pPr>
        <w:pStyle w:val="BodyText"/>
      </w:pPr>
      <w:r>
        <w:rPr>
          <w:b/>
          <w:bCs/>
        </w:rPr>
        <w:t>Jueces.</w:t>
      </w:r>
      <w:r>
        <w:t xml:space="preserve"> Tres jueces LLM independientes puntuaron cada par de forma ciega (sin conocer la puntuación de los otros jueces) sobre siete dimensiones semánticas estructuradas mediante una rúbrica de escala 1–5 por dimensión (las siete dimensiones se enumeran en la Tabla </w:t>
      </w:r>
      <w:hyperlink w:anchor="tbl-exp4-icc">
        <w:r>
          <w:rPr>
            <w:rStyle w:val="Hyperlink"/>
          </w:rPr>
          <w:t>Table 6.3</w:t>
        </w:r>
      </w:hyperlink>
      <w:r>
        <w:t xml:space="preserve"> del Capítulo 5). El uso de modelos de lenguaje como instrumento de medida exige cautela: estos sistemas producen salidas fluidas y plausibles con independencia de su corrección factual, un modo de fallo ampliamente documentado en generación de lenguaje natural (Ji 2022), por lo que su convergencia </w:t>
      </w:r>
      <w:proofErr w:type="spellStart"/>
      <w:r>
        <w:t>inter-juez</w:t>
      </w:r>
      <w:proofErr w:type="spellEnd"/>
      <w:r>
        <w:t xml:space="preserve"> debe establecerse empíricamente antes de tratarla como evidencia.</w:t>
      </w:r>
    </w:p>
    <w:p w14:paraId="31061FE3" w14:textId="77777777" w:rsidR="00D762DD" w:rsidRDefault="00000000">
      <w:pPr>
        <w:pStyle w:val="BodyText"/>
      </w:pPr>
      <w:r>
        <w:rPr>
          <w:b/>
          <w:bCs/>
        </w:rPr>
        <w:t>Análisis.</w:t>
      </w:r>
      <w:r>
        <w:t xml:space="preserve"> La fiabilidad </w:t>
      </w:r>
      <w:proofErr w:type="spellStart"/>
      <w:r>
        <w:t>inter-juez</w:t>
      </w:r>
      <w:proofErr w:type="spellEnd"/>
      <w:r>
        <w:t xml:space="preserve"> se cuantifica mediante la correlación intraclase </w:t>
      </w:r>
      <w:proofErr w:type="gramStart"/>
      <w:r>
        <w:t>ICC(</w:t>
      </w:r>
      <w:proofErr w:type="gramEnd"/>
      <w:r>
        <w:t xml:space="preserve">1,1) —modelo de efectos aleatorios unidireccional, evaluador único— y el </w:t>
      </w:r>
      <m:oMath>
        <m:r>
          <w:rPr>
            <w:rFonts w:ascii="Cambria Math" w:hAnsi="Cambria Math"/>
          </w:rPr>
          <m:t>α</m:t>
        </m:r>
      </m:oMath>
      <w:r>
        <w:t xml:space="preserve"> de Krippendorff (Krippendorff 2018), estadístico que tolera puntuaciones ausentes y admite escalas ordinales. Se prefieren ambos al coeficiente </w:t>
      </w:r>
      <m:oMath>
        <m:r>
          <w:rPr>
            <w:rFonts w:ascii="Cambria Math" w:hAnsi="Cambria Math"/>
          </w:rPr>
          <m:t>κ</m:t>
        </m:r>
      </m:oMath>
      <w:r>
        <w:t xml:space="preserve"> de Cohen (Cohen 1960) porque este último se define para dos evaluadores y escalas nominales, mientras que el diseño de EXP4 involucra tres jueces y puntuaciones ordinales de 1 a 5. El umbral de fiabilidad aceptable es </w:t>
      </w:r>
      <m:oMath>
        <m:r>
          <m:rPr>
            <m:sty m:val="p"/>
          </m:rPr>
          <w:rPr>
            <w:rFonts w:ascii="Cambria Math" w:hAnsi="Cambria Math"/>
          </w:rPr>
          <m:t>≥</m:t>
        </m:r>
        <m:r>
          <w:rPr>
            <w:rFonts w:ascii="Cambria Math" w:hAnsi="Cambria Math"/>
          </w:rPr>
          <m:t>0.75</m:t>
        </m:r>
      </m:oMath>
      <w:r>
        <w:t xml:space="preserve"> (Koo and Li 2016), que corresponde a la categoría </w:t>
      </w:r>
      <w:proofErr w:type="spellStart"/>
      <w:r>
        <w:rPr>
          <w:i/>
          <w:iCs/>
        </w:rPr>
        <w:t>good</w:t>
      </w:r>
      <w:proofErr w:type="spellEnd"/>
      <w:r>
        <w:t xml:space="preserve"> o superior según los criterios de Koo and Li (2016).</w:t>
      </w:r>
    </w:p>
    <w:p w14:paraId="53020B0D" w14:textId="77777777" w:rsidR="00D762DD" w:rsidRDefault="00000000">
      <w:pPr>
        <w:pStyle w:val="BodyText"/>
      </w:pPr>
      <w:r>
        <w:rPr>
          <w:b/>
          <w:bCs/>
        </w:rPr>
        <w:lastRenderedPageBreak/>
        <w:t>Alcance.</w:t>
      </w:r>
      <w:r>
        <w:t xml:space="preserve"> EXP4 evalúa la fiabilidad del instrumento de medición semántico, no la calidad de los métodos explicadores. Sus resultados no modifican las conclusiones confirmativas de H1–H3; aportan evidencia sobre el diseño de rúbricas para evaluación semántica futura. EXP4 tiene carácter exploratorio y no genera hipótesis confirmativas propias; su resultado se clasifica como proposición de calibración P2, declarada con su estatuto epistémico diferenciado en el Capítulo 1 y reportada en los Capítulos 5 y 6.</w:t>
      </w:r>
    </w:p>
    <w:p w14:paraId="106EC56C" w14:textId="77777777" w:rsidR="00D762DD" w:rsidRDefault="00000000">
      <w:pPr>
        <w:pStyle w:val="BodyText"/>
      </w:pPr>
      <w:r>
        <w:t>Este capítulo ha operacionalizado el protocolo FOM-7 y ha establecido las condiciones bajo las cuales los resultados del Capítulo 4 son estadísticamente admisibles: 275 artefactos calificados de 300 planificados, con separación EXP1/EXP2, semillas declarativas, auditoría de integridad y plan inferencial fijado antes de la ejecución confirmativa. Los estudios complementarios EXP3 y EXP4 amplían la evidencia disponible sin alterar el protocolo confirmativo central. El Capítulo 4 presenta los resultados de H1, H2, H3 y P1; el Capítulo 5 incorpora los resultados de EXP4 como componente empírico de la taxonomía.</w:t>
      </w:r>
    </w:p>
    <w:p w14:paraId="04986F98" w14:textId="77777777" w:rsidR="00D762DD" w:rsidRDefault="00000000">
      <w:pPr>
        <w:pStyle w:val="Heading1"/>
      </w:pPr>
      <w:bookmarkStart w:id="150" w:name="resultados-y-discusión"/>
      <w:bookmarkStart w:id="151" w:name="_Toc238925766"/>
      <w:bookmarkEnd w:id="72"/>
      <w:bookmarkEnd w:id="144"/>
      <w:bookmarkEnd w:id="148"/>
      <w:r>
        <w:t>Resultados y discusión</w:t>
      </w:r>
      <w:bookmarkEnd w:id="151"/>
    </w:p>
    <w:p w14:paraId="66FDC5E6" w14:textId="77777777" w:rsidR="00D762DD" w:rsidRDefault="00000000">
      <w:r>
        <w:t xml:space="preserve">Este capítulo presenta los resultados empíricos del Estudio </w:t>
      </w:r>
      <w:proofErr w:type="spellStart"/>
      <w:r>
        <w:t>Omnibus</w:t>
      </w:r>
      <w:proofErr w:type="spellEnd"/>
      <w:r>
        <w:t xml:space="preserve"> </w:t>
      </w:r>
      <w:proofErr w:type="spellStart"/>
      <w:r>
        <w:t>Multimétrico</w:t>
      </w:r>
      <w:proofErr w:type="spellEnd"/>
      <w:r>
        <w:t xml:space="preserve"> y del Estudio Pareado LIME–SHAP, organizados conforme a las hipótesis y proposición de trabajo establecidas en el Capítulo 1. La exposición sigue la secuencia lógica del protocolo FOM-7: primero se documentan los resultados del análisis </w:t>
      </w:r>
      <w:proofErr w:type="spellStart"/>
      <w:r>
        <w:t>omnibus</w:t>
      </w:r>
      <w:proofErr w:type="spellEnd"/>
      <w:r>
        <w:t xml:space="preserve"> </w:t>
      </w:r>
      <w:proofErr w:type="spellStart"/>
      <w:r>
        <w:t>multimétrico</w:t>
      </w:r>
      <w:proofErr w:type="spellEnd"/>
      <w:r>
        <w:t>, luego el análisis pareado SHAP-LIME, y finalmente la verificación de la proposición de reproducibilidad (P1). La discusión integradora al final del capítulo articula los hallazgos con la literatura y deriva criterios operativos de selección de métodos.</w:t>
      </w:r>
    </w:p>
    <w:p w14:paraId="309E04C9" w14:textId="77777777" w:rsidR="00D762DD" w:rsidRDefault="00000000">
      <w:pPr>
        <w:pStyle w:val="BodyText"/>
      </w:pPr>
      <w:r>
        <w:t xml:space="preserve">Todos los valores reportados en este capítulo se calcularon a partir de los artefactos de la etapa de </w:t>
      </w:r>
      <w:proofErr w:type="spellStart"/>
      <w:r>
        <w:t>benchmark</w:t>
      </w:r>
      <w:proofErr w:type="spellEnd"/>
      <w:r>
        <w:t xml:space="preserve"> primario de robustez (EXP2), compuesta por 275 celdas calificadas del diseño factorial </w:t>
      </w:r>
      <m:oMath>
        <m:r>
          <w:rPr>
            <w:rFonts w:ascii="Cambria Math" w:hAnsi="Cambria Math"/>
          </w:rPr>
          <m:t>5</m:t>
        </m:r>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3</m:t>
        </m:r>
      </m:oMath>
      <w:r>
        <w:t>. Las 25 celdas faltantes (todas ellas del tipo Anchors o DiCE) fueron excluidas por la puerta 3 del protocolo y no afectan las pruebas confirmativas (véase Capítulo 3, sección de cobertura y calificación).</w:t>
      </w:r>
    </w:p>
    <w:p w14:paraId="392A7301" w14:textId="77777777" w:rsidR="00D762DD" w:rsidRDefault="00000000">
      <w:pPr>
        <w:pStyle w:val="Heading2"/>
      </w:pPr>
      <w:bookmarkStart w:id="152" w:name="X265f56e886428ba30debc49e85dcc5a7469d3ae"/>
      <w:bookmarkStart w:id="153" w:name="_Toc238925767"/>
      <w:r>
        <w:lastRenderedPageBreak/>
        <w:t>Descripción general de la cobertura analítica</w:t>
      </w:r>
      <w:bookmarkEnd w:id="153"/>
    </w:p>
    <w:p w14:paraId="2C8ABAFE" w14:textId="77777777" w:rsidR="00D762DD" w:rsidRDefault="00000000">
      <w:r>
        <w:t>Antes de presentar las pruebas confirmativas, conviene establecer la distribución real de los datos. De las 300 celdas planificadas en EXP2 (</w:t>
      </w:r>
      <m:oMath>
        <m:r>
          <w:rPr>
            <w:rFonts w:ascii="Cambria Math" w:hAnsi="Cambria Math"/>
          </w:rPr>
          <m:t>D</m:t>
        </m:r>
        <m:r>
          <m:rPr>
            <m:sty m:val="p"/>
          </m:rPr>
          <w:rPr>
            <w:rFonts w:ascii="Cambria Math" w:hAnsi="Cambria Math"/>
          </w:rPr>
          <m:t>=</m:t>
        </m:r>
        <m:r>
          <w:rPr>
            <w:rFonts w:ascii="Cambria Math" w:hAnsi="Cambria Math"/>
          </w:rPr>
          <m:t>g</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3</m:t>
        </m:r>
      </m:oMath>
      <w:r>
        <w:t>), se obtuvieron artefactos calificados en 275, distribuidos como sigue:</w:t>
      </w:r>
    </w:p>
    <w:p w14:paraId="61345CA4" w14:textId="77777777" w:rsidR="00D762DD" w:rsidRDefault="00000000">
      <w:pPr>
        <w:numPr>
          <w:ilvl w:val="0"/>
          <w:numId w:val="12"/>
        </w:numPr>
      </w:pPr>
      <w:r>
        <w:rPr>
          <w:b/>
          <w:bCs/>
        </w:rPr>
        <w:t>SHAP</w:t>
      </w:r>
      <w:r>
        <w:t xml:space="preserve">: 75 de 75 celdas (100%). La superposición de recuperación (outputs/batch_results.csv) completa la única celda físicamente faltante del árbol exp2_scaled (svm_shap_s456_n200) y sustituye las ejecuciones SHAP de </w:t>
      </w:r>
      <w:proofErr w:type="spellStart"/>
      <w:r>
        <w:t>mlp</w:t>
      </w:r>
      <w:proofErr w:type="spellEnd"/>
      <w:r>
        <w:t>/</w:t>
      </w:r>
      <w:proofErr w:type="spellStart"/>
      <w:r>
        <w:t>svm</w:t>
      </w:r>
      <w:proofErr w:type="spellEnd"/>
      <w:r>
        <w:t xml:space="preserve"> para evitar sesgos por truncamiento de tiempo.</w:t>
      </w:r>
    </w:p>
    <w:p w14:paraId="30D2EC86" w14:textId="77777777" w:rsidR="00D762DD" w:rsidRDefault="00000000">
      <w:pPr>
        <w:numPr>
          <w:ilvl w:val="0"/>
          <w:numId w:val="12"/>
        </w:numPr>
      </w:pPr>
      <w:r>
        <w:rPr>
          <w:b/>
          <w:bCs/>
        </w:rPr>
        <w:t>LIME</w:t>
      </w:r>
      <w:r>
        <w:t>: 75 de 75 celdas (100%). Cobertura completa.</w:t>
      </w:r>
    </w:p>
    <w:p w14:paraId="26C8AE91" w14:textId="77777777" w:rsidR="00D762DD" w:rsidRDefault="00000000">
      <w:pPr>
        <w:numPr>
          <w:ilvl w:val="0"/>
          <w:numId w:val="12"/>
        </w:numPr>
      </w:pPr>
      <w:proofErr w:type="spellStart"/>
      <w:r>
        <w:rPr>
          <w:b/>
          <w:bCs/>
        </w:rPr>
        <w:t>DiCE</w:t>
      </w:r>
      <w:proofErr w:type="spellEnd"/>
      <w:r>
        <w:t xml:space="preserve">: 68 de 75 celdas (90.7%). Las 7 celdas faltantes se distribuyen entre varias combinaciones con semillas específicas (2 en </w:t>
      </w:r>
      <w:proofErr w:type="spellStart"/>
      <w:r>
        <w:t>logreg_dice</w:t>
      </w:r>
      <w:proofErr w:type="spellEnd"/>
      <w:r>
        <w:t xml:space="preserve">, 2 en </w:t>
      </w:r>
      <w:proofErr w:type="spellStart"/>
      <w:r>
        <w:t>mlp_dice</w:t>
      </w:r>
      <w:proofErr w:type="spellEnd"/>
      <w:r>
        <w:t xml:space="preserve">, 2 en </w:t>
      </w:r>
      <w:proofErr w:type="spellStart"/>
      <w:r>
        <w:t>svm_dice</w:t>
      </w:r>
      <w:proofErr w:type="spellEnd"/>
      <w:r>
        <w:t xml:space="preserve"> y 1 en </w:t>
      </w:r>
      <w:proofErr w:type="spellStart"/>
      <w:r>
        <w:t>xgb_dice</w:t>
      </w:r>
      <w:proofErr w:type="spellEnd"/>
      <w:r>
        <w:t>).</w:t>
      </w:r>
    </w:p>
    <w:p w14:paraId="7BDDBB00" w14:textId="77777777" w:rsidR="00D762DD" w:rsidRDefault="00000000">
      <w:pPr>
        <w:numPr>
          <w:ilvl w:val="0"/>
          <w:numId w:val="12"/>
        </w:numPr>
      </w:pPr>
      <w:r>
        <w:rPr>
          <w:b/>
          <w:bCs/>
        </w:rPr>
        <w:t>Anchors</w:t>
      </w:r>
      <w:r>
        <w:t xml:space="preserve">: 57 de 75 celdas (76.0%). Las 18 celdas faltantes se concentran en </w:t>
      </w:r>
      <w:proofErr w:type="spellStart"/>
      <w:r>
        <w:t>logreg_anchors</w:t>
      </w:r>
      <w:proofErr w:type="spellEnd"/>
      <w:r>
        <w:t xml:space="preserve"> y </w:t>
      </w:r>
      <w:proofErr w:type="spellStart"/>
      <w:r>
        <w:t>mlp_anchors</w:t>
      </w:r>
      <w:proofErr w:type="spellEnd"/>
      <w:r>
        <w:t xml:space="preserve"> (con 2 celdas adicionales en </w:t>
      </w:r>
      <w:proofErr w:type="spellStart"/>
      <w:r>
        <w:t>xgb_anchors</w:t>
      </w:r>
      <w:proofErr w:type="spellEnd"/>
      <w:r>
        <w:t>) y reflejan la falta de convergencia del algoritmo a una regla con precisión ≥ 0.95 dentro del límite de búsqueda.</w:t>
      </w:r>
    </w:p>
    <w:p w14:paraId="045BF666" w14:textId="77777777" w:rsidR="00D762DD" w:rsidRDefault="00000000">
      <w:r>
        <w:t xml:space="preserve">Para el análisis Friedman (H1 y H2), se utilizan los 15 bloques completos </w:t>
      </w:r>
      <m:oMath>
        <m:r>
          <m:rPr>
            <m:sty m:val="p"/>
          </m:rPr>
          <w:rPr>
            <w:rFonts w:ascii="Cambria Math" w:hAnsi="Cambria Math"/>
          </w:rPr>
          <m:t>(</m:t>
        </m:r>
        <m:r>
          <w:rPr>
            <w:rFonts w:ascii="Cambria Math" w:hAnsi="Cambria Math"/>
          </w:rPr>
          <m:t>g</m:t>
        </m:r>
        <m:r>
          <m:rPr>
            <m:sty m:val="p"/>
          </m:rPr>
          <w:rPr>
            <w:rFonts w:ascii="Cambria Math" w:hAnsi="Cambria Math"/>
          </w:rPr>
          <m:t>,</m:t>
        </m:r>
        <m:r>
          <w:rPr>
            <w:rFonts w:ascii="Cambria Math" w:hAnsi="Cambria Math"/>
          </w:rPr>
          <m:t>n</m:t>
        </m:r>
        <m:r>
          <m:rPr>
            <m:sty m:val="p"/>
          </m:rPr>
          <w:rPr>
            <w:rFonts w:ascii="Cambria Math" w:hAnsi="Cambria Math"/>
          </w:rPr>
          <m:t>)</m:t>
        </m:r>
      </m:oMath>
      <w:r>
        <w:t xml:space="preserve"> (</w:t>
      </w:r>
      <w:proofErr w:type="spellStart"/>
      <w:r>
        <w:rPr>
          <w:i/>
          <w:iCs/>
        </w:rPr>
        <w:t>model-size</w:t>
      </w:r>
      <w:proofErr w:type="spellEnd"/>
      <w:r>
        <w:rPr>
          <w:i/>
          <w:iCs/>
        </w:rPr>
        <w:t xml:space="preserve"> blocks</w:t>
      </w:r>
      <w:r>
        <w:t xml:space="preserve">) para los cuales los cuatro métodos disponen de al menos una ejecución calificada (véase Capítulo 3). Para el análisis pareado SHAP-LIME (H3), se utilizan las 75 celdas </w:t>
      </w:r>
      <m:oMath>
        <m:r>
          <m:rPr>
            <m:sty m:val="p"/>
          </m:rPr>
          <w:rPr>
            <w:rFonts w:ascii="Cambria Math" w:hAnsi="Cambria Math"/>
          </w:rPr>
          <m:t>(</m:t>
        </m:r>
        <m:r>
          <w:rPr>
            <w:rFonts w:ascii="Cambria Math" w:hAnsi="Cambria Math"/>
          </w:rPr>
          <m:t>g</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n</m:t>
        </m:r>
        <m:r>
          <m:rPr>
            <m:sty m:val="p"/>
          </m:rPr>
          <w:rPr>
            <w:rFonts w:ascii="Cambria Math" w:hAnsi="Cambria Math"/>
          </w:rPr>
          <m:t>)</m:t>
        </m:r>
      </m:oMath>
      <w:r>
        <w:t xml:space="preserve"> coincidentes en las que ambos métodos producen resultados calificados.</w:t>
      </w:r>
    </w:p>
    <w:p w14:paraId="57086339" w14:textId="77777777" w:rsidR="00D762DD" w:rsidRDefault="00000000">
      <w:pPr>
        <w:pStyle w:val="BodyText"/>
      </w:pPr>
      <w:r>
        <w:t xml:space="preserve">La Tabla </w:t>
      </w:r>
      <w:hyperlink w:anchor="tbl-results-overview">
        <w:r>
          <w:rPr>
            <w:rStyle w:val="Hyperlink"/>
          </w:rPr>
          <w:t>Table 5.1</w:t>
        </w:r>
      </w:hyperlink>
      <w:r>
        <w:t xml:space="preserve"> resume las decisiones inferenciales principales antes de desarrollar cada resultado. Su función es separar la evidencia estadística de la interpretación sustantiva y hacer explícita la unidad de análisis de cada </w:t>
      </w:r>
      <w:proofErr w:type="spellStart"/>
      <w:r>
        <w:t>claim</w:t>
      </w:r>
      <w:proofErr w:type="spellEnd"/>
      <w:r>
        <w:t>.</w:t>
      </w:r>
    </w:p>
    <w:tbl>
      <w:tblPr>
        <w:tblW w:w="5000" w:type="pct"/>
        <w:tblLayout w:type="fixed"/>
        <w:tblLook w:val="0000" w:firstRow="0" w:lastRow="0" w:firstColumn="0" w:lastColumn="0" w:noHBand="0" w:noVBand="0"/>
      </w:tblPr>
      <w:tblGrid>
        <w:gridCol w:w="9576"/>
      </w:tblGrid>
      <w:tr w:rsidR="00D762DD" w14:paraId="1C7DB99C" w14:textId="77777777">
        <w:tc>
          <w:tcPr>
            <w:tcW w:w="7920" w:type="dxa"/>
          </w:tcPr>
          <w:p w14:paraId="77D35613" w14:textId="77777777" w:rsidR="00D762DD" w:rsidRDefault="00000000">
            <w:pPr>
              <w:spacing w:before="200"/>
              <w:jc w:val="left"/>
            </w:pPr>
            <w:bookmarkStart w:id="154" w:name="tbl-results-overview"/>
            <w:r>
              <w:t>Table 5.1: Resumen auditable de hipótesis, pruebas y decisiones.</w:t>
            </w:r>
          </w:p>
          <w:tbl>
            <w:tblPr>
              <w:tblW w:w="5000" w:type="pct"/>
              <w:tblLayout w:type="fixed"/>
              <w:tblLook w:val="0020" w:firstRow="1" w:lastRow="0" w:firstColumn="0" w:lastColumn="0" w:noHBand="0" w:noVBand="0"/>
            </w:tblPr>
            <w:tblGrid>
              <w:gridCol w:w="1338"/>
              <w:gridCol w:w="1337"/>
              <w:gridCol w:w="1337"/>
              <w:gridCol w:w="1337"/>
              <w:gridCol w:w="1337"/>
              <w:gridCol w:w="1337"/>
              <w:gridCol w:w="1337"/>
            </w:tblGrid>
            <w:tr w:rsidR="00D762DD" w14:paraId="2A8FFBA1" w14:textId="77777777">
              <w:trPr>
                <w:tblHeader/>
              </w:trPr>
              <w:tc>
                <w:tcPr>
                  <w:tcW w:w="1131" w:type="dxa"/>
                </w:tcPr>
                <w:p w14:paraId="019A04FA" w14:textId="77777777" w:rsidR="00D762DD" w:rsidRDefault="00000000">
                  <w:pPr>
                    <w:jc w:val="center"/>
                  </w:pPr>
                  <w:r>
                    <w:t>Claim</w:t>
                  </w:r>
                </w:p>
              </w:tc>
              <w:tc>
                <w:tcPr>
                  <w:tcW w:w="1131" w:type="dxa"/>
                </w:tcPr>
                <w:p w14:paraId="0CBD97DB" w14:textId="77777777" w:rsidR="00D762DD" w:rsidRDefault="00000000">
                  <w:pPr>
                    <w:jc w:val="center"/>
                  </w:pPr>
                  <w:r>
                    <w:t>Test</w:t>
                  </w:r>
                </w:p>
              </w:tc>
              <w:tc>
                <w:tcPr>
                  <w:tcW w:w="1131" w:type="dxa"/>
                </w:tcPr>
                <w:p w14:paraId="60776667" w14:textId="77777777" w:rsidR="00D762DD" w:rsidRDefault="00000000">
                  <w:pPr>
                    <w:jc w:val="center"/>
                  </w:pPr>
                  <w:r>
                    <w:t xml:space="preserve">Unidad / </w:t>
                  </w:r>
                  <m:oMath>
                    <m:r>
                      <w:rPr>
                        <w:rFonts w:ascii="Cambria Math" w:hAnsi="Cambria Math"/>
                      </w:rPr>
                      <m:t>n</m:t>
                    </m:r>
                  </m:oMath>
                </w:p>
              </w:tc>
              <w:tc>
                <w:tcPr>
                  <w:tcW w:w="1131" w:type="dxa"/>
                </w:tcPr>
                <w:p w14:paraId="5FA06B73" w14:textId="77777777" w:rsidR="00D762DD" w:rsidRDefault="00000000">
                  <w:pPr>
                    <w:jc w:val="center"/>
                  </w:pPr>
                  <w:r>
                    <w:t>Estadístico</w:t>
                  </w:r>
                </w:p>
              </w:tc>
              <w:tc>
                <w:tcPr>
                  <w:tcW w:w="1131" w:type="dxa"/>
                </w:tcPr>
                <w:p w14:paraId="2846FDD6" w14:textId="77777777" w:rsidR="00D762DD" w:rsidRDefault="00000000">
                  <w:pPr>
                    <w:jc w:val="center"/>
                  </w:pPr>
                  <m:oMathPara>
                    <m:oMath>
                      <m:sSub>
                        <m:sSubPr>
                          <m:ctrlPr>
                            <w:rPr>
                              <w:rFonts w:ascii="Cambria Math" w:hAnsi="Cambria Math"/>
                            </w:rPr>
                          </m:ctrlPr>
                        </m:sSubPr>
                        <m:e>
                          <m:r>
                            <w:rPr>
                              <w:rFonts w:ascii="Cambria Math" w:hAnsi="Cambria Math"/>
                            </w:rPr>
                            <m:t>p</m:t>
                          </m:r>
                        </m:e>
                        <m:sub>
                          <m:r>
                            <m:rPr>
                              <m:sty m:val="p"/>
                            </m:rPr>
                            <w:rPr>
                              <w:rFonts w:ascii="Cambria Math" w:hAnsi="Cambria Math"/>
                            </w:rPr>
                            <m:t>Holm</m:t>
                          </m:r>
                        </m:sub>
                      </m:sSub>
                    </m:oMath>
                  </m:oMathPara>
                </w:p>
              </w:tc>
              <w:tc>
                <w:tcPr>
                  <w:tcW w:w="1131" w:type="dxa"/>
                </w:tcPr>
                <w:p w14:paraId="4684B32A" w14:textId="77777777" w:rsidR="00D762DD" w:rsidRDefault="00000000">
                  <w:pPr>
                    <w:jc w:val="center"/>
                  </w:pPr>
                  <w:r>
                    <w:t>Efecto</w:t>
                  </w:r>
                </w:p>
              </w:tc>
              <w:tc>
                <w:tcPr>
                  <w:tcW w:w="1131" w:type="dxa"/>
                </w:tcPr>
                <w:p w14:paraId="6BDA237A" w14:textId="77777777" w:rsidR="00D762DD" w:rsidRDefault="00000000">
                  <w:pPr>
                    <w:jc w:val="center"/>
                  </w:pPr>
                  <w:r>
                    <w:t>Decisión</w:t>
                  </w:r>
                </w:p>
              </w:tc>
            </w:tr>
            <w:tr w:rsidR="00D762DD" w14:paraId="3167E451" w14:textId="77777777">
              <w:tc>
                <w:tcPr>
                  <w:tcW w:w="1131" w:type="dxa"/>
                </w:tcPr>
                <w:p w14:paraId="70B51026" w14:textId="77777777" w:rsidR="00D762DD" w:rsidRDefault="00000000">
                  <w:pPr>
                    <w:jc w:val="center"/>
                  </w:pPr>
                  <w:r>
                    <w:lastRenderedPageBreak/>
                    <w:t>H1: existen diferencias de fidelidad entre métodos</w:t>
                  </w:r>
                </w:p>
              </w:tc>
              <w:tc>
                <w:tcPr>
                  <w:tcW w:w="1131" w:type="dxa"/>
                </w:tcPr>
                <w:p w14:paraId="6D3978A3" w14:textId="77777777" w:rsidR="00D762DD" w:rsidRDefault="00000000">
                  <w:pPr>
                    <w:jc w:val="center"/>
                  </w:pPr>
                  <w:r>
                    <w:t xml:space="preserve">Friedman + </w:t>
                  </w:r>
                  <w:proofErr w:type="spellStart"/>
                  <w:r>
                    <w:t>Nemenyi</w:t>
                  </w:r>
                  <w:proofErr w:type="spellEnd"/>
                </w:p>
              </w:tc>
              <w:tc>
                <w:tcPr>
                  <w:tcW w:w="1131" w:type="dxa"/>
                </w:tcPr>
                <w:p w14:paraId="50D608B7" w14:textId="77777777" w:rsidR="00D762DD" w:rsidRDefault="00000000">
                  <w:pPr>
                    <w:jc w:val="center"/>
                  </w:pPr>
                  <w:r>
                    <w:t xml:space="preserve">15 bloques </w:t>
                  </w:r>
                  <m:oMath>
                    <m:r>
                      <m:rPr>
                        <m:sty m:val="p"/>
                      </m:rPr>
                      <w:rPr>
                        <w:rFonts w:ascii="Cambria Math" w:hAnsi="Cambria Math"/>
                      </w:rPr>
                      <m:t>(</m:t>
                    </m:r>
                    <m:r>
                      <w:rPr>
                        <w:rFonts w:ascii="Cambria Math" w:hAnsi="Cambria Math"/>
                      </w:rPr>
                      <m:t>g</m:t>
                    </m:r>
                    <m:r>
                      <m:rPr>
                        <m:sty m:val="p"/>
                      </m:rPr>
                      <w:rPr>
                        <w:rFonts w:ascii="Cambria Math" w:hAnsi="Cambria Math"/>
                      </w:rPr>
                      <m:t>,</m:t>
                    </m:r>
                    <m:r>
                      <w:rPr>
                        <w:rFonts w:ascii="Cambria Math" w:hAnsi="Cambria Math"/>
                      </w:rPr>
                      <m:t>n</m:t>
                    </m:r>
                    <m:r>
                      <m:rPr>
                        <m:sty m:val="p"/>
                      </m:rPr>
                      <w:rPr>
                        <w:rFonts w:ascii="Cambria Math" w:hAnsi="Cambria Math"/>
                      </w:rPr>
                      <m:t>)</m:t>
                    </m:r>
                  </m:oMath>
                </w:p>
              </w:tc>
              <w:tc>
                <w:tcPr>
                  <w:tcW w:w="1131" w:type="dxa"/>
                </w:tcPr>
                <w:p w14:paraId="3E1925EE" w14:textId="77777777" w:rsidR="00D762DD" w:rsidRDefault="00000000">
                  <w:pPr>
                    <w:jc w:val="center"/>
                  </w:pPr>
                  <m:oMathPara>
                    <m:oMath>
                      <m:sSubSup>
                        <m:sSubSupPr>
                          <m:ctrlPr>
                            <w:rPr>
                              <w:rFonts w:ascii="Cambria Math" w:hAnsi="Cambria Math"/>
                            </w:rPr>
                          </m:ctrlPr>
                        </m:sSubSupPr>
                        <m:e>
                          <m:r>
                            <w:rPr>
                              <w:rFonts w:ascii="Cambria Math" w:hAnsi="Cambria Math"/>
                            </w:rPr>
                            <m:t>χ</m:t>
                          </m:r>
                        </m:e>
                        <m:sub>
                          <m:r>
                            <w:rPr>
                              <w:rFonts w:ascii="Cambria Math" w:hAnsi="Cambria Math"/>
                            </w:rPr>
                            <m:t>F</m:t>
                          </m:r>
                        </m:sub>
                        <m:sup>
                          <m:r>
                            <w:rPr>
                              <w:rFonts w:ascii="Cambria Math" w:hAnsi="Cambria Math"/>
                            </w:rPr>
                            <m:t>2</m:t>
                          </m:r>
                        </m:sup>
                      </m:sSubSup>
                      <m:r>
                        <m:rPr>
                          <m:sty m:val="p"/>
                        </m:rPr>
                        <w:rPr>
                          <w:rFonts w:ascii="Cambria Math" w:hAnsi="Cambria Math"/>
                        </w:rPr>
                        <m:t>=</m:t>
                      </m:r>
                      <m:r>
                        <w:rPr>
                          <w:rFonts w:ascii="Cambria Math" w:hAnsi="Cambria Math"/>
                        </w:rPr>
                        <m:t>42.12</m:t>
                      </m:r>
                    </m:oMath>
                  </m:oMathPara>
                </w:p>
              </w:tc>
              <w:tc>
                <w:tcPr>
                  <w:tcW w:w="1131" w:type="dxa"/>
                </w:tcPr>
                <w:p w14:paraId="65D0DFF2" w14:textId="77777777" w:rsidR="00D762DD" w:rsidRDefault="00000000">
                  <w:pPr>
                    <w:jc w:val="center"/>
                  </w:pPr>
                  <m:oMathPara>
                    <m:oMath>
                      <m:r>
                        <w:rPr>
                          <w:rFonts w:ascii="Cambria Math" w:hAnsi="Cambria Math"/>
                        </w:rPr>
                        <m:t>1.51</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8</m:t>
                          </m:r>
                        </m:sup>
                      </m:sSup>
                    </m:oMath>
                  </m:oMathPara>
                </w:p>
              </w:tc>
              <w:tc>
                <w:tcPr>
                  <w:tcW w:w="1131" w:type="dxa"/>
                </w:tcPr>
                <w:p w14:paraId="192C2181" w14:textId="77777777" w:rsidR="00D762DD" w:rsidRDefault="00000000">
                  <w:pPr>
                    <w:jc w:val="center"/>
                  </w:pPr>
                  <m:oMathPara>
                    <m:oMath>
                      <m:r>
                        <w:rPr>
                          <w:rFonts w:ascii="Cambria Math" w:hAnsi="Cambria Math"/>
                        </w:rPr>
                        <m:t>W</m:t>
                      </m:r>
                      <m:r>
                        <m:rPr>
                          <m:sty m:val="p"/>
                        </m:rPr>
                        <w:rPr>
                          <w:rFonts w:ascii="Cambria Math" w:hAnsi="Cambria Math"/>
                        </w:rPr>
                        <m:t>=</m:t>
                      </m:r>
                      <m:r>
                        <w:rPr>
                          <w:rFonts w:ascii="Cambria Math" w:hAnsi="Cambria Math"/>
                        </w:rPr>
                        <m:t>0.936</m:t>
                      </m:r>
                    </m:oMath>
                  </m:oMathPara>
                </w:p>
              </w:tc>
              <w:tc>
                <w:tcPr>
                  <w:tcW w:w="1131" w:type="dxa"/>
                </w:tcPr>
                <w:p w14:paraId="4D0E1C7E" w14:textId="77777777" w:rsidR="00D762DD" w:rsidRDefault="00000000">
                  <w:pPr>
                    <w:jc w:val="center"/>
                  </w:pPr>
                  <w:r>
                    <w:t xml:space="preserve">Rechazar </w:t>
                  </w:r>
                  <m:oMath>
                    <m:sSub>
                      <m:sSubPr>
                        <m:ctrlPr>
                          <w:rPr>
                            <w:rFonts w:ascii="Cambria Math" w:hAnsi="Cambria Math"/>
                          </w:rPr>
                        </m:ctrlPr>
                      </m:sSubPr>
                      <m:e>
                        <m:r>
                          <w:rPr>
                            <w:rFonts w:ascii="Cambria Math" w:hAnsi="Cambria Math"/>
                          </w:rPr>
                          <m:t>H</m:t>
                        </m:r>
                      </m:e>
                      <m:sub>
                        <m:r>
                          <w:rPr>
                            <w:rFonts w:ascii="Cambria Math" w:hAnsi="Cambria Math"/>
                          </w:rPr>
                          <m:t>0</m:t>
                        </m:r>
                        <m:r>
                          <m:rPr>
                            <m:sty m:val="p"/>
                          </m:rPr>
                          <w:rPr>
                            <w:rFonts w:ascii="Cambria Math" w:hAnsi="Cambria Math"/>
                          </w:rPr>
                          <m:t>,</m:t>
                        </m:r>
                        <m:r>
                          <w:rPr>
                            <w:rFonts w:ascii="Cambria Math" w:hAnsi="Cambria Math"/>
                          </w:rPr>
                          <m:t>1</m:t>
                        </m:r>
                      </m:sub>
                    </m:sSub>
                  </m:oMath>
                  <w:r>
                    <w:t>; SHAP supera a Anchors/DiCE y LIME supera a DiCE</w:t>
                  </w:r>
                </w:p>
              </w:tc>
            </w:tr>
            <w:tr w:rsidR="00D762DD" w14:paraId="4CD3A9F7" w14:textId="77777777">
              <w:tc>
                <w:tcPr>
                  <w:tcW w:w="1131" w:type="dxa"/>
                </w:tcPr>
                <w:p w14:paraId="79AEC965" w14:textId="77777777" w:rsidR="00D762DD" w:rsidRDefault="00000000">
                  <w:pPr>
                    <w:jc w:val="center"/>
                  </w:pPr>
                  <w:r>
                    <w:t>H2: existen diferencias de estabilidad entre métodos</w:t>
                  </w:r>
                </w:p>
              </w:tc>
              <w:tc>
                <w:tcPr>
                  <w:tcW w:w="1131" w:type="dxa"/>
                </w:tcPr>
                <w:p w14:paraId="41711CF4" w14:textId="77777777" w:rsidR="00D762DD" w:rsidRDefault="00000000">
                  <w:pPr>
                    <w:jc w:val="center"/>
                  </w:pPr>
                  <w:r>
                    <w:t xml:space="preserve">Friedman + </w:t>
                  </w:r>
                  <w:proofErr w:type="spellStart"/>
                  <w:r>
                    <w:t>Nemenyi</w:t>
                  </w:r>
                  <w:proofErr w:type="spellEnd"/>
                </w:p>
              </w:tc>
              <w:tc>
                <w:tcPr>
                  <w:tcW w:w="1131" w:type="dxa"/>
                </w:tcPr>
                <w:p w14:paraId="2B70A0D2" w14:textId="77777777" w:rsidR="00D762DD" w:rsidRDefault="00000000">
                  <w:pPr>
                    <w:jc w:val="center"/>
                  </w:pPr>
                  <w:r>
                    <w:t xml:space="preserve">15 bloques </w:t>
                  </w:r>
                  <m:oMath>
                    <m:r>
                      <m:rPr>
                        <m:sty m:val="p"/>
                      </m:rPr>
                      <w:rPr>
                        <w:rFonts w:ascii="Cambria Math" w:hAnsi="Cambria Math"/>
                      </w:rPr>
                      <m:t>(</m:t>
                    </m:r>
                    <m:r>
                      <w:rPr>
                        <w:rFonts w:ascii="Cambria Math" w:hAnsi="Cambria Math"/>
                      </w:rPr>
                      <m:t>g</m:t>
                    </m:r>
                    <m:r>
                      <m:rPr>
                        <m:sty m:val="p"/>
                      </m:rPr>
                      <w:rPr>
                        <w:rFonts w:ascii="Cambria Math" w:hAnsi="Cambria Math"/>
                      </w:rPr>
                      <m:t>,</m:t>
                    </m:r>
                    <m:r>
                      <w:rPr>
                        <w:rFonts w:ascii="Cambria Math" w:hAnsi="Cambria Math"/>
                      </w:rPr>
                      <m:t>n</m:t>
                    </m:r>
                    <m:r>
                      <m:rPr>
                        <m:sty m:val="p"/>
                      </m:rPr>
                      <w:rPr>
                        <w:rFonts w:ascii="Cambria Math" w:hAnsi="Cambria Math"/>
                      </w:rPr>
                      <m:t>)</m:t>
                    </m:r>
                  </m:oMath>
                </w:p>
              </w:tc>
              <w:tc>
                <w:tcPr>
                  <w:tcW w:w="1131" w:type="dxa"/>
                </w:tcPr>
                <w:p w14:paraId="1AD66C83" w14:textId="77777777" w:rsidR="00D762DD" w:rsidRDefault="00000000">
                  <w:pPr>
                    <w:jc w:val="center"/>
                  </w:pPr>
                  <m:oMathPara>
                    <m:oMath>
                      <m:sSubSup>
                        <m:sSubSupPr>
                          <m:ctrlPr>
                            <w:rPr>
                              <w:rFonts w:ascii="Cambria Math" w:hAnsi="Cambria Math"/>
                            </w:rPr>
                          </m:ctrlPr>
                        </m:sSubSupPr>
                        <m:e>
                          <m:r>
                            <w:rPr>
                              <w:rFonts w:ascii="Cambria Math" w:hAnsi="Cambria Math"/>
                            </w:rPr>
                            <m:t>χ</m:t>
                          </m:r>
                        </m:e>
                        <m:sub>
                          <m:r>
                            <w:rPr>
                              <w:rFonts w:ascii="Cambria Math" w:hAnsi="Cambria Math"/>
                            </w:rPr>
                            <m:t>F</m:t>
                          </m:r>
                        </m:sub>
                        <m:sup>
                          <m:r>
                            <w:rPr>
                              <w:rFonts w:ascii="Cambria Math" w:hAnsi="Cambria Math"/>
                            </w:rPr>
                            <m:t>2</m:t>
                          </m:r>
                        </m:sup>
                      </m:sSubSup>
                      <m:r>
                        <m:rPr>
                          <m:sty m:val="p"/>
                        </m:rPr>
                        <w:rPr>
                          <w:rFonts w:ascii="Cambria Math" w:hAnsi="Cambria Math"/>
                        </w:rPr>
                        <m:t>=</m:t>
                      </m:r>
                      <m:r>
                        <w:rPr>
                          <w:rFonts w:ascii="Cambria Math" w:hAnsi="Cambria Math"/>
                        </w:rPr>
                        <m:t>40.68</m:t>
                      </m:r>
                    </m:oMath>
                  </m:oMathPara>
                </w:p>
              </w:tc>
              <w:tc>
                <w:tcPr>
                  <w:tcW w:w="1131" w:type="dxa"/>
                </w:tcPr>
                <w:p w14:paraId="2F0D975C" w14:textId="77777777" w:rsidR="00D762DD" w:rsidRDefault="00000000">
                  <w:pPr>
                    <w:jc w:val="center"/>
                  </w:pPr>
                  <m:oMathPara>
                    <m:oMath>
                      <m:r>
                        <w:rPr>
                          <w:rFonts w:ascii="Cambria Math" w:hAnsi="Cambria Math"/>
                        </w:rPr>
                        <m:t>2.29</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8</m:t>
                          </m:r>
                        </m:sup>
                      </m:sSup>
                    </m:oMath>
                  </m:oMathPara>
                </w:p>
              </w:tc>
              <w:tc>
                <w:tcPr>
                  <w:tcW w:w="1131" w:type="dxa"/>
                </w:tcPr>
                <w:p w14:paraId="37747FFC" w14:textId="77777777" w:rsidR="00D762DD" w:rsidRDefault="00000000">
                  <w:pPr>
                    <w:jc w:val="center"/>
                  </w:pPr>
                  <m:oMathPara>
                    <m:oMath>
                      <m:r>
                        <w:rPr>
                          <w:rFonts w:ascii="Cambria Math" w:hAnsi="Cambria Math"/>
                        </w:rPr>
                        <m:t>W</m:t>
                      </m:r>
                      <m:r>
                        <m:rPr>
                          <m:sty m:val="p"/>
                        </m:rPr>
                        <w:rPr>
                          <w:rFonts w:ascii="Cambria Math" w:hAnsi="Cambria Math"/>
                        </w:rPr>
                        <m:t>=</m:t>
                      </m:r>
                      <m:r>
                        <w:rPr>
                          <w:rFonts w:ascii="Cambria Math" w:hAnsi="Cambria Math"/>
                        </w:rPr>
                        <m:t>0.904</m:t>
                      </m:r>
                    </m:oMath>
                  </m:oMathPara>
                </w:p>
              </w:tc>
              <w:tc>
                <w:tcPr>
                  <w:tcW w:w="1131" w:type="dxa"/>
                </w:tcPr>
                <w:p w14:paraId="0B5EBF0A" w14:textId="77777777" w:rsidR="00D762DD" w:rsidRDefault="00000000">
                  <w:pPr>
                    <w:jc w:val="center"/>
                  </w:pPr>
                  <w:r>
                    <w:t xml:space="preserve">Rechazar </w:t>
                  </w:r>
                  <m:oMath>
                    <m:sSub>
                      <m:sSubPr>
                        <m:ctrlPr>
                          <w:rPr>
                            <w:rFonts w:ascii="Cambria Math" w:hAnsi="Cambria Math"/>
                          </w:rPr>
                        </m:ctrlPr>
                      </m:sSubPr>
                      <m:e>
                        <m:r>
                          <w:rPr>
                            <w:rFonts w:ascii="Cambria Math" w:hAnsi="Cambria Math"/>
                          </w:rPr>
                          <m:t>H</m:t>
                        </m:r>
                      </m:e>
                      <m:sub>
                        <m:r>
                          <w:rPr>
                            <w:rFonts w:ascii="Cambria Math" w:hAnsi="Cambria Math"/>
                          </w:rPr>
                          <m:t>0</m:t>
                        </m:r>
                        <m:r>
                          <m:rPr>
                            <m:sty m:val="p"/>
                          </m:rPr>
                          <w:rPr>
                            <w:rFonts w:ascii="Cambria Math" w:hAnsi="Cambria Math"/>
                          </w:rPr>
                          <m:t>,</m:t>
                        </m:r>
                        <m:r>
                          <w:rPr>
                            <w:rFonts w:ascii="Cambria Math" w:hAnsi="Cambria Math"/>
                          </w:rPr>
                          <m:t>2</m:t>
                        </m:r>
                      </m:sub>
                    </m:sSub>
                  </m:oMath>
                  <w:r>
                    <w:t>; SHAP/DiCE forman el grupo más estable</w:t>
                  </w:r>
                </w:p>
              </w:tc>
            </w:tr>
            <w:tr w:rsidR="00D762DD" w14:paraId="22763246" w14:textId="77777777">
              <w:tc>
                <w:tcPr>
                  <w:tcW w:w="1131" w:type="dxa"/>
                </w:tcPr>
                <w:p w14:paraId="6F2C3F92" w14:textId="77777777" w:rsidR="00D762DD" w:rsidRDefault="00000000">
                  <w:pPr>
                    <w:jc w:val="center"/>
                  </w:pPr>
                  <w:r>
                    <w:t>H3: SHAP y LIME difieren en calidad-coste</w:t>
                  </w:r>
                </w:p>
              </w:tc>
              <w:tc>
                <w:tcPr>
                  <w:tcW w:w="1131" w:type="dxa"/>
                </w:tcPr>
                <w:p w14:paraId="0F8FB1E3" w14:textId="77777777" w:rsidR="00D762DD" w:rsidRDefault="00000000">
                  <w:pPr>
                    <w:jc w:val="center"/>
                  </w:pPr>
                  <w:r>
                    <w:t>Wilcoxon pareado bilateral</w:t>
                  </w:r>
                </w:p>
              </w:tc>
              <w:tc>
                <w:tcPr>
                  <w:tcW w:w="1131" w:type="dxa"/>
                </w:tcPr>
                <w:p w14:paraId="16A81008" w14:textId="77777777" w:rsidR="00D762DD" w:rsidRDefault="00000000">
                  <w:pPr>
                    <w:jc w:val="center"/>
                  </w:pPr>
                  <w:r>
                    <w:t xml:space="preserve">75 celdas </w:t>
                  </w:r>
                  <m:oMath>
                    <m:r>
                      <m:rPr>
                        <m:sty m:val="p"/>
                      </m:rPr>
                      <w:rPr>
                        <w:rFonts w:ascii="Cambria Math" w:hAnsi="Cambria Math"/>
                      </w:rPr>
                      <m:t>(</m:t>
                    </m:r>
                    <m:r>
                      <w:rPr>
                        <w:rFonts w:ascii="Cambria Math" w:hAnsi="Cambria Math"/>
                      </w:rPr>
                      <m:t>g</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n</m:t>
                    </m:r>
                    <m:r>
                      <m:rPr>
                        <m:sty m:val="p"/>
                      </m:rPr>
                      <w:rPr>
                        <w:rFonts w:ascii="Cambria Math" w:hAnsi="Cambria Math"/>
                      </w:rPr>
                      <m:t>)</m:t>
                    </m:r>
                  </m:oMath>
                </w:p>
              </w:tc>
              <w:tc>
                <w:tcPr>
                  <w:tcW w:w="1131" w:type="dxa"/>
                </w:tcPr>
                <w:p w14:paraId="487BD015" w14:textId="77777777" w:rsidR="00D762DD" w:rsidRDefault="00000000">
                  <w:pPr>
                    <w:jc w:val="center"/>
                  </w:pPr>
                  <m:oMath>
                    <m:r>
                      <w:rPr>
                        <w:rFonts w:ascii="Cambria Math" w:hAnsi="Cambria Math"/>
                      </w:rPr>
                      <m:t>W</m:t>
                    </m:r>
                    <m:r>
                      <m:rPr>
                        <m:sty m:val="p"/>
                      </m:rPr>
                      <w:rPr>
                        <w:rFonts w:ascii="Cambria Math" w:hAnsi="Cambria Math"/>
                      </w:rPr>
                      <m:t>=</m:t>
                    </m:r>
                    <m:r>
                      <w:rPr>
                        <w:rFonts w:ascii="Cambria Math" w:hAnsi="Cambria Math"/>
                      </w:rPr>
                      <m:t>0</m:t>
                    </m:r>
                  </m:oMath>
                  <w:r>
                    <w:t xml:space="preserve"> a </w:t>
                  </w:r>
                  <m:oMath>
                    <m:r>
                      <w:rPr>
                        <w:rFonts w:ascii="Cambria Math" w:hAnsi="Cambria Math"/>
                      </w:rPr>
                      <m:t>205</m:t>
                    </m:r>
                  </m:oMath>
                </w:p>
              </w:tc>
              <w:tc>
                <w:tcPr>
                  <w:tcW w:w="1131" w:type="dxa"/>
                </w:tcPr>
                <w:p w14:paraId="50EA92EA" w14:textId="77777777" w:rsidR="00D762DD" w:rsidRDefault="00000000">
                  <w:pPr>
                    <w:jc w:val="center"/>
                  </w:pPr>
                  <m:oMath>
                    <m:r>
                      <m:rPr>
                        <m:sty m:val="p"/>
                      </m:rPr>
                      <w:rPr>
                        <w:rFonts w:ascii="Cambria Math" w:hAnsi="Cambria Math"/>
                      </w:rPr>
                      <m:t>≤</m:t>
                    </m:r>
                    <m:r>
                      <w:rPr>
                        <w:rFonts w:ascii="Cambria Math" w:hAnsi="Cambria Math"/>
                      </w:rPr>
                      <m:t>2.64</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13</m:t>
                        </m:r>
                      </m:sup>
                    </m:sSup>
                  </m:oMath>
                  <w:r>
                    <w:t xml:space="preserve"> para calidad; </w:t>
                  </w:r>
                  <m:oMath>
                    <m:r>
                      <w:rPr>
                        <w:rFonts w:ascii="Cambria Math" w:hAnsi="Cambria Math"/>
                      </w:rPr>
                      <m:t>1.18</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10</m:t>
                        </m:r>
                      </m:sup>
                    </m:sSup>
                  </m:oMath>
                  <w:r>
                    <w:t xml:space="preserve"> para coste</w:t>
                  </w:r>
                </w:p>
              </w:tc>
              <w:tc>
                <w:tcPr>
                  <w:tcW w:w="1131" w:type="dxa"/>
                </w:tcPr>
                <w:p w14:paraId="5212FA51" w14:textId="77777777" w:rsidR="00D762DD" w:rsidRDefault="00000000">
                  <w:pPr>
                    <w:jc w:val="center"/>
                  </w:pPr>
                  <m:oMath>
                    <m:sSub>
                      <m:sSubPr>
                        <m:ctrlPr>
                          <w:rPr>
                            <w:rFonts w:ascii="Cambria Math" w:hAnsi="Cambria Math"/>
                          </w:rPr>
                        </m:ctrlPr>
                      </m:sSubPr>
                      <m:e>
                        <m:r>
                          <w:rPr>
                            <w:rFonts w:ascii="Cambria Math" w:hAnsi="Cambria Math"/>
                          </w:rPr>
                          <m:t>d</m:t>
                        </m:r>
                      </m:e>
                      <m:sub>
                        <m:r>
                          <w:rPr>
                            <w:rFonts w:ascii="Cambria Math" w:hAnsi="Cambria Math"/>
                          </w:rPr>
                          <m:t>z</m:t>
                        </m:r>
                      </m:sub>
                    </m:sSub>
                    <m:r>
                      <m:rPr>
                        <m:sty m:val="p"/>
                      </m:rPr>
                      <w:rPr>
                        <w:rFonts w:ascii="Cambria Math" w:hAnsi="Cambria Math"/>
                      </w:rPr>
                      <m:t>=</m:t>
                    </m:r>
                    <m:r>
                      <w:rPr>
                        <w:rFonts w:ascii="Cambria Math" w:hAnsi="Cambria Math"/>
                      </w:rPr>
                      <m:t>0.451</m:t>
                    </m:r>
                  </m:oMath>
                  <w:r>
                    <w:t xml:space="preserve"> a </w:t>
                  </w:r>
                  <m:oMath>
                    <m:r>
                      <w:rPr>
                        <w:rFonts w:ascii="Cambria Math" w:hAnsi="Cambria Math"/>
                      </w:rPr>
                      <m:t>4.820</m:t>
                    </m:r>
                  </m:oMath>
                </w:p>
              </w:tc>
              <w:tc>
                <w:tcPr>
                  <w:tcW w:w="1131" w:type="dxa"/>
                </w:tcPr>
                <w:p w14:paraId="3D19D110" w14:textId="77777777" w:rsidR="00D762DD" w:rsidRDefault="00000000">
                  <w:pPr>
                    <w:jc w:val="center"/>
                  </w:pPr>
                  <w:r>
                    <w:t xml:space="preserve">Rechazar </w:t>
                  </w:r>
                  <m:oMath>
                    <m:sSub>
                      <m:sSubPr>
                        <m:ctrlPr>
                          <w:rPr>
                            <w:rFonts w:ascii="Cambria Math" w:hAnsi="Cambria Math"/>
                          </w:rPr>
                        </m:ctrlPr>
                      </m:sSubPr>
                      <m:e>
                        <m:r>
                          <w:rPr>
                            <w:rFonts w:ascii="Cambria Math" w:hAnsi="Cambria Math"/>
                          </w:rPr>
                          <m:t>H</m:t>
                        </m:r>
                      </m:e>
                      <m:sub>
                        <m:r>
                          <w:rPr>
                            <w:rFonts w:ascii="Cambria Math" w:hAnsi="Cambria Math"/>
                          </w:rPr>
                          <m:t>0</m:t>
                        </m:r>
                        <m:r>
                          <m:rPr>
                            <m:sty m:val="p"/>
                          </m:rPr>
                          <w:rPr>
                            <w:rFonts w:ascii="Cambria Math" w:hAnsi="Cambria Math"/>
                          </w:rPr>
                          <m:t>,</m:t>
                        </m:r>
                        <m:r>
                          <w:rPr>
                            <w:rFonts w:ascii="Cambria Math" w:hAnsi="Cambria Math"/>
                          </w:rPr>
                          <m:t>3</m:t>
                        </m:r>
                      </m:sub>
                    </m:sSub>
                  </m:oMath>
                  <w:r>
                    <w:t>; SHAP mejora calidad y aumenta coste medio</w:t>
                  </w:r>
                </w:p>
              </w:tc>
            </w:tr>
            <w:tr w:rsidR="00D762DD" w14:paraId="38E8B4B2" w14:textId="77777777">
              <w:tc>
                <w:tcPr>
                  <w:tcW w:w="1131" w:type="dxa"/>
                </w:tcPr>
                <w:p w14:paraId="2B736AA4" w14:textId="77777777" w:rsidR="00D762DD" w:rsidRDefault="00000000">
                  <w:pPr>
                    <w:jc w:val="center"/>
                  </w:pPr>
                  <w:r>
                    <w:t>P1: el protocolo es reproducibl</w:t>
                  </w:r>
                  <w:r>
                    <w:lastRenderedPageBreak/>
                    <w:t>e bajo semillas</w:t>
                  </w:r>
                </w:p>
              </w:tc>
              <w:tc>
                <w:tcPr>
                  <w:tcW w:w="1131" w:type="dxa"/>
                </w:tcPr>
                <w:p w14:paraId="05CEECCC" w14:textId="77777777" w:rsidR="00D762DD" w:rsidRDefault="00000000">
                  <w:pPr>
                    <w:jc w:val="center"/>
                  </w:pPr>
                  <w:r>
                    <w:lastRenderedPageBreak/>
                    <w:t>CV sobre el estrato replicado</w:t>
                  </w:r>
                </w:p>
              </w:tc>
              <w:tc>
                <w:tcPr>
                  <w:tcW w:w="1131" w:type="dxa"/>
                </w:tcPr>
                <w:p w14:paraId="6E5F1211" w14:textId="77777777" w:rsidR="00D762DD" w:rsidRDefault="00000000">
                  <w:pPr>
                    <w:jc w:val="center"/>
                  </w:pPr>
                  <w:r>
                    <w:t xml:space="preserve">5 semillas RF, </w:t>
                  </w:r>
                  <m:oMath>
                    <m:r>
                      <w:rPr>
                        <w:rFonts w:ascii="Cambria Math" w:hAnsi="Cambria Math"/>
                      </w:rPr>
                      <m:t>N</m:t>
                    </m:r>
                    <m:r>
                      <m:rPr>
                        <m:sty m:val="p"/>
                      </m:rPr>
                      <w:rPr>
                        <w:rFonts w:ascii="Cambria Math" w:hAnsi="Cambria Math"/>
                      </w:rPr>
                      <m:t>=</m:t>
                    </m:r>
                    <m:r>
                      <w:rPr>
                        <w:rFonts w:ascii="Cambria Math" w:hAnsi="Cambria Math"/>
                      </w:rPr>
                      <m:t>100</m:t>
                    </m:r>
                  </m:oMath>
                </w:p>
              </w:tc>
              <w:tc>
                <w:tcPr>
                  <w:tcW w:w="1131" w:type="dxa"/>
                </w:tcPr>
                <w:p w14:paraId="50450CB6" w14:textId="77777777" w:rsidR="00D762DD" w:rsidRDefault="00000000">
                  <w:pPr>
                    <w:jc w:val="center"/>
                  </w:pPr>
                  <w:r>
                    <w:t>CV por métrica</w:t>
                  </w:r>
                </w:p>
              </w:tc>
              <w:tc>
                <w:tcPr>
                  <w:tcW w:w="1131" w:type="dxa"/>
                </w:tcPr>
                <w:p w14:paraId="040589BF" w14:textId="77777777" w:rsidR="00D762DD" w:rsidRDefault="00000000">
                  <w:pPr>
                    <w:jc w:val="center"/>
                  </w:pPr>
                  <w:r>
                    <w:t>No aplica</w:t>
                  </w:r>
                </w:p>
              </w:tc>
              <w:tc>
                <w:tcPr>
                  <w:tcW w:w="1131" w:type="dxa"/>
                </w:tcPr>
                <w:p w14:paraId="63821FE1" w14:textId="77777777" w:rsidR="00D762DD" w:rsidRDefault="00000000">
                  <w:pPr>
                    <w:jc w:val="center"/>
                  </w:pPr>
                  <w:r>
                    <w:t>CV &lt; 3% en señales principales</w:t>
                  </w:r>
                </w:p>
              </w:tc>
              <w:tc>
                <w:tcPr>
                  <w:tcW w:w="1131" w:type="dxa"/>
                </w:tcPr>
                <w:p w14:paraId="120DDD1F" w14:textId="77777777" w:rsidR="00D762DD" w:rsidRDefault="00000000">
                  <w:pPr>
                    <w:jc w:val="center"/>
                  </w:pPr>
                  <w:r>
                    <w:t xml:space="preserve">Confirmación parcial; LIME-estabilidad </w:t>
                  </w:r>
                  <w:r>
                    <w:lastRenderedPageBreak/>
                    <w:t>queda fuera por media cercana a cero</w:t>
                  </w:r>
                </w:p>
              </w:tc>
            </w:tr>
            <w:bookmarkEnd w:id="154"/>
          </w:tbl>
          <w:p w14:paraId="5268E09D" w14:textId="77777777" w:rsidR="00D762DD" w:rsidRDefault="00D762DD"/>
        </w:tc>
      </w:tr>
    </w:tbl>
    <w:p w14:paraId="1E464F98" w14:textId="77777777" w:rsidR="00D762DD" w:rsidRDefault="00000000">
      <w:pPr>
        <w:pStyle w:val="Heading2"/>
      </w:pPr>
      <w:bookmarkStart w:id="155" w:name="sec-estudio-a"/>
      <w:bookmarkStart w:id="156" w:name="_Toc238925768"/>
      <w:bookmarkEnd w:id="152"/>
      <w:r>
        <w:lastRenderedPageBreak/>
        <w:t xml:space="preserve">Estudio </w:t>
      </w:r>
      <w:proofErr w:type="spellStart"/>
      <w:r>
        <w:t>Omnibus</w:t>
      </w:r>
      <w:proofErr w:type="spellEnd"/>
      <w:r>
        <w:t xml:space="preserve"> </w:t>
      </w:r>
      <w:proofErr w:type="spellStart"/>
      <w:r>
        <w:t>Multimétrico</w:t>
      </w:r>
      <w:proofErr w:type="spellEnd"/>
      <w:r>
        <w:t>: H1 y H2</w:t>
      </w:r>
      <w:bookmarkEnd w:id="156"/>
    </w:p>
    <w:p w14:paraId="0A683D5C" w14:textId="77777777" w:rsidR="00D762DD" w:rsidRDefault="00000000">
      <w:pPr>
        <w:pStyle w:val="Heading3"/>
      </w:pPr>
      <w:bookmarkStart w:id="157" w:name="X41be5df394949178755daa825e68dc45d5470c0"/>
      <w:bookmarkStart w:id="158" w:name="_Toc238925769"/>
      <w:r>
        <w:t>H1: Diferencias entre métodos en fidelidad</w:t>
      </w:r>
      <w:bookmarkEnd w:id="158"/>
    </w:p>
    <w:p w14:paraId="5C069C4E" w14:textId="77777777" w:rsidR="00D762DD" w:rsidRDefault="00000000">
      <w:r>
        <w:t xml:space="preserve">La prueba de Friedman para bloques </w:t>
      </w:r>
      <m:oMath>
        <m:r>
          <m:rPr>
            <m:sty m:val="p"/>
          </m:rPr>
          <w:rPr>
            <w:rFonts w:ascii="Cambria Math" w:hAnsi="Cambria Math"/>
          </w:rPr>
          <m:t>(</m:t>
        </m:r>
        <m:r>
          <w:rPr>
            <w:rFonts w:ascii="Cambria Math" w:hAnsi="Cambria Math"/>
          </w:rPr>
          <m:t>g</m:t>
        </m:r>
        <m:r>
          <m:rPr>
            <m:sty m:val="p"/>
          </m:rPr>
          <w:rPr>
            <w:rFonts w:ascii="Cambria Math" w:hAnsi="Cambria Math"/>
          </w:rPr>
          <m:t>,</m:t>
        </m:r>
        <m:r>
          <w:rPr>
            <w:rFonts w:ascii="Cambria Math" w:hAnsi="Cambria Math"/>
          </w:rPr>
          <m:t>n</m:t>
        </m:r>
        <m:r>
          <m:rPr>
            <m:sty m:val="p"/>
          </m:rPr>
          <w:rPr>
            <w:rFonts w:ascii="Cambria Math" w:hAnsi="Cambria Math"/>
          </w:rPr>
          <m:t>)</m:t>
        </m:r>
      </m:oMath>
      <w:r>
        <w:t xml:space="preserve"> sobre la métrica de fidelidad arrojó una estadística </w:t>
      </w:r>
      <m:oMath>
        <m:sSubSup>
          <m:sSubSupPr>
            <m:ctrlPr>
              <w:rPr>
                <w:rFonts w:ascii="Cambria Math" w:hAnsi="Cambria Math"/>
              </w:rPr>
            </m:ctrlPr>
          </m:sSubSupPr>
          <m:e>
            <m:r>
              <w:rPr>
                <w:rFonts w:ascii="Cambria Math" w:hAnsi="Cambria Math"/>
              </w:rPr>
              <m:t>χ</m:t>
            </m:r>
          </m:e>
          <m:sub>
            <m:r>
              <w:rPr>
                <w:rFonts w:ascii="Cambria Math" w:hAnsi="Cambria Math"/>
              </w:rPr>
              <m:t>F</m:t>
            </m:r>
          </m:sub>
          <m:sup>
            <m:r>
              <w:rPr>
                <w:rFonts w:ascii="Cambria Math" w:hAnsi="Cambria Math"/>
              </w:rPr>
              <m:t>2</m:t>
            </m:r>
          </m:sup>
        </m:sSubSup>
        <m:r>
          <m:rPr>
            <m:sty m:val="p"/>
          </m:rPr>
          <w:rPr>
            <w:rFonts w:ascii="Cambria Math" w:hAnsi="Cambria Math"/>
          </w:rPr>
          <m:t>=</m:t>
        </m:r>
        <m:r>
          <w:rPr>
            <w:rFonts w:ascii="Cambria Math" w:hAnsi="Cambria Math"/>
          </w:rPr>
          <m:t>42.12</m:t>
        </m:r>
      </m:oMath>
      <w:r>
        <w:t xml:space="preserve"> con </w:t>
      </w:r>
      <m:oMath>
        <m:r>
          <w:rPr>
            <w:rFonts w:ascii="Cambria Math" w:hAnsi="Cambria Math"/>
          </w:rPr>
          <m:t>k</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3</m:t>
        </m:r>
      </m:oMath>
      <w:r>
        <w:t xml:space="preserve"> grados de libertad sobre </w:t>
      </w:r>
      <m:oMath>
        <m:r>
          <w:rPr>
            <w:rFonts w:ascii="Cambria Math" w:hAnsi="Cambria Math"/>
          </w:rPr>
          <m:t>n</m:t>
        </m:r>
        <m:r>
          <m:rPr>
            <m:sty m:val="p"/>
          </m:rPr>
          <w:rPr>
            <w:rFonts w:ascii="Cambria Math" w:hAnsi="Cambria Math"/>
          </w:rPr>
          <m:t>=</m:t>
        </m:r>
        <m:r>
          <w:rPr>
            <w:rFonts w:ascii="Cambria Math" w:hAnsi="Cambria Math"/>
          </w:rPr>
          <m:t>15</m:t>
        </m:r>
      </m:oMath>
      <w:r>
        <w:t xml:space="preserve"> bloques completos. El valor crítico para </w:t>
      </w:r>
      <m:oMath>
        <m:r>
          <w:rPr>
            <w:rFonts w:ascii="Cambria Math" w:hAnsi="Cambria Math"/>
          </w:rPr>
          <m:t>α</m:t>
        </m:r>
        <m:r>
          <m:rPr>
            <m:sty m:val="p"/>
          </m:rPr>
          <w:rPr>
            <w:rFonts w:ascii="Cambria Math" w:hAnsi="Cambria Math"/>
          </w:rPr>
          <m:t>=</m:t>
        </m:r>
        <m:r>
          <w:rPr>
            <w:rFonts w:ascii="Cambria Math" w:hAnsi="Cambria Math"/>
          </w:rPr>
          <m:t>0.05</m:t>
        </m:r>
      </m:oMath>
      <w:r>
        <w:t xml:space="preserve"> es </w:t>
      </w:r>
      <m:oMath>
        <m:sSubSup>
          <m:sSubSupPr>
            <m:ctrlPr>
              <w:rPr>
                <w:rFonts w:ascii="Cambria Math" w:hAnsi="Cambria Math"/>
              </w:rPr>
            </m:ctrlPr>
          </m:sSubSupPr>
          <m:e>
            <m:r>
              <w:rPr>
                <w:rFonts w:ascii="Cambria Math" w:hAnsi="Cambria Math"/>
              </w:rPr>
              <m:t>χ</m:t>
            </m:r>
          </m:e>
          <m:sub>
            <m:r>
              <w:rPr>
                <w:rFonts w:ascii="Cambria Math" w:hAnsi="Cambria Math"/>
              </w:rPr>
              <m:t>crit</m:t>
            </m:r>
          </m:sub>
          <m:sup>
            <m:r>
              <w:rPr>
                <w:rFonts w:ascii="Cambria Math" w:hAnsi="Cambria Math"/>
              </w:rPr>
              <m:t>2</m:t>
            </m:r>
          </m:sup>
        </m:sSubSup>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7.815</m:t>
        </m:r>
      </m:oMath>
      <w:r>
        <w:t>, de modo que el margen de seguridad inferencial es:</w:t>
      </w:r>
    </w:p>
    <w:p w14:paraId="04A74AC9" w14:textId="77777777" w:rsidR="00D762DD" w:rsidRDefault="00000000">
      <w:pPr>
        <w:pStyle w:val="BodyText"/>
      </w:pPr>
      <m:oMathPara>
        <m:oMathParaPr>
          <m:jc m:val="center"/>
        </m:oMathParaPr>
        <m:oMath>
          <m:r>
            <m:rPr>
              <m:nor/>
            </m:rPr>
            <m:t>Margen</m:t>
          </m:r>
          <m:r>
            <m:rPr>
              <m:sty m:val="p"/>
            </m:rPr>
            <w:rPr>
              <w:rFonts w:ascii="Cambria Math" w:hAnsi="Cambria Math"/>
            </w:rPr>
            <m:t>=</m:t>
          </m:r>
          <m:f>
            <m:fPr>
              <m:ctrlPr>
                <w:rPr>
                  <w:rFonts w:ascii="Cambria Math" w:hAnsi="Cambria Math"/>
                </w:rPr>
              </m:ctrlPr>
            </m:fPr>
            <m:num>
              <m:sSubSup>
                <m:sSubSupPr>
                  <m:ctrlPr>
                    <w:rPr>
                      <w:rFonts w:ascii="Cambria Math" w:hAnsi="Cambria Math"/>
                    </w:rPr>
                  </m:ctrlPr>
                </m:sSubSupPr>
                <m:e>
                  <m:r>
                    <w:rPr>
                      <w:rFonts w:ascii="Cambria Math" w:hAnsi="Cambria Math"/>
                    </w:rPr>
                    <m:t>χ</m:t>
                  </m:r>
                </m:e>
                <m:sub>
                  <m:r>
                    <w:rPr>
                      <w:rFonts w:ascii="Cambria Math" w:hAnsi="Cambria Math"/>
                    </w:rPr>
                    <m:t>F</m:t>
                  </m:r>
                </m:sub>
                <m:sup>
                  <m:r>
                    <w:rPr>
                      <w:rFonts w:ascii="Cambria Math" w:hAnsi="Cambria Math"/>
                    </w:rPr>
                    <m:t>2</m:t>
                  </m:r>
                </m:sup>
              </m:sSubSup>
              <m:r>
                <m:rPr>
                  <m:sty m:val="p"/>
                </m:rPr>
                <w:rPr>
                  <w:rFonts w:ascii="Cambria Math" w:hAnsi="Cambria Math"/>
                </w:rPr>
                <m:t>-</m:t>
              </m:r>
              <m:sSubSup>
                <m:sSubSupPr>
                  <m:ctrlPr>
                    <w:rPr>
                      <w:rFonts w:ascii="Cambria Math" w:hAnsi="Cambria Math"/>
                    </w:rPr>
                  </m:ctrlPr>
                </m:sSubSupPr>
                <m:e>
                  <m:r>
                    <w:rPr>
                      <w:rFonts w:ascii="Cambria Math" w:hAnsi="Cambria Math"/>
                    </w:rPr>
                    <m:t>χ</m:t>
                  </m:r>
                </m:e>
                <m:sub>
                  <m:r>
                    <w:rPr>
                      <w:rFonts w:ascii="Cambria Math" w:hAnsi="Cambria Math"/>
                    </w:rPr>
                    <m:t>crit</m:t>
                  </m:r>
                </m:sub>
                <m:sup>
                  <m:r>
                    <w:rPr>
                      <w:rFonts w:ascii="Cambria Math" w:hAnsi="Cambria Math"/>
                    </w:rPr>
                    <m:t>2</m:t>
                  </m:r>
                </m:sup>
              </m:sSubSup>
            </m:num>
            <m:den>
              <m:sSubSup>
                <m:sSubSupPr>
                  <m:ctrlPr>
                    <w:rPr>
                      <w:rFonts w:ascii="Cambria Math" w:hAnsi="Cambria Math"/>
                    </w:rPr>
                  </m:ctrlPr>
                </m:sSubSupPr>
                <m:e>
                  <m:r>
                    <w:rPr>
                      <w:rFonts w:ascii="Cambria Math" w:hAnsi="Cambria Math"/>
                    </w:rPr>
                    <m:t>χ</m:t>
                  </m:r>
                </m:e>
                <m:sub>
                  <m:r>
                    <w:rPr>
                      <w:rFonts w:ascii="Cambria Math" w:hAnsi="Cambria Math"/>
                    </w:rPr>
                    <m:t>crit</m:t>
                  </m:r>
                </m:sub>
                <m:sup>
                  <m:r>
                    <w:rPr>
                      <w:rFonts w:ascii="Cambria Math" w:hAnsi="Cambria Math"/>
                    </w:rPr>
                    <m:t>2</m:t>
                  </m:r>
                </m:sup>
              </m:sSubSup>
            </m:den>
          </m:f>
          <m:r>
            <m:rPr>
              <m:sty m:val="p"/>
            </m:rPr>
            <w:rPr>
              <w:rFonts w:ascii="Cambria Math" w:hAnsi="Cambria Math"/>
            </w:rPr>
            <m:t>×</m:t>
          </m:r>
          <m:r>
            <w:rPr>
              <w:rFonts w:ascii="Cambria Math" w:hAnsi="Cambria Math"/>
            </w:rPr>
            <m:t>100</m:t>
          </m:r>
          <m:r>
            <m:rPr>
              <m:sty m:val="p"/>
            </m:rPr>
            <w:rPr>
              <w:rFonts w:ascii="Cambria Math" w:hAnsi="Cambria Math"/>
            </w:rPr>
            <m:t>=</m:t>
          </m:r>
          <m:f>
            <m:fPr>
              <m:ctrlPr>
                <w:rPr>
                  <w:rFonts w:ascii="Cambria Math" w:hAnsi="Cambria Math"/>
                </w:rPr>
              </m:ctrlPr>
            </m:fPr>
            <m:num>
              <m:r>
                <w:rPr>
                  <w:rFonts w:ascii="Cambria Math" w:hAnsi="Cambria Math"/>
                </w:rPr>
                <m:t>42.12</m:t>
              </m:r>
              <m:r>
                <m:rPr>
                  <m:sty m:val="p"/>
                </m:rPr>
                <w:rPr>
                  <w:rFonts w:ascii="Cambria Math" w:hAnsi="Cambria Math"/>
                </w:rPr>
                <m:t>-</m:t>
              </m:r>
              <m:r>
                <w:rPr>
                  <w:rFonts w:ascii="Cambria Math" w:hAnsi="Cambria Math"/>
                </w:rPr>
                <m:t>7.815</m:t>
              </m:r>
            </m:num>
            <m:den>
              <m:r>
                <w:rPr>
                  <w:rFonts w:ascii="Cambria Math" w:hAnsi="Cambria Math"/>
                </w:rPr>
                <m:t>7.815</m:t>
              </m:r>
            </m:den>
          </m:f>
          <m:r>
            <m:rPr>
              <m:sty m:val="p"/>
            </m:rPr>
            <w:rPr>
              <w:rFonts w:ascii="Cambria Math" w:hAnsi="Cambria Math"/>
            </w:rPr>
            <m:t>×</m:t>
          </m:r>
          <m:r>
            <w:rPr>
              <w:rFonts w:ascii="Cambria Math" w:hAnsi="Cambria Math"/>
            </w:rPr>
            <m:t>100</m:t>
          </m:r>
          <m:r>
            <m:rPr>
              <m:sty m:val="p"/>
            </m:rPr>
            <w:rPr>
              <w:rFonts w:ascii="Cambria Math" w:hAnsi="Cambria Math"/>
            </w:rPr>
            <m:t>=</m:t>
          </m:r>
          <m:r>
            <w:rPr>
              <w:rFonts w:ascii="Cambria Math" w:hAnsi="Cambria Math"/>
            </w:rPr>
            <m:t>439</m:t>
          </m:r>
          <m:r>
            <m:rPr>
              <m:sty m:val="p"/>
            </m:rPr>
            <w:rPr>
              <w:rFonts w:ascii="Cambria Math" w:hAnsi="Cambria Math"/>
            </w:rPr>
            <m:t>%</m:t>
          </m:r>
        </m:oMath>
      </m:oMathPara>
    </w:p>
    <w:p w14:paraId="20ECAA75" w14:textId="77777777" w:rsidR="00D762DD" w:rsidRDefault="00000000">
      <w:r>
        <w:t xml:space="preserve">Este resultado rechaza </w:t>
      </w:r>
      <m:oMath>
        <m:sSub>
          <m:sSubPr>
            <m:ctrlPr>
              <w:rPr>
                <w:rFonts w:ascii="Cambria Math" w:hAnsi="Cambria Math"/>
              </w:rPr>
            </m:ctrlPr>
          </m:sSubPr>
          <m:e>
            <m:r>
              <w:rPr>
                <w:rFonts w:ascii="Cambria Math" w:hAnsi="Cambria Math"/>
              </w:rPr>
              <m:t>H</m:t>
            </m:r>
          </m:e>
          <m:sub>
            <m:r>
              <w:rPr>
                <w:rFonts w:ascii="Cambria Math" w:hAnsi="Cambria Math"/>
              </w:rPr>
              <m:t>0</m:t>
            </m:r>
            <m:r>
              <m:rPr>
                <m:sty m:val="p"/>
              </m:rPr>
              <w:rPr>
                <w:rFonts w:ascii="Cambria Math" w:hAnsi="Cambria Math"/>
              </w:rPr>
              <m:t>,</m:t>
            </m:r>
            <m:r>
              <w:rPr>
                <w:rFonts w:ascii="Cambria Math" w:hAnsi="Cambria Math"/>
              </w:rPr>
              <m:t>1</m:t>
            </m:r>
          </m:sub>
        </m:sSub>
      </m:oMath>
      <w:r>
        <w:t xml:space="preserve"> con una holgura de más de cinco veces el umbral crítico, lo que ofrece evidencia fuerte de diferencias sistemáticas entre métodos bajo las condiciones del </w:t>
      </w:r>
      <w:proofErr w:type="spellStart"/>
      <w:r>
        <w:t>benchmark</w:t>
      </w:r>
      <w:proofErr w:type="spellEnd"/>
      <w:r>
        <w:t>. La distribución empírica de los rangos muestra a SHAP en la primera posición en los 15 bloques, con LIME como segundo en los 15 bloques y alternancia Anchors–</w:t>
      </w:r>
      <w:proofErr w:type="spellStart"/>
      <w:r>
        <w:t>DiCE</w:t>
      </w:r>
      <w:proofErr w:type="spellEnd"/>
      <w:r>
        <w:t xml:space="preserve"> en las posiciones 3–4:</w:t>
      </w:r>
    </w:p>
    <w:tbl>
      <w:tblPr>
        <w:tblW w:w="5000" w:type="pct"/>
        <w:tblLayout w:type="fixed"/>
        <w:tblLook w:val="0000" w:firstRow="0" w:lastRow="0" w:firstColumn="0" w:lastColumn="0" w:noHBand="0" w:noVBand="0"/>
      </w:tblPr>
      <w:tblGrid>
        <w:gridCol w:w="9576"/>
      </w:tblGrid>
      <w:tr w:rsidR="00D762DD" w14:paraId="21A3F4BB" w14:textId="77777777">
        <w:tc>
          <w:tcPr>
            <w:tcW w:w="7920" w:type="dxa"/>
          </w:tcPr>
          <w:p w14:paraId="32540F24" w14:textId="77777777" w:rsidR="00D762DD" w:rsidRDefault="00000000">
            <w:pPr>
              <w:spacing w:before="200"/>
              <w:jc w:val="left"/>
            </w:pPr>
            <w:bookmarkStart w:id="159" w:name="tbl-friedman-fidelity"/>
            <w:r>
              <w:t>Table 5.2: Suma y media de rangos de fidelidad — prueba de Friedman (</w:t>
            </w:r>
            <m:oMath>
              <m:r>
                <w:rPr>
                  <w:rFonts w:ascii="Cambria Math" w:hAnsi="Cambria Math"/>
                </w:rPr>
                <m:t>n</m:t>
              </m:r>
              <m:r>
                <m:rPr>
                  <m:sty m:val="p"/>
                </m:rPr>
                <w:rPr>
                  <w:rFonts w:ascii="Cambria Math" w:hAnsi="Cambria Math"/>
                </w:rPr>
                <m:t>=</m:t>
              </m:r>
              <m:r>
                <w:rPr>
                  <w:rFonts w:ascii="Cambria Math" w:hAnsi="Cambria Math"/>
                </w:rPr>
                <m:t>15</m:t>
              </m:r>
            </m:oMath>
            <w:r>
              <w:t xml:space="preserve"> bloques).</w:t>
            </w:r>
          </w:p>
          <w:tbl>
            <w:tblPr>
              <w:tblW w:w="0" w:type="auto"/>
              <w:tblLook w:val="0020" w:firstRow="1" w:lastRow="0" w:firstColumn="0" w:lastColumn="0" w:noHBand="0" w:noVBand="0"/>
            </w:tblPr>
            <w:tblGrid>
              <w:gridCol w:w="1980"/>
              <w:gridCol w:w="1980"/>
              <w:gridCol w:w="1980"/>
              <w:gridCol w:w="1980"/>
            </w:tblGrid>
            <w:tr w:rsidR="00D762DD" w14:paraId="42B643F3" w14:textId="77777777">
              <w:trPr>
                <w:tblHeader/>
              </w:trPr>
              <w:tc>
                <w:tcPr>
                  <w:tcW w:w="1980" w:type="dxa"/>
                </w:tcPr>
                <w:p w14:paraId="5DD59A3D" w14:textId="77777777" w:rsidR="00D762DD" w:rsidRDefault="00000000">
                  <w:r>
                    <w:t>Método</w:t>
                  </w:r>
                </w:p>
              </w:tc>
              <w:tc>
                <w:tcPr>
                  <w:tcW w:w="1980" w:type="dxa"/>
                </w:tcPr>
                <w:p w14:paraId="668AFEE8" w14:textId="77777777" w:rsidR="00D762DD" w:rsidRDefault="00000000">
                  <w:r>
                    <w:t>Suma de rangos</w:t>
                  </w:r>
                </w:p>
              </w:tc>
              <w:tc>
                <w:tcPr>
                  <w:tcW w:w="1980" w:type="dxa"/>
                </w:tcPr>
                <w:p w14:paraId="7D6207EF" w14:textId="77777777" w:rsidR="00D762DD" w:rsidRDefault="00000000">
                  <w:r>
                    <w:t>Rango medio</w:t>
                  </w:r>
                </w:p>
              </w:tc>
              <w:tc>
                <w:tcPr>
                  <w:tcW w:w="1980" w:type="dxa"/>
                </w:tcPr>
                <w:p w14:paraId="34D74D1E" w14:textId="77777777" w:rsidR="00D762DD" w:rsidRDefault="00000000">
                  <w:r>
                    <w:t>Posición</w:t>
                  </w:r>
                </w:p>
              </w:tc>
            </w:tr>
            <w:tr w:rsidR="00D762DD" w14:paraId="06225645" w14:textId="77777777">
              <w:tc>
                <w:tcPr>
                  <w:tcW w:w="1980" w:type="dxa"/>
                </w:tcPr>
                <w:p w14:paraId="6559A920" w14:textId="77777777" w:rsidR="00D762DD" w:rsidRDefault="00000000">
                  <w:r>
                    <w:t>SHAP</w:t>
                  </w:r>
                </w:p>
              </w:tc>
              <w:tc>
                <w:tcPr>
                  <w:tcW w:w="1980" w:type="dxa"/>
                </w:tcPr>
                <w:p w14:paraId="3BBA2763" w14:textId="77777777" w:rsidR="00D762DD" w:rsidRDefault="00000000">
                  <w:r>
                    <w:t>15</w:t>
                  </w:r>
                </w:p>
              </w:tc>
              <w:tc>
                <w:tcPr>
                  <w:tcW w:w="1980" w:type="dxa"/>
                </w:tcPr>
                <w:p w14:paraId="6F85D6FB" w14:textId="77777777" w:rsidR="00D762DD" w:rsidRDefault="00000000">
                  <w:r>
                    <w:t>1.000</w:t>
                  </w:r>
                </w:p>
              </w:tc>
              <w:tc>
                <w:tcPr>
                  <w:tcW w:w="1980" w:type="dxa"/>
                </w:tcPr>
                <w:p w14:paraId="7C95491A" w14:textId="77777777" w:rsidR="00D762DD" w:rsidRDefault="00000000">
                  <w:r>
                    <w:t>1.ª</w:t>
                  </w:r>
                </w:p>
              </w:tc>
            </w:tr>
            <w:tr w:rsidR="00D762DD" w14:paraId="6AE52D6E" w14:textId="77777777">
              <w:tc>
                <w:tcPr>
                  <w:tcW w:w="1980" w:type="dxa"/>
                </w:tcPr>
                <w:p w14:paraId="6E54573A" w14:textId="77777777" w:rsidR="00D762DD" w:rsidRDefault="00000000">
                  <w:r>
                    <w:t>LIME</w:t>
                  </w:r>
                </w:p>
              </w:tc>
              <w:tc>
                <w:tcPr>
                  <w:tcW w:w="1980" w:type="dxa"/>
                </w:tcPr>
                <w:p w14:paraId="34A334D2" w14:textId="77777777" w:rsidR="00D762DD" w:rsidRDefault="00000000">
                  <w:r>
                    <w:t>30</w:t>
                  </w:r>
                </w:p>
              </w:tc>
              <w:tc>
                <w:tcPr>
                  <w:tcW w:w="1980" w:type="dxa"/>
                </w:tcPr>
                <w:p w14:paraId="742E33BA" w14:textId="77777777" w:rsidR="00D762DD" w:rsidRDefault="00000000">
                  <w:r>
                    <w:t>2.000</w:t>
                  </w:r>
                </w:p>
              </w:tc>
              <w:tc>
                <w:tcPr>
                  <w:tcW w:w="1980" w:type="dxa"/>
                </w:tcPr>
                <w:p w14:paraId="2B8365CD" w14:textId="77777777" w:rsidR="00D762DD" w:rsidRDefault="00000000">
                  <w:r>
                    <w:t>2.ª</w:t>
                  </w:r>
                </w:p>
              </w:tc>
            </w:tr>
            <w:tr w:rsidR="00D762DD" w14:paraId="21A4BFB0" w14:textId="77777777">
              <w:tc>
                <w:tcPr>
                  <w:tcW w:w="1980" w:type="dxa"/>
                </w:tcPr>
                <w:p w14:paraId="750CCB7F" w14:textId="77777777" w:rsidR="00D762DD" w:rsidRDefault="00000000">
                  <w:r>
                    <w:t>Anchors</w:t>
                  </w:r>
                </w:p>
              </w:tc>
              <w:tc>
                <w:tcPr>
                  <w:tcW w:w="1980" w:type="dxa"/>
                </w:tcPr>
                <w:p w14:paraId="06E7AEC4" w14:textId="77777777" w:rsidR="00D762DD" w:rsidRDefault="00000000">
                  <w:r>
                    <w:t>48</w:t>
                  </w:r>
                </w:p>
              </w:tc>
              <w:tc>
                <w:tcPr>
                  <w:tcW w:w="1980" w:type="dxa"/>
                </w:tcPr>
                <w:p w14:paraId="012850C6" w14:textId="77777777" w:rsidR="00D762DD" w:rsidRDefault="00000000">
                  <w:r>
                    <w:t>3.200</w:t>
                  </w:r>
                </w:p>
              </w:tc>
              <w:tc>
                <w:tcPr>
                  <w:tcW w:w="1980" w:type="dxa"/>
                </w:tcPr>
                <w:p w14:paraId="02AF7EEB" w14:textId="77777777" w:rsidR="00D762DD" w:rsidRDefault="00000000">
                  <w:r>
                    <w:t>3.ª</w:t>
                  </w:r>
                </w:p>
              </w:tc>
            </w:tr>
            <w:tr w:rsidR="00D762DD" w14:paraId="0E128953" w14:textId="77777777">
              <w:tc>
                <w:tcPr>
                  <w:tcW w:w="1980" w:type="dxa"/>
                </w:tcPr>
                <w:p w14:paraId="485A7865" w14:textId="77777777" w:rsidR="00D762DD" w:rsidRDefault="00000000">
                  <w:proofErr w:type="spellStart"/>
                  <w:r>
                    <w:t>DiCE</w:t>
                  </w:r>
                  <w:proofErr w:type="spellEnd"/>
                </w:p>
              </w:tc>
              <w:tc>
                <w:tcPr>
                  <w:tcW w:w="1980" w:type="dxa"/>
                </w:tcPr>
                <w:p w14:paraId="51C9A7C0" w14:textId="77777777" w:rsidR="00D762DD" w:rsidRDefault="00000000">
                  <w:r>
                    <w:t>57</w:t>
                  </w:r>
                </w:p>
              </w:tc>
              <w:tc>
                <w:tcPr>
                  <w:tcW w:w="1980" w:type="dxa"/>
                </w:tcPr>
                <w:p w14:paraId="403545DE" w14:textId="77777777" w:rsidR="00D762DD" w:rsidRDefault="00000000">
                  <w:r>
                    <w:t>3.800</w:t>
                  </w:r>
                </w:p>
              </w:tc>
              <w:tc>
                <w:tcPr>
                  <w:tcW w:w="1980" w:type="dxa"/>
                </w:tcPr>
                <w:p w14:paraId="56C63CAC" w14:textId="77777777" w:rsidR="00D762DD" w:rsidRDefault="00000000">
                  <w:r>
                    <w:t>4.ª</w:t>
                  </w:r>
                </w:p>
              </w:tc>
            </w:tr>
            <w:bookmarkEnd w:id="159"/>
          </w:tbl>
          <w:p w14:paraId="782AEBC6" w14:textId="77777777" w:rsidR="00D762DD" w:rsidRDefault="00D762DD"/>
        </w:tc>
      </w:tr>
    </w:tbl>
    <w:p w14:paraId="29F06FB2" w14:textId="77777777" w:rsidR="00D762DD" w:rsidRDefault="00000000">
      <w:pPr>
        <w:pStyle w:val="BodyText"/>
      </w:pPr>
      <w:r>
        <w:lastRenderedPageBreak/>
        <w:t xml:space="preserve">El hecho de que SHAP obtenga rango 1 en la totalidad de los 15 bloques (suma = 15, media = 1.000) implica que en ningún contexto de bloque </w:t>
      </w:r>
      <m:oMath>
        <m:r>
          <m:rPr>
            <m:sty m:val="p"/>
          </m:rPr>
          <w:rPr>
            <w:rFonts w:ascii="Cambria Math" w:hAnsi="Cambria Math"/>
          </w:rPr>
          <m:t>(</m:t>
        </m:r>
        <m:r>
          <w:rPr>
            <w:rFonts w:ascii="Cambria Math" w:hAnsi="Cambria Math"/>
          </w:rPr>
          <m:t>g</m:t>
        </m:r>
        <m:r>
          <m:rPr>
            <m:sty m:val="p"/>
          </m:rPr>
          <w:rPr>
            <w:rFonts w:ascii="Cambria Math" w:hAnsi="Cambria Math"/>
          </w:rPr>
          <m:t>,</m:t>
        </m:r>
        <m:r>
          <w:rPr>
            <w:rFonts w:ascii="Cambria Math" w:hAnsi="Cambria Math"/>
          </w:rPr>
          <m:t>n</m:t>
        </m:r>
        <m:r>
          <m:rPr>
            <m:sty m:val="p"/>
          </m:rPr>
          <w:rPr>
            <w:rFonts w:ascii="Cambria Math" w:hAnsi="Cambria Math"/>
          </w:rPr>
          <m:t>)</m:t>
        </m:r>
      </m:oMath>
      <w:r>
        <w:t xml:space="preserve"> ningún otro método superó a SHAP en fidelidad. Las medias brutas (promedio </w:t>
      </w:r>
      <m:oMath>
        <m:r>
          <m:rPr>
            <m:sty m:val="p"/>
          </m:rPr>
          <w:rPr>
            <w:rFonts w:ascii="Cambria Math" w:hAnsi="Cambria Math"/>
          </w:rPr>
          <m:t>±</m:t>
        </m:r>
      </m:oMath>
      <w:r>
        <w:t xml:space="preserve"> desviación estándar entre bloques) son: SHAP = 0.808 </w:t>
      </w:r>
      <m:oMath>
        <m:r>
          <m:rPr>
            <m:sty m:val="p"/>
          </m:rPr>
          <w:rPr>
            <w:rFonts w:ascii="Cambria Math" w:hAnsi="Cambria Math"/>
          </w:rPr>
          <m:t>±</m:t>
        </m:r>
      </m:oMath>
      <w:r>
        <w:t xml:space="preserve"> 0.093, LIME = 0.560 </w:t>
      </w:r>
      <m:oMath>
        <m:r>
          <m:rPr>
            <m:sty m:val="p"/>
          </m:rPr>
          <w:rPr>
            <w:rFonts w:ascii="Cambria Math" w:hAnsi="Cambria Math"/>
          </w:rPr>
          <m:t>±</m:t>
        </m:r>
      </m:oMath>
      <w:r>
        <w:t xml:space="preserve"> 0.068, Anchors = 0.389 </w:t>
      </w:r>
      <m:oMath>
        <m:r>
          <m:rPr>
            <m:sty m:val="p"/>
          </m:rPr>
          <w:rPr>
            <w:rFonts w:ascii="Cambria Math" w:hAnsi="Cambria Math"/>
          </w:rPr>
          <m:t>±</m:t>
        </m:r>
      </m:oMath>
      <w:r>
        <w:t xml:space="preserve"> 0.100, DiCE = 0.170 </w:t>
      </w:r>
      <m:oMath>
        <m:r>
          <m:rPr>
            <m:sty m:val="p"/>
          </m:rPr>
          <w:rPr>
            <w:rFonts w:ascii="Cambria Math" w:hAnsi="Cambria Math"/>
          </w:rPr>
          <m:t>±</m:t>
        </m:r>
      </m:oMath>
      <w:r>
        <w:t xml:space="preserve"> 0.103.</w:t>
      </w:r>
    </w:p>
    <w:p w14:paraId="07F9B744" w14:textId="77777777" w:rsidR="00D762DD" w:rsidRDefault="00000000">
      <w:pPr>
        <w:pStyle w:val="BodyText"/>
      </w:pPr>
      <w:r>
        <w:t xml:space="preserve">La escala de fidelidad es acotada en </w:t>
      </w:r>
      <m:oMath>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(correlación entre importancias y efecto de enmascaramiento): valores superiores a 0.80 señalan explicaciones que capturan fielmente el comportamiento local del modelo; valores inferiores a 0.40 indican explicaciones poco representativas. Bajo estos criterios, SHAP opera consistentemente en zona alta de fidelidad, LIME en zona media, y tanto Anchors como </w:t>
      </w:r>
      <w:proofErr w:type="spellStart"/>
      <w:r>
        <w:t>DiCE</w:t>
      </w:r>
      <w:proofErr w:type="spellEnd"/>
      <w:r>
        <w:t xml:space="preserve"> en zona baja-media. La fidelidad baja de </w:t>
      </w:r>
      <w:proofErr w:type="spellStart"/>
      <w:r>
        <w:t>DiCE</w:t>
      </w:r>
      <w:proofErr w:type="spellEnd"/>
      <w:r>
        <w:t xml:space="preserve"> no es sorprendente: como método contrafactual, </w:t>
      </w:r>
      <w:proofErr w:type="spellStart"/>
      <w:r>
        <w:t>DiCE</w:t>
      </w:r>
      <w:proofErr w:type="spellEnd"/>
      <w:r>
        <w:t xml:space="preserve"> no optimiza la correlación de importancias, sino la generación de ejemplos alternativos, de modo que la métrica de fidelidad captura una dimensión de calidad que no es el objetivo de diseño primario de este método.</w:t>
      </w:r>
    </w:p>
    <w:p w14:paraId="11F856A4" w14:textId="77777777" w:rsidR="00D762DD" w:rsidRDefault="00000000">
      <w:pPr>
        <w:pStyle w:val="BodyText"/>
      </w:pPr>
      <w:r>
        <w:rPr>
          <w:b/>
          <w:bCs/>
        </w:rPr>
        <w:t xml:space="preserve">Localización </w:t>
      </w:r>
      <w:proofErr w:type="spellStart"/>
      <w:r>
        <w:rPr>
          <w:b/>
          <w:bCs/>
        </w:rPr>
        <w:t>post-hoc</w:t>
      </w:r>
      <w:proofErr w:type="spellEnd"/>
      <w:r>
        <w:rPr>
          <w:b/>
          <w:bCs/>
        </w:rPr>
        <w:t xml:space="preserve"> (</w:t>
      </w:r>
      <w:proofErr w:type="spellStart"/>
      <w:r>
        <w:rPr>
          <w:b/>
          <w:bCs/>
        </w:rPr>
        <w:t>Nemenyi</w:t>
      </w:r>
      <w:proofErr w:type="spellEnd"/>
      <w:r>
        <w:rPr>
          <w:b/>
          <w:bCs/>
        </w:rPr>
        <w:t>):</w:t>
      </w:r>
      <w:r>
        <w:t xml:space="preserve"> La diferencia crítica para comparaciones pareadas con </w:t>
      </w:r>
      <m:oMath>
        <m:r>
          <w:rPr>
            <w:rFonts w:ascii="Cambria Math" w:hAnsi="Cambria Math"/>
          </w:rPr>
          <m:t>α</m:t>
        </m:r>
        <m:r>
          <m:rPr>
            <m:sty m:val="p"/>
          </m:rPr>
          <w:rPr>
            <w:rFonts w:ascii="Cambria Math" w:hAnsi="Cambria Math"/>
          </w:rPr>
          <m:t>=</m:t>
        </m:r>
        <m:r>
          <w:rPr>
            <w:rFonts w:ascii="Cambria Math" w:hAnsi="Cambria Math"/>
          </w:rPr>
          <m:t>0.05</m:t>
        </m:r>
      </m:oMath>
      <w:r>
        <w:t xml:space="preserve">, </w:t>
      </w:r>
      <m:oMath>
        <m:r>
          <w:rPr>
            <w:rFonts w:ascii="Cambria Math" w:hAnsi="Cambria Math"/>
          </w:rPr>
          <m:t>k</m:t>
        </m:r>
        <m:r>
          <m:rPr>
            <m:sty m:val="p"/>
          </m:rPr>
          <w:rPr>
            <w:rFonts w:ascii="Cambria Math" w:hAnsi="Cambria Math"/>
          </w:rPr>
          <m:t>=</m:t>
        </m:r>
        <m:r>
          <w:rPr>
            <w:rFonts w:ascii="Cambria Math" w:hAnsi="Cambria Math"/>
          </w:rPr>
          <m:t>4</m:t>
        </m:r>
      </m:oMath>
      <w:r>
        <w:t xml:space="preserve"> y </w:t>
      </w:r>
      <m:oMath>
        <m:r>
          <w:rPr>
            <w:rFonts w:ascii="Cambria Math" w:hAnsi="Cambria Math"/>
          </w:rPr>
          <m:t>n</m:t>
        </m:r>
        <m:r>
          <m:rPr>
            <m:sty m:val="p"/>
          </m:rPr>
          <w:rPr>
            <w:rFonts w:ascii="Cambria Math" w:hAnsi="Cambria Math"/>
          </w:rPr>
          <m:t>=</m:t>
        </m:r>
        <m:r>
          <w:rPr>
            <w:rFonts w:ascii="Cambria Math" w:hAnsi="Cambria Math"/>
          </w:rPr>
          <m:t>15</m:t>
        </m:r>
      </m:oMath>
      <w:r>
        <w:t xml:space="preserve"> es:</w:t>
      </w:r>
    </w:p>
    <w:p w14:paraId="7F20881F" w14:textId="77777777" w:rsidR="00D762DD" w:rsidRDefault="00000000">
      <w:pPr>
        <w:pStyle w:val="BodyText"/>
      </w:pPr>
      <m:oMathPara>
        <m:oMathParaPr>
          <m:jc m:val="center"/>
        </m:oMathParaPr>
        <m:oMath>
          <m:r>
            <w:rPr>
              <w:rFonts w:ascii="Cambria Math" w:hAnsi="Cambria Math"/>
            </w:rPr>
            <m:t>CD</m:t>
          </m:r>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α</m:t>
              </m:r>
            </m:sub>
          </m:sSub>
          <m:rad>
            <m:radPr>
              <m:degHide m:val="1"/>
              <m:ctrlPr>
                <w:rPr>
                  <w:rFonts w:ascii="Cambria Math" w:hAnsi="Cambria Math"/>
                </w:rPr>
              </m:ctrlPr>
            </m:radPr>
            <m:deg/>
            <m:e>
              <m:f>
                <m:fPr>
                  <m:ctrlPr>
                    <w:rPr>
                      <w:rFonts w:ascii="Cambria Math" w:hAnsi="Cambria Math"/>
                    </w:rPr>
                  </m:ctrlPr>
                </m:fPr>
                <m:num>
                  <m:r>
                    <w:rPr>
                      <w:rFonts w:ascii="Cambria Math" w:hAnsi="Cambria Math"/>
                    </w:rPr>
                    <m:t>k</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1</m:t>
                  </m:r>
                  <m:r>
                    <m:rPr>
                      <m:sty m:val="p"/>
                    </m:rPr>
                    <w:rPr>
                      <w:rFonts w:ascii="Cambria Math" w:hAnsi="Cambria Math"/>
                    </w:rPr>
                    <m:t>)</m:t>
                  </m:r>
                </m:num>
                <m:den>
                  <m:r>
                    <w:rPr>
                      <w:rFonts w:ascii="Cambria Math" w:hAnsi="Cambria Math"/>
                    </w:rPr>
                    <m:t>6n</m:t>
                  </m:r>
                </m:den>
              </m:f>
            </m:e>
          </m:rad>
          <m:r>
            <m:rPr>
              <m:sty m:val="p"/>
            </m:rPr>
            <w:rPr>
              <w:rFonts w:ascii="Cambria Math" w:hAnsi="Cambria Math"/>
            </w:rPr>
            <m:t>=</m:t>
          </m:r>
          <m:r>
            <w:rPr>
              <w:rFonts w:ascii="Cambria Math" w:hAnsi="Cambria Math"/>
            </w:rPr>
            <m:t>2.569</m:t>
          </m:r>
          <m:r>
            <m:rPr>
              <m:sty m:val="p"/>
            </m:rPr>
            <w:rPr>
              <w:rFonts w:ascii="Cambria Math" w:hAnsi="Cambria Math"/>
            </w:rPr>
            <m:t>×</m:t>
          </m:r>
          <m:rad>
            <m:radPr>
              <m:degHide m:val="1"/>
              <m:ctrlPr>
                <w:rPr>
                  <w:rFonts w:ascii="Cambria Math" w:hAnsi="Cambria Math"/>
                </w:rPr>
              </m:ctrlPr>
            </m:radPr>
            <m:deg/>
            <m:e>
              <m:f>
                <m:fPr>
                  <m:ctrlPr>
                    <w:rPr>
                      <w:rFonts w:ascii="Cambria Math" w:hAnsi="Cambria Math"/>
                    </w:rPr>
                  </m:ctrlPr>
                </m:fPr>
                <m:num>
                  <m:r>
                    <w:rPr>
                      <w:rFonts w:ascii="Cambria Math" w:hAnsi="Cambria Math"/>
                    </w:rPr>
                    <m:t>4</m:t>
                  </m:r>
                  <m:r>
                    <m:rPr>
                      <m:sty m:val="p"/>
                    </m:rPr>
                    <w:rPr>
                      <w:rFonts w:ascii="Cambria Math" w:hAnsi="Cambria Math"/>
                    </w:rPr>
                    <m:t>×</m:t>
                  </m:r>
                  <m:r>
                    <w:rPr>
                      <w:rFonts w:ascii="Cambria Math" w:hAnsi="Cambria Math"/>
                    </w:rPr>
                    <m:t>5</m:t>
                  </m:r>
                </m:num>
                <m:den>
                  <m:r>
                    <w:rPr>
                      <w:rFonts w:ascii="Cambria Math" w:hAnsi="Cambria Math"/>
                    </w:rPr>
                    <m:t>6</m:t>
                  </m:r>
                  <m:r>
                    <m:rPr>
                      <m:sty m:val="p"/>
                    </m:rPr>
                    <w:rPr>
                      <w:rFonts w:ascii="Cambria Math" w:hAnsi="Cambria Math"/>
                    </w:rPr>
                    <m:t>×</m:t>
                  </m:r>
                  <m:r>
                    <w:rPr>
                      <w:rFonts w:ascii="Cambria Math" w:hAnsi="Cambria Math"/>
                    </w:rPr>
                    <m:t>15</m:t>
                  </m:r>
                </m:den>
              </m:f>
            </m:e>
          </m:rad>
          <m:r>
            <m:rPr>
              <m:sty m:val="p"/>
            </m:rPr>
            <w:rPr>
              <w:rFonts w:ascii="Cambria Math" w:hAnsi="Cambria Math"/>
            </w:rPr>
            <m:t>=</m:t>
          </m:r>
          <m:r>
            <w:rPr>
              <w:rFonts w:ascii="Cambria Math" w:hAnsi="Cambria Math"/>
            </w:rPr>
            <m:t>2.569</m:t>
          </m:r>
          <m:r>
            <m:rPr>
              <m:sty m:val="p"/>
            </m:rPr>
            <w:rPr>
              <w:rFonts w:ascii="Cambria Math" w:hAnsi="Cambria Math"/>
            </w:rPr>
            <m:t>×</m:t>
          </m:r>
          <m:r>
            <w:rPr>
              <w:rFonts w:ascii="Cambria Math" w:hAnsi="Cambria Math"/>
            </w:rPr>
            <m:t>0.4714</m:t>
          </m:r>
          <m:r>
            <m:rPr>
              <m:sty m:val="p"/>
            </m:rPr>
            <w:rPr>
              <w:rFonts w:ascii="Cambria Math" w:hAnsi="Cambria Math"/>
            </w:rPr>
            <m:t>=</m:t>
          </m:r>
          <m:r>
            <w:rPr>
              <w:rFonts w:ascii="Cambria Math" w:hAnsi="Cambria Math"/>
            </w:rPr>
            <m:t>1.211</m:t>
          </m:r>
        </m:oMath>
      </m:oMathPara>
    </w:p>
    <w:p w14:paraId="1E131675" w14:textId="77777777" w:rsidR="00D762DD" w:rsidRDefault="00000000">
      <w:r>
        <w:t xml:space="preserve">Donde </w:t>
      </w:r>
      <m:oMath>
        <m:sSub>
          <m:sSubPr>
            <m:ctrlPr>
              <w:rPr>
                <w:rFonts w:ascii="Cambria Math" w:hAnsi="Cambria Math"/>
              </w:rPr>
            </m:ctrlPr>
          </m:sSubPr>
          <m:e>
            <m:r>
              <w:rPr>
                <w:rFonts w:ascii="Cambria Math" w:hAnsi="Cambria Math"/>
              </w:rPr>
              <m:t>q</m:t>
            </m:r>
          </m:e>
          <m:sub>
            <m:r>
              <w:rPr>
                <w:rFonts w:ascii="Cambria Math" w:hAnsi="Cambria Math"/>
              </w:rPr>
              <m:t>α</m:t>
            </m:r>
          </m:sub>
        </m:sSub>
        <m:r>
          <m:rPr>
            <m:sty m:val="p"/>
          </m:rPr>
          <w:rPr>
            <w:rFonts w:ascii="Cambria Math" w:hAnsi="Cambria Math"/>
          </w:rPr>
          <m:t>=</m:t>
        </m:r>
        <m:r>
          <w:rPr>
            <w:rFonts w:ascii="Cambria Math" w:hAnsi="Cambria Math"/>
          </w:rPr>
          <m:t>2.569</m:t>
        </m:r>
      </m:oMath>
      <w:r>
        <w:t xml:space="preserve"> es el valor crítico de la distribución de Nemenyi para </w:t>
      </w:r>
      <m:oMath>
        <m:r>
          <w:rPr>
            <w:rFonts w:ascii="Cambria Math" w:hAnsi="Cambria Math"/>
          </w:rPr>
          <m:t>k</m:t>
        </m:r>
        <m:r>
          <m:rPr>
            <m:sty m:val="p"/>
          </m:rPr>
          <w:rPr>
            <w:rFonts w:ascii="Cambria Math" w:hAnsi="Cambria Math"/>
          </w:rPr>
          <m:t>=</m:t>
        </m:r>
        <m:r>
          <w:rPr>
            <w:rFonts w:ascii="Cambria Math" w:hAnsi="Cambria Math"/>
          </w:rPr>
          <m:t>4</m:t>
        </m:r>
      </m:oMath>
      <w:r>
        <w:t xml:space="preserve"> con </w:t>
      </w:r>
      <m:oMath>
        <m:r>
          <w:rPr>
            <w:rFonts w:ascii="Cambria Math" w:hAnsi="Cambria Math"/>
          </w:rPr>
          <m:t>α</m:t>
        </m:r>
        <m:r>
          <m:rPr>
            <m:sty m:val="p"/>
          </m:rPr>
          <w:rPr>
            <w:rFonts w:ascii="Cambria Math" w:hAnsi="Cambria Math"/>
          </w:rPr>
          <m:t>=</m:t>
        </m:r>
        <m:r>
          <w:rPr>
            <w:rFonts w:ascii="Cambria Math" w:hAnsi="Cambria Math"/>
          </w:rPr>
          <m:t>0.05</m:t>
        </m:r>
      </m:oMath>
      <w:r>
        <w:t xml:space="preserve"> (Demšar 2006). Las diferencias en rangos medios entre todos los pares de métodos superan ampliamente esta diferencia crítica:</w:t>
      </w:r>
    </w:p>
    <w:tbl>
      <w:tblPr>
        <w:tblW w:w="5000" w:type="pct"/>
        <w:tblLayout w:type="fixed"/>
        <w:tblLook w:val="0000" w:firstRow="0" w:lastRow="0" w:firstColumn="0" w:lastColumn="0" w:noHBand="0" w:noVBand="0"/>
      </w:tblPr>
      <w:tblGrid>
        <w:gridCol w:w="9576"/>
      </w:tblGrid>
      <w:tr w:rsidR="00D762DD" w14:paraId="0DD4BAE8" w14:textId="77777777">
        <w:tc>
          <w:tcPr>
            <w:tcW w:w="7920" w:type="dxa"/>
          </w:tcPr>
          <w:p w14:paraId="5D515075" w14:textId="77777777" w:rsidR="00D762DD" w:rsidRDefault="00000000">
            <w:pPr>
              <w:spacing w:before="200"/>
              <w:jc w:val="left"/>
            </w:pPr>
            <w:bookmarkStart w:id="160" w:name="tbl-nemenyi-fidelity"/>
            <w:r>
              <w:t xml:space="preserve">Table 5.3: Comparaciones </w:t>
            </w:r>
            <w:proofErr w:type="spellStart"/>
            <w:r>
              <w:t>post-hoc</w:t>
            </w:r>
            <w:proofErr w:type="spellEnd"/>
            <w:r>
              <w:t xml:space="preserve"> de </w:t>
            </w:r>
            <w:proofErr w:type="spellStart"/>
            <w:r>
              <w:t>Nemenyi</w:t>
            </w:r>
            <w:proofErr w:type="spellEnd"/>
            <w:r>
              <w:t xml:space="preserve"> para fidelidad.</w:t>
            </w:r>
          </w:p>
          <w:tbl>
            <w:tblPr>
              <w:tblW w:w="0" w:type="auto"/>
              <w:tblLook w:val="0020" w:firstRow="1" w:lastRow="0" w:firstColumn="0" w:lastColumn="0" w:noHBand="0" w:noVBand="0"/>
            </w:tblPr>
            <w:tblGrid>
              <w:gridCol w:w="1980"/>
              <w:gridCol w:w="1980"/>
              <w:gridCol w:w="1980"/>
              <w:gridCol w:w="1980"/>
            </w:tblGrid>
            <w:tr w:rsidR="00D762DD" w14:paraId="63935E4E" w14:textId="77777777">
              <w:trPr>
                <w:tblHeader/>
              </w:trPr>
              <w:tc>
                <w:tcPr>
                  <w:tcW w:w="1980" w:type="dxa"/>
                </w:tcPr>
                <w:p w14:paraId="13887D10" w14:textId="77777777" w:rsidR="00D762DD" w:rsidRDefault="00000000">
                  <w:r>
                    <w:t>Par</w:t>
                  </w:r>
                </w:p>
              </w:tc>
              <w:tc>
                <w:tcPr>
                  <w:tcW w:w="1980" w:type="dxa"/>
                </w:tcPr>
                <w:p w14:paraId="76327925" w14:textId="77777777" w:rsidR="00D762DD" w:rsidRDefault="00000000">
                  <m:oMathPara>
                    <m:oMath>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j</m:t>
                          </m:r>
                        </m:sub>
                      </m:sSub>
                      <m:r>
                        <m:rPr>
                          <m:sty m:val="p"/>
                        </m:rPr>
                        <w:rPr>
                          <w:rFonts w:ascii="Cambria Math" w:hAnsi="Cambria Math"/>
                        </w:rPr>
                        <m:t>|</m:t>
                      </m:r>
                    </m:oMath>
                  </m:oMathPara>
                </w:p>
              </w:tc>
              <w:tc>
                <w:tcPr>
                  <w:tcW w:w="1980" w:type="dxa"/>
                </w:tcPr>
                <w:p w14:paraId="095E7256" w14:textId="77777777" w:rsidR="00D762DD" w:rsidRDefault="00000000">
                  <w:r>
                    <w:t>CD</w:t>
                  </w:r>
                </w:p>
              </w:tc>
              <w:tc>
                <w:tcPr>
                  <w:tcW w:w="1980" w:type="dxa"/>
                </w:tcPr>
                <w:p w14:paraId="07550451" w14:textId="77777777" w:rsidR="00D762DD" w:rsidRDefault="00000000">
                  <w:r>
                    <w:t>Significativo</w:t>
                  </w:r>
                </w:p>
              </w:tc>
            </w:tr>
            <w:tr w:rsidR="00D762DD" w14:paraId="0731A1A2" w14:textId="77777777">
              <w:tc>
                <w:tcPr>
                  <w:tcW w:w="1980" w:type="dxa"/>
                </w:tcPr>
                <w:p w14:paraId="2795D019" w14:textId="77777777" w:rsidR="00D762DD" w:rsidRDefault="00000000">
                  <w:r>
                    <w:t>SHAP vs. LIME</w:t>
                  </w:r>
                </w:p>
              </w:tc>
              <w:tc>
                <w:tcPr>
                  <w:tcW w:w="1980" w:type="dxa"/>
                </w:tcPr>
                <w:p w14:paraId="395D08ED" w14:textId="77777777" w:rsidR="00D762DD" w:rsidRDefault="00000000">
                  <w:r>
                    <w:t>1.000</w:t>
                  </w:r>
                </w:p>
              </w:tc>
              <w:tc>
                <w:tcPr>
                  <w:tcW w:w="1980" w:type="dxa"/>
                </w:tcPr>
                <w:p w14:paraId="412C4EA1" w14:textId="77777777" w:rsidR="00D762DD" w:rsidRDefault="00000000">
                  <w:r>
                    <w:t>1.211</w:t>
                  </w:r>
                </w:p>
              </w:tc>
              <w:tc>
                <w:tcPr>
                  <w:tcW w:w="1980" w:type="dxa"/>
                </w:tcPr>
                <w:p w14:paraId="5BD14ADB" w14:textId="77777777" w:rsidR="00D762DD" w:rsidRDefault="00000000">
                  <w:r>
                    <w:t>No</w:t>
                  </w:r>
                </w:p>
              </w:tc>
            </w:tr>
            <w:tr w:rsidR="00D762DD" w14:paraId="47415540" w14:textId="77777777">
              <w:tc>
                <w:tcPr>
                  <w:tcW w:w="1980" w:type="dxa"/>
                </w:tcPr>
                <w:p w14:paraId="161270D0" w14:textId="77777777" w:rsidR="00D762DD" w:rsidRDefault="00000000">
                  <w:r>
                    <w:t>SHAP vs. Anchors</w:t>
                  </w:r>
                </w:p>
              </w:tc>
              <w:tc>
                <w:tcPr>
                  <w:tcW w:w="1980" w:type="dxa"/>
                </w:tcPr>
                <w:p w14:paraId="5C7E8E70" w14:textId="77777777" w:rsidR="00D762DD" w:rsidRDefault="00000000">
                  <w:r>
                    <w:t>2.200</w:t>
                  </w:r>
                </w:p>
              </w:tc>
              <w:tc>
                <w:tcPr>
                  <w:tcW w:w="1980" w:type="dxa"/>
                </w:tcPr>
                <w:p w14:paraId="7E2B4556" w14:textId="77777777" w:rsidR="00D762DD" w:rsidRDefault="00000000">
                  <w:r>
                    <w:t>1.211</w:t>
                  </w:r>
                </w:p>
              </w:tc>
              <w:tc>
                <w:tcPr>
                  <w:tcW w:w="1980" w:type="dxa"/>
                </w:tcPr>
                <w:p w14:paraId="5D0FEE99" w14:textId="77777777" w:rsidR="00D762DD" w:rsidRDefault="00000000">
                  <w:r>
                    <w:t>Sí</w:t>
                  </w:r>
                </w:p>
              </w:tc>
            </w:tr>
            <w:tr w:rsidR="00D762DD" w14:paraId="584C3E50" w14:textId="77777777">
              <w:tc>
                <w:tcPr>
                  <w:tcW w:w="1980" w:type="dxa"/>
                </w:tcPr>
                <w:p w14:paraId="307040C8" w14:textId="77777777" w:rsidR="00D762DD" w:rsidRDefault="00000000">
                  <w:r>
                    <w:lastRenderedPageBreak/>
                    <w:t>SHAP vs. </w:t>
                  </w:r>
                  <w:proofErr w:type="spellStart"/>
                  <w:r>
                    <w:t>DiCE</w:t>
                  </w:r>
                  <w:proofErr w:type="spellEnd"/>
                </w:p>
              </w:tc>
              <w:tc>
                <w:tcPr>
                  <w:tcW w:w="1980" w:type="dxa"/>
                </w:tcPr>
                <w:p w14:paraId="5D720BE6" w14:textId="77777777" w:rsidR="00D762DD" w:rsidRDefault="00000000">
                  <w:r>
                    <w:t>2.800</w:t>
                  </w:r>
                </w:p>
              </w:tc>
              <w:tc>
                <w:tcPr>
                  <w:tcW w:w="1980" w:type="dxa"/>
                </w:tcPr>
                <w:p w14:paraId="7B3F6F30" w14:textId="77777777" w:rsidR="00D762DD" w:rsidRDefault="00000000">
                  <w:r>
                    <w:t>1.211</w:t>
                  </w:r>
                </w:p>
              </w:tc>
              <w:tc>
                <w:tcPr>
                  <w:tcW w:w="1980" w:type="dxa"/>
                </w:tcPr>
                <w:p w14:paraId="4B996F36" w14:textId="77777777" w:rsidR="00D762DD" w:rsidRDefault="00000000">
                  <w:r>
                    <w:t>Sí</w:t>
                  </w:r>
                </w:p>
              </w:tc>
            </w:tr>
            <w:tr w:rsidR="00D762DD" w14:paraId="184853F7" w14:textId="77777777">
              <w:tc>
                <w:tcPr>
                  <w:tcW w:w="1980" w:type="dxa"/>
                </w:tcPr>
                <w:p w14:paraId="7FFF58C7" w14:textId="77777777" w:rsidR="00D762DD" w:rsidRDefault="00000000">
                  <w:r>
                    <w:t>LIME vs. Anchors</w:t>
                  </w:r>
                </w:p>
              </w:tc>
              <w:tc>
                <w:tcPr>
                  <w:tcW w:w="1980" w:type="dxa"/>
                </w:tcPr>
                <w:p w14:paraId="01FDC2B5" w14:textId="77777777" w:rsidR="00D762DD" w:rsidRDefault="00000000">
                  <w:r>
                    <w:t>1.200</w:t>
                  </w:r>
                </w:p>
              </w:tc>
              <w:tc>
                <w:tcPr>
                  <w:tcW w:w="1980" w:type="dxa"/>
                </w:tcPr>
                <w:p w14:paraId="7F234954" w14:textId="77777777" w:rsidR="00D762DD" w:rsidRDefault="00000000">
                  <w:r>
                    <w:t>1.211</w:t>
                  </w:r>
                </w:p>
              </w:tc>
              <w:tc>
                <w:tcPr>
                  <w:tcW w:w="1980" w:type="dxa"/>
                </w:tcPr>
                <w:p w14:paraId="07C128D6" w14:textId="77777777" w:rsidR="00D762DD" w:rsidRDefault="00000000">
                  <w:r>
                    <w:t>No</w:t>
                  </w:r>
                </w:p>
              </w:tc>
            </w:tr>
            <w:tr w:rsidR="00D762DD" w14:paraId="1904176E" w14:textId="77777777">
              <w:tc>
                <w:tcPr>
                  <w:tcW w:w="1980" w:type="dxa"/>
                </w:tcPr>
                <w:p w14:paraId="29C9E361" w14:textId="77777777" w:rsidR="00D762DD" w:rsidRDefault="00000000">
                  <w:r>
                    <w:t>LIME vs. </w:t>
                  </w:r>
                  <w:proofErr w:type="spellStart"/>
                  <w:r>
                    <w:t>DiCE</w:t>
                  </w:r>
                  <w:proofErr w:type="spellEnd"/>
                </w:p>
              </w:tc>
              <w:tc>
                <w:tcPr>
                  <w:tcW w:w="1980" w:type="dxa"/>
                </w:tcPr>
                <w:p w14:paraId="4124C001" w14:textId="77777777" w:rsidR="00D762DD" w:rsidRDefault="00000000">
                  <w:r>
                    <w:t>1.800</w:t>
                  </w:r>
                </w:p>
              </w:tc>
              <w:tc>
                <w:tcPr>
                  <w:tcW w:w="1980" w:type="dxa"/>
                </w:tcPr>
                <w:p w14:paraId="39E6AFF2" w14:textId="77777777" w:rsidR="00D762DD" w:rsidRDefault="00000000">
                  <w:r>
                    <w:t>1.211</w:t>
                  </w:r>
                </w:p>
              </w:tc>
              <w:tc>
                <w:tcPr>
                  <w:tcW w:w="1980" w:type="dxa"/>
                </w:tcPr>
                <w:p w14:paraId="61F898A0" w14:textId="77777777" w:rsidR="00D762DD" w:rsidRDefault="00000000">
                  <w:r>
                    <w:t>Sí</w:t>
                  </w:r>
                </w:p>
              </w:tc>
            </w:tr>
            <w:tr w:rsidR="00D762DD" w14:paraId="1CE4695C" w14:textId="77777777">
              <w:tc>
                <w:tcPr>
                  <w:tcW w:w="1980" w:type="dxa"/>
                </w:tcPr>
                <w:p w14:paraId="4D03A09D" w14:textId="77777777" w:rsidR="00D762DD" w:rsidRDefault="00000000">
                  <w:r>
                    <w:t>Anchors vs. </w:t>
                  </w:r>
                  <w:proofErr w:type="spellStart"/>
                  <w:r>
                    <w:t>DiCE</w:t>
                  </w:r>
                  <w:proofErr w:type="spellEnd"/>
                </w:p>
              </w:tc>
              <w:tc>
                <w:tcPr>
                  <w:tcW w:w="1980" w:type="dxa"/>
                </w:tcPr>
                <w:p w14:paraId="1F359615" w14:textId="77777777" w:rsidR="00D762DD" w:rsidRDefault="00000000">
                  <w:r>
                    <w:t>0.600</w:t>
                  </w:r>
                </w:p>
              </w:tc>
              <w:tc>
                <w:tcPr>
                  <w:tcW w:w="1980" w:type="dxa"/>
                </w:tcPr>
                <w:p w14:paraId="65CB5E72" w14:textId="77777777" w:rsidR="00D762DD" w:rsidRDefault="00000000">
                  <w:r>
                    <w:t>1.211</w:t>
                  </w:r>
                </w:p>
              </w:tc>
              <w:tc>
                <w:tcPr>
                  <w:tcW w:w="1980" w:type="dxa"/>
                </w:tcPr>
                <w:p w14:paraId="45F32BCE" w14:textId="77777777" w:rsidR="00D762DD" w:rsidRDefault="00000000">
                  <w:r>
                    <w:t>No</w:t>
                  </w:r>
                </w:p>
              </w:tc>
            </w:tr>
            <w:bookmarkEnd w:id="160"/>
          </w:tbl>
          <w:p w14:paraId="01AABB01" w14:textId="77777777" w:rsidR="00D762DD" w:rsidRDefault="00D762DD"/>
        </w:tc>
      </w:tr>
    </w:tbl>
    <w:p w14:paraId="351309D6" w14:textId="77777777" w:rsidR="00D762DD" w:rsidRDefault="00000000">
      <w:pPr>
        <w:pStyle w:val="BodyText"/>
      </w:pPr>
      <w:r>
        <w:lastRenderedPageBreak/>
        <w:t xml:space="preserve">La localización </w:t>
      </w:r>
      <w:proofErr w:type="spellStart"/>
      <w:r>
        <w:t>Nemenyi</w:t>
      </w:r>
      <w:proofErr w:type="spellEnd"/>
      <w:r>
        <w:t xml:space="preserve"> es conservadora cuando </w:t>
      </w:r>
      <m:oMath>
        <m:r>
          <w:rPr>
            <w:rFonts w:ascii="Cambria Math" w:hAnsi="Cambria Math"/>
          </w:rPr>
          <m:t>n</m:t>
        </m:r>
      </m:oMath>
      <w:r>
        <w:t xml:space="preserve"> es pequeño. En fidelidad, se distinguen de forma robusta SHAP frente a Anchors/DiCE y LIME frente a DiCE; las diferencias SHAP–LIME y LIME–Anchors no superan el umbral crítico bajo este procedimiento. Este resultado no contradice la dominancia observada de SHAP en rangos, y motiva complementar el análisis global con el contraste pareado del Estudio Pareado LIME–SHAP.</w:t>
      </w:r>
    </w:p>
    <w:p w14:paraId="366D2006" w14:textId="77777777" w:rsidR="00D762DD" w:rsidRDefault="00000000">
      <w:pPr>
        <w:pStyle w:val="Heading3"/>
      </w:pPr>
      <w:bookmarkStart w:id="161" w:name="X117d71016dd8839ee57c9e60cc09d0400ac5f3d"/>
      <w:bookmarkStart w:id="162" w:name="_Toc238925770"/>
      <w:bookmarkEnd w:id="157"/>
      <w:r>
        <w:t>H2: Diferencias entre métodos en estabilidad</w:t>
      </w:r>
      <w:bookmarkEnd w:id="162"/>
    </w:p>
    <w:p w14:paraId="13725263" w14:textId="77777777" w:rsidR="00D762DD" w:rsidRDefault="00000000">
      <w:r>
        <w:t xml:space="preserve">La prueba de Friedman para estabilidad arrojó </w:t>
      </w:r>
      <m:oMath>
        <m:sSubSup>
          <m:sSubSupPr>
            <m:ctrlPr>
              <w:rPr>
                <w:rFonts w:ascii="Cambria Math" w:hAnsi="Cambria Math"/>
              </w:rPr>
            </m:ctrlPr>
          </m:sSubSupPr>
          <m:e>
            <m:r>
              <w:rPr>
                <w:rFonts w:ascii="Cambria Math" w:hAnsi="Cambria Math"/>
              </w:rPr>
              <m:t>χ</m:t>
            </m:r>
          </m:e>
          <m:sub>
            <m:r>
              <w:rPr>
                <w:rFonts w:ascii="Cambria Math" w:hAnsi="Cambria Math"/>
              </w:rPr>
              <m:t>F</m:t>
            </m:r>
          </m:sub>
          <m:sup>
            <m:r>
              <w:rPr>
                <w:rFonts w:ascii="Cambria Math" w:hAnsi="Cambria Math"/>
              </w:rPr>
              <m:t>2</m:t>
            </m:r>
          </m:sup>
        </m:sSubSup>
        <m:r>
          <m:rPr>
            <m:sty m:val="p"/>
          </m:rPr>
          <w:rPr>
            <w:rFonts w:ascii="Cambria Math" w:hAnsi="Cambria Math"/>
          </w:rPr>
          <m:t>=</m:t>
        </m:r>
        <m:r>
          <w:rPr>
            <w:rFonts w:ascii="Cambria Math" w:hAnsi="Cambria Math"/>
          </w:rPr>
          <m:t>40.68</m:t>
        </m:r>
      </m:oMath>
      <w:r>
        <w:t xml:space="preserve"> con </w:t>
      </w:r>
      <m:oMath>
        <m:r>
          <w:rPr>
            <w:rFonts w:ascii="Cambria Math" w:hAnsi="Cambria Math"/>
          </w:rPr>
          <m:t>n</m:t>
        </m:r>
        <m:r>
          <m:rPr>
            <m:sty m:val="p"/>
          </m:rPr>
          <w:rPr>
            <w:rFonts w:ascii="Cambria Math" w:hAnsi="Cambria Math"/>
          </w:rPr>
          <m:t>=</m:t>
        </m:r>
        <m:r>
          <w:rPr>
            <w:rFonts w:ascii="Cambria Math" w:hAnsi="Cambria Math"/>
          </w:rPr>
          <m:t>15</m:t>
        </m:r>
      </m:oMath>
      <w:r>
        <w:t xml:space="preserve"> bloques completos, lo que implica un margen de seguridad de:</w:t>
      </w:r>
    </w:p>
    <w:p w14:paraId="23CF4907" w14:textId="77777777" w:rsidR="00D762DD" w:rsidRDefault="00000000">
      <w:pPr>
        <w:pStyle w:val="BodyText"/>
      </w:pPr>
      <m:oMathPara>
        <m:oMathParaPr>
          <m:jc m:val="center"/>
        </m:oMathParaPr>
        <m:oMath>
          <m:r>
            <m:rPr>
              <m:nor/>
            </m:rPr>
            <m:t>Margen</m:t>
          </m:r>
          <m:r>
            <m:rPr>
              <m:sty m:val="p"/>
            </m:rPr>
            <w:rPr>
              <w:rFonts w:ascii="Cambria Math" w:hAnsi="Cambria Math"/>
            </w:rPr>
            <m:t>=</m:t>
          </m:r>
          <m:f>
            <m:fPr>
              <m:ctrlPr>
                <w:rPr>
                  <w:rFonts w:ascii="Cambria Math" w:hAnsi="Cambria Math"/>
                </w:rPr>
              </m:ctrlPr>
            </m:fPr>
            <m:num>
              <m:r>
                <w:rPr>
                  <w:rFonts w:ascii="Cambria Math" w:hAnsi="Cambria Math"/>
                </w:rPr>
                <m:t>40.68</m:t>
              </m:r>
              <m:r>
                <m:rPr>
                  <m:sty m:val="p"/>
                </m:rPr>
                <w:rPr>
                  <w:rFonts w:ascii="Cambria Math" w:hAnsi="Cambria Math"/>
                </w:rPr>
                <m:t>-</m:t>
              </m:r>
              <m:r>
                <w:rPr>
                  <w:rFonts w:ascii="Cambria Math" w:hAnsi="Cambria Math"/>
                </w:rPr>
                <m:t>7.815</m:t>
              </m:r>
            </m:num>
            <m:den>
              <m:r>
                <w:rPr>
                  <w:rFonts w:ascii="Cambria Math" w:hAnsi="Cambria Math"/>
                </w:rPr>
                <m:t>7.815</m:t>
              </m:r>
            </m:den>
          </m:f>
          <m:r>
            <m:rPr>
              <m:sty m:val="p"/>
            </m:rPr>
            <w:rPr>
              <w:rFonts w:ascii="Cambria Math" w:hAnsi="Cambria Math"/>
            </w:rPr>
            <m:t>×</m:t>
          </m:r>
          <m:r>
            <w:rPr>
              <w:rFonts w:ascii="Cambria Math" w:hAnsi="Cambria Math"/>
            </w:rPr>
            <m:t>100</m:t>
          </m:r>
          <m:r>
            <m:rPr>
              <m:sty m:val="p"/>
            </m:rPr>
            <w:rPr>
              <w:rFonts w:ascii="Cambria Math" w:hAnsi="Cambria Math"/>
            </w:rPr>
            <m:t>=</m:t>
          </m:r>
          <m:r>
            <w:rPr>
              <w:rFonts w:ascii="Cambria Math" w:hAnsi="Cambria Math"/>
            </w:rPr>
            <m:t>421</m:t>
          </m:r>
          <m:r>
            <m:rPr>
              <m:sty m:val="p"/>
            </m:rPr>
            <w:rPr>
              <w:rFonts w:ascii="Cambria Math" w:hAnsi="Cambria Math"/>
            </w:rPr>
            <m:t>%</m:t>
          </m:r>
        </m:oMath>
      </m:oMathPara>
    </w:p>
    <w:p w14:paraId="623159B2" w14:textId="77777777" w:rsidR="00D762DD" w:rsidRDefault="00000000">
      <m:oMath>
        <m:sSub>
          <m:sSubPr>
            <m:ctrlPr>
              <w:rPr>
                <w:rFonts w:ascii="Cambria Math" w:hAnsi="Cambria Math"/>
              </w:rPr>
            </m:ctrlPr>
          </m:sSubPr>
          <m:e>
            <m:r>
              <w:rPr>
                <w:rFonts w:ascii="Cambria Math" w:hAnsi="Cambria Math"/>
              </w:rPr>
              <m:t>H</m:t>
            </m:r>
          </m:e>
          <m:sub>
            <m:r>
              <w:rPr>
                <w:rFonts w:ascii="Cambria Math" w:hAnsi="Cambria Math"/>
              </w:rPr>
              <m:t>0</m:t>
            </m:r>
            <m:r>
              <m:rPr>
                <m:sty m:val="p"/>
              </m:rPr>
              <w:rPr>
                <w:rFonts w:ascii="Cambria Math" w:hAnsi="Cambria Math"/>
              </w:rPr>
              <m:t>,</m:t>
            </m:r>
            <m:r>
              <w:rPr>
                <w:rFonts w:ascii="Cambria Math" w:hAnsi="Cambria Math"/>
              </w:rPr>
              <m:t>2</m:t>
            </m:r>
          </m:sub>
        </m:sSub>
      </m:oMath>
      <w:r>
        <w:t xml:space="preserve"> se rechaza con la misma holgura que </w:t>
      </w:r>
      <m:oMath>
        <m:sSub>
          <m:sSubPr>
            <m:ctrlPr>
              <w:rPr>
                <w:rFonts w:ascii="Cambria Math" w:hAnsi="Cambria Math"/>
              </w:rPr>
            </m:ctrlPr>
          </m:sSubPr>
          <m:e>
            <m:r>
              <w:rPr>
                <w:rFonts w:ascii="Cambria Math" w:hAnsi="Cambria Math"/>
              </w:rPr>
              <m:t>H</m:t>
            </m:r>
          </m:e>
          <m:sub>
            <m:r>
              <w:rPr>
                <w:rFonts w:ascii="Cambria Math" w:hAnsi="Cambria Math"/>
              </w:rPr>
              <m:t>0</m:t>
            </m:r>
            <m:r>
              <m:rPr>
                <m:sty m:val="p"/>
              </m:rPr>
              <w:rPr>
                <w:rFonts w:ascii="Cambria Math" w:hAnsi="Cambria Math"/>
              </w:rPr>
              <m:t>,</m:t>
            </m:r>
            <m:r>
              <w:rPr>
                <w:rFonts w:ascii="Cambria Math" w:hAnsi="Cambria Math"/>
              </w:rPr>
              <m:t>1</m:t>
            </m:r>
          </m:sub>
        </m:sSub>
      </m:oMath>
      <w:r>
        <w:t>. Sin embargo, el ordenamiento de los métodos en estabilidad difiere sustancialmente del observado en fidelidad, lo que constituye en sí mismo un hallazgo teórico relevante: las dimensiones de calidad no están correlacionadas monótonamente.</w:t>
      </w:r>
    </w:p>
    <w:tbl>
      <w:tblPr>
        <w:tblW w:w="5000" w:type="pct"/>
        <w:tblLayout w:type="fixed"/>
        <w:tblLook w:val="0000" w:firstRow="0" w:lastRow="0" w:firstColumn="0" w:lastColumn="0" w:noHBand="0" w:noVBand="0"/>
      </w:tblPr>
      <w:tblGrid>
        <w:gridCol w:w="9576"/>
      </w:tblGrid>
      <w:tr w:rsidR="00D762DD" w14:paraId="6805B818" w14:textId="77777777">
        <w:tc>
          <w:tcPr>
            <w:tcW w:w="7920" w:type="dxa"/>
          </w:tcPr>
          <w:p w14:paraId="1A4AFECC" w14:textId="77777777" w:rsidR="00D762DD" w:rsidRDefault="00000000">
            <w:pPr>
              <w:spacing w:before="200"/>
              <w:jc w:val="left"/>
            </w:pPr>
            <w:bookmarkStart w:id="163" w:name="tbl-friedman-stability"/>
            <w:r>
              <w:t>Table 5.4: Suma y media de rangos de estabilidad — prueba de Friedman (</w:t>
            </w:r>
            <m:oMath>
              <m:r>
                <w:rPr>
                  <w:rFonts w:ascii="Cambria Math" w:hAnsi="Cambria Math"/>
                </w:rPr>
                <m:t>n</m:t>
              </m:r>
              <m:r>
                <m:rPr>
                  <m:sty m:val="p"/>
                </m:rPr>
                <w:rPr>
                  <w:rFonts w:ascii="Cambria Math" w:hAnsi="Cambria Math"/>
                </w:rPr>
                <m:t>=</m:t>
              </m:r>
              <m:r>
                <w:rPr>
                  <w:rFonts w:ascii="Cambria Math" w:hAnsi="Cambria Math"/>
                </w:rPr>
                <m:t>15</m:t>
              </m:r>
            </m:oMath>
            <w:r>
              <w:t xml:space="preserve"> bloques).</w:t>
            </w:r>
          </w:p>
          <w:tbl>
            <w:tblPr>
              <w:tblW w:w="0" w:type="auto"/>
              <w:tblLook w:val="0020" w:firstRow="1" w:lastRow="0" w:firstColumn="0" w:lastColumn="0" w:noHBand="0" w:noVBand="0"/>
            </w:tblPr>
            <w:tblGrid>
              <w:gridCol w:w="1980"/>
              <w:gridCol w:w="1980"/>
              <w:gridCol w:w="1980"/>
              <w:gridCol w:w="1980"/>
            </w:tblGrid>
            <w:tr w:rsidR="00D762DD" w14:paraId="54B1E03C" w14:textId="77777777">
              <w:trPr>
                <w:tblHeader/>
              </w:trPr>
              <w:tc>
                <w:tcPr>
                  <w:tcW w:w="1980" w:type="dxa"/>
                </w:tcPr>
                <w:p w14:paraId="4A1D989F" w14:textId="77777777" w:rsidR="00D762DD" w:rsidRDefault="00000000">
                  <w:r>
                    <w:t>Método</w:t>
                  </w:r>
                </w:p>
              </w:tc>
              <w:tc>
                <w:tcPr>
                  <w:tcW w:w="1980" w:type="dxa"/>
                </w:tcPr>
                <w:p w14:paraId="6C74F4A9" w14:textId="77777777" w:rsidR="00D762DD" w:rsidRDefault="00000000">
                  <w:r>
                    <w:t>Suma de rangos</w:t>
                  </w:r>
                </w:p>
              </w:tc>
              <w:tc>
                <w:tcPr>
                  <w:tcW w:w="1980" w:type="dxa"/>
                </w:tcPr>
                <w:p w14:paraId="5DDADC9F" w14:textId="77777777" w:rsidR="00D762DD" w:rsidRDefault="00000000">
                  <w:r>
                    <w:t>Rango medio</w:t>
                  </w:r>
                </w:p>
              </w:tc>
              <w:tc>
                <w:tcPr>
                  <w:tcW w:w="1980" w:type="dxa"/>
                </w:tcPr>
                <w:p w14:paraId="304EA8E3" w14:textId="77777777" w:rsidR="00D762DD" w:rsidRDefault="00000000">
                  <w:r>
                    <w:t>Media bruta</w:t>
                  </w:r>
                </w:p>
              </w:tc>
            </w:tr>
            <w:tr w:rsidR="00D762DD" w14:paraId="59D847CB" w14:textId="77777777">
              <w:tc>
                <w:tcPr>
                  <w:tcW w:w="1980" w:type="dxa"/>
                </w:tcPr>
                <w:p w14:paraId="46F43A7C" w14:textId="77777777" w:rsidR="00D762DD" w:rsidRDefault="00000000">
                  <w:r>
                    <w:t>SHAP</w:t>
                  </w:r>
                </w:p>
              </w:tc>
              <w:tc>
                <w:tcPr>
                  <w:tcW w:w="1980" w:type="dxa"/>
                </w:tcPr>
                <w:p w14:paraId="227474F9" w14:textId="77777777" w:rsidR="00D762DD" w:rsidRDefault="00000000">
                  <w:r>
                    <w:t>15</w:t>
                  </w:r>
                </w:p>
              </w:tc>
              <w:tc>
                <w:tcPr>
                  <w:tcW w:w="1980" w:type="dxa"/>
                </w:tcPr>
                <w:p w14:paraId="68B84AB3" w14:textId="77777777" w:rsidR="00D762DD" w:rsidRDefault="00000000">
                  <w:r>
                    <w:t>1.000</w:t>
                  </w:r>
                </w:p>
              </w:tc>
              <w:tc>
                <w:tcPr>
                  <w:tcW w:w="1980" w:type="dxa"/>
                </w:tcPr>
                <w:p w14:paraId="0116917E" w14:textId="77777777" w:rsidR="00D762DD" w:rsidRDefault="00000000">
                  <w:r>
                    <w:t>0.732</w:t>
                  </w:r>
                </w:p>
              </w:tc>
            </w:tr>
            <w:tr w:rsidR="00D762DD" w14:paraId="08E3905C" w14:textId="77777777">
              <w:tc>
                <w:tcPr>
                  <w:tcW w:w="1980" w:type="dxa"/>
                </w:tcPr>
                <w:p w14:paraId="5947195A" w14:textId="77777777" w:rsidR="00D762DD" w:rsidRDefault="00000000">
                  <w:proofErr w:type="spellStart"/>
                  <w:r>
                    <w:t>DiCE</w:t>
                  </w:r>
                  <w:proofErr w:type="spellEnd"/>
                </w:p>
              </w:tc>
              <w:tc>
                <w:tcPr>
                  <w:tcW w:w="1980" w:type="dxa"/>
                </w:tcPr>
                <w:p w14:paraId="17A47880" w14:textId="77777777" w:rsidR="00D762DD" w:rsidRDefault="00000000">
                  <w:r>
                    <w:t>30</w:t>
                  </w:r>
                </w:p>
              </w:tc>
              <w:tc>
                <w:tcPr>
                  <w:tcW w:w="1980" w:type="dxa"/>
                </w:tcPr>
                <w:p w14:paraId="1BAF8212" w14:textId="77777777" w:rsidR="00D762DD" w:rsidRDefault="00000000">
                  <w:r>
                    <w:t>2.000</w:t>
                  </w:r>
                </w:p>
              </w:tc>
              <w:tc>
                <w:tcPr>
                  <w:tcW w:w="1980" w:type="dxa"/>
                </w:tcPr>
                <w:p w14:paraId="371DAF87" w14:textId="77777777" w:rsidR="00D762DD" w:rsidRDefault="00000000">
                  <w:r>
                    <w:t>0.361</w:t>
                  </w:r>
                </w:p>
              </w:tc>
            </w:tr>
            <w:tr w:rsidR="00D762DD" w14:paraId="7796489B" w14:textId="77777777">
              <w:tc>
                <w:tcPr>
                  <w:tcW w:w="1980" w:type="dxa"/>
                </w:tcPr>
                <w:p w14:paraId="1D25C362" w14:textId="77777777" w:rsidR="00D762DD" w:rsidRDefault="00000000">
                  <w:r>
                    <w:t>LIME</w:t>
                  </w:r>
                </w:p>
              </w:tc>
              <w:tc>
                <w:tcPr>
                  <w:tcW w:w="1980" w:type="dxa"/>
                </w:tcPr>
                <w:p w14:paraId="4CC555A7" w14:textId="77777777" w:rsidR="00D762DD" w:rsidRDefault="00000000">
                  <w:r>
                    <w:t>51</w:t>
                  </w:r>
                </w:p>
              </w:tc>
              <w:tc>
                <w:tcPr>
                  <w:tcW w:w="1980" w:type="dxa"/>
                </w:tcPr>
                <w:p w14:paraId="4973B358" w14:textId="77777777" w:rsidR="00D762DD" w:rsidRDefault="00000000">
                  <w:r>
                    <w:t>3.400</w:t>
                  </w:r>
                </w:p>
              </w:tc>
              <w:tc>
                <w:tcPr>
                  <w:tcW w:w="1980" w:type="dxa"/>
                </w:tcPr>
                <w:p w14:paraId="76B42257" w14:textId="77777777" w:rsidR="00D762DD" w:rsidRDefault="00000000">
                  <w:r>
                    <w:t>0.014</w:t>
                  </w:r>
                </w:p>
              </w:tc>
            </w:tr>
            <w:tr w:rsidR="00D762DD" w14:paraId="44DFD0E2" w14:textId="77777777">
              <w:tc>
                <w:tcPr>
                  <w:tcW w:w="1980" w:type="dxa"/>
                </w:tcPr>
                <w:p w14:paraId="5B6C5CD1" w14:textId="77777777" w:rsidR="00D762DD" w:rsidRDefault="00000000">
                  <w:r>
                    <w:lastRenderedPageBreak/>
                    <w:t>Anchors</w:t>
                  </w:r>
                </w:p>
              </w:tc>
              <w:tc>
                <w:tcPr>
                  <w:tcW w:w="1980" w:type="dxa"/>
                </w:tcPr>
                <w:p w14:paraId="6731972A" w14:textId="77777777" w:rsidR="00D762DD" w:rsidRDefault="00000000">
                  <w:r>
                    <w:t>54</w:t>
                  </w:r>
                </w:p>
              </w:tc>
              <w:tc>
                <w:tcPr>
                  <w:tcW w:w="1980" w:type="dxa"/>
                </w:tcPr>
                <w:p w14:paraId="74810CE8" w14:textId="77777777" w:rsidR="00D762DD" w:rsidRDefault="00000000">
                  <w:r>
                    <w:t>3.600</w:t>
                  </w:r>
                </w:p>
              </w:tc>
              <w:tc>
                <w:tcPr>
                  <w:tcW w:w="1980" w:type="dxa"/>
                </w:tcPr>
                <w:p w14:paraId="15D91AA4" w14:textId="77777777" w:rsidR="00D762DD" w:rsidRDefault="00000000">
                  <w:r>
                    <w:t>0.043</w:t>
                  </w:r>
                </w:p>
              </w:tc>
            </w:tr>
            <w:bookmarkEnd w:id="163"/>
          </w:tbl>
          <w:p w14:paraId="595D36A2" w14:textId="77777777" w:rsidR="00D762DD" w:rsidRDefault="00D762DD"/>
        </w:tc>
      </w:tr>
    </w:tbl>
    <w:p w14:paraId="3E74695B" w14:textId="77777777" w:rsidR="00D762DD" w:rsidRDefault="00000000">
      <w:pPr>
        <w:pStyle w:val="BodyText"/>
      </w:pPr>
      <w:r>
        <w:lastRenderedPageBreak/>
        <w:t xml:space="preserve">SHAP mantiene la primera posición en estabilidad (rango medio = 1.000), lo que implica que ocupa el primer rango también en esta dimensión. </w:t>
      </w:r>
      <w:proofErr w:type="spellStart"/>
      <w:r>
        <w:t>DiCE</w:t>
      </w:r>
      <w:proofErr w:type="spellEnd"/>
      <w:r>
        <w:t xml:space="preserve">, que ocupa el último lugar en fidelidad, asciende a la segunda posición en estabilidad (rango medio = 2.000; media bruta = 0.361), lo que refleja que las explicaciones contrafactuales de </w:t>
      </w:r>
      <w:proofErr w:type="spellStart"/>
      <w:r>
        <w:t>DiCE</w:t>
      </w:r>
      <w:proofErr w:type="spellEnd"/>
      <w:r>
        <w:t xml:space="preserve"> tienen cierta coherencia </w:t>
      </w:r>
      <w:proofErr w:type="gramStart"/>
      <w:r>
        <w:t>estructural</w:t>
      </w:r>
      <w:proofErr w:type="gramEnd"/>
      <w:r>
        <w:t xml:space="preserve"> aunque su correlación con la función del modelo sea baja. El resultado más llamativo es la casi-nula estabilidad de LIME: su media bruta de 0.014 (similitud coseno en </w:t>
      </w:r>
      <m:oMath>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indica que explicaciones generadas sobre instancias ligeramente perturbadas son prácticamente ortogonales entre sí. Este es un rasgo conocido del diseño por muestreo local de LIME (Ribeiro 2016), pero la cuantificación en este benchmark evidencia que la inestabilidad no es marginal, sino estructural.</w:t>
      </w:r>
    </w:p>
    <w:p w14:paraId="12FA8C79" w14:textId="77777777" w:rsidR="00D762DD" w:rsidRDefault="00000000">
      <w:pPr>
        <w:pStyle w:val="BodyText"/>
      </w:pPr>
      <w:r>
        <w:t xml:space="preserve">La diferencia crítica </w:t>
      </w:r>
      <w:proofErr w:type="spellStart"/>
      <w:r>
        <w:t>Nemenyi</w:t>
      </w:r>
      <w:proofErr w:type="spellEnd"/>
      <w:r>
        <w:t xml:space="preserve"> para estabilidad es idéntica a la calculada para fidelidad (</w:t>
      </w:r>
      <m:oMath>
        <m:r>
          <w:rPr>
            <w:rFonts w:ascii="Cambria Math" w:hAnsi="Cambria Math"/>
          </w:rPr>
          <m:t>CD</m:t>
        </m:r>
        <m:r>
          <m:rPr>
            <m:sty m:val="p"/>
          </m:rPr>
          <w:rPr>
            <w:rFonts w:ascii="Cambria Math" w:hAnsi="Cambria Math"/>
          </w:rPr>
          <m:t>=</m:t>
        </m:r>
        <m:r>
          <w:rPr>
            <w:rFonts w:ascii="Cambria Math" w:hAnsi="Cambria Math"/>
          </w:rPr>
          <m:t>1.211</m:t>
        </m:r>
      </m:oMath>
      <w:r>
        <w:t xml:space="preserve">) dado el mismo </w:t>
      </w:r>
      <m:oMath>
        <m:r>
          <w:rPr>
            <w:rFonts w:ascii="Cambria Math" w:hAnsi="Cambria Math"/>
          </w:rPr>
          <m:t>n</m:t>
        </m:r>
      </m:oMath>
      <w:r>
        <w:t xml:space="preserve"> y </w:t>
      </w:r>
      <m:oMath>
        <m:r>
          <w:rPr>
            <w:rFonts w:ascii="Cambria Math" w:hAnsi="Cambria Math"/>
          </w:rPr>
          <m:t>k</m:t>
        </m:r>
      </m:oMath>
      <w:r>
        <w:t>. Las diferencias en rangos medios confirmadas como significativas son:</w:t>
      </w:r>
    </w:p>
    <w:p w14:paraId="30EBAB37" w14:textId="77777777" w:rsidR="00D762DD" w:rsidRDefault="00000000">
      <w:pPr>
        <w:numPr>
          <w:ilvl w:val="0"/>
          <w:numId w:val="13"/>
        </w:numPr>
      </w:pPr>
      <w:r>
        <w:t xml:space="preserve">SHAP vs. LIME: </w:t>
      </w:r>
      <m:oMath>
        <m:r>
          <m:rPr>
            <m:sty m:val="p"/>
          </m:rPr>
          <w:rPr>
            <w:rFonts w:ascii="Cambria Math" w:hAnsi="Cambria Math"/>
          </w:rPr>
          <m:t>|</m:t>
        </m:r>
        <m:r>
          <w:rPr>
            <w:rFonts w:ascii="Cambria Math" w:hAnsi="Cambria Math"/>
          </w:rPr>
          <m:t>1.000</m:t>
        </m:r>
        <m:r>
          <m:rPr>
            <m:sty m:val="p"/>
          </m:rPr>
          <w:rPr>
            <w:rFonts w:ascii="Cambria Math" w:hAnsi="Cambria Math"/>
          </w:rPr>
          <m:t>-</m:t>
        </m:r>
        <m:r>
          <w:rPr>
            <w:rFonts w:ascii="Cambria Math" w:hAnsi="Cambria Math"/>
          </w:rPr>
          <m:t>3.400</m:t>
        </m:r>
        <m:r>
          <m:rPr>
            <m:sty m:val="p"/>
          </m:rPr>
          <w:rPr>
            <w:rFonts w:ascii="Cambria Math" w:hAnsi="Cambria Math"/>
          </w:rPr>
          <m:t>|=</m:t>
        </m:r>
        <m:r>
          <w:rPr>
            <w:rFonts w:ascii="Cambria Math" w:hAnsi="Cambria Math"/>
          </w:rPr>
          <m:t>2.400</m:t>
        </m:r>
        <m:r>
          <m:rPr>
            <m:sty m:val="p"/>
          </m:rPr>
          <w:rPr>
            <w:rFonts w:ascii="Cambria Math" w:hAnsi="Cambria Math"/>
          </w:rPr>
          <m:t>&gt;</m:t>
        </m:r>
        <m:r>
          <w:rPr>
            <w:rFonts w:ascii="Cambria Math" w:hAnsi="Cambria Math"/>
          </w:rPr>
          <m:t>1.211</m:t>
        </m:r>
      </m:oMath>
      <w:r>
        <w:t xml:space="preserve"> (Sí)</w:t>
      </w:r>
    </w:p>
    <w:p w14:paraId="5C142BBB" w14:textId="77777777" w:rsidR="00D762DD" w:rsidRDefault="00000000">
      <w:pPr>
        <w:numPr>
          <w:ilvl w:val="0"/>
          <w:numId w:val="13"/>
        </w:numPr>
      </w:pPr>
      <w:r>
        <w:t xml:space="preserve">SHAP vs. Anchors: </w:t>
      </w:r>
      <m:oMath>
        <m:r>
          <m:rPr>
            <m:sty m:val="p"/>
          </m:rPr>
          <w:rPr>
            <w:rFonts w:ascii="Cambria Math" w:hAnsi="Cambria Math"/>
          </w:rPr>
          <m:t>|</m:t>
        </m:r>
        <m:r>
          <w:rPr>
            <w:rFonts w:ascii="Cambria Math" w:hAnsi="Cambria Math"/>
          </w:rPr>
          <m:t>1.000</m:t>
        </m:r>
        <m:r>
          <m:rPr>
            <m:sty m:val="p"/>
          </m:rPr>
          <w:rPr>
            <w:rFonts w:ascii="Cambria Math" w:hAnsi="Cambria Math"/>
          </w:rPr>
          <m:t>-</m:t>
        </m:r>
        <m:r>
          <w:rPr>
            <w:rFonts w:ascii="Cambria Math" w:hAnsi="Cambria Math"/>
          </w:rPr>
          <m:t>3.600</m:t>
        </m:r>
        <m:r>
          <m:rPr>
            <m:sty m:val="p"/>
          </m:rPr>
          <w:rPr>
            <w:rFonts w:ascii="Cambria Math" w:hAnsi="Cambria Math"/>
          </w:rPr>
          <m:t>|=</m:t>
        </m:r>
        <m:r>
          <w:rPr>
            <w:rFonts w:ascii="Cambria Math" w:hAnsi="Cambria Math"/>
          </w:rPr>
          <m:t>2.600</m:t>
        </m:r>
        <m:r>
          <m:rPr>
            <m:sty m:val="p"/>
          </m:rPr>
          <w:rPr>
            <w:rFonts w:ascii="Cambria Math" w:hAnsi="Cambria Math"/>
          </w:rPr>
          <m:t>&gt;</m:t>
        </m:r>
        <m:r>
          <w:rPr>
            <w:rFonts w:ascii="Cambria Math" w:hAnsi="Cambria Math"/>
          </w:rPr>
          <m:t>1.211</m:t>
        </m:r>
      </m:oMath>
      <w:r>
        <w:t xml:space="preserve"> (Sí)</w:t>
      </w:r>
    </w:p>
    <w:p w14:paraId="0CDE7B1B" w14:textId="77777777" w:rsidR="00D762DD" w:rsidRDefault="00000000">
      <w:pPr>
        <w:numPr>
          <w:ilvl w:val="0"/>
          <w:numId w:val="13"/>
        </w:numPr>
      </w:pPr>
      <w:proofErr w:type="spellStart"/>
      <w:r>
        <w:t>DiCE</w:t>
      </w:r>
      <w:proofErr w:type="spellEnd"/>
      <w:r>
        <w:t xml:space="preserve"> vs. LIME: </w:t>
      </w:r>
      <m:oMath>
        <m:r>
          <m:rPr>
            <m:sty m:val="p"/>
          </m:rPr>
          <w:rPr>
            <w:rFonts w:ascii="Cambria Math" w:hAnsi="Cambria Math"/>
          </w:rPr>
          <m:t>|</m:t>
        </m:r>
        <m:r>
          <w:rPr>
            <w:rFonts w:ascii="Cambria Math" w:hAnsi="Cambria Math"/>
          </w:rPr>
          <m:t>2.000</m:t>
        </m:r>
        <m:r>
          <m:rPr>
            <m:sty m:val="p"/>
          </m:rPr>
          <w:rPr>
            <w:rFonts w:ascii="Cambria Math" w:hAnsi="Cambria Math"/>
          </w:rPr>
          <m:t>-</m:t>
        </m:r>
        <m:r>
          <w:rPr>
            <w:rFonts w:ascii="Cambria Math" w:hAnsi="Cambria Math"/>
          </w:rPr>
          <m:t>3.400</m:t>
        </m:r>
        <m:r>
          <m:rPr>
            <m:sty m:val="p"/>
          </m:rPr>
          <w:rPr>
            <w:rFonts w:ascii="Cambria Math" w:hAnsi="Cambria Math"/>
          </w:rPr>
          <m:t>|=</m:t>
        </m:r>
        <m:r>
          <w:rPr>
            <w:rFonts w:ascii="Cambria Math" w:hAnsi="Cambria Math"/>
          </w:rPr>
          <m:t>1.400</m:t>
        </m:r>
        <m:r>
          <m:rPr>
            <m:sty m:val="p"/>
          </m:rPr>
          <w:rPr>
            <w:rFonts w:ascii="Cambria Math" w:hAnsi="Cambria Math"/>
          </w:rPr>
          <m:t>&gt;</m:t>
        </m:r>
        <m:r>
          <w:rPr>
            <w:rFonts w:ascii="Cambria Math" w:hAnsi="Cambria Math"/>
          </w:rPr>
          <m:t>1.211</m:t>
        </m:r>
      </m:oMath>
      <w:r>
        <w:t xml:space="preserve"> (Sí)</w:t>
      </w:r>
    </w:p>
    <w:p w14:paraId="4E2569F0" w14:textId="77777777" w:rsidR="00D762DD" w:rsidRDefault="00000000">
      <w:pPr>
        <w:numPr>
          <w:ilvl w:val="0"/>
          <w:numId w:val="13"/>
        </w:numPr>
      </w:pPr>
      <w:proofErr w:type="spellStart"/>
      <w:r>
        <w:t>DiCE</w:t>
      </w:r>
      <w:proofErr w:type="spellEnd"/>
      <w:r>
        <w:t xml:space="preserve"> vs. Anchors: </w:t>
      </w:r>
      <m:oMath>
        <m:r>
          <m:rPr>
            <m:sty m:val="p"/>
          </m:rPr>
          <w:rPr>
            <w:rFonts w:ascii="Cambria Math" w:hAnsi="Cambria Math"/>
          </w:rPr>
          <m:t>|</m:t>
        </m:r>
        <m:r>
          <w:rPr>
            <w:rFonts w:ascii="Cambria Math" w:hAnsi="Cambria Math"/>
          </w:rPr>
          <m:t>2.000</m:t>
        </m:r>
        <m:r>
          <m:rPr>
            <m:sty m:val="p"/>
          </m:rPr>
          <w:rPr>
            <w:rFonts w:ascii="Cambria Math" w:hAnsi="Cambria Math"/>
          </w:rPr>
          <m:t>-</m:t>
        </m:r>
        <m:r>
          <w:rPr>
            <w:rFonts w:ascii="Cambria Math" w:hAnsi="Cambria Math"/>
          </w:rPr>
          <m:t>3.600</m:t>
        </m:r>
        <m:r>
          <m:rPr>
            <m:sty m:val="p"/>
          </m:rPr>
          <w:rPr>
            <w:rFonts w:ascii="Cambria Math" w:hAnsi="Cambria Math"/>
          </w:rPr>
          <m:t>|=</m:t>
        </m:r>
        <m:r>
          <w:rPr>
            <w:rFonts w:ascii="Cambria Math" w:hAnsi="Cambria Math"/>
          </w:rPr>
          <m:t>1.600</m:t>
        </m:r>
        <m:r>
          <m:rPr>
            <m:sty m:val="p"/>
          </m:rPr>
          <w:rPr>
            <w:rFonts w:ascii="Cambria Math" w:hAnsi="Cambria Math"/>
          </w:rPr>
          <m:t>&gt;</m:t>
        </m:r>
        <m:r>
          <w:rPr>
            <w:rFonts w:ascii="Cambria Math" w:hAnsi="Cambria Math"/>
          </w:rPr>
          <m:t>1.211</m:t>
        </m:r>
      </m:oMath>
      <w:r>
        <w:t xml:space="preserve"> (Sí)</w:t>
      </w:r>
    </w:p>
    <w:p w14:paraId="0C5DFFB2" w14:textId="77777777" w:rsidR="00D762DD" w:rsidRDefault="00000000">
      <w:pPr>
        <w:numPr>
          <w:ilvl w:val="0"/>
          <w:numId w:val="13"/>
        </w:numPr>
      </w:pPr>
      <w:r>
        <w:t xml:space="preserve">LIME vs. Anchors: </w:t>
      </w:r>
      <m:oMath>
        <m:r>
          <m:rPr>
            <m:sty m:val="p"/>
          </m:rPr>
          <w:rPr>
            <w:rFonts w:ascii="Cambria Math" w:hAnsi="Cambria Math"/>
          </w:rPr>
          <m:t>|</m:t>
        </m:r>
        <m:r>
          <w:rPr>
            <w:rFonts w:ascii="Cambria Math" w:hAnsi="Cambria Math"/>
          </w:rPr>
          <m:t>3.400</m:t>
        </m:r>
        <m:r>
          <m:rPr>
            <m:sty m:val="p"/>
          </m:rPr>
          <w:rPr>
            <w:rFonts w:ascii="Cambria Math" w:hAnsi="Cambria Math"/>
          </w:rPr>
          <m:t>-</m:t>
        </m:r>
        <m:r>
          <w:rPr>
            <w:rFonts w:ascii="Cambria Math" w:hAnsi="Cambria Math"/>
          </w:rPr>
          <m:t>3.600</m:t>
        </m:r>
        <m:r>
          <m:rPr>
            <m:sty m:val="p"/>
          </m:rPr>
          <w:rPr>
            <w:rFonts w:ascii="Cambria Math" w:hAnsi="Cambria Math"/>
          </w:rPr>
          <m:t>|=</m:t>
        </m:r>
        <m:r>
          <w:rPr>
            <w:rFonts w:ascii="Cambria Math" w:hAnsi="Cambria Math"/>
          </w:rPr>
          <m:t>0.200</m:t>
        </m:r>
        <m:r>
          <m:rPr>
            <m:sty m:val="p"/>
          </m:rPr>
          <w:rPr>
            <w:rFonts w:ascii="Cambria Math" w:hAnsi="Cambria Math"/>
          </w:rPr>
          <m:t>&lt;</m:t>
        </m:r>
        <m:r>
          <w:rPr>
            <w:rFonts w:ascii="Cambria Math" w:hAnsi="Cambria Math"/>
          </w:rPr>
          <m:t>1.211</m:t>
        </m:r>
      </m:oMath>
      <w:r>
        <w:t xml:space="preserve"> (No)</w:t>
      </w:r>
    </w:p>
    <w:p w14:paraId="0D270B89" w14:textId="77777777" w:rsidR="00D762DD" w:rsidRDefault="00000000">
      <w:pPr>
        <w:numPr>
          <w:ilvl w:val="0"/>
          <w:numId w:val="13"/>
        </w:numPr>
      </w:pPr>
      <w:r>
        <w:t>SHAP vs. </w:t>
      </w:r>
      <w:proofErr w:type="spellStart"/>
      <w:r>
        <w:t>DiCE</w:t>
      </w:r>
      <w:proofErr w:type="spellEnd"/>
      <w:r>
        <w:t xml:space="preserve">: </w:t>
      </w:r>
      <m:oMath>
        <m:r>
          <m:rPr>
            <m:sty m:val="p"/>
          </m:rPr>
          <w:rPr>
            <w:rFonts w:ascii="Cambria Math" w:hAnsi="Cambria Math"/>
          </w:rPr>
          <m:t>|</m:t>
        </m:r>
        <m:r>
          <w:rPr>
            <w:rFonts w:ascii="Cambria Math" w:hAnsi="Cambria Math"/>
          </w:rPr>
          <m:t>1.000</m:t>
        </m:r>
        <m:r>
          <m:rPr>
            <m:sty m:val="p"/>
          </m:rPr>
          <w:rPr>
            <w:rFonts w:ascii="Cambria Math" w:hAnsi="Cambria Math"/>
          </w:rPr>
          <m:t>-</m:t>
        </m:r>
        <m:r>
          <w:rPr>
            <w:rFonts w:ascii="Cambria Math" w:hAnsi="Cambria Math"/>
          </w:rPr>
          <m:t>2.000</m:t>
        </m:r>
        <m:r>
          <m:rPr>
            <m:sty m:val="p"/>
          </m:rPr>
          <w:rPr>
            <w:rFonts w:ascii="Cambria Math" w:hAnsi="Cambria Math"/>
          </w:rPr>
          <m:t>|=</m:t>
        </m:r>
        <m:r>
          <w:rPr>
            <w:rFonts w:ascii="Cambria Math" w:hAnsi="Cambria Math"/>
          </w:rPr>
          <m:t>1.000</m:t>
        </m:r>
        <m:r>
          <m:rPr>
            <m:sty m:val="p"/>
          </m:rPr>
          <w:rPr>
            <w:rFonts w:ascii="Cambria Math" w:hAnsi="Cambria Math"/>
          </w:rPr>
          <m:t>&lt;</m:t>
        </m:r>
        <m:r>
          <w:rPr>
            <w:rFonts w:ascii="Cambria Math" w:hAnsi="Cambria Math"/>
          </w:rPr>
          <m:t>1.211</m:t>
        </m:r>
      </m:oMath>
      <w:r>
        <w:t xml:space="preserve"> (No)</w:t>
      </w:r>
    </w:p>
    <w:p w14:paraId="2DF23F44" w14:textId="77777777" w:rsidR="00D762DD" w:rsidRDefault="00000000">
      <w:r>
        <w:t xml:space="preserve">LIME y Anchors forman un grupo indistinguible en estabilidad (ambos con valores cercanos a cero), mientras que SHAP y </w:t>
      </w:r>
      <w:proofErr w:type="spellStart"/>
      <w:r>
        <w:t>DiCE</w:t>
      </w:r>
      <w:proofErr w:type="spellEnd"/>
      <w:r>
        <w:t xml:space="preserve"> conforman el grupo estable. La interpretación práctica debe acotarse al criterio evaluado: en despliegues que requieren consistencia explicativa ante pequeñas variaciones de entrada, SHAP ofrece el perfil más sólido en este </w:t>
      </w:r>
      <w:proofErr w:type="spellStart"/>
      <w:r>
        <w:t>benchmark</w:t>
      </w:r>
      <w:proofErr w:type="spellEnd"/>
      <w:r>
        <w:t xml:space="preserve"> y </w:t>
      </w:r>
      <w:proofErr w:type="spellStart"/>
      <w:r>
        <w:t>DiCE</w:t>
      </w:r>
      <w:proofErr w:type="spellEnd"/>
      <w:r>
        <w:t xml:space="preserve"> </w:t>
      </w:r>
      <w:r>
        <w:lastRenderedPageBreak/>
        <w:t>ofrece estabilidad intermedia; LIME y Anchors requieren cautela si la estabilidad local es un criterio de selección.</w:t>
      </w:r>
    </w:p>
    <w:p w14:paraId="4171EBE5" w14:textId="77777777" w:rsidR="00D762DD" w:rsidRDefault="00000000">
      <w:pPr>
        <w:pStyle w:val="Heading2"/>
      </w:pPr>
      <w:bookmarkStart w:id="164" w:name="sec-estudio-b"/>
      <w:bookmarkStart w:id="165" w:name="_Toc238925771"/>
      <w:bookmarkEnd w:id="155"/>
      <w:bookmarkEnd w:id="161"/>
      <w:r>
        <w:t>Estudio Pareado LIME–SHAP: relación calidad-coste (H3)</w:t>
      </w:r>
      <w:bookmarkEnd w:id="165"/>
    </w:p>
    <w:p w14:paraId="4A738203" w14:textId="77777777" w:rsidR="00D762DD" w:rsidRDefault="00000000">
      <w:r>
        <w:t xml:space="preserve">El análisis pareado opera sobre las 75 celdas </w:t>
      </w:r>
      <m:oMath>
        <m:r>
          <m:rPr>
            <m:sty m:val="p"/>
          </m:rPr>
          <w:rPr>
            <w:rFonts w:ascii="Cambria Math" w:hAnsi="Cambria Math"/>
          </w:rPr>
          <m:t>(</m:t>
        </m:r>
        <m:r>
          <w:rPr>
            <w:rFonts w:ascii="Cambria Math" w:hAnsi="Cambria Math"/>
          </w:rPr>
          <m:t>g</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n</m:t>
        </m:r>
        <m:r>
          <m:rPr>
            <m:sty m:val="p"/>
          </m:rPr>
          <w:rPr>
            <w:rFonts w:ascii="Cambria Math" w:hAnsi="Cambria Math"/>
          </w:rPr>
          <m:t>)</m:t>
        </m:r>
      </m:oMath>
      <w:r>
        <w:t xml:space="preserve"> para las cuales ambos métodos disponen de artefactos calificados. La superposición de recuperación documentada en el Capítulo 3 garantiza cobertura completa de SHAP y LIME en el conjunto pareado (75/75).</w:t>
      </w:r>
    </w:p>
    <w:p w14:paraId="4C4F946A" w14:textId="77777777" w:rsidR="00D762DD" w:rsidRDefault="00000000">
      <w:pPr>
        <w:pStyle w:val="Heading3"/>
      </w:pPr>
      <w:bookmarkStart w:id="166" w:name="diferencias-en-métricas-de-calidad"/>
      <w:bookmarkStart w:id="167" w:name="_Toc238925772"/>
      <w:r>
        <w:t>Diferencias en métricas de calidad</w:t>
      </w:r>
      <w:bookmarkEnd w:id="167"/>
    </w:p>
    <w:p w14:paraId="23FD92DB" w14:textId="77777777" w:rsidR="00D762DD" w:rsidRDefault="00000000">
      <w:r>
        <w:t xml:space="preserve">Para cada métrica se calcula la diferencia pareada </w:t>
      </w:r>
      <m:oMath>
        <m:sSub>
          <m:sSubPr>
            <m:ctrlPr>
              <w:rPr>
                <w:rFonts w:ascii="Cambria Math" w:hAnsi="Cambria Math"/>
              </w:rPr>
            </m:ctrlPr>
          </m:sSubPr>
          <m:e>
            <m:r>
              <w:rPr>
                <w:rFonts w:ascii="Cambria Math" w:hAnsi="Cambria Math"/>
              </w:rPr>
              <m:t>d</m:t>
            </m:r>
          </m:e>
          <m:sub>
            <m:r>
              <w:rPr>
                <w:rFonts w:ascii="Cambria Math" w:hAnsi="Cambria Math"/>
              </w:rPr>
              <m:t>i</m:t>
            </m:r>
          </m:sub>
        </m:sSub>
        <m:r>
          <m:rPr>
            <m:sty m:val="p"/>
          </m:rP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i</m:t>
            </m:r>
          </m:sub>
          <m:sup>
            <m:r>
              <w:rPr>
                <w:rFonts w:ascii="Cambria Math" w:hAnsi="Cambria Math"/>
              </w:rPr>
              <m:t>SHAP</m:t>
            </m:r>
          </m:sup>
        </m:sSubSup>
        <m:r>
          <m:rPr>
            <m:sty m:val="p"/>
          </m:rP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i</m:t>
            </m:r>
          </m:sub>
          <m:sup>
            <m:r>
              <w:rPr>
                <w:rFonts w:ascii="Cambria Math" w:hAnsi="Cambria Math"/>
              </w:rPr>
              <m:t>LIME</m:t>
            </m:r>
          </m:sup>
        </m:sSubSup>
      </m:oMath>
      <w:r>
        <w:t xml:space="preserve">, donde un valor positivo indica ventaja de SHAP. El estadístico de efecto de Cohen es </w:t>
      </w:r>
      <m:oMath>
        <m:sSub>
          <m:sSubPr>
            <m:ctrlPr>
              <w:rPr>
                <w:rFonts w:ascii="Cambria Math" w:hAnsi="Cambria Math"/>
              </w:rPr>
            </m:ctrlPr>
          </m:sSubPr>
          <m:e>
            <m:r>
              <w:rPr>
                <w:rFonts w:ascii="Cambria Math" w:hAnsi="Cambria Math"/>
              </w:rPr>
              <m:t>d</m:t>
            </m:r>
          </m:e>
          <m:sub>
            <m:r>
              <w:rPr>
                <w:rFonts w:ascii="Cambria Math" w:hAnsi="Cambria Math"/>
              </w:rPr>
              <m:t>z</m:t>
            </m:r>
          </m:sub>
        </m:sSub>
        <m:r>
          <m:rPr>
            <m:sty m:val="p"/>
          </m:rPr>
          <w:rPr>
            <w:rFonts w:ascii="Cambria Math" w:hAnsi="Cambria Math"/>
          </w:rPr>
          <m:t>=</m:t>
        </m:r>
        <m:acc>
          <m:accPr>
            <m:chr m:val="‾"/>
            <m:ctrlPr>
              <w:rPr>
                <w:rFonts w:ascii="Cambria Math" w:hAnsi="Cambria Math"/>
              </w:rPr>
            </m:ctrlPr>
          </m:accPr>
          <m:e>
            <m:r>
              <w:rPr>
                <w:rFonts w:ascii="Cambria Math" w:hAnsi="Cambria Math"/>
              </w:rPr>
              <m:t>d</m:t>
            </m:r>
          </m:e>
        </m:acc>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d</m:t>
            </m:r>
          </m:sub>
        </m:sSub>
      </m:oMath>
      <w:r>
        <w:t xml:space="preserve">, donde </w:t>
      </w:r>
      <m:oMath>
        <m:sSub>
          <m:sSubPr>
            <m:ctrlPr>
              <w:rPr>
                <w:rFonts w:ascii="Cambria Math" w:hAnsi="Cambria Math"/>
              </w:rPr>
            </m:ctrlPr>
          </m:sSubPr>
          <m:e>
            <m:r>
              <w:rPr>
                <w:rFonts w:ascii="Cambria Math" w:hAnsi="Cambria Math"/>
              </w:rPr>
              <m:t>s</m:t>
            </m:r>
          </m:e>
          <m:sub>
            <m:r>
              <w:rPr>
                <w:rFonts w:ascii="Cambria Math" w:hAnsi="Cambria Math"/>
              </w:rPr>
              <m:t>d</m:t>
            </m:r>
          </m:sub>
        </m:sSub>
      </m:oMath>
      <w:r>
        <w:t xml:space="preserve"> es la desviación estándar de las diferencias.</w:t>
      </w:r>
    </w:p>
    <w:tbl>
      <w:tblPr>
        <w:tblW w:w="5000" w:type="pct"/>
        <w:tblLayout w:type="fixed"/>
        <w:tblLook w:val="0000" w:firstRow="0" w:lastRow="0" w:firstColumn="0" w:lastColumn="0" w:noHBand="0" w:noVBand="0"/>
      </w:tblPr>
      <w:tblGrid>
        <w:gridCol w:w="9576"/>
      </w:tblGrid>
      <w:tr w:rsidR="00D762DD" w14:paraId="6BF1A0D2" w14:textId="77777777">
        <w:tc>
          <w:tcPr>
            <w:tcW w:w="7920" w:type="dxa"/>
          </w:tcPr>
          <w:p w14:paraId="51F7A80F" w14:textId="77777777" w:rsidR="00D762DD" w:rsidRDefault="00000000">
            <w:pPr>
              <w:spacing w:before="200"/>
              <w:jc w:val="left"/>
            </w:pPr>
            <w:bookmarkStart w:id="168" w:name="tbl-paired-shap-lime"/>
            <w:r>
              <w:t>Table 5.5: Diferencias pareadas SHAP − LIME (</w:t>
            </w:r>
            <m:oMath>
              <m:r>
                <w:rPr>
                  <w:rFonts w:ascii="Cambria Math" w:hAnsi="Cambria Math"/>
                </w:rPr>
                <m:t>n</m:t>
              </m:r>
              <m:r>
                <m:rPr>
                  <m:sty m:val="p"/>
                </m:rPr>
                <w:rPr>
                  <w:rFonts w:ascii="Cambria Math" w:hAnsi="Cambria Math"/>
                </w:rPr>
                <m:t>=</m:t>
              </m:r>
              <m:r>
                <w:rPr>
                  <w:rFonts w:ascii="Cambria Math" w:hAnsi="Cambria Math"/>
                </w:rPr>
                <m:t>75</m:t>
              </m:r>
            </m:oMath>
            <w:r>
              <w:t xml:space="preserve"> celdas). Se reporta </w:t>
            </w:r>
            <m:oMath>
              <m:sSub>
                <m:sSubPr>
                  <m:ctrlPr>
                    <w:rPr>
                      <w:rFonts w:ascii="Cambria Math" w:hAnsi="Cambria Math"/>
                    </w:rPr>
                  </m:ctrlPr>
                </m:sSubPr>
                <m:e>
                  <m:r>
                    <w:rPr>
                      <w:rFonts w:ascii="Cambria Math" w:hAnsi="Cambria Math"/>
                    </w:rPr>
                    <m:t>d</m:t>
                  </m:r>
                </m:e>
                <m:sub>
                  <m:r>
                    <w:rPr>
                      <w:rFonts w:ascii="Cambria Math" w:hAnsi="Cambria Math"/>
                    </w:rPr>
                    <m:t>i</m:t>
                  </m:r>
                </m:sub>
              </m:sSub>
              <m:r>
                <m:rPr>
                  <m:sty m:val="p"/>
                </m:rPr>
                <w:rPr>
                  <w:rFonts w:ascii="Cambria Math" w:hAnsi="Cambria Math"/>
                </w:rPr>
                <m:t>=</m:t>
              </m:r>
              <m:r>
                <m:rPr>
                  <m:nor/>
                </m:rPr>
                <m:t>SHAP</m:t>
              </m:r>
              <m:r>
                <m:rPr>
                  <m:sty m:val="p"/>
                </m:rPr>
                <w:rPr>
                  <w:rFonts w:ascii="Cambria Math" w:hAnsi="Cambria Math"/>
                </w:rPr>
                <m:t>-</m:t>
              </m:r>
              <m:r>
                <m:rPr>
                  <m:nor/>
                </m:rPr>
                <m:t>LIME</m:t>
              </m:r>
            </m:oMath>
            <w:r>
              <w:t xml:space="preserve">; para fidelidad/estabilidad/brecha, </w:t>
            </w:r>
            <m:oMath>
              <m:r>
                <w:rPr>
                  <w:rFonts w:ascii="Cambria Math" w:hAnsi="Cambria Math"/>
                </w:rPr>
                <m:t>d</m:t>
              </m:r>
              <m:r>
                <m:rPr>
                  <m:sty m:val="p"/>
                </m:rPr>
                <w:rPr>
                  <w:rFonts w:ascii="Cambria Math" w:hAnsi="Cambria Math"/>
                </w:rPr>
                <m:t>&gt;</m:t>
              </m:r>
              <m:r>
                <w:rPr>
                  <w:rFonts w:ascii="Cambria Math" w:hAnsi="Cambria Math"/>
                </w:rPr>
                <m:t>0</m:t>
              </m:r>
            </m:oMath>
            <w:r>
              <w:t xml:space="preserve"> favorece SHAP; para parsimonia y coste, </w:t>
            </w:r>
            <m:oMath>
              <m:r>
                <w:rPr>
                  <w:rFonts w:ascii="Cambria Math" w:hAnsi="Cambria Math"/>
                </w:rPr>
                <m:t>d</m:t>
              </m:r>
              <m:r>
                <m:rPr>
                  <m:sty m:val="p"/>
                </m:rPr>
                <w:rPr>
                  <w:rFonts w:ascii="Cambria Math" w:hAnsi="Cambria Math"/>
                </w:rPr>
                <m:t>&gt;</m:t>
              </m:r>
              <m:r>
                <w:rPr>
                  <w:rFonts w:ascii="Cambria Math" w:hAnsi="Cambria Math"/>
                </w:rPr>
                <m:t>0</m:t>
              </m:r>
            </m:oMath>
            <w:r>
              <w:t xml:space="preserve"> indica explicaciones más densas y/o mayor coste de SHAP.</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131"/>
              <w:gridCol w:w="1131"/>
              <w:gridCol w:w="1131"/>
              <w:gridCol w:w="1131"/>
              <w:gridCol w:w="1131"/>
              <w:gridCol w:w="1131"/>
              <w:gridCol w:w="1131"/>
            </w:tblGrid>
            <w:tr w:rsidR="00D762DD" w14:paraId="790C88C3" w14:textId="77777777" w:rsidTr="00972D74">
              <w:trPr>
                <w:tblHeader/>
                <w:jc w:val="center"/>
              </w:trPr>
              <w:tc>
                <w:tcPr>
                  <w:tcW w:w="1131" w:type="dxa"/>
                </w:tcPr>
                <w:p w14:paraId="24F732C0" w14:textId="77777777" w:rsidR="00D762DD" w:rsidRPr="00972D74" w:rsidRDefault="00000000">
                  <w:pPr>
                    <w:rPr>
                      <w:b/>
                      <w:bCs/>
                    </w:rPr>
                  </w:pPr>
                  <w:r w:rsidRPr="00972D74">
                    <w:rPr>
                      <w:b/>
                      <w:bCs/>
                    </w:rPr>
                    <w:t>Métrica</w:t>
                  </w:r>
                </w:p>
              </w:tc>
              <w:tc>
                <w:tcPr>
                  <w:tcW w:w="1131" w:type="dxa"/>
                </w:tcPr>
                <w:p w14:paraId="3A62A76C" w14:textId="52F6C88B" w:rsidR="00D762DD" w:rsidRPr="00972D74" w:rsidRDefault="00000000">
                  <w:pPr>
                    <w:rPr>
                      <w:b/>
                      <w:bCs/>
                    </w:rPr>
                  </w:pPr>
                  <m:oMathPara>
                    <m:oMath>
                      <m:acc>
                        <m:accPr>
                          <m:chr m:val="‾"/>
                          <m:ctrlPr>
                            <w:rPr>
                              <w:rFonts w:ascii="Cambria Math" w:hAnsi="Cambria Math"/>
                              <w:b/>
                              <w:bCs/>
                            </w:rPr>
                          </m:ctrlPr>
                        </m:accPr>
                        <m:e>
                          <m:r>
                            <m:rPr>
                              <m:sty m:val="bi"/>
                            </m:rPr>
                            <w:rPr>
                              <w:rFonts w:ascii="Cambria Math" w:hAnsi="Cambria Math"/>
                            </w:rPr>
                            <m:t>d</m:t>
                          </m:r>
                        </m:e>
                      </m:acc>
                    </m:oMath>
                  </m:oMathPara>
                </w:p>
              </w:tc>
              <w:tc>
                <w:tcPr>
                  <w:tcW w:w="1131" w:type="dxa"/>
                </w:tcPr>
                <w:p w14:paraId="75BDB27F" w14:textId="47F47125" w:rsidR="00D762DD" w:rsidRPr="00972D74" w:rsidRDefault="00000000">
                  <w:pPr>
                    <w:rPr>
                      <w:b/>
                      <w:bCs/>
                    </w:rPr>
                  </w:pPr>
                  <m:oMathPara>
                    <m:oMath>
                      <m:sSub>
                        <m:sSubPr>
                          <m:ctrlPr>
                            <w:rPr>
                              <w:rFonts w:ascii="Cambria Math" w:hAnsi="Cambria Math"/>
                              <w:b/>
                              <w:bCs/>
                            </w:rPr>
                          </m:ctrlPr>
                        </m:sSubPr>
                        <m:e>
                          <m:r>
                            <m:rPr>
                              <m:sty m:val="bi"/>
                            </m:rPr>
                            <w:rPr>
                              <w:rFonts w:ascii="Cambria Math" w:hAnsi="Cambria Math"/>
                            </w:rPr>
                            <m:t>s</m:t>
                          </m:r>
                        </m:e>
                        <m:sub>
                          <m:r>
                            <m:rPr>
                              <m:sty m:val="bi"/>
                            </m:rPr>
                            <w:rPr>
                              <w:rFonts w:ascii="Cambria Math" w:hAnsi="Cambria Math"/>
                            </w:rPr>
                            <m:t>d</m:t>
                          </m:r>
                        </m:sub>
                      </m:sSub>
                    </m:oMath>
                  </m:oMathPara>
                </w:p>
              </w:tc>
              <w:tc>
                <w:tcPr>
                  <w:tcW w:w="1131" w:type="dxa"/>
                </w:tcPr>
                <w:p w14:paraId="0975B14B" w14:textId="263484D6" w:rsidR="00D762DD" w:rsidRPr="00972D74" w:rsidRDefault="00000000">
                  <w:pPr>
                    <w:rPr>
                      <w:b/>
                      <w:bCs/>
                    </w:rPr>
                  </w:pPr>
                  <m:oMathPara>
                    <m:oMath>
                      <m:sSub>
                        <m:sSubPr>
                          <m:ctrlPr>
                            <w:rPr>
                              <w:rFonts w:ascii="Cambria Math" w:hAnsi="Cambria Math"/>
                              <w:b/>
                              <w:bCs/>
                            </w:rPr>
                          </m:ctrlPr>
                        </m:sSubPr>
                        <m:e>
                          <m:r>
                            <m:rPr>
                              <m:sty m:val="bi"/>
                            </m:rPr>
                            <w:rPr>
                              <w:rFonts w:ascii="Cambria Math" w:hAnsi="Cambria Math"/>
                            </w:rPr>
                            <m:t>d</m:t>
                          </m:r>
                        </m:e>
                        <m:sub>
                          <m:r>
                            <m:rPr>
                              <m:sty m:val="bi"/>
                            </m:rPr>
                            <w:rPr>
                              <w:rFonts w:ascii="Cambria Math" w:hAnsi="Cambria Math"/>
                            </w:rPr>
                            <m:t>z</m:t>
                          </m:r>
                        </m:sub>
                      </m:sSub>
                    </m:oMath>
                  </m:oMathPara>
                </w:p>
              </w:tc>
              <w:tc>
                <w:tcPr>
                  <w:tcW w:w="1131" w:type="dxa"/>
                </w:tcPr>
                <w:p w14:paraId="031F472B" w14:textId="77777777" w:rsidR="00D762DD" w:rsidRPr="00972D74" w:rsidRDefault="00000000">
                  <w:pPr>
                    <w:rPr>
                      <w:b/>
                      <w:bCs/>
                    </w:rPr>
                  </w:pPr>
                  <w:proofErr w:type="spellStart"/>
                  <w:r w:rsidRPr="00972D74">
                    <w:rPr>
                      <w:b/>
                      <w:bCs/>
                    </w:rPr>
                    <w:t>Pos</w:t>
                  </w:r>
                  <w:proofErr w:type="spellEnd"/>
                  <w:r w:rsidRPr="00972D74">
                    <w:rPr>
                      <w:b/>
                      <w:bCs/>
                    </w:rPr>
                    <w:t>.</w:t>
                  </w:r>
                </w:p>
              </w:tc>
              <w:tc>
                <w:tcPr>
                  <w:tcW w:w="1131" w:type="dxa"/>
                </w:tcPr>
                <w:p w14:paraId="61F9E395" w14:textId="77777777" w:rsidR="00D762DD" w:rsidRPr="00972D74" w:rsidRDefault="00000000">
                  <w:pPr>
                    <w:rPr>
                      <w:b/>
                      <w:bCs/>
                    </w:rPr>
                  </w:pPr>
                  <w:r w:rsidRPr="00972D74">
                    <w:rPr>
                      <w:b/>
                      <w:bCs/>
                    </w:rPr>
                    <w:t>Neg.</w:t>
                  </w:r>
                </w:p>
              </w:tc>
              <w:tc>
                <w:tcPr>
                  <w:tcW w:w="1131" w:type="dxa"/>
                </w:tcPr>
                <w:p w14:paraId="4A9CB65A" w14:textId="60B685F8" w:rsidR="00D762DD" w:rsidRPr="00972D74" w:rsidRDefault="00972D74">
                  <w:pPr>
                    <w:rPr>
                      <w:b/>
                      <w:bCs/>
                    </w:rPr>
                  </w:pPr>
                  <m:oMathPara>
                    <m:oMath>
                      <m:r>
                        <m:rPr>
                          <m:sty m:val="bi"/>
                        </m:rPr>
                        <w:rPr>
                          <w:rFonts w:ascii="Cambria Math" w:hAnsi="Cambria Math"/>
                        </w:rPr>
                        <m:t>n</m:t>
                      </m:r>
                    </m:oMath>
                  </m:oMathPara>
                </w:p>
              </w:tc>
            </w:tr>
            <w:tr w:rsidR="00D762DD" w14:paraId="1F716DD7" w14:textId="77777777" w:rsidTr="00972D74">
              <w:trPr>
                <w:jc w:val="center"/>
              </w:trPr>
              <w:tc>
                <w:tcPr>
                  <w:tcW w:w="1131" w:type="dxa"/>
                </w:tcPr>
                <w:p w14:paraId="70E79A85" w14:textId="77777777" w:rsidR="00D762DD" w:rsidRDefault="00000000">
                  <w:r>
                    <w:t>Fidelidad</w:t>
                  </w:r>
                </w:p>
              </w:tc>
              <w:tc>
                <w:tcPr>
                  <w:tcW w:w="1131" w:type="dxa"/>
                </w:tcPr>
                <w:p w14:paraId="001FDFEC" w14:textId="77777777" w:rsidR="00D762DD" w:rsidRDefault="00000000">
                  <w:r>
                    <w:t>+0.2479</w:t>
                  </w:r>
                </w:p>
              </w:tc>
              <w:tc>
                <w:tcPr>
                  <w:tcW w:w="1131" w:type="dxa"/>
                </w:tcPr>
                <w:p w14:paraId="61DE2119" w14:textId="77777777" w:rsidR="00D762DD" w:rsidRDefault="00000000">
                  <w:r>
                    <w:t>0.0514</w:t>
                  </w:r>
                </w:p>
              </w:tc>
              <w:tc>
                <w:tcPr>
                  <w:tcW w:w="1131" w:type="dxa"/>
                </w:tcPr>
                <w:p w14:paraId="21A8970C" w14:textId="77777777" w:rsidR="00D762DD" w:rsidRDefault="00000000">
                  <w:r>
                    <w:t>+4.820</w:t>
                  </w:r>
                </w:p>
              </w:tc>
              <w:tc>
                <w:tcPr>
                  <w:tcW w:w="1131" w:type="dxa"/>
                </w:tcPr>
                <w:p w14:paraId="5BB77CDA" w14:textId="77777777" w:rsidR="00D762DD" w:rsidRDefault="00000000">
                  <w:r>
                    <w:t>75</w:t>
                  </w:r>
                </w:p>
              </w:tc>
              <w:tc>
                <w:tcPr>
                  <w:tcW w:w="1131" w:type="dxa"/>
                </w:tcPr>
                <w:p w14:paraId="293D9AB4" w14:textId="77777777" w:rsidR="00D762DD" w:rsidRDefault="00000000">
                  <w:r>
                    <w:t>0</w:t>
                  </w:r>
                </w:p>
              </w:tc>
              <w:tc>
                <w:tcPr>
                  <w:tcW w:w="1131" w:type="dxa"/>
                </w:tcPr>
                <w:p w14:paraId="3B64A742" w14:textId="77777777" w:rsidR="00D762DD" w:rsidRDefault="00000000">
                  <w:r>
                    <w:t>75</w:t>
                  </w:r>
                </w:p>
              </w:tc>
            </w:tr>
            <w:tr w:rsidR="00D762DD" w14:paraId="04C72C53" w14:textId="77777777" w:rsidTr="00972D74">
              <w:trPr>
                <w:jc w:val="center"/>
              </w:trPr>
              <w:tc>
                <w:tcPr>
                  <w:tcW w:w="1131" w:type="dxa"/>
                </w:tcPr>
                <w:p w14:paraId="5D8F82EE" w14:textId="77777777" w:rsidR="00D762DD" w:rsidRDefault="00000000">
                  <w:r>
                    <w:t>Estabilidad</w:t>
                  </w:r>
                </w:p>
              </w:tc>
              <w:tc>
                <w:tcPr>
                  <w:tcW w:w="1131" w:type="dxa"/>
                </w:tcPr>
                <w:p w14:paraId="659EDCA5" w14:textId="77777777" w:rsidR="00D762DD" w:rsidRDefault="00000000">
                  <w:r>
                    <w:t>+0.7176</w:t>
                  </w:r>
                </w:p>
              </w:tc>
              <w:tc>
                <w:tcPr>
                  <w:tcW w:w="1131" w:type="dxa"/>
                </w:tcPr>
                <w:p w14:paraId="1A838D45" w14:textId="77777777" w:rsidR="00D762DD" w:rsidRDefault="00000000">
                  <w:r>
                    <w:t>0.2390</w:t>
                  </w:r>
                </w:p>
              </w:tc>
              <w:tc>
                <w:tcPr>
                  <w:tcW w:w="1131" w:type="dxa"/>
                </w:tcPr>
                <w:p w14:paraId="43CF560D" w14:textId="77777777" w:rsidR="00D762DD" w:rsidRDefault="00000000">
                  <w:r>
                    <w:t>+3.002</w:t>
                  </w:r>
                </w:p>
              </w:tc>
              <w:tc>
                <w:tcPr>
                  <w:tcW w:w="1131" w:type="dxa"/>
                </w:tcPr>
                <w:p w14:paraId="0424FD3A" w14:textId="77777777" w:rsidR="00D762DD" w:rsidRDefault="00000000">
                  <w:r>
                    <w:t>75</w:t>
                  </w:r>
                </w:p>
              </w:tc>
              <w:tc>
                <w:tcPr>
                  <w:tcW w:w="1131" w:type="dxa"/>
                </w:tcPr>
                <w:p w14:paraId="1A135F02" w14:textId="77777777" w:rsidR="00D762DD" w:rsidRDefault="00000000">
                  <w:r>
                    <w:t>0</w:t>
                  </w:r>
                </w:p>
              </w:tc>
              <w:tc>
                <w:tcPr>
                  <w:tcW w:w="1131" w:type="dxa"/>
                </w:tcPr>
                <w:p w14:paraId="74308765" w14:textId="77777777" w:rsidR="00D762DD" w:rsidRDefault="00000000">
                  <w:r>
                    <w:t>75</w:t>
                  </w:r>
                </w:p>
              </w:tc>
            </w:tr>
            <w:tr w:rsidR="00D762DD" w14:paraId="4425708A" w14:textId="77777777" w:rsidTr="00972D74">
              <w:trPr>
                <w:jc w:val="center"/>
              </w:trPr>
              <w:tc>
                <w:tcPr>
                  <w:tcW w:w="1131" w:type="dxa"/>
                </w:tcPr>
                <w:p w14:paraId="67FC1EBA" w14:textId="77777777" w:rsidR="00D762DD" w:rsidRDefault="00000000">
                  <w:r>
                    <w:t>Parsimonia</w:t>
                  </w:r>
                </w:p>
              </w:tc>
              <w:tc>
                <w:tcPr>
                  <w:tcW w:w="1131" w:type="dxa"/>
                </w:tcPr>
                <w:p w14:paraId="4E33B6B6" w14:textId="77777777" w:rsidR="00D762DD" w:rsidRDefault="00000000">
                  <w:r>
                    <w:t>+0.1418</w:t>
                  </w:r>
                </w:p>
              </w:tc>
              <w:tc>
                <w:tcPr>
                  <w:tcW w:w="1131" w:type="dxa"/>
                </w:tcPr>
                <w:p w14:paraId="30F54899" w14:textId="77777777" w:rsidR="00D762DD" w:rsidRDefault="00000000">
                  <w:r>
                    <w:t>0.1690</w:t>
                  </w:r>
                </w:p>
              </w:tc>
              <w:tc>
                <w:tcPr>
                  <w:tcW w:w="1131" w:type="dxa"/>
                </w:tcPr>
                <w:p w14:paraId="4CEEDF50" w14:textId="77777777" w:rsidR="00D762DD" w:rsidRDefault="00000000">
                  <w:r>
                    <w:t>+0.839</w:t>
                  </w:r>
                </w:p>
              </w:tc>
              <w:tc>
                <w:tcPr>
                  <w:tcW w:w="1131" w:type="dxa"/>
                </w:tcPr>
                <w:p w14:paraId="02F9CFB7" w14:textId="77777777" w:rsidR="00D762DD" w:rsidRDefault="00000000">
                  <w:r>
                    <w:t>75</w:t>
                  </w:r>
                </w:p>
              </w:tc>
              <w:tc>
                <w:tcPr>
                  <w:tcW w:w="1131" w:type="dxa"/>
                </w:tcPr>
                <w:p w14:paraId="44A2562E" w14:textId="77777777" w:rsidR="00D762DD" w:rsidRDefault="00000000">
                  <w:r>
                    <w:t>0</w:t>
                  </w:r>
                </w:p>
              </w:tc>
              <w:tc>
                <w:tcPr>
                  <w:tcW w:w="1131" w:type="dxa"/>
                </w:tcPr>
                <w:p w14:paraId="22D0ED1F" w14:textId="77777777" w:rsidR="00D762DD" w:rsidRDefault="00000000">
                  <w:r>
                    <w:t>75</w:t>
                  </w:r>
                </w:p>
              </w:tc>
            </w:tr>
            <w:tr w:rsidR="00D762DD" w14:paraId="11DBAA6F" w14:textId="77777777" w:rsidTr="00972D74">
              <w:trPr>
                <w:jc w:val="center"/>
              </w:trPr>
              <w:tc>
                <w:tcPr>
                  <w:tcW w:w="1131" w:type="dxa"/>
                </w:tcPr>
                <w:p w14:paraId="6B5B3366" w14:textId="77777777" w:rsidR="00D762DD" w:rsidRDefault="00000000">
                  <w:r>
                    <w:t>Brecha fidelidad</w:t>
                  </w:r>
                </w:p>
              </w:tc>
              <w:tc>
                <w:tcPr>
                  <w:tcW w:w="1131" w:type="dxa"/>
                </w:tcPr>
                <w:p w14:paraId="24CFC505" w14:textId="77777777" w:rsidR="00D762DD" w:rsidRDefault="00000000">
                  <w:r>
                    <w:t>+0.0453</w:t>
                  </w:r>
                </w:p>
              </w:tc>
              <w:tc>
                <w:tcPr>
                  <w:tcW w:w="1131" w:type="dxa"/>
                </w:tcPr>
                <w:p w14:paraId="51C6191F" w14:textId="77777777" w:rsidR="00D762DD" w:rsidRDefault="00000000">
                  <w:r>
                    <w:t>0.0173</w:t>
                  </w:r>
                </w:p>
              </w:tc>
              <w:tc>
                <w:tcPr>
                  <w:tcW w:w="1131" w:type="dxa"/>
                </w:tcPr>
                <w:p w14:paraId="37BE9EF7" w14:textId="77777777" w:rsidR="00D762DD" w:rsidRDefault="00000000">
                  <w:r>
                    <w:t>+2.626</w:t>
                  </w:r>
                </w:p>
              </w:tc>
              <w:tc>
                <w:tcPr>
                  <w:tcW w:w="1131" w:type="dxa"/>
                </w:tcPr>
                <w:p w14:paraId="26E5485E" w14:textId="77777777" w:rsidR="00D762DD" w:rsidRDefault="00000000">
                  <w:r>
                    <w:t>74</w:t>
                  </w:r>
                </w:p>
              </w:tc>
              <w:tc>
                <w:tcPr>
                  <w:tcW w:w="1131" w:type="dxa"/>
                </w:tcPr>
                <w:p w14:paraId="4516016F" w14:textId="77777777" w:rsidR="00D762DD" w:rsidRDefault="00000000">
                  <w:r>
                    <w:t>1</w:t>
                  </w:r>
                </w:p>
              </w:tc>
              <w:tc>
                <w:tcPr>
                  <w:tcW w:w="1131" w:type="dxa"/>
                </w:tcPr>
                <w:p w14:paraId="7841DD82" w14:textId="77777777" w:rsidR="00D762DD" w:rsidRDefault="00000000">
                  <w:r>
                    <w:t>75</w:t>
                  </w:r>
                </w:p>
              </w:tc>
            </w:tr>
            <w:tr w:rsidR="00D762DD" w14:paraId="2D50A1C2" w14:textId="77777777" w:rsidTr="00972D74">
              <w:trPr>
                <w:jc w:val="center"/>
              </w:trPr>
              <w:tc>
                <w:tcPr>
                  <w:tcW w:w="1131" w:type="dxa"/>
                </w:tcPr>
                <w:p w14:paraId="33260E83" w14:textId="77777777" w:rsidR="00D762DD" w:rsidRDefault="00000000">
                  <w:r>
                    <w:t>Coste (ms)</w:t>
                  </w:r>
                </w:p>
              </w:tc>
              <w:tc>
                <w:tcPr>
                  <w:tcW w:w="1131" w:type="dxa"/>
                </w:tcPr>
                <w:p w14:paraId="5607752E" w14:textId="77777777" w:rsidR="00D762DD" w:rsidRDefault="00000000">
                  <w:r>
                    <w:t>+8047.6</w:t>
                  </w:r>
                </w:p>
              </w:tc>
              <w:tc>
                <w:tcPr>
                  <w:tcW w:w="1131" w:type="dxa"/>
                </w:tcPr>
                <w:p w14:paraId="77274B63" w14:textId="77777777" w:rsidR="00D762DD" w:rsidRDefault="00000000">
                  <w:r>
                    <w:t>17856.6</w:t>
                  </w:r>
                </w:p>
              </w:tc>
              <w:tc>
                <w:tcPr>
                  <w:tcW w:w="1131" w:type="dxa"/>
                </w:tcPr>
                <w:p w14:paraId="39840176" w14:textId="77777777" w:rsidR="00D762DD" w:rsidRDefault="00000000">
                  <w:r>
                    <w:t>+0.451</w:t>
                  </w:r>
                </w:p>
              </w:tc>
              <w:tc>
                <w:tcPr>
                  <w:tcW w:w="1131" w:type="dxa"/>
                </w:tcPr>
                <w:p w14:paraId="1838E64F" w14:textId="77777777" w:rsidR="00D762DD" w:rsidRDefault="00000000">
                  <w:r>
                    <w:t>59</w:t>
                  </w:r>
                </w:p>
              </w:tc>
              <w:tc>
                <w:tcPr>
                  <w:tcW w:w="1131" w:type="dxa"/>
                </w:tcPr>
                <w:p w14:paraId="59E82164" w14:textId="77777777" w:rsidR="00D762DD" w:rsidRDefault="00000000">
                  <w:r>
                    <w:t>16</w:t>
                  </w:r>
                </w:p>
              </w:tc>
              <w:tc>
                <w:tcPr>
                  <w:tcW w:w="1131" w:type="dxa"/>
                </w:tcPr>
                <w:p w14:paraId="3955D81D" w14:textId="77777777" w:rsidR="00D762DD" w:rsidRDefault="00000000">
                  <w:r>
                    <w:t>75</w:t>
                  </w:r>
                </w:p>
              </w:tc>
            </w:tr>
            <w:bookmarkEnd w:id="168"/>
          </w:tbl>
          <w:p w14:paraId="095A656C" w14:textId="77777777" w:rsidR="00D762DD" w:rsidRDefault="00D762DD"/>
        </w:tc>
      </w:tr>
    </w:tbl>
    <w:p w14:paraId="2FB38829" w14:textId="77777777" w:rsidR="00D762DD" w:rsidRDefault="00000000">
      <w:pPr>
        <w:pStyle w:val="BodyText"/>
      </w:pPr>
      <w:r>
        <w:t xml:space="preserve">Los resultados ofrecen evidencia consistente para </w:t>
      </w:r>
      <m:oMath>
        <m:sSub>
          <m:sSubPr>
            <m:ctrlPr>
              <w:rPr>
                <w:rFonts w:ascii="Cambria Math" w:hAnsi="Cambria Math"/>
              </w:rPr>
            </m:ctrlPr>
          </m:sSubPr>
          <m:e>
            <m:r>
              <w:rPr>
                <w:rFonts w:ascii="Cambria Math" w:hAnsi="Cambria Math"/>
              </w:rPr>
              <m:t>H</m:t>
            </m:r>
          </m:e>
          <m:sub>
            <m:r>
              <w:rPr>
                <w:rFonts w:ascii="Cambria Math" w:hAnsi="Cambria Math"/>
              </w:rPr>
              <m:t>1</m:t>
            </m:r>
            <m:r>
              <m:rPr>
                <m:sty m:val="p"/>
              </m:rPr>
              <w:rPr>
                <w:rFonts w:ascii="Cambria Math" w:hAnsi="Cambria Math"/>
              </w:rPr>
              <m:t>,</m:t>
            </m:r>
            <m:r>
              <w:rPr>
                <w:rFonts w:ascii="Cambria Math" w:hAnsi="Cambria Math"/>
              </w:rPr>
              <m:t>3</m:t>
            </m:r>
          </m:sub>
        </m:sSub>
      </m:oMath>
      <w:r>
        <w:t xml:space="preserve"> bajo las condiciones del diseño pareado:</w:t>
      </w:r>
    </w:p>
    <w:p w14:paraId="157B47B7" w14:textId="77777777" w:rsidR="00D762DD" w:rsidRDefault="00000000">
      <w:pPr>
        <w:pStyle w:val="BodyText"/>
      </w:pPr>
      <w:r>
        <w:rPr>
          <w:b/>
          <w:bCs/>
        </w:rPr>
        <w:lastRenderedPageBreak/>
        <w:t>Fidelidad:</w:t>
      </w:r>
      <w:r>
        <w:t xml:space="preserve"> SHAP supera a LIME en el 100% de las 75 celdas pareadas (75/75 diferencias positivas) con un tamaño del efecto de magnitud muy grande (</w:t>
      </w:r>
      <m:oMath>
        <m:sSub>
          <m:sSubPr>
            <m:ctrlPr>
              <w:rPr>
                <w:rFonts w:ascii="Cambria Math" w:hAnsi="Cambria Math"/>
              </w:rPr>
            </m:ctrlPr>
          </m:sSubPr>
          <m:e>
            <m:r>
              <w:rPr>
                <w:rFonts w:ascii="Cambria Math" w:hAnsi="Cambria Math"/>
              </w:rPr>
              <m:t>d</m:t>
            </m:r>
          </m:e>
          <m:sub>
            <m:r>
              <w:rPr>
                <w:rFonts w:ascii="Cambria Math" w:hAnsi="Cambria Math"/>
              </w:rPr>
              <m:t>z</m:t>
            </m:r>
          </m:sub>
        </m:sSub>
        <m:r>
          <m:rPr>
            <m:sty m:val="p"/>
          </m:rPr>
          <w:rPr>
            <w:rFonts w:ascii="Cambria Math" w:hAnsi="Cambria Math"/>
          </w:rPr>
          <m:t>=+</m:t>
        </m:r>
        <m:r>
          <w:rPr>
            <w:rFonts w:ascii="Cambria Math" w:hAnsi="Cambria Math"/>
          </w:rPr>
          <m:t>4.820</m:t>
        </m:r>
      </m:oMath>
      <w:r>
        <w:t xml:space="preserve">). Bajo el criterio de Lakens (2013), </w:t>
      </w:r>
      <m:oMath>
        <m:sSub>
          <m:sSubPr>
            <m:ctrlPr>
              <w:rPr>
                <w:rFonts w:ascii="Cambria Math" w:hAnsi="Cambria Math"/>
              </w:rPr>
            </m:ctrlPr>
          </m:sSubPr>
          <m:e>
            <m:r>
              <w:rPr>
                <w:rFonts w:ascii="Cambria Math" w:hAnsi="Cambria Math"/>
              </w:rPr>
              <m:t>d</m:t>
            </m:r>
          </m:e>
          <m:sub>
            <m:r>
              <w:rPr>
                <w:rFonts w:ascii="Cambria Math" w:hAnsi="Cambria Math"/>
              </w:rPr>
              <m:t>z</m:t>
            </m:r>
          </m:sub>
        </m:sSub>
        <m:r>
          <m:rPr>
            <m:sty m:val="p"/>
          </m:rPr>
          <w:rPr>
            <w:rFonts w:ascii="Cambria Math" w:hAnsi="Cambria Math"/>
          </w:rPr>
          <m:t>&gt;</m:t>
        </m:r>
        <m:r>
          <w:rPr>
            <w:rFonts w:ascii="Cambria Math" w:hAnsi="Cambria Math"/>
          </w:rPr>
          <m:t>0.8</m:t>
        </m:r>
      </m:oMath>
      <w:r>
        <w:t xml:space="preserve"> constituye efecto grande; </w:t>
      </w:r>
      <m:oMath>
        <m:sSub>
          <m:sSubPr>
            <m:ctrlPr>
              <w:rPr>
                <w:rFonts w:ascii="Cambria Math" w:hAnsi="Cambria Math"/>
              </w:rPr>
            </m:ctrlPr>
          </m:sSubPr>
          <m:e>
            <m:r>
              <w:rPr>
                <w:rFonts w:ascii="Cambria Math" w:hAnsi="Cambria Math"/>
              </w:rPr>
              <m:t>d</m:t>
            </m:r>
          </m:e>
          <m:sub>
            <m:r>
              <w:rPr>
                <w:rFonts w:ascii="Cambria Math" w:hAnsi="Cambria Math"/>
              </w:rPr>
              <m:t>z</m:t>
            </m:r>
          </m:sub>
        </m:sSub>
        <m:r>
          <m:rPr>
            <m:sty m:val="p"/>
          </m:rPr>
          <w:rPr>
            <w:rFonts w:ascii="Cambria Math" w:hAnsi="Cambria Math"/>
          </w:rPr>
          <m:t>&gt;</m:t>
        </m:r>
        <m:r>
          <w:rPr>
            <w:rFonts w:ascii="Cambria Math" w:hAnsi="Cambria Math"/>
          </w:rPr>
          <m:t>2.0</m:t>
        </m:r>
      </m:oMath>
      <w:r>
        <w:t xml:space="preserve"> se clasifica comúnmente como efecto muy grande. La diferencia media de +</w:t>
      </w:r>
      <w:proofErr w:type="gramStart"/>
      <w:r>
        <w:t>0.248 unidades de fidelidad representa</w:t>
      </w:r>
      <w:proofErr w:type="gramEnd"/>
      <w:r>
        <w:t xml:space="preserve"> una ventaja sustancial en términos de representatividad de las atribuciones de importancia.</w:t>
      </w:r>
    </w:p>
    <w:p w14:paraId="357B0183" w14:textId="77777777" w:rsidR="00D762DD" w:rsidRDefault="00000000">
      <w:pPr>
        <w:pStyle w:val="BodyText"/>
      </w:pPr>
      <w:r>
        <w:rPr>
          <w:b/>
          <w:bCs/>
        </w:rPr>
        <w:t>Estabilidad:</w:t>
      </w:r>
      <w:r>
        <w:t xml:space="preserve"> La ventaja de SHAP es aún más pronunciada en estabilidad (</w:t>
      </w:r>
      <m:oMath>
        <m:sSub>
          <m:sSubPr>
            <m:ctrlPr>
              <w:rPr>
                <w:rFonts w:ascii="Cambria Math" w:hAnsi="Cambria Math"/>
              </w:rPr>
            </m:ctrlPr>
          </m:sSubPr>
          <m:e>
            <m:r>
              <w:rPr>
                <w:rFonts w:ascii="Cambria Math" w:hAnsi="Cambria Math"/>
              </w:rPr>
              <m:t>d</m:t>
            </m:r>
          </m:e>
          <m:sub>
            <m:r>
              <w:rPr>
                <w:rFonts w:ascii="Cambria Math" w:hAnsi="Cambria Math"/>
              </w:rPr>
              <m:t>z</m:t>
            </m:r>
          </m:sub>
        </m:sSub>
        <m:r>
          <m:rPr>
            <m:sty m:val="p"/>
          </m:rPr>
          <w:rPr>
            <w:rFonts w:ascii="Cambria Math" w:hAnsi="Cambria Math"/>
          </w:rPr>
          <m:t>=+</m:t>
        </m:r>
        <m:r>
          <w:rPr>
            <w:rFonts w:ascii="Cambria Math" w:hAnsi="Cambria Math"/>
          </w:rPr>
          <m:t>3.002</m:t>
        </m:r>
      </m:oMath>
      <w:r>
        <w:t>, 75/75 positivas). La diferencia media de +0.718 en similitud coseno es prácticamente equivalente a la diferencia entre explicaciones completamente incoherentes (LIME, media ≈ 0.014) y casi perfectamente estables (SHAP, media ≈ 0.732). Este resultado refleja que la inestabilidad de LIME no es un artefacto de escenarios extremos sino una propiedad sistemática del método.</w:t>
      </w:r>
    </w:p>
    <w:p w14:paraId="4AF5C3C0" w14:textId="77777777" w:rsidR="00D762DD" w:rsidRDefault="00000000">
      <w:pPr>
        <w:pStyle w:val="BodyText"/>
      </w:pPr>
      <w:r>
        <w:rPr>
          <w:b/>
          <w:bCs/>
        </w:rPr>
        <w:t>Parsimonia y brecha de fidelidad:</w:t>
      </w:r>
      <w:r>
        <w:t xml:space="preserve"> Ambas métricas presentan efectos sustantivos. En parsimonia (</w:t>
      </w:r>
      <w:proofErr w:type="gramStart"/>
      <w:r>
        <w:t>ratio activo</w:t>
      </w:r>
      <w:proofErr w:type="gramEnd"/>
      <w:r>
        <w:t xml:space="preserve">), SHAP es consistentemente más denso que LIME (+0.142, 75/75 positivas; </w:t>
      </w:r>
      <m:oMath>
        <m:sSub>
          <m:sSubPr>
            <m:ctrlPr>
              <w:rPr>
                <w:rFonts w:ascii="Cambria Math" w:hAnsi="Cambria Math"/>
              </w:rPr>
            </m:ctrlPr>
          </m:sSubPr>
          <m:e>
            <m:r>
              <w:rPr>
                <w:rFonts w:ascii="Cambria Math" w:hAnsi="Cambria Math"/>
              </w:rPr>
              <m:t>d</m:t>
            </m:r>
          </m:e>
          <m:sub>
            <m:r>
              <w:rPr>
                <w:rFonts w:ascii="Cambria Math" w:hAnsi="Cambria Math"/>
              </w:rPr>
              <m:t>z</m:t>
            </m:r>
          </m:sub>
        </m:sSub>
        <m:r>
          <m:rPr>
            <m:sty m:val="p"/>
          </m:rPr>
          <w:rPr>
            <w:rFonts w:ascii="Cambria Math" w:hAnsi="Cambria Math"/>
          </w:rPr>
          <m:t>=+</m:t>
        </m:r>
        <m:r>
          <w:rPr>
            <w:rFonts w:ascii="Cambria Math" w:hAnsi="Cambria Math"/>
          </w:rPr>
          <m:t>0.839</m:t>
        </m:r>
      </m:oMath>
      <w:r>
        <w:t xml:space="preserve">), por lo que LIME es el método más parsimonioso en este benchmark. En brecha de fidelidad, SHAP supera a LIME en 74 de 75 celdas (+0.045; </w:t>
      </w:r>
      <m:oMath>
        <m:sSub>
          <m:sSubPr>
            <m:ctrlPr>
              <w:rPr>
                <w:rFonts w:ascii="Cambria Math" w:hAnsi="Cambria Math"/>
              </w:rPr>
            </m:ctrlPr>
          </m:sSubPr>
          <m:e>
            <m:r>
              <w:rPr>
                <w:rFonts w:ascii="Cambria Math" w:hAnsi="Cambria Math"/>
              </w:rPr>
              <m:t>d</m:t>
            </m:r>
          </m:e>
          <m:sub>
            <m:r>
              <w:rPr>
                <w:rFonts w:ascii="Cambria Math" w:hAnsi="Cambria Math"/>
              </w:rPr>
              <m:t>z</m:t>
            </m:r>
          </m:sub>
        </m:sSub>
        <m:r>
          <m:rPr>
            <m:sty m:val="p"/>
          </m:rPr>
          <w:rPr>
            <w:rFonts w:ascii="Cambria Math" w:hAnsi="Cambria Math"/>
          </w:rPr>
          <m:t>=+</m:t>
        </m:r>
        <m:r>
          <w:rPr>
            <w:rFonts w:ascii="Cambria Math" w:hAnsi="Cambria Math"/>
          </w:rPr>
          <m:t>2.626</m:t>
        </m:r>
      </m:oMath>
      <w:r>
        <w:t>), lo que confirma que las características que SHAP identifica como relevantes tienen un efecto mayor cuando se enmascaran, lo que es coherente con la superioridad en fidelidad.</w:t>
      </w:r>
    </w:p>
    <w:p w14:paraId="51636953" w14:textId="77777777" w:rsidR="00D762DD" w:rsidRDefault="00000000">
      <w:pPr>
        <w:pStyle w:val="BodyText"/>
      </w:pPr>
      <w:r>
        <w:rPr>
          <w:b/>
          <w:bCs/>
        </w:rPr>
        <w:t>Coste computacional:</w:t>
      </w:r>
      <w:r>
        <w:t xml:space="preserve"> El patrón se invierte para el coste. SHAP es en promedio más costoso (+8,048 ms), pero con varianza alta (</w:t>
      </w:r>
      <m:oMath>
        <m:sSub>
          <m:sSubPr>
            <m:ctrlPr>
              <w:rPr>
                <w:rFonts w:ascii="Cambria Math" w:hAnsi="Cambria Math"/>
              </w:rPr>
            </m:ctrlPr>
          </m:sSubPr>
          <m:e>
            <m:r>
              <w:rPr>
                <w:rFonts w:ascii="Cambria Math" w:hAnsi="Cambria Math"/>
              </w:rPr>
              <m:t>s</m:t>
            </m:r>
          </m:e>
          <m:sub>
            <m:r>
              <w:rPr>
                <w:rFonts w:ascii="Cambria Math" w:hAnsi="Cambria Math"/>
              </w:rPr>
              <m:t>d</m:t>
            </m:r>
          </m:sub>
        </m:sSub>
        <m:r>
          <m:rPr>
            <m:sty m:val="p"/>
          </m:rPr>
          <w:rPr>
            <w:rFonts w:ascii="Cambria Math" w:hAnsi="Cambria Math"/>
          </w:rPr>
          <m:t>=</m:t>
        </m:r>
        <m:r>
          <w:rPr>
            <w:rFonts w:ascii="Cambria Math" w:hAnsi="Cambria Math"/>
          </w:rPr>
          <m:t>17</m:t>
        </m:r>
        <m:r>
          <m:rPr>
            <m:sty m:val="p"/>
          </m:rPr>
          <w:rPr>
            <w:rFonts w:ascii="Cambria Math" w:hAnsi="Cambria Math"/>
          </w:rPr>
          <m:t>,</m:t>
        </m:r>
        <m:r>
          <w:rPr>
            <w:rFonts w:ascii="Cambria Math" w:hAnsi="Cambria Math"/>
          </w:rPr>
          <m:t>857</m:t>
        </m:r>
      </m:oMath>
      <w:r>
        <w:t xml:space="preserve"> ms) por colas pesadas asociadas a KernelSHAP. El signo de las diferencias no es unánime: SHAP resulta más costoso en 59 de 75 celdas, pero en 16 celdas (principalmente XGBoost) LIME es más lento. El efecto moderado (</w:t>
      </w:r>
      <m:oMath>
        <m:sSub>
          <m:sSubPr>
            <m:ctrlPr>
              <w:rPr>
                <w:rFonts w:ascii="Cambria Math" w:hAnsi="Cambria Math"/>
              </w:rPr>
            </m:ctrlPr>
          </m:sSubPr>
          <m:e>
            <m:r>
              <w:rPr>
                <w:rFonts w:ascii="Cambria Math" w:hAnsi="Cambria Math"/>
              </w:rPr>
              <m:t>d</m:t>
            </m:r>
          </m:e>
          <m:sub>
            <m:r>
              <w:rPr>
                <w:rFonts w:ascii="Cambria Math" w:hAnsi="Cambria Math"/>
              </w:rPr>
              <m:t>z</m:t>
            </m:r>
          </m:sub>
        </m:sSub>
        <m:r>
          <m:rPr>
            <m:sty m:val="p"/>
          </m:rPr>
          <w:rPr>
            <w:rFonts w:ascii="Cambria Math" w:hAnsi="Cambria Math"/>
          </w:rPr>
          <m:t>=+</m:t>
        </m:r>
        <m:r>
          <w:rPr>
            <w:rFonts w:ascii="Cambria Math" w:hAnsi="Cambria Math"/>
          </w:rPr>
          <m:t>0.451</m:t>
        </m:r>
      </m:oMath>
      <w:r>
        <w:t>) confirma que la superioridad en calidad de SHAP se acompaña de una penalización de coste en la mayoría de los contextos, pero no en todos.</w:t>
      </w:r>
    </w:p>
    <w:p w14:paraId="6DCC876A" w14:textId="77777777" w:rsidR="00D762DD" w:rsidRDefault="00000000">
      <w:pPr>
        <w:pStyle w:val="Heading3"/>
      </w:pPr>
      <w:bookmarkStart w:id="169" w:name="X2c15e0a178907c68bf437d0d85cae845d1c590b"/>
      <w:bookmarkStart w:id="170" w:name="_Toc238925773"/>
      <w:bookmarkEnd w:id="166"/>
      <w:r>
        <w:t>Verificación del requisito de multiplicidad</w:t>
      </w:r>
      <w:bookmarkEnd w:id="170"/>
    </w:p>
    <w:p w14:paraId="5A73EDC9" w14:textId="77777777" w:rsidR="00D762DD" w:rsidRDefault="00000000">
      <w:r>
        <w:t xml:space="preserve">La hipótesis H3 involucra cinco comparaciones pareadas simultáneas. Aplicando la corrección de Holm-Bonferroni sobre los </w:t>
      </w:r>
      <w:proofErr w:type="gramStart"/>
      <w:r>
        <w:t>cinco test</w:t>
      </w:r>
      <w:proofErr w:type="gramEnd"/>
      <w:r>
        <w:t xml:space="preserve"> de Wilcoxon, los umbrales de rechazo ajustados para las estadísticas ordenadas son </w:t>
      </w:r>
      <m:oMath>
        <m:r>
          <w:rPr>
            <w:rFonts w:ascii="Cambria Math" w:hAnsi="Cambria Math"/>
          </w:rPr>
          <m:t>α</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0.01</m:t>
        </m:r>
      </m:oMath>
      <w:r>
        <w:t xml:space="preserve">, </w:t>
      </w:r>
      <m:oMath>
        <m:r>
          <w:rPr>
            <w:rFonts w:ascii="Cambria Math" w:hAnsi="Cambria Math"/>
          </w:rPr>
          <m:t>α</m:t>
        </m:r>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0.0125</m:t>
        </m:r>
      </m:oMath>
      <w:r>
        <w:t xml:space="preserve">, </w:t>
      </w:r>
      <m:oMath>
        <m:r>
          <w:rPr>
            <w:rFonts w:ascii="Cambria Math" w:hAnsi="Cambria Math"/>
          </w:rPr>
          <m:t>α</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0.0167</m:t>
        </m:r>
      </m:oMath>
      <w:r>
        <w:t xml:space="preserve">, </w:t>
      </w:r>
      <m:oMath>
        <m:r>
          <w:rPr>
            <w:rFonts w:ascii="Cambria Math" w:hAnsi="Cambria Math"/>
          </w:rPr>
          <m:t>α</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0.025</m:t>
        </m:r>
      </m:oMath>
      <w:r>
        <w:t xml:space="preserve">, </w:t>
      </w:r>
      <m:oMath>
        <m:r>
          <w:rPr>
            <w:rFonts w:ascii="Cambria Math" w:hAnsi="Cambria Math"/>
          </w:rPr>
          <m:t>α</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0.05</m:t>
        </m:r>
      </m:oMath>
      <w:r>
        <w:t xml:space="preserve">. Dado que las diferencias en fidelidad y estabilidad presentan </w:t>
      </w:r>
      <m:oMath>
        <m:sSub>
          <m:sSubPr>
            <m:ctrlPr>
              <w:rPr>
                <w:rFonts w:ascii="Cambria Math" w:hAnsi="Cambria Math"/>
              </w:rPr>
            </m:ctrlPr>
          </m:sSubPr>
          <m:e>
            <m:r>
              <w:rPr>
                <w:rFonts w:ascii="Cambria Math" w:hAnsi="Cambria Math"/>
              </w:rPr>
              <m:t>d</m:t>
            </m:r>
          </m:e>
          <m:sub>
            <m:r>
              <w:rPr>
                <w:rFonts w:ascii="Cambria Math" w:hAnsi="Cambria Math"/>
              </w:rPr>
              <m:t>z</m:t>
            </m:r>
          </m:sub>
        </m:sSub>
        <m:r>
          <m:rPr>
            <m:sty m:val="p"/>
          </m:rPr>
          <w:rPr>
            <w:rFonts w:ascii="Cambria Math" w:hAnsi="Cambria Math"/>
          </w:rPr>
          <m:t>&gt;</m:t>
        </m:r>
        <m:r>
          <w:rPr>
            <w:rFonts w:ascii="Cambria Math" w:hAnsi="Cambria Math"/>
          </w:rPr>
          <m:t>2.6</m:t>
        </m:r>
      </m:oMath>
      <w:r>
        <w:t xml:space="preserve"> con </w:t>
      </w:r>
      <m:oMath>
        <m:r>
          <w:rPr>
            <w:rFonts w:ascii="Cambria Math" w:hAnsi="Cambria Math"/>
          </w:rPr>
          <m:t>n</m:t>
        </m:r>
        <m:r>
          <m:rPr>
            <m:sty m:val="p"/>
          </m:rPr>
          <w:rPr>
            <w:rFonts w:ascii="Cambria Math" w:hAnsi="Cambria Math"/>
          </w:rPr>
          <m:t>=</m:t>
        </m:r>
        <m:r>
          <w:rPr>
            <w:rFonts w:ascii="Cambria Math" w:hAnsi="Cambria Math"/>
          </w:rPr>
          <m:t>75</m:t>
        </m:r>
      </m:oMath>
      <w:r>
        <w:t xml:space="preserve"> y consistencia direccional casi perfecta, los p-valores bilaterales permanecen muy por debajo </w:t>
      </w:r>
      <w:r>
        <w:lastRenderedPageBreak/>
        <w:t xml:space="preserve">de los umbrales ajustados. En particular, las métricas de calidad conservan significancia con </w:t>
      </w:r>
      <m:oMath>
        <m:sSub>
          <m:sSubPr>
            <m:ctrlPr>
              <w:rPr>
                <w:rFonts w:ascii="Cambria Math" w:hAnsi="Cambria Math"/>
              </w:rPr>
            </m:ctrlPr>
          </m:sSubPr>
          <m:e>
            <m:r>
              <w:rPr>
                <w:rFonts w:ascii="Cambria Math" w:hAnsi="Cambria Math"/>
              </w:rPr>
              <m:t>p</m:t>
            </m:r>
          </m:e>
          <m:sub>
            <m:r>
              <m:rPr>
                <m:sty m:val="p"/>
              </m:rPr>
              <w:rPr>
                <w:rFonts w:ascii="Cambria Math" w:hAnsi="Cambria Math"/>
              </w:rPr>
              <m:t>Holm</m:t>
            </m:r>
          </m:sub>
        </m:sSub>
      </m:oMath>
      <w:r>
        <w:t xml:space="preserve"> del orden de </w:t>
      </w:r>
      <m:oMath>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13</m:t>
            </m:r>
          </m:sup>
        </m:sSup>
      </m:oMath>
      <w:r>
        <w:t xml:space="preserve">, y el coste con </w:t>
      </w:r>
      <m:oMath>
        <m:sSub>
          <m:sSubPr>
            <m:ctrlPr>
              <w:rPr>
                <w:rFonts w:ascii="Cambria Math" w:hAnsi="Cambria Math"/>
              </w:rPr>
            </m:ctrlPr>
          </m:sSubPr>
          <m:e>
            <m:r>
              <w:rPr>
                <w:rFonts w:ascii="Cambria Math" w:hAnsi="Cambria Math"/>
              </w:rPr>
              <m:t>p</m:t>
            </m:r>
          </m:e>
          <m:sub>
            <m:r>
              <m:rPr>
                <m:sty m:val="p"/>
              </m:rPr>
              <w:rPr>
                <w:rFonts w:ascii="Cambria Math" w:hAnsi="Cambria Math"/>
              </w:rPr>
              <m:t>Holm</m:t>
            </m:r>
          </m:sub>
        </m:sSub>
      </m:oMath>
      <w:r>
        <w:t xml:space="preserve"> del orden de </w:t>
      </w:r>
      <m:oMath>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10</m:t>
            </m:r>
          </m:sup>
        </m:sSup>
      </m:oMath>
      <w:r>
        <w:t xml:space="preserve">. Por tanto, </w:t>
      </w:r>
      <m:oMath>
        <m:sSub>
          <m:sSubPr>
            <m:ctrlPr>
              <w:rPr>
                <w:rFonts w:ascii="Cambria Math" w:hAnsi="Cambria Math"/>
              </w:rPr>
            </m:ctrlPr>
          </m:sSubPr>
          <m:e>
            <m:r>
              <w:rPr>
                <w:rFonts w:ascii="Cambria Math" w:hAnsi="Cambria Math"/>
              </w:rPr>
              <m:t>H</m:t>
            </m:r>
          </m:e>
          <m:sub>
            <m:r>
              <w:rPr>
                <w:rFonts w:ascii="Cambria Math" w:hAnsi="Cambria Math"/>
              </w:rPr>
              <m:t>1</m:t>
            </m:r>
            <m:r>
              <m:rPr>
                <m:sty m:val="p"/>
              </m:rPr>
              <w:rPr>
                <w:rFonts w:ascii="Cambria Math" w:hAnsi="Cambria Math"/>
              </w:rPr>
              <m:t>,</m:t>
            </m:r>
            <m:r>
              <w:rPr>
                <w:rFonts w:ascii="Cambria Math" w:hAnsi="Cambria Math"/>
              </w:rPr>
              <m:t>3</m:t>
            </m:r>
          </m:sub>
        </m:sSub>
      </m:oMath>
      <w:r>
        <w:t xml:space="preserve"> se acepta para las cinco métricas bajo control de multiplicidad.</w:t>
      </w:r>
    </w:p>
    <w:p w14:paraId="2C7610A9" w14:textId="77777777" w:rsidR="00D762DD" w:rsidRDefault="00000000">
      <w:pPr>
        <w:pStyle w:val="Heading2"/>
      </w:pPr>
      <w:bookmarkStart w:id="171" w:name="sec-p1"/>
      <w:bookmarkStart w:id="172" w:name="_Toc238925774"/>
      <w:bookmarkEnd w:id="164"/>
      <w:bookmarkEnd w:id="169"/>
      <w:r>
        <w:t>Proposición P1: Reproducibilidad del protocolo FOM-7</w:t>
      </w:r>
      <w:bookmarkEnd w:id="172"/>
    </w:p>
    <w:p w14:paraId="4869F8AA" w14:textId="77777777" w:rsidR="00D762DD" w:rsidRDefault="00000000">
      <w:r>
        <w:t>La proposición P1 establece que el protocolo FOM-7 debe producir un coeficiente de variación (CV) inferior al 15% en las métricas primarias bajo ejecuciones repetidas con semillas distintas en condiciones de configuración idéntica.</w:t>
      </w:r>
    </w:p>
    <w:p w14:paraId="2475605C" w14:textId="77777777" w:rsidR="00D762DD" w:rsidRDefault="00000000">
      <w:pPr>
        <w:pStyle w:val="BodyText"/>
      </w:pPr>
      <w:r>
        <w:t xml:space="preserve">Para su evaluación se calculó el CV de cada métrica primaria para SHAP y LIME sobre el subconjunto del modelo RF con </w:t>
      </w:r>
      <m:oMath>
        <m:r>
          <w:rPr>
            <w:rFonts w:ascii="Cambria Math" w:hAnsi="Cambria Math"/>
          </w:rPr>
          <m:t>N</m:t>
        </m:r>
        <m:r>
          <m:rPr>
            <m:sty m:val="p"/>
          </m:rPr>
          <w:rPr>
            <w:rFonts w:ascii="Cambria Math" w:hAnsi="Cambria Math"/>
          </w:rPr>
          <m:t>=</m:t>
        </m:r>
        <m:r>
          <w:rPr>
            <w:rFonts w:ascii="Cambria Math" w:hAnsi="Cambria Math"/>
          </w:rPr>
          <m:t>100</m:t>
        </m:r>
      </m:oMath>
      <w:r>
        <w:t xml:space="preserve">, tomando las cinco semillas </w:t>
      </w:r>
      <m:oMath>
        <m:r>
          <w:rPr>
            <w:rFonts w:ascii="Cambria Math" w:hAnsi="Cambria Math"/>
          </w:rPr>
          <m:t>s</m:t>
        </m:r>
        <m:r>
          <m:rPr>
            <m:sty m:val="p"/>
          </m:rPr>
          <w:rPr>
            <w:rFonts w:ascii="Cambria Math" w:hAnsi="Cambria Math"/>
          </w:rPr>
          <m:t>∈{</m:t>
        </m:r>
        <m:r>
          <w:rPr>
            <w:rFonts w:ascii="Cambria Math" w:hAnsi="Cambria Math"/>
          </w:rPr>
          <m:t>42</m:t>
        </m:r>
        <m:r>
          <m:rPr>
            <m:sty m:val="p"/>
          </m:rPr>
          <w:rPr>
            <w:rFonts w:ascii="Cambria Math" w:hAnsi="Cambria Math"/>
          </w:rPr>
          <m:t>,</m:t>
        </m:r>
        <m:r>
          <w:rPr>
            <w:rFonts w:ascii="Cambria Math" w:hAnsi="Cambria Math"/>
          </w:rPr>
          <m:t>123</m:t>
        </m:r>
        <m:r>
          <m:rPr>
            <m:sty m:val="p"/>
          </m:rPr>
          <w:rPr>
            <w:rFonts w:ascii="Cambria Math" w:hAnsi="Cambria Math"/>
          </w:rPr>
          <m:t>,</m:t>
        </m:r>
        <m:r>
          <w:rPr>
            <w:rFonts w:ascii="Cambria Math" w:hAnsi="Cambria Math"/>
          </w:rPr>
          <m:t>456</m:t>
        </m:r>
        <m:r>
          <m:rPr>
            <m:sty m:val="p"/>
          </m:rPr>
          <w:rPr>
            <w:rFonts w:ascii="Cambria Math" w:hAnsi="Cambria Math"/>
          </w:rPr>
          <m:t>,</m:t>
        </m:r>
        <m:r>
          <w:rPr>
            <w:rFonts w:ascii="Cambria Math" w:hAnsi="Cambria Math"/>
          </w:rPr>
          <m:t>789</m:t>
        </m:r>
        <m:r>
          <m:rPr>
            <m:sty m:val="p"/>
          </m:rPr>
          <w:rPr>
            <w:rFonts w:ascii="Cambria Math" w:hAnsi="Cambria Math"/>
          </w:rPr>
          <m:t>,</m:t>
        </m:r>
        <m:r>
          <w:rPr>
            <w:rFonts w:ascii="Cambria Math" w:hAnsi="Cambria Math"/>
          </w:rPr>
          <m:t>999</m:t>
        </m:r>
        <m:r>
          <m:rPr>
            <m:sty m:val="p"/>
          </m:rPr>
          <w:rPr>
            <w:rFonts w:ascii="Cambria Math" w:hAnsi="Cambria Math"/>
          </w:rPr>
          <m:t>}</m:t>
        </m:r>
      </m:oMath>
      <w:r>
        <w:t xml:space="preserve"> como réplicas independientes:</w:t>
      </w:r>
    </w:p>
    <w:tbl>
      <w:tblPr>
        <w:tblW w:w="5000" w:type="pct"/>
        <w:tblLayout w:type="fixed"/>
        <w:tblLook w:val="0000" w:firstRow="0" w:lastRow="0" w:firstColumn="0" w:lastColumn="0" w:noHBand="0" w:noVBand="0"/>
      </w:tblPr>
      <w:tblGrid>
        <w:gridCol w:w="9576"/>
      </w:tblGrid>
      <w:tr w:rsidR="00D762DD" w14:paraId="1B62AEE8" w14:textId="77777777">
        <w:tc>
          <w:tcPr>
            <w:tcW w:w="7920" w:type="dxa"/>
          </w:tcPr>
          <w:p w14:paraId="45FE71A7" w14:textId="77777777" w:rsidR="00D762DD" w:rsidRDefault="00000000">
            <w:pPr>
              <w:spacing w:before="200"/>
              <w:jc w:val="left"/>
            </w:pPr>
            <w:bookmarkStart w:id="173" w:name="tbl-cv-p1"/>
            <w:r>
              <w:t xml:space="preserve">Table 5.6: Coeficiente de variación de métricas primarias bajo 5 semillas distintas (RF, </w:t>
            </w:r>
            <m:oMath>
              <m:r>
                <w:rPr>
                  <w:rFonts w:ascii="Cambria Math" w:hAnsi="Cambria Math"/>
                </w:rPr>
                <m:t>N</m:t>
              </m:r>
              <m:r>
                <m:rPr>
                  <m:sty m:val="p"/>
                </m:rPr>
                <w:rPr>
                  <w:rFonts w:ascii="Cambria Math" w:hAnsi="Cambria Math"/>
                </w:rPr>
                <m:t>=</m:t>
              </m:r>
              <m:r>
                <w:rPr>
                  <w:rFonts w:ascii="Cambria Math" w:hAnsi="Cambria Math"/>
                </w:rPr>
                <m:t>100</m:t>
              </m:r>
            </m:oMath>
            <w:r>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320"/>
              <w:gridCol w:w="1320"/>
              <w:gridCol w:w="1320"/>
              <w:gridCol w:w="1320"/>
              <w:gridCol w:w="1320"/>
              <w:gridCol w:w="1320"/>
            </w:tblGrid>
            <w:tr w:rsidR="00D762DD" w:rsidRPr="00972D74" w14:paraId="176EE1FA" w14:textId="77777777" w:rsidTr="00972D74">
              <w:trPr>
                <w:tblHeader/>
                <w:jc w:val="center"/>
              </w:trPr>
              <w:tc>
                <w:tcPr>
                  <w:tcW w:w="1320" w:type="dxa"/>
                </w:tcPr>
                <w:p w14:paraId="4D5AF167" w14:textId="77777777" w:rsidR="00D762DD" w:rsidRPr="00972D74" w:rsidRDefault="00000000">
                  <w:pPr>
                    <w:rPr>
                      <w:b/>
                      <w:bCs/>
                    </w:rPr>
                  </w:pPr>
                  <w:r w:rsidRPr="00972D74">
                    <w:rPr>
                      <w:b/>
                      <w:bCs/>
                    </w:rPr>
                    <w:t>Método</w:t>
                  </w:r>
                </w:p>
              </w:tc>
              <w:tc>
                <w:tcPr>
                  <w:tcW w:w="1320" w:type="dxa"/>
                </w:tcPr>
                <w:p w14:paraId="34EBDF2D" w14:textId="77777777" w:rsidR="00D762DD" w:rsidRPr="00972D74" w:rsidRDefault="00000000">
                  <w:pPr>
                    <w:rPr>
                      <w:b/>
                      <w:bCs/>
                    </w:rPr>
                  </w:pPr>
                  <w:r w:rsidRPr="00972D74">
                    <w:rPr>
                      <w:b/>
                      <w:bCs/>
                    </w:rPr>
                    <w:t>Métrica</w:t>
                  </w:r>
                </w:p>
              </w:tc>
              <w:tc>
                <w:tcPr>
                  <w:tcW w:w="1320" w:type="dxa"/>
                </w:tcPr>
                <w:p w14:paraId="57DD8442" w14:textId="77777777" w:rsidR="00D762DD" w:rsidRPr="00972D74" w:rsidRDefault="00000000">
                  <w:pPr>
                    <w:rPr>
                      <w:b/>
                      <w:bCs/>
                    </w:rPr>
                  </w:pPr>
                  <w:r w:rsidRPr="00972D74">
                    <w:rPr>
                      <w:b/>
                      <w:bCs/>
                    </w:rPr>
                    <w:t>Media</w:t>
                  </w:r>
                </w:p>
              </w:tc>
              <w:tc>
                <w:tcPr>
                  <w:tcW w:w="1320" w:type="dxa"/>
                </w:tcPr>
                <w:p w14:paraId="6827B9AE" w14:textId="77777777" w:rsidR="00D762DD" w:rsidRPr="00972D74" w:rsidRDefault="00000000">
                  <w:pPr>
                    <w:rPr>
                      <w:b/>
                      <w:bCs/>
                    </w:rPr>
                  </w:pPr>
                  <w:r w:rsidRPr="00972D74">
                    <w:rPr>
                      <w:b/>
                      <w:bCs/>
                    </w:rPr>
                    <w:t>Desv. típica</w:t>
                  </w:r>
                </w:p>
              </w:tc>
              <w:tc>
                <w:tcPr>
                  <w:tcW w:w="1320" w:type="dxa"/>
                </w:tcPr>
                <w:p w14:paraId="570B4304" w14:textId="77777777" w:rsidR="00D762DD" w:rsidRPr="00972D74" w:rsidRDefault="00000000">
                  <w:pPr>
                    <w:rPr>
                      <w:b/>
                      <w:bCs/>
                    </w:rPr>
                  </w:pPr>
                  <w:r w:rsidRPr="00972D74">
                    <w:rPr>
                      <w:b/>
                      <w:bCs/>
                    </w:rPr>
                    <w:t>CV (%)</w:t>
                  </w:r>
                </w:p>
              </w:tc>
              <w:tc>
                <w:tcPr>
                  <w:tcW w:w="1320" w:type="dxa"/>
                </w:tcPr>
                <w:p w14:paraId="6616E57D" w14:textId="77777777" w:rsidR="00D762DD" w:rsidRPr="00972D74" w:rsidRDefault="00000000">
                  <w:pPr>
                    <w:rPr>
                      <w:b/>
                      <w:bCs/>
                    </w:rPr>
                  </w:pPr>
                  <w:r w:rsidRPr="00972D74">
                    <w:rPr>
                      <w:b/>
                      <w:bCs/>
                    </w:rPr>
                    <w:t>Criterio P1</w:t>
                  </w:r>
                </w:p>
              </w:tc>
            </w:tr>
            <w:tr w:rsidR="00D762DD" w:rsidRPr="00972D74" w14:paraId="5393EA6B" w14:textId="77777777" w:rsidTr="00972D74">
              <w:trPr>
                <w:jc w:val="center"/>
              </w:trPr>
              <w:tc>
                <w:tcPr>
                  <w:tcW w:w="1320" w:type="dxa"/>
                </w:tcPr>
                <w:p w14:paraId="13DFE713" w14:textId="77777777" w:rsidR="00D762DD" w:rsidRPr="00972D74" w:rsidRDefault="00000000">
                  <w:r w:rsidRPr="00972D74">
                    <w:t>SHAP</w:t>
                  </w:r>
                </w:p>
              </w:tc>
              <w:tc>
                <w:tcPr>
                  <w:tcW w:w="1320" w:type="dxa"/>
                </w:tcPr>
                <w:p w14:paraId="0FB080AC" w14:textId="77777777" w:rsidR="00D762DD" w:rsidRPr="00972D74" w:rsidRDefault="00000000">
                  <w:r w:rsidRPr="00972D74">
                    <w:t>Fidelidad</w:t>
                  </w:r>
                </w:p>
              </w:tc>
              <w:tc>
                <w:tcPr>
                  <w:tcW w:w="1320" w:type="dxa"/>
                </w:tcPr>
                <w:p w14:paraId="014505E1" w14:textId="77777777" w:rsidR="00D762DD" w:rsidRPr="00972D74" w:rsidRDefault="00000000">
                  <w:r w:rsidRPr="00972D74">
                    <w:t>0.732</w:t>
                  </w:r>
                </w:p>
              </w:tc>
              <w:tc>
                <w:tcPr>
                  <w:tcW w:w="1320" w:type="dxa"/>
                </w:tcPr>
                <w:p w14:paraId="4FFF2F7A" w14:textId="77777777" w:rsidR="00D762DD" w:rsidRPr="00972D74" w:rsidRDefault="00000000">
                  <w:r w:rsidRPr="00972D74">
                    <w:t>0.006</w:t>
                  </w:r>
                </w:p>
              </w:tc>
              <w:tc>
                <w:tcPr>
                  <w:tcW w:w="1320" w:type="dxa"/>
                </w:tcPr>
                <w:p w14:paraId="0BCD31A4" w14:textId="77777777" w:rsidR="00D762DD" w:rsidRPr="00972D74" w:rsidRDefault="00000000">
                  <w:r w:rsidRPr="00972D74">
                    <w:t>0.8</w:t>
                  </w:r>
                </w:p>
              </w:tc>
              <w:tc>
                <w:tcPr>
                  <w:tcW w:w="1320" w:type="dxa"/>
                </w:tcPr>
                <w:p w14:paraId="59F6291C" w14:textId="77777777" w:rsidR="00D762DD" w:rsidRPr="00972D74" w:rsidRDefault="00000000">
                  <w:r w:rsidRPr="00972D74">
                    <w:t>✓ Cumple</w:t>
                  </w:r>
                </w:p>
              </w:tc>
            </w:tr>
            <w:tr w:rsidR="00D762DD" w:rsidRPr="00972D74" w14:paraId="123045CB" w14:textId="77777777" w:rsidTr="00972D74">
              <w:trPr>
                <w:jc w:val="center"/>
              </w:trPr>
              <w:tc>
                <w:tcPr>
                  <w:tcW w:w="1320" w:type="dxa"/>
                </w:tcPr>
                <w:p w14:paraId="6C94DD24" w14:textId="77777777" w:rsidR="00D762DD" w:rsidRPr="00972D74" w:rsidRDefault="00000000">
                  <w:r w:rsidRPr="00972D74">
                    <w:t>SHAP</w:t>
                  </w:r>
                </w:p>
              </w:tc>
              <w:tc>
                <w:tcPr>
                  <w:tcW w:w="1320" w:type="dxa"/>
                </w:tcPr>
                <w:p w14:paraId="25F498DA" w14:textId="77777777" w:rsidR="00D762DD" w:rsidRPr="00972D74" w:rsidRDefault="00000000">
                  <w:r w:rsidRPr="00972D74">
                    <w:t>Estabilidad</w:t>
                  </w:r>
                </w:p>
              </w:tc>
              <w:tc>
                <w:tcPr>
                  <w:tcW w:w="1320" w:type="dxa"/>
                </w:tcPr>
                <w:p w14:paraId="3398B6E4" w14:textId="77777777" w:rsidR="00D762DD" w:rsidRPr="00972D74" w:rsidRDefault="00000000">
                  <w:r w:rsidRPr="00972D74">
                    <w:t>0.948</w:t>
                  </w:r>
                </w:p>
              </w:tc>
              <w:tc>
                <w:tcPr>
                  <w:tcW w:w="1320" w:type="dxa"/>
                </w:tcPr>
                <w:p w14:paraId="04AD1E8D" w14:textId="77777777" w:rsidR="00D762DD" w:rsidRPr="00972D74" w:rsidRDefault="00000000">
                  <w:r w:rsidRPr="00972D74">
                    <w:t>0.007</w:t>
                  </w:r>
                </w:p>
              </w:tc>
              <w:tc>
                <w:tcPr>
                  <w:tcW w:w="1320" w:type="dxa"/>
                </w:tcPr>
                <w:p w14:paraId="0079B2E9" w14:textId="77777777" w:rsidR="00D762DD" w:rsidRPr="00972D74" w:rsidRDefault="00000000">
                  <w:r w:rsidRPr="00972D74">
                    <w:t>0.7</w:t>
                  </w:r>
                </w:p>
              </w:tc>
              <w:tc>
                <w:tcPr>
                  <w:tcW w:w="1320" w:type="dxa"/>
                </w:tcPr>
                <w:p w14:paraId="57D14426" w14:textId="77777777" w:rsidR="00D762DD" w:rsidRPr="00972D74" w:rsidRDefault="00000000">
                  <w:r w:rsidRPr="00972D74">
                    <w:t>✓ Cumple</w:t>
                  </w:r>
                </w:p>
              </w:tc>
            </w:tr>
            <w:tr w:rsidR="00D762DD" w:rsidRPr="00972D74" w14:paraId="15758C45" w14:textId="77777777" w:rsidTr="00972D74">
              <w:trPr>
                <w:jc w:val="center"/>
              </w:trPr>
              <w:tc>
                <w:tcPr>
                  <w:tcW w:w="1320" w:type="dxa"/>
                </w:tcPr>
                <w:p w14:paraId="60F22F79" w14:textId="77777777" w:rsidR="00D762DD" w:rsidRPr="00972D74" w:rsidRDefault="00000000">
                  <w:r w:rsidRPr="00972D74">
                    <w:t>LIME</w:t>
                  </w:r>
                </w:p>
              </w:tc>
              <w:tc>
                <w:tcPr>
                  <w:tcW w:w="1320" w:type="dxa"/>
                </w:tcPr>
                <w:p w14:paraId="46140DAC" w14:textId="77777777" w:rsidR="00D762DD" w:rsidRPr="00972D74" w:rsidRDefault="00000000">
                  <w:r w:rsidRPr="00972D74">
                    <w:t>Fidelidad</w:t>
                  </w:r>
                </w:p>
              </w:tc>
              <w:tc>
                <w:tcPr>
                  <w:tcW w:w="1320" w:type="dxa"/>
                </w:tcPr>
                <w:p w14:paraId="0A5D5BBA" w14:textId="77777777" w:rsidR="00D762DD" w:rsidRPr="00972D74" w:rsidRDefault="00000000">
                  <w:r w:rsidRPr="00972D74">
                    <w:t>0.461</w:t>
                  </w:r>
                </w:p>
              </w:tc>
              <w:tc>
                <w:tcPr>
                  <w:tcW w:w="1320" w:type="dxa"/>
                </w:tcPr>
                <w:p w14:paraId="3A9492B0" w14:textId="77777777" w:rsidR="00D762DD" w:rsidRPr="00972D74" w:rsidRDefault="00000000">
                  <w:r w:rsidRPr="00972D74">
                    <w:t>0.012</w:t>
                  </w:r>
                </w:p>
              </w:tc>
              <w:tc>
                <w:tcPr>
                  <w:tcW w:w="1320" w:type="dxa"/>
                </w:tcPr>
                <w:p w14:paraId="70CC328A" w14:textId="77777777" w:rsidR="00D762DD" w:rsidRPr="00972D74" w:rsidRDefault="00000000">
                  <w:r w:rsidRPr="00972D74">
                    <w:t>2.6</w:t>
                  </w:r>
                </w:p>
              </w:tc>
              <w:tc>
                <w:tcPr>
                  <w:tcW w:w="1320" w:type="dxa"/>
                </w:tcPr>
                <w:p w14:paraId="64BBD8B5" w14:textId="77777777" w:rsidR="00D762DD" w:rsidRPr="00972D74" w:rsidRDefault="00000000">
                  <w:r w:rsidRPr="00972D74">
                    <w:t>✓ Cumple</w:t>
                  </w:r>
                </w:p>
              </w:tc>
            </w:tr>
            <w:tr w:rsidR="00D762DD" w:rsidRPr="00972D74" w14:paraId="606CDF93" w14:textId="77777777" w:rsidTr="00972D74">
              <w:trPr>
                <w:jc w:val="center"/>
              </w:trPr>
              <w:tc>
                <w:tcPr>
                  <w:tcW w:w="1320" w:type="dxa"/>
                </w:tcPr>
                <w:p w14:paraId="5992F7D9" w14:textId="77777777" w:rsidR="00D762DD" w:rsidRPr="00972D74" w:rsidRDefault="00000000">
                  <w:r w:rsidRPr="00972D74">
                    <w:t>LIME</w:t>
                  </w:r>
                </w:p>
              </w:tc>
              <w:tc>
                <w:tcPr>
                  <w:tcW w:w="1320" w:type="dxa"/>
                </w:tcPr>
                <w:p w14:paraId="763B364A" w14:textId="77777777" w:rsidR="00D762DD" w:rsidRPr="00972D74" w:rsidRDefault="00000000">
                  <w:r w:rsidRPr="00972D74">
                    <w:t>Estabilidad</w:t>
                  </w:r>
                </w:p>
              </w:tc>
              <w:tc>
                <w:tcPr>
                  <w:tcW w:w="1320" w:type="dxa"/>
                </w:tcPr>
                <w:p w14:paraId="589EBBC1" w14:textId="77777777" w:rsidR="00D762DD" w:rsidRPr="00972D74" w:rsidRDefault="00000000">
                  <w:r w:rsidRPr="00972D74">
                    <w:t>0.018</w:t>
                  </w:r>
                </w:p>
              </w:tc>
              <w:tc>
                <w:tcPr>
                  <w:tcW w:w="1320" w:type="dxa"/>
                </w:tcPr>
                <w:p w14:paraId="5C95B327" w14:textId="77777777" w:rsidR="00D762DD" w:rsidRPr="00972D74" w:rsidRDefault="00000000">
                  <w:r w:rsidRPr="00972D74">
                    <w:t>0.015</w:t>
                  </w:r>
                </w:p>
              </w:tc>
              <w:tc>
                <w:tcPr>
                  <w:tcW w:w="1320" w:type="dxa"/>
                </w:tcPr>
                <w:p w14:paraId="7606C96A" w14:textId="77777777" w:rsidR="00D762DD" w:rsidRPr="00972D74" w:rsidRDefault="00000000">
                  <w:r w:rsidRPr="00972D74">
                    <w:t>86.2</w:t>
                  </w:r>
                </w:p>
              </w:tc>
              <w:tc>
                <w:tcPr>
                  <w:tcW w:w="1320" w:type="dxa"/>
                </w:tcPr>
                <w:p w14:paraId="7D69D713" w14:textId="77777777" w:rsidR="00D762DD" w:rsidRPr="00972D74" w:rsidRDefault="00000000">
                  <w:r w:rsidRPr="00972D74">
                    <w:t>✗ No cumple</w:t>
                  </w:r>
                </w:p>
              </w:tc>
            </w:tr>
            <w:bookmarkEnd w:id="173"/>
          </w:tbl>
          <w:p w14:paraId="4BC9E4FE" w14:textId="77777777" w:rsidR="00D762DD" w:rsidRDefault="00D762DD"/>
        </w:tc>
      </w:tr>
    </w:tbl>
    <w:p w14:paraId="33DCAA76" w14:textId="77777777" w:rsidR="00D762DD" w:rsidRDefault="00000000">
      <w:pPr>
        <w:pStyle w:val="BodyText"/>
      </w:pPr>
      <w:r>
        <w:rPr>
          <w:i/>
          <w:iCs/>
        </w:rPr>
        <w:t>Nota de alcance:</w:t>
      </w:r>
      <w:r>
        <w:t xml:space="preserve"> El valor de estabilidad de SHAP (0.948) corresponde exclusivamente al subgrupo RF/</w:t>
      </w:r>
      <m:oMath>
        <m:r>
          <w:rPr>
            <w:rFonts w:ascii="Cambria Math" w:hAnsi="Cambria Math"/>
          </w:rPr>
          <m:t>N</m:t>
        </m:r>
        <m:r>
          <m:rPr>
            <m:sty m:val="p"/>
          </m:rPr>
          <w:rPr>
            <w:rFonts w:ascii="Cambria Math" w:hAnsi="Cambria Math"/>
          </w:rPr>
          <m:t>=</m:t>
        </m:r>
        <m:r>
          <w:rPr>
            <w:rFonts w:ascii="Cambria Math" w:hAnsi="Cambria Math"/>
          </w:rPr>
          <m:t>100</m:t>
        </m:r>
      </m:oMath>
      <w:r>
        <w:t xml:space="preserve"> del perfilado P1. La media EXP2 de estabilidad SHAP sobre los cinco modelos y los tres tamaños de muestra es 0.732; la diferencia refleja que </w:t>
      </w:r>
      <w:proofErr w:type="spellStart"/>
      <w:r>
        <w:t>KernelSHAP</w:t>
      </w:r>
      <w:proofErr w:type="spellEnd"/>
      <w:r>
        <w:t xml:space="preserve"> aplicado a SVM y MLP produce estabilidades marcadamente menores que </w:t>
      </w:r>
      <w:proofErr w:type="spellStart"/>
      <w:r>
        <w:t>TreeSHAP</w:t>
      </w:r>
      <w:proofErr w:type="spellEnd"/>
      <w:r>
        <w:t xml:space="preserve"> aplicado a RF, lo que reduce la media global respecto al valor observado aquí.</w:t>
      </w:r>
    </w:p>
    <w:p w14:paraId="338442D7" w14:textId="77777777" w:rsidR="00D762DD" w:rsidRDefault="00000000">
      <w:pPr>
        <w:pStyle w:val="BodyText"/>
      </w:pPr>
      <w:r>
        <w:lastRenderedPageBreak/>
        <w:t>Los resultados confirman P1 parcialmente. Para las métricas en las que el método produce señales de magnitud apreciable, el CV es inferior al 15%: SHAP-fidelidad (0.8%), SHAP-estabilidad (0.7%) y LIME-fidelidad (2.6%) cumplen ampliamente el criterio. La excepción es LIME-estabilidad, con CV = 86.2%, que viola el umbral del 15%.</w:t>
      </w:r>
    </w:p>
    <w:p w14:paraId="74050101" w14:textId="77777777" w:rsidR="00D762DD" w:rsidRDefault="00000000">
      <w:pPr>
        <w:pStyle w:val="BodyText"/>
      </w:pPr>
      <w:r>
        <w:t xml:space="preserve">Sin embargo, este incumplimiento es interpretable como un hallazgo sustantivo más que como un defecto del protocolo. LIME-estabilidad tiene media 0.018, es decir, la similitud coseno entre explicaciones replicadas es casi nula. En este régimen, la desviación absoluta entre réplicas (~0.015) es numéricamente pequeña pero el CV es elevado precisamente porque el denominador es cercano a cero. Un CV del 86% sobre una media de 0.018 equivale a una incertidumbre absoluta de </w:t>
      </w:r>
      <m:oMath>
        <m:r>
          <m:rPr>
            <m:sty m:val="p"/>
          </m:rPr>
          <w:rPr>
            <w:rFonts w:ascii="Cambria Math" w:hAnsi="Cambria Math"/>
          </w:rPr>
          <m:t>±</m:t>
        </m:r>
        <m:r>
          <w:rPr>
            <w:rFonts w:ascii="Cambria Math" w:hAnsi="Cambria Math"/>
          </w:rPr>
          <m:t>0.015</m:t>
        </m:r>
      </m:oMath>
      <w:r>
        <w:t>, que en la escala de similitud coseno es trivial. La proposición P1 se satisface para las métricas con señal sustantiva; la excepción de LIME- estabilidad es una consecuencia de la inestabilidad del método bajo esta configuración, no de la irreproducibilidad del protocolo.</w:t>
      </w:r>
    </w:p>
    <w:p w14:paraId="7F046777" w14:textId="77777777" w:rsidR="00D762DD" w:rsidRDefault="00000000">
      <w:pPr>
        <w:pStyle w:val="BodyText"/>
      </w:pPr>
      <w:r>
        <w:t xml:space="preserve">Para la generalización global, el CV en fidelidad agrupando todas las ejecuciones calificadas de cada método es de 11.4% (SHAP) y 12.0% (LIME) —es decir, SHAP es además el más reproducible de los dos, no el más disperso—, confirmando que la variabilidad métrica debida a la aleatoriedad de la semilla es controlada y uniforme, y que ambos valores quedan por debajo del umbral del 15% fijado en P1. Los </w:t>
      </w:r>
      <w:proofErr w:type="spellStart"/>
      <w:r>
        <w:t>CVs</w:t>
      </w:r>
      <w:proofErr w:type="spellEnd"/>
      <w:r>
        <w:t xml:space="preserve"> de coste y estabilidad, que son inherentemente más variables por la dependencia de las instancias específicas seleccionadas, se esperan en rangos superiores y no forman parte del criterio primario de P1.</w:t>
      </w:r>
    </w:p>
    <w:p w14:paraId="670233D8" w14:textId="77777777" w:rsidR="00D762DD" w:rsidRDefault="00000000">
      <w:pPr>
        <w:pStyle w:val="Heading2"/>
      </w:pPr>
      <w:bookmarkStart w:id="174" w:name="sec-perfiles"/>
      <w:bookmarkStart w:id="175" w:name="_Toc238925775"/>
      <w:bookmarkEnd w:id="171"/>
      <w:r>
        <w:t>Perfil multidimensional por método</w:t>
      </w:r>
      <w:bookmarkEnd w:id="175"/>
    </w:p>
    <w:p w14:paraId="5A8BC9CC" w14:textId="77777777" w:rsidR="00D762DD" w:rsidRDefault="00000000">
      <w:r>
        <w:t xml:space="preserve">El análisis </w:t>
      </w:r>
      <w:proofErr w:type="spellStart"/>
      <w:r>
        <w:t>omnibus</w:t>
      </w:r>
      <w:proofErr w:type="spellEnd"/>
      <w:r>
        <w:t xml:space="preserve"> y pareado establece las diferencias confirmativas; esta sección describe el perfil multidimensional completo de cada método, integrando las cinco métricas y el comportamiento específico por modelo.</w:t>
      </w:r>
    </w:p>
    <w:p w14:paraId="3FC97944" w14:textId="77777777" w:rsidR="00D762DD" w:rsidRDefault="00000000">
      <w:pPr>
        <w:pStyle w:val="Heading3"/>
      </w:pPr>
      <w:bookmarkStart w:id="176" w:name="shap"/>
      <w:bookmarkStart w:id="177" w:name="_Toc238925776"/>
      <w:r>
        <w:t>SHAP</w:t>
      </w:r>
      <w:bookmarkEnd w:id="177"/>
    </w:p>
    <w:p w14:paraId="2F3DFD98" w14:textId="77777777" w:rsidR="00D762DD" w:rsidRDefault="00000000">
      <w:r>
        <w:t xml:space="preserve">SHAP presenta el perfil más equilibrado y favorable de los cuatro métodos. Sus medias consolidadas sobre las 75 ejecuciones calificadas son: fidelidad = 0.808, estabilidad = 0.732, parsimonia = 0.226, brecha de fidelidad = 0.380, coste = 11,708 ms. </w:t>
      </w:r>
      <w:proofErr w:type="gramStart"/>
      <w:r>
        <w:t>El ratio</w:t>
      </w:r>
      <w:proofErr w:type="gramEnd"/>
      <w:r>
        <w:t xml:space="preserve"> activo más alto de </w:t>
      </w:r>
      <w:r>
        <w:lastRenderedPageBreak/>
        <w:t>todos los métodos (0.226 frente a 0.085 de LIME) refleja que SHAP puede distribuir importancias entre un mayor número de características cuando el modelo así lo requiere, lo que es un reflejo adecuado de la complejidad real del modelo; por la dirección de la métrica (§</w:t>
      </w:r>
      <w:proofErr w:type="spellStart"/>
      <w:r>
        <w:t>sec-metricas</w:t>
      </w:r>
      <w:proofErr w:type="spellEnd"/>
      <w:r>
        <w:t xml:space="preserve">), esto significa que SHAP es el método </w:t>
      </w:r>
      <w:r>
        <w:rPr>
          <w:i/>
          <w:iCs/>
        </w:rPr>
        <w:t>menos</w:t>
      </w:r>
      <w:r>
        <w:t xml:space="preserve"> parsimonioso del </w:t>
      </w:r>
      <w:proofErr w:type="spellStart"/>
      <w:r>
        <w:t>benchmark</w:t>
      </w:r>
      <w:proofErr w:type="spellEnd"/>
      <w:r>
        <w:t>.</w:t>
      </w:r>
    </w:p>
    <w:p w14:paraId="78368C87" w14:textId="77777777" w:rsidR="00D762DD" w:rsidRDefault="00000000">
      <w:pPr>
        <w:pStyle w:val="BodyText"/>
      </w:pPr>
      <w:r>
        <w:t xml:space="preserve">El coste es la dimensión adversa de SHAP. Todas las cifras de coste de esta sección son medias por instancia agregadas a nivel de ejecución (instancia → ejecución), la misma unidad usada en los contrastes pareados. La media de 11,708 ms esconde una distribución fuertemente asimétrica: la mediana por ejecución es de solo 684 ms, y la heterogeneidad entre familias de modelos alcanza tres órdenes de magnitud —para </w:t>
      </w:r>
      <w:proofErr w:type="spellStart"/>
      <w:r>
        <w:t>XGBoost</w:t>
      </w:r>
      <w:proofErr w:type="spellEnd"/>
      <w:r>
        <w:t xml:space="preserve">, </w:t>
      </w:r>
      <w:proofErr w:type="spellStart"/>
      <w:r>
        <w:t>TreeSHAP</w:t>
      </w:r>
      <w:proofErr w:type="spellEnd"/>
      <w:r>
        <w:t xml:space="preserve"> opera en ~21 ms de media (mediana 18 ms), mientras que </w:t>
      </w:r>
      <w:proofErr w:type="spellStart"/>
      <w:r>
        <w:t>KernelSHAP</w:t>
      </w:r>
      <w:proofErr w:type="spellEnd"/>
      <w:r>
        <w:t xml:space="preserve"> sobre SVM requiere ~54,231 ms. Esta disparidad tiene implicaciones prácticas directas: el despliegue de SHAP sobre modelos de núcleo o redes neuronales en entornos de baja latencia puede ser inviable sin aproximaciones adicionales.</w:t>
      </w:r>
    </w:p>
    <w:p w14:paraId="5FBA0EDA" w14:textId="77777777" w:rsidR="00D762DD" w:rsidRDefault="00000000">
      <w:pPr>
        <w:pStyle w:val="BodyText"/>
      </w:pPr>
      <w:r>
        <w:t xml:space="preserve">Por modelo, los picos de fidelidad se observan en </w:t>
      </w:r>
      <w:proofErr w:type="spellStart"/>
      <w:r>
        <w:t>logreg</w:t>
      </w:r>
      <w:proofErr w:type="spellEnd"/>
      <w:r>
        <w:t xml:space="preserve"> (0.946) y SVM (0.882), donde la linealidad o la estructura de margen del modelo facilita la aproximación local por valores de Shapley. Las fidelidades más bajas se registran en MLP (0.725) y RF (0.729), coherente con la complejidad de sus superficies de decisión. </w:t>
      </w:r>
      <w:proofErr w:type="spellStart"/>
      <w:r>
        <w:t>XGBoost</w:t>
      </w:r>
      <w:proofErr w:type="spellEnd"/>
      <w:r>
        <w:t xml:space="preserve"> presenta el balance óptimo calidad-coste: fidelidad 0.759 con un coste medio de 21 ms.</w:t>
      </w:r>
    </w:p>
    <w:p w14:paraId="7FD8AC1D" w14:textId="77777777" w:rsidR="00D762DD" w:rsidRDefault="00000000">
      <w:pPr>
        <w:pStyle w:val="Heading3"/>
      </w:pPr>
      <w:bookmarkStart w:id="178" w:name="lime"/>
      <w:bookmarkStart w:id="179" w:name="_Toc238925777"/>
      <w:bookmarkEnd w:id="176"/>
      <w:r>
        <w:t>LIME</w:t>
      </w:r>
      <w:bookmarkEnd w:id="179"/>
    </w:p>
    <w:p w14:paraId="364FDC75" w14:textId="77777777" w:rsidR="00D762DD" w:rsidRDefault="00000000">
      <w:r>
        <w:t xml:space="preserve">LIME es el método más económico en coste (media 3,661 ms, mediana por ejecución 65.7 ms, con medias por familia de modelo de 52 ms en MLP a 17,620 ms en SVM), con una fidelidad media moderada (0.560) y </w:t>
      </w:r>
      <w:proofErr w:type="gramStart"/>
      <w:r>
        <w:t>ratio activo</w:t>
      </w:r>
      <w:proofErr w:type="gramEnd"/>
      <w:r>
        <w:t xml:space="preserve"> bajo y consistente (0.085 en todos los modelos, por diseño), es decir, el método más parsimonioso del </w:t>
      </w:r>
      <w:proofErr w:type="spellStart"/>
      <w:r>
        <w:t>benchmark</w:t>
      </w:r>
      <w:proofErr w:type="spellEnd"/>
      <w:r>
        <w:t>. Su fortaleza operativa es la velocidad y la parsimonia de sus explicaciones, que facilitan la interpretación por parte de usuarios no técnicos.</w:t>
      </w:r>
    </w:p>
    <w:p w14:paraId="30C93B2A" w14:textId="77777777" w:rsidR="00D762DD" w:rsidRDefault="00000000">
      <w:pPr>
        <w:pStyle w:val="BodyText"/>
      </w:pPr>
      <w:r>
        <w:t xml:space="preserve">La limitación principal de LIME en este </w:t>
      </w:r>
      <w:proofErr w:type="spellStart"/>
      <w:r>
        <w:t>benchmark</w:t>
      </w:r>
      <w:proofErr w:type="spellEnd"/>
      <w:r>
        <w:t xml:space="preserve"> es su estabilidad casi nula (0.014) bajo la configuración de referencia. La hipótesis explicativa es conocida en la literatura: la perturbación por muestreo local genera distribuciones que difieren sustancialmente de instancia a instancia, haciendo que los coeficientes del modelo lineal local sean altamente sensibles al conjunto de </w:t>
      </w:r>
      <w:r>
        <w:lastRenderedPageBreak/>
        <w:t xml:space="preserve">puntos de la vecindad (Ribeiro 2016; Bhattacharya and </w:t>
      </w:r>
      <w:proofErr w:type="spellStart"/>
      <w:r>
        <w:t>Verbert</w:t>
      </w:r>
      <w:proofErr w:type="spellEnd"/>
      <w:r>
        <w:t xml:space="preserve"> 2024). En los datos de este </w:t>
      </w:r>
      <w:proofErr w:type="spellStart"/>
      <w:r>
        <w:t>benchmark</w:t>
      </w:r>
      <w:proofErr w:type="spellEnd"/>
      <w:r>
        <w:t>, esta inestabilidad se documentó cuantitativamente: el CV de estabilidad bajo semillas distintas es del 86.2%, y la similitud coseno media de 0.014 implica que dos explicaciones de la misma instancia con semillas distintas son casi ortogonales. Este hallazgo limita el uso de LIME como método de referencia en contextos donde se requiere consistencia explicativa, como auditoría, decisiones de alto riesgo o comparación entre instancias.</w:t>
      </w:r>
    </w:p>
    <w:p w14:paraId="32EF78C0" w14:textId="77777777" w:rsidR="00D762DD" w:rsidRDefault="00000000">
      <w:pPr>
        <w:pStyle w:val="Heading3"/>
      </w:pPr>
      <w:bookmarkStart w:id="180" w:name="anchors"/>
      <w:bookmarkStart w:id="181" w:name="_Toc238925778"/>
      <w:bookmarkEnd w:id="178"/>
      <w:r>
        <w:t>Anchors</w:t>
      </w:r>
      <w:bookmarkEnd w:id="181"/>
    </w:p>
    <w:p w14:paraId="27F823F6" w14:textId="77777777" w:rsidR="00D762DD" w:rsidRDefault="00000000">
      <w:r>
        <w:t xml:space="preserve">Anchors tiene una cobertura de solo 57 celdas calificadas (76.0%), lo que refleja que en los estratos de mayor incertidumbre el algoritmo de búsqueda de reglas no converge a una regla con la precisión mínima exigida. Sobre las 57 ejecuciones calificadas, la fidelidad media es 0.388 y la estabilidad 0.052, ambas inferiores a las de SHAP y LIME. Estos valores son medias a nivel de ejecución; las medias a nivel de bloque </w:t>
      </w:r>
      <m:oMath>
        <m:r>
          <m:rPr>
            <m:sty m:val="p"/>
          </m:rPr>
          <w:rPr>
            <w:rFonts w:ascii="Cambria Math" w:hAnsi="Cambria Math"/>
          </w:rPr>
          <m:t>(</m:t>
        </m:r>
        <m:r>
          <w:rPr>
            <w:rFonts w:ascii="Cambria Math" w:hAnsi="Cambria Math"/>
          </w:rPr>
          <m:t>g</m:t>
        </m:r>
        <m:r>
          <m:rPr>
            <m:sty m:val="p"/>
          </m:rPr>
          <w:rPr>
            <w:rFonts w:ascii="Cambria Math" w:hAnsi="Cambria Math"/>
          </w:rPr>
          <m:t>,</m:t>
        </m:r>
        <m:r>
          <w:rPr>
            <w:rFonts w:ascii="Cambria Math" w:hAnsi="Cambria Math"/>
          </w:rPr>
          <m:t>n</m:t>
        </m:r>
        <m:r>
          <m:rPr>
            <m:sty m:val="p"/>
          </m:rPr>
          <w:rPr>
            <w:rFonts w:ascii="Cambria Math" w:hAnsi="Cambria Math"/>
          </w:rPr>
          <m:t>)</m:t>
        </m:r>
      </m:oMath>
      <w:r>
        <w:t xml:space="preserve"> que alimentan </w:t>
      </w:r>
      <w:proofErr w:type="gramStart"/>
      <w:r>
        <w:t>el test</w:t>
      </w:r>
      <w:proofErr w:type="gramEnd"/>
      <w:r>
        <w:t xml:space="preserve"> de Friedman son 0.389 y 0.043 (</w:t>
      </w:r>
      <w:hyperlink w:anchor="tbl-friedman-fidelity">
        <w:r>
          <w:rPr>
            <w:rStyle w:val="Hyperlink"/>
          </w:rPr>
          <w:t>Table 5.2</w:t>
        </w:r>
      </w:hyperlink>
      <w:r>
        <w:t xml:space="preserve">, </w:t>
      </w:r>
      <w:hyperlink w:anchor="tbl-friedman-stability">
        <w:r>
          <w:rPr>
            <w:rStyle w:val="Hyperlink"/>
          </w:rPr>
          <w:t>Table 5.4</w:t>
        </w:r>
      </w:hyperlink>
      <w:r>
        <w:t xml:space="preserve">). La discrepancia en estabilidad —0.052 frente a 0.043— es específica de Anchors y refleja que su cobertura se distribuye de forma desigual entre bloques, de modo que promediar ejecuciones y promediar bloques no son operaciones equivalentes; para SHAP y LIME, con cobertura completa, ambas agregaciones coinciden. El coste es el más elevado del </w:t>
      </w:r>
      <w:proofErr w:type="spellStart"/>
      <w:r>
        <w:t>benchmark</w:t>
      </w:r>
      <w:proofErr w:type="spellEnd"/>
      <w:r>
        <w:t xml:space="preserve"> y muy variable: media global de 38,159 ms, con medias por familia de modelo desde 2,918 ms para </w:t>
      </w:r>
      <w:proofErr w:type="spellStart"/>
      <w:r>
        <w:t>logreg</w:t>
      </w:r>
      <w:proofErr w:type="spellEnd"/>
      <w:r>
        <w:t xml:space="preserve"> hasta 48,955 ms para RF y 57,705 ms para </w:t>
      </w:r>
      <w:proofErr w:type="spellStart"/>
      <w:r>
        <w:t>XGBoost</w:t>
      </w:r>
      <w:proofErr w:type="spellEnd"/>
      <w:r>
        <w:t xml:space="preserve">. El comportamiento de Anchors refleja la dificultad intrínseca de encontrar reglas locales de alta precisión en modelos no lineales: en </w:t>
      </w:r>
      <w:proofErr w:type="spellStart"/>
      <w:r>
        <w:t>logreg</w:t>
      </w:r>
      <w:proofErr w:type="spellEnd"/>
      <w:r>
        <w:t>, la estructura lineal facilita la búsqueda; en RF y SVM, el espacio de decisión es fragmentado y el algoritmo de búsqueda incurre en costes de exploración elevados.</w:t>
      </w:r>
    </w:p>
    <w:p w14:paraId="75884F68" w14:textId="77777777" w:rsidR="00D762DD" w:rsidRDefault="00000000">
      <w:pPr>
        <w:pStyle w:val="BodyText"/>
      </w:pPr>
      <w:r>
        <w:t xml:space="preserve">La parsimonia de Anchors es comparable a la de LIME (0.085), pero con mayor variabilidad (0.059 de desviación típica). Las reglas IF-THEN que Anchors produce tienen un valor explicativo cualitativo distinto al de los pesos de importancia numérica: son más comprensibles para usuarios finales, pero no permiten comparación cuantitativa directa con las métricas de importancia por las que SHAP y LIME son evaluados. Esta limitación conceptual —no un </w:t>
      </w:r>
      <w:r>
        <w:lastRenderedPageBreak/>
        <w:t>defecto de implementación— sugiere que la fidelidad y estabilidad métricas de Anchors deben interpretarse con cautela.</w:t>
      </w:r>
    </w:p>
    <w:p w14:paraId="095B4E15" w14:textId="77777777" w:rsidR="00D762DD" w:rsidRDefault="00000000">
      <w:pPr>
        <w:pStyle w:val="Heading3"/>
      </w:pPr>
      <w:bookmarkStart w:id="182" w:name="dice"/>
      <w:bookmarkStart w:id="183" w:name="_Toc238925779"/>
      <w:bookmarkEnd w:id="180"/>
      <w:proofErr w:type="spellStart"/>
      <w:r>
        <w:t>DiCE</w:t>
      </w:r>
      <w:bookmarkEnd w:id="183"/>
      <w:proofErr w:type="spellEnd"/>
    </w:p>
    <w:p w14:paraId="0ECF3481" w14:textId="77777777" w:rsidR="00D762DD" w:rsidRDefault="00000000">
      <w:proofErr w:type="spellStart"/>
      <w:r>
        <w:t>DiCE</w:t>
      </w:r>
      <w:proofErr w:type="spellEnd"/>
      <w:r>
        <w:t xml:space="preserve"> ocupa el último lugar en fidelidad (0.172) y una posición intermedia en estabilidad (0.366). Esta combinación es coherente con su paradigma de diseño: como método contrafactual, </w:t>
      </w:r>
      <w:proofErr w:type="spellStart"/>
      <w:r>
        <w:t>DiCE</w:t>
      </w:r>
      <w:proofErr w:type="spellEnd"/>
      <w:r>
        <w:t xml:space="preserve"> genera instancias alternativas que cambian la predicción, no pesos de importancia que explican la predicción actual. La baja fidelidad refleja que las características más modificadas en los contrafactuales no son necesariamente las que más influyen en la predicción local, lo que no es un fallo sino una consecuencia de su objetivo optimizado.</w:t>
      </w:r>
    </w:p>
    <w:p w14:paraId="3E1DE72B" w14:textId="77777777" w:rsidR="00D762DD" w:rsidRDefault="00000000">
      <w:pPr>
        <w:pStyle w:val="BodyText"/>
      </w:pPr>
      <w:r>
        <w:t xml:space="preserve">La estabilidad moderada de </w:t>
      </w:r>
      <w:proofErr w:type="spellStart"/>
      <w:r>
        <w:t>DiCE</w:t>
      </w:r>
      <w:proofErr w:type="spellEnd"/>
      <w:r>
        <w:t xml:space="preserve"> (0.366) es coherente: los contrafactuales generados para instancias perturbadas similarmente tienden a explorar regiones similares del espacio de decisión. La parsimonia es la más baja de todos los métodos (0.017), reflejando que los contrafactuales de </w:t>
      </w:r>
      <w:proofErr w:type="spellStart"/>
      <w:r>
        <w:t>DiCE</w:t>
      </w:r>
      <w:proofErr w:type="spellEnd"/>
      <w:r>
        <w:t xml:space="preserve"> modifican pocas características por construcción (objetivo de proximidad). Su coste medio (28,209 ms; mediana por ejecución 11,880 ms) lo sitúa por debajo de Anchors (38,159 ms) pero muy por encima de SHAP y LIME.</w:t>
      </w:r>
    </w:p>
    <w:p w14:paraId="1C3A4034" w14:textId="77777777" w:rsidR="00D762DD" w:rsidRDefault="00000000">
      <w:pPr>
        <w:pStyle w:val="Heading2"/>
      </w:pPr>
      <w:bookmarkStart w:id="184" w:name="sec-transversal"/>
      <w:bookmarkStart w:id="185" w:name="_Toc238925780"/>
      <w:bookmarkEnd w:id="174"/>
      <w:bookmarkEnd w:id="182"/>
      <w:r>
        <w:t>Análisis transversal: efecto del modelo base y del tamaño de muestra</w:t>
      </w:r>
      <w:bookmarkEnd w:id="185"/>
    </w:p>
    <w:p w14:paraId="01BDCDBB" w14:textId="77777777" w:rsidR="00D762DD" w:rsidRDefault="00000000">
      <w:pPr>
        <w:pStyle w:val="Heading3"/>
      </w:pPr>
      <w:bookmarkStart w:id="186" w:name="Xd0dc4cebb30e80d859f681a41b6366a7a2cd5a6"/>
      <w:bookmarkStart w:id="187" w:name="_Toc238925781"/>
      <w:r>
        <w:t>Efecto del modelo base sobre las métricas</w:t>
      </w:r>
      <w:bookmarkEnd w:id="187"/>
    </w:p>
    <w:p w14:paraId="698A334E" w14:textId="77777777" w:rsidR="00D762DD" w:rsidRDefault="00000000">
      <w:r>
        <w:t>El modelo base influye significativamente sobre los valores absolutos de las métricas, aunque el ordenamiento entre métodos se mantiene constante. Todas las cifras de este apartado son medias por familia de modelo sobre las ejecuciones calificadas (semillas y tamaños de muestra agregados); los valores de celda única correspondientes a los estudios de sensibilidad se reportan por separado en el Apéndice C y no deben leerse como resúmenes por modelo. Las diferencias más notables son:</w:t>
      </w:r>
    </w:p>
    <w:p w14:paraId="75DF3644" w14:textId="77777777" w:rsidR="00D762DD" w:rsidRDefault="00000000">
      <w:pPr>
        <w:pStyle w:val="BodyText"/>
      </w:pPr>
      <w:proofErr w:type="spellStart"/>
      <w:r>
        <w:rPr>
          <w:b/>
          <w:bCs/>
        </w:rPr>
        <w:t>XGBoost</w:t>
      </w:r>
      <w:proofErr w:type="spellEnd"/>
      <w:r>
        <w:t xml:space="preserve"> presenta el perfil calidad-coste más favorable para SHAP: fidelidad 0.759 con un coste medio de 21 ms (mediana 18 ms). Esto se debe al uso de </w:t>
      </w:r>
      <w:proofErr w:type="spellStart"/>
      <w:r>
        <w:t>TreeSHAP</w:t>
      </w:r>
      <w:proofErr w:type="spellEnd"/>
      <w:r>
        <w:t xml:space="preserve"> (Lundberg 2017), que calcula valores exactos de Shapley aprovechando la estructura de árbol y no requiere muestreo ni perturbación. Es la única familia de modelo donde SHAP tiene un coste computacional inferior al de LIME (122 ms de media, mediana 62 ms).</w:t>
      </w:r>
    </w:p>
    <w:p w14:paraId="0F31B402" w14:textId="77777777" w:rsidR="00D762DD" w:rsidRDefault="00000000">
      <w:pPr>
        <w:pStyle w:val="BodyText"/>
      </w:pPr>
      <w:r>
        <w:rPr>
          <w:b/>
          <w:bCs/>
        </w:rPr>
        <w:lastRenderedPageBreak/>
        <w:t>SVM</w:t>
      </w:r>
      <w:r>
        <w:t xml:space="preserve"> es el modelo con el coste SHAP más elevado (54,231 ms de media). </w:t>
      </w:r>
      <w:proofErr w:type="spellStart"/>
      <w:r>
        <w:t>KernelSHAP</w:t>
      </w:r>
      <w:proofErr w:type="spellEnd"/>
      <w:r>
        <w:t xml:space="preserve"> requiere resolver un problema de optimización cuadrática por instancia, que escala con el número de muestras de referencia; el Apéndice C (</w:t>
      </w:r>
      <w:hyperlink w:anchor="tbl-appendix-shap-sensitivity">
        <w:r>
          <w:rPr>
            <w:rStyle w:val="Hyperlink"/>
          </w:rPr>
          <w:t>Table 7.9</w:t>
        </w:r>
      </w:hyperlink>
      <w:r>
        <w:t xml:space="preserve">) cuantifica ese escalado en una celda concreta (SVM, semilla 42, </w:t>
      </w:r>
      <m:oMath>
        <m:r>
          <w:rPr>
            <w:rFonts w:ascii="Cambria Math" w:hAnsi="Cambria Math"/>
          </w:rPr>
          <m:t>N</m:t>
        </m:r>
        <m:r>
          <m:rPr>
            <m:sty m:val="p"/>
          </m:rPr>
          <w:rPr>
            <w:rFonts w:ascii="Cambria Math" w:hAnsi="Cambria Math"/>
          </w:rPr>
          <m:t>=</m:t>
        </m:r>
        <m:r>
          <w:rPr>
            <w:rFonts w:ascii="Cambria Math" w:hAnsi="Cambria Math"/>
          </w:rPr>
          <m:t>100</m:t>
        </m:r>
      </m:oMath>
      <w:r>
        <w:t xml:space="preserve">), donde el coste pasa de 41,233 ms con </w:t>
      </w:r>
      <m:oMath>
        <m:r>
          <w:rPr>
            <w:rFonts w:ascii="Cambria Math" w:hAnsi="Cambria Math"/>
          </w:rPr>
          <m:t>k</m:t>
        </m:r>
        <m:r>
          <m:rPr>
            <m:sty m:val="p"/>
          </m:rPr>
          <w:rPr>
            <w:rFonts w:ascii="Cambria Math" w:hAnsi="Cambria Math"/>
          </w:rPr>
          <m:t>=</m:t>
        </m:r>
        <m:r>
          <w:rPr>
            <w:rFonts w:ascii="Cambria Math" w:hAnsi="Cambria Math"/>
          </w:rPr>
          <m:t>25</m:t>
        </m:r>
      </m:oMath>
      <w:r>
        <w:t xml:space="preserve"> a 614,820 ms con </w:t>
      </w:r>
      <m:oMath>
        <m:r>
          <w:rPr>
            <w:rFonts w:ascii="Cambria Math" w:hAnsi="Cambria Math"/>
          </w:rPr>
          <m:t>k</m:t>
        </m:r>
        <m:r>
          <m:rPr>
            <m:sty m:val="p"/>
          </m:rPr>
          <w:rPr>
            <w:rFonts w:ascii="Cambria Math" w:hAnsi="Cambria Math"/>
          </w:rPr>
          <m:t>=</m:t>
        </m:r>
        <m:r>
          <w:rPr>
            <w:rFonts w:ascii="Cambria Math" w:hAnsi="Cambria Math"/>
          </w:rPr>
          <m:t>100</m:t>
        </m:r>
      </m:oMath>
      <w:r>
        <w:t xml:space="preserve">. La fidelidad media de SHAP sobre SVM (0.882) es la segunda más alta del </w:t>
      </w:r>
      <w:proofErr w:type="spellStart"/>
      <w:r>
        <w:t>benchmark</w:t>
      </w:r>
      <w:proofErr w:type="spellEnd"/>
      <w:r>
        <w:t>. Para SVM, Anchors también es costoso (37,415 ms de media) debido al espacio de búsqueda fragmentado.</w:t>
      </w:r>
    </w:p>
    <w:p w14:paraId="00D37A63" w14:textId="77777777" w:rsidR="00D762DD" w:rsidRDefault="00000000">
      <w:pPr>
        <w:pStyle w:val="BodyText"/>
      </w:pPr>
      <w:r>
        <w:rPr>
          <w:b/>
          <w:bCs/>
        </w:rPr>
        <w:t>Regresión logística (</w:t>
      </w:r>
      <w:proofErr w:type="spellStart"/>
      <w:r>
        <w:rPr>
          <w:b/>
          <w:bCs/>
        </w:rPr>
        <w:t>logreg</w:t>
      </w:r>
      <w:proofErr w:type="spellEnd"/>
      <w:r>
        <w:rPr>
          <w:b/>
          <w:bCs/>
        </w:rPr>
        <w:t>)</w:t>
      </w:r>
      <w:r>
        <w:t xml:space="preserve"> produce la fidelidad SHAP más alta (0.946) y, entre los modelos no basados en árboles, un coste SHAP bajo (936 ms de media). La linealidad de </w:t>
      </w:r>
      <w:proofErr w:type="spellStart"/>
      <w:r>
        <w:t>logreg</w:t>
      </w:r>
      <w:proofErr w:type="spellEnd"/>
      <w:r>
        <w:t xml:space="preserve"> garantiza que las aproximaciones locales de Shapley son globalmente coherentes.</w:t>
      </w:r>
    </w:p>
    <w:p w14:paraId="4C0ACA48" w14:textId="77777777" w:rsidR="00D762DD" w:rsidRDefault="00000000">
      <w:pPr>
        <w:pStyle w:val="BodyText"/>
      </w:pPr>
      <w:r>
        <w:rPr>
          <w:b/>
          <w:bCs/>
        </w:rPr>
        <w:t>MLP</w:t>
      </w:r>
      <w:r>
        <w:t xml:space="preserve"> es el modelo con fidelidades más bajas en todos los métodos: SHAP=0.725, LIME=0.541, Anchors=0.299, </w:t>
      </w:r>
      <w:proofErr w:type="spellStart"/>
      <w:r>
        <w:t>DiCE</w:t>
      </w:r>
      <w:proofErr w:type="spellEnd"/>
      <w:r>
        <w:t xml:space="preserve">=0.026. La complejidad del espacio de gradientes de redes profundas dificulta la aproximación local de cualquier explicador </w:t>
      </w:r>
      <w:proofErr w:type="spellStart"/>
      <w:r>
        <w:t>post-hoc</w:t>
      </w:r>
      <w:proofErr w:type="spellEnd"/>
      <w:r>
        <w:t>. El coste de Anchors sobre MLP (15,564 ms de media) es intermedio dentro de ese método, pero la baja fidelidad restringe su uso como evidencia primaria en auditoría.</w:t>
      </w:r>
    </w:p>
    <w:p w14:paraId="54FF0D57" w14:textId="77777777" w:rsidR="00D762DD" w:rsidRDefault="00000000">
      <w:pPr>
        <w:pStyle w:val="Heading3"/>
      </w:pPr>
      <w:bookmarkStart w:id="188" w:name="X4b1cce5291d3b83ee4e2fe33ac88be27315f5a8"/>
      <w:bookmarkStart w:id="189" w:name="_Toc238925782"/>
      <w:bookmarkEnd w:id="186"/>
      <w:r>
        <w:t>Efecto del tamaño de muestra estratificado</w:t>
      </w:r>
      <w:bookmarkEnd w:id="189"/>
    </w:p>
    <w:p w14:paraId="57AF9819" w14:textId="77777777" w:rsidR="00D762DD" w:rsidRDefault="00000000">
      <w:r>
        <w:t xml:space="preserve">El análisis del efecto de </w:t>
      </w:r>
      <m:oMath>
        <m:r>
          <w:rPr>
            <w:rFonts w:ascii="Cambria Math" w:hAnsi="Cambria Math"/>
          </w:rPr>
          <m:t>N</m:t>
        </m:r>
      </m:oMath>
      <w:r>
        <w:t xml:space="preserve"> (50, 100, 200 instancias por estrato) sobre las métricas primarias revela una estabilidad notable. Para SHAP, las medias de fidelidad según </w:t>
      </w:r>
      <m:oMath>
        <m:r>
          <w:rPr>
            <w:rFonts w:ascii="Cambria Math" w:hAnsi="Cambria Math"/>
          </w:rPr>
          <m:t>N</m:t>
        </m:r>
      </m:oMath>
      <w:r>
        <w:t xml:space="preserve"> son: </w:t>
      </w:r>
      <m:oMath>
        <m:r>
          <w:rPr>
            <w:rFonts w:ascii="Cambria Math" w:hAnsi="Cambria Math"/>
          </w:rPr>
          <m:t>N</m:t>
        </m:r>
        <m:r>
          <m:rPr>
            <m:sty m:val="p"/>
          </m:rPr>
          <w:rPr>
            <w:rFonts w:ascii="Cambria Math" w:hAnsi="Cambria Math"/>
          </w:rPr>
          <m:t>=</m:t>
        </m:r>
        <m:r>
          <w:rPr>
            <w:rFonts w:ascii="Cambria Math" w:hAnsi="Cambria Math"/>
          </w:rPr>
          <m:t>50</m:t>
        </m:r>
      </m:oMath>
      <w:r>
        <w:t xml:space="preserve">: 0.809, </w:t>
      </w:r>
      <m:oMath>
        <m:r>
          <w:rPr>
            <w:rFonts w:ascii="Cambria Math" w:hAnsi="Cambria Math"/>
          </w:rPr>
          <m:t>N</m:t>
        </m:r>
        <m:r>
          <m:rPr>
            <m:sty m:val="p"/>
          </m:rPr>
          <w:rPr>
            <w:rFonts w:ascii="Cambria Math" w:hAnsi="Cambria Math"/>
          </w:rPr>
          <m:t>=</m:t>
        </m:r>
        <m:r>
          <w:rPr>
            <w:rFonts w:ascii="Cambria Math" w:hAnsi="Cambria Math"/>
          </w:rPr>
          <m:t>100</m:t>
        </m:r>
      </m:oMath>
      <w:r>
        <w:t xml:space="preserve">: 0.809, </w:t>
      </w:r>
      <m:oMath>
        <m:r>
          <w:rPr>
            <w:rFonts w:ascii="Cambria Math" w:hAnsi="Cambria Math"/>
          </w:rPr>
          <m:t>N</m:t>
        </m:r>
        <m:r>
          <m:rPr>
            <m:sty m:val="p"/>
          </m:rPr>
          <w:rPr>
            <w:rFonts w:ascii="Cambria Math" w:hAnsi="Cambria Math"/>
          </w:rPr>
          <m:t>=</m:t>
        </m:r>
        <m:r>
          <w:rPr>
            <w:rFonts w:ascii="Cambria Math" w:hAnsi="Cambria Math"/>
          </w:rPr>
          <m:t>200</m:t>
        </m:r>
      </m:oMath>
      <w:r>
        <w:t xml:space="preserve">: 0.807, con diferencias absolutas inferiores a 0.002. Para LIME: </w:t>
      </w:r>
      <m:oMath>
        <m:r>
          <w:rPr>
            <w:rFonts w:ascii="Cambria Math" w:hAnsi="Cambria Math"/>
          </w:rPr>
          <m:t>N</m:t>
        </m:r>
        <m:r>
          <m:rPr>
            <m:sty m:val="p"/>
          </m:rPr>
          <w:rPr>
            <w:rFonts w:ascii="Cambria Math" w:hAnsi="Cambria Math"/>
          </w:rPr>
          <m:t>=</m:t>
        </m:r>
        <m:r>
          <w:rPr>
            <w:rFonts w:ascii="Cambria Math" w:hAnsi="Cambria Math"/>
          </w:rPr>
          <m:t>50</m:t>
        </m:r>
      </m:oMath>
      <w:r>
        <w:t xml:space="preserve">: 0.559, </w:t>
      </w:r>
      <m:oMath>
        <m:r>
          <w:rPr>
            <w:rFonts w:ascii="Cambria Math" w:hAnsi="Cambria Math"/>
          </w:rPr>
          <m:t>N</m:t>
        </m:r>
        <m:r>
          <m:rPr>
            <m:sty m:val="p"/>
          </m:rPr>
          <w:rPr>
            <w:rFonts w:ascii="Cambria Math" w:hAnsi="Cambria Math"/>
          </w:rPr>
          <m:t>=</m:t>
        </m:r>
        <m:r>
          <w:rPr>
            <w:rFonts w:ascii="Cambria Math" w:hAnsi="Cambria Math"/>
          </w:rPr>
          <m:t>100</m:t>
        </m:r>
      </m:oMath>
      <w:r>
        <w:t xml:space="preserve">: 0.561, </w:t>
      </w:r>
      <m:oMath>
        <m:r>
          <w:rPr>
            <w:rFonts w:ascii="Cambria Math" w:hAnsi="Cambria Math"/>
          </w:rPr>
          <m:t>N</m:t>
        </m:r>
        <m:r>
          <m:rPr>
            <m:sty m:val="p"/>
          </m:rPr>
          <w:rPr>
            <w:rFonts w:ascii="Cambria Math" w:hAnsi="Cambria Math"/>
          </w:rPr>
          <m:t>=</m:t>
        </m:r>
        <m:r>
          <w:rPr>
            <w:rFonts w:ascii="Cambria Math" w:hAnsi="Cambria Math"/>
          </w:rPr>
          <m:t>200</m:t>
        </m:r>
      </m:oMath>
      <w:r>
        <w:t>: 0.562. Estas diferencias son inferiores a un punto porcentual y no muestran tendencia monótona.</w:t>
      </w:r>
    </w:p>
    <w:p w14:paraId="066ADA97" w14:textId="77777777" w:rsidR="00D762DD" w:rsidRDefault="00000000">
      <w:pPr>
        <w:pStyle w:val="BodyText"/>
      </w:pPr>
      <w:r>
        <w:t xml:space="preserve">La invarianza de las métricas ante el tamaño de muestra tiene dos implicaciones: (1) la estimación por estrato converge rápidamente, de modo que </w:t>
      </w:r>
      <m:oMath>
        <m:r>
          <w:rPr>
            <w:rFonts w:ascii="Cambria Math" w:hAnsi="Cambria Math"/>
          </w:rPr>
          <m:t>N</m:t>
        </m:r>
        <m:r>
          <m:rPr>
            <m:sty m:val="p"/>
          </m:rPr>
          <w:rPr>
            <w:rFonts w:ascii="Cambria Math" w:hAnsi="Cambria Math"/>
          </w:rPr>
          <m:t>=</m:t>
        </m:r>
        <m:r>
          <w:rPr>
            <w:rFonts w:ascii="Cambria Math" w:hAnsi="Cambria Math"/>
          </w:rPr>
          <m:t>50</m:t>
        </m:r>
      </m:oMath>
      <w:r>
        <w:t xml:space="preserve"> es suficiente para obtener medias representativas; (2) el diseño con tres tamaños de muestra aporta replicación estadística útil sin añadir variabilidad sistemática, lo que confirma la elección de niveles del Capítulo 3. Los costes computacionales crecen proporcionalmente con </w:t>
      </w:r>
      <m:oMath>
        <m:r>
          <w:rPr>
            <w:rFonts w:ascii="Cambria Math" w:hAnsi="Cambria Math"/>
          </w:rPr>
          <m:t>N</m:t>
        </m:r>
      </m:oMath>
      <w:r>
        <w:t xml:space="preserve"> en LIME (estructura lineal) pero no en SHAP para modelos de árbol (TreeSHAP escala logarítmicamente).</w:t>
      </w:r>
    </w:p>
    <w:p w14:paraId="4C508EB9" w14:textId="77777777" w:rsidR="00D762DD" w:rsidRDefault="00000000">
      <w:pPr>
        <w:pStyle w:val="Heading2"/>
      </w:pPr>
      <w:bookmarkStart w:id="190" w:name="sec-trazabilidad-resultados"/>
      <w:bookmarkStart w:id="191" w:name="_Toc238925783"/>
      <w:bookmarkEnd w:id="184"/>
      <w:bookmarkEnd w:id="188"/>
      <w:r>
        <w:lastRenderedPageBreak/>
        <w:t xml:space="preserve">Trazabilidad de </w:t>
      </w:r>
      <w:proofErr w:type="spellStart"/>
      <w:r>
        <w:t>claims</w:t>
      </w:r>
      <w:proofErr w:type="spellEnd"/>
      <w:r>
        <w:t xml:space="preserve"> principales</w:t>
      </w:r>
      <w:bookmarkEnd w:id="191"/>
    </w:p>
    <w:p w14:paraId="49802E11" w14:textId="77777777" w:rsidR="00D762DD" w:rsidRDefault="00000000">
      <w:r>
        <w:t xml:space="preserve">La Tabla </w:t>
      </w:r>
      <w:hyperlink w:anchor="tbl-claim-traceability">
        <w:r>
          <w:rPr>
            <w:rStyle w:val="Hyperlink"/>
          </w:rPr>
          <w:t>Table 5.7</w:t>
        </w:r>
      </w:hyperlink>
      <w:r>
        <w:t xml:space="preserve"> vincula las afirmaciones principales con los artefactos que las sostienen. Esta tabla implementa la puerta 7 de FOM-7 dentro del capítulo de resultados.</w:t>
      </w:r>
    </w:p>
    <w:tbl>
      <w:tblPr>
        <w:tblW w:w="5000" w:type="pct"/>
        <w:tblLayout w:type="fixed"/>
        <w:tblLook w:val="0000" w:firstRow="0" w:lastRow="0" w:firstColumn="0" w:lastColumn="0" w:noHBand="0" w:noVBand="0"/>
      </w:tblPr>
      <w:tblGrid>
        <w:gridCol w:w="9576"/>
      </w:tblGrid>
      <w:tr w:rsidR="00D762DD" w14:paraId="7C1C2313" w14:textId="77777777">
        <w:tc>
          <w:tcPr>
            <w:tcW w:w="7920" w:type="dxa"/>
          </w:tcPr>
          <w:p w14:paraId="55741A5E" w14:textId="77777777" w:rsidR="00D762DD" w:rsidRDefault="00000000">
            <w:pPr>
              <w:spacing w:before="200"/>
              <w:jc w:val="left"/>
            </w:pPr>
            <w:bookmarkStart w:id="192" w:name="tbl-claim-traceability"/>
            <w:r>
              <w:t xml:space="preserve">Table 5.7: Trazabilidad de </w:t>
            </w:r>
            <w:proofErr w:type="spellStart"/>
            <w:r>
              <w:t>claims</w:t>
            </w:r>
            <w:proofErr w:type="spellEnd"/>
            <w:r>
              <w:t>, artefactos y alcance inferencial.</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870"/>
              <w:gridCol w:w="1870"/>
              <w:gridCol w:w="1870"/>
              <w:gridCol w:w="1870"/>
              <w:gridCol w:w="1870"/>
            </w:tblGrid>
            <w:tr w:rsidR="00D762DD" w14:paraId="0538813E" w14:textId="77777777" w:rsidTr="00972D74">
              <w:trPr>
                <w:tblHeader/>
                <w:jc w:val="center"/>
              </w:trPr>
              <w:tc>
                <w:tcPr>
                  <w:tcW w:w="1584" w:type="dxa"/>
                </w:tcPr>
                <w:p w14:paraId="622459F8" w14:textId="77777777" w:rsidR="00D762DD" w:rsidRPr="00972D74" w:rsidRDefault="00000000">
                  <w:pPr>
                    <w:jc w:val="center"/>
                    <w:rPr>
                      <w:b/>
                      <w:bCs/>
                    </w:rPr>
                  </w:pPr>
                  <w:r w:rsidRPr="00972D74">
                    <w:rPr>
                      <w:b/>
                      <w:bCs/>
                    </w:rPr>
                    <w:t>Claim</w:t>
                  </w:r>
                </w:p>
              </w:tc>
              <w:tc>
                <w:tcPr>
                  <w:tcW w:w="1584" w:type="dxa"/>
                </w:tcPr>
                <w:p w14:paraId="279C666C" w14:textId="0DE7DCF4" w:rsidR="00D762DD" w:rsidRPr="00972D74" w:rsidRDefault="00000000">
                  <w:pPr>
                    <w:jc w:val="center"/>
                    <w:rPr>
                      <w:b/>
                      <w:bCs/>
                    </w:rPr>
                  </w:pPr>
                  <w:r w:rsidRPr="00972D74">
                    <w:rPr>
                      <w:b/>
                      <w:bCs/>
                    </w:rPr>
                    <w:t>Evidencia</w:t>
                  </w:r>
                </w:p>
              </w:tc>
              <w:tc>
                <w:tcPr>
                  <w:tcW w:w="1584" w:type="dxa"/>
                </w:tcPr>
                <w:p w14:paraId="36120338" w14:textId="77777777" w:rsidR="00D762DD" w:rsidRPr="00972D74" w:rsidRDefault="00000000">
                  <w:pPr>
                    <w:jc w:val="center"/>
                    <w:rPr>
                      <w:b/>
                      <w:bCs/>
                    </w:rPr>
                  </w:pPr>
                  <w:r w:rsidRPr="00972D74">
                    <w:rPr>
                      <w:b/>
                      <w:bCs/>
                    </w:rPr>
                    <w:t>Artefacto fuente</w:t>
                  </w:r>
                </w:p>
              </w:tc>
              <w:tc>
                <w:tcPr>
                  <w:tcW w:w="1584" w:type="dxa"/>
                </w:tcPr>
                <w:p w14:paraId="6C1247D8" w14:textId="77777777" w:rsidR="00D762DD" w:rsidRPr="00972D74" w:rsidRDefault="00000000">
                  <w:pPr>
                    <w:jc w:val="center"/>
                    <w:rPr>
                      <w:b/>
                      <w:bCs/>
                    </w:rPr>
                  </w:pPr>
                  <w:r w:rsidRPr="00972D74">
                    <w:rPr>
                      <w:b/>
                      <w:bCs/>
                    </w:rPr>
                    <w:t>Script / proceso</w:t>
                  </w:r>
                </w:p>
              </w:tc>
              <w:tc>
                <w:tcPr>
                  <w:tcW w:w="1584" w:type="dxa"/>
                </w:tcPr>
                <w:p w14:paraId="145B14C5" w14:textId="77777777" w:rsidR="00D762DD" w:rsidRPr="00972D74" w:rsidRDefault="00000000">
                  <w:pPr>
                    <w:jc w:val="center"/>
                    <w:rPr>
                      <w:b/>
                      <w:bCs/>
                    </w:rPr>
                  </w:pPr>
                  <w:r w:rsidRPr="00972D74">
                    <w:rPr>
                      <w:b/>
                      <w:bCs/>
                    </w:rPr>
                    <w:t>Alcance</w:t>
                  </w:r>
                </w:p>
              </w:tc>
            </w:tr>
            <w:tr w:rsidR="00D762DD" w14:paraId="3B3136F8" w14:textId="77777777" w:rsidTr="00972D74">
              <w:trPr>
                <w:jc w:val="center"/>
              </w:trPr>
              <w:tc>
                <w:tcPr>
                  <w:tcW w:w="1584" w:type="dxa"/>
                </w:tcPr>
                <w:p w14:paraId="63C2D96C" w14:textId="77777777" w:rsidR="00D762DD" w:rsidRDefault="00000000">
                  <w:pPr>
                    <w:jc w:val="center"/>
                  </w:pPr>
                  <w:r>
                    <w:t>Existen diferencias globales entre métodos en fidelidad</w:t>
                  </w:r>
                </w:p>
              </w:tc>
              <w:tc>
                <w:tcPr>
                  <w:tcW w:w="1584" w:type="dxa"/>
                </w:tcPr>
                <w:p w14:paraId="451C0363" w14:textId="77777777" w:rsidR="00D762DD" w:rsidRDefault="00000000">
                  <w:pPr>
                    <w:jc w:val="center"/>
                  </w:pPr>
                  <w:r>
                    <w:t xml:space="preserve">Tablas </w:t>
                  </w:r>
                  <w:hyperlink w:anchor="tbl-friedman-fidelity">
                    <w:r>
                      <w:rPr>
                        <w:rStyle w:val="Hyperlink"/>
                      </w:rPr>
                      <w:t>Table 5.2</w:t>
                    </w:r>
                  </w:hyperlink>
                  <w:r>
                    <w:t xml:space="preserve"> y </w:t>
                  </w:r>
                  <w:hyperlink w:anchor="tbl-nemenyi-fidelity">
                    <w:r>
                      <w:rPr>
                        <w:rStyle w:val="Hyperlink"/>
                      </w:rPr>
                      <w:t>Table 5.3</w:t>
                    </w:r>
                  </w:hyperlink>
                </w:p>
              </w:tc>
              <w:tc>
                <w:tcPr>
                  <w:tcW w:w="1584" w:type="dxa"/>
                </w:tcPr>
                <w:p w14:paraId="5EBAD02B" w14:textId="77777777" w:rsidR="00D762DD" w:rsidRPr="00A52D0E" w:rsidRDefault="00000000">
                  <w:pPr>
                    <w:jc w:val="center"/>
                    <w:rPr>
                      <w:lang w:val="en-US"/>
                    </w:rPr>
                  </w:pPr>
                  <w:r w:rsidRPr="00A52D0E">
                    <w:rPr>
                      <w:lang w:val="en-US"/>
                    </w:rPr>
                    <w:t>outputs/analysis/paper_a_exp2_stats/friedman_results.csv, nemenyi_fidelity.csv</w:t>
                  </w:r>
                </w:p>
              </w:tc>
              <w:tc>
                <w:tcPr>
                  <w:tcW w:w="1584" w:type="dxa"/>
                </w:tcPr>
                <w:p w14:paraId="3FD0EE58" w14:textId="77777777" w:rsidR="00D762DD" w:rsidRPr="00A52D0E" w:rsidRDefault="00000000">
                  <w:pPr>
                    <w:jc w:val="center"/>
                    <w:rPr>
                      <w:lang w:val="en-US"/>
                    </w:rPr>
                  </w:pPr>
                  <w:r w:rsidRPr="00A52D0E">
                    <w:rPr>
                      <w:lang w:val="en-US"/>
                    </w:rPr>
                    <w:t>scripts/run_exp2_statistical_analysis.py</w:t>
                  </w:r>
                </w:p>
              </w:tc>
              <w:tc>
                <w:tcPr>
                  <w:tcW w:w="1584" w:type="dxa"/>
                </w:tcPr>
                <w:p w14:paraId="4D546EF3" w14:textId="77777777" w:rsidR="00D762DD" w:rsidRDefault="00000000">
                  <w:pPr>
                    <w:jc w:val="center"/>
                  </w:pPr>
                  <w:r>
                    <w:t xml:space="preserve">15 bloques </w:t>
                  </w:r>
                  <w:proofErr w:type="spellStart"/>
                  <w:r>
                    <w:t>Adult</w:t>
                  </w:r>
                  <w:proofErr w:type="spellEnd"/>
                  <w:r>
                    <w:t xml:space="preserve"> </w:t>
                  </w:r>
                  <w:proofErr w:type="spellStart"/>
                  <w:r>
                    <w:t>Income</w:t>
                  </w:r>
                  <w:proofErr w:type="spellEnd"/>
                  <w:r>
                    <w:t>, cuatro métodos, cinco modelos</w:t>
                  </w:r>
                </w:p>
              </w:tc>
            </w:tr>
            <w:tr w:rsidR="00D762DD" w14:paraId="5E7B06FC" w14:textId="77777777" w:rsidTr="00972D74">
              <w:trPr>
                <w:jc w:val="center"/>
              </w:trPr>
              <w:tc>
                <w:tcPr>
                  <w:tcW w:w="1584" w:type="dxa"/>
                </w:tcPr>
                <w:p w14:paraId="6A16A800" w14:textId="77777777" w:rsidR="00D762DD" w:rsidRDefault="00000000">
                  <w:pPr>
                    <w:jc w:val="center"/>
                  </w:pPr>
                  <w:r>
                    <w:t>Existen diferencias globales entre métodos en estabilidad</w:t>
                  </w:r>
                </w:p>
              </w:tc>
              <w:tc>
                <w:tcPr>
                  <w:tcW w:w="1584" w:type="dxa"/>
                </w:tcPr>
                <w:p w14:paraId="0237F506" w14:textId="77777777" w:rsidR="00D762DD" w:rsidRDefault="00000000">
                  <w:pPr>
                    <w:jc w:val="center"/>
                  </w:pPr>
                  <w:r>
                    <w:t xml:space="preserve">Tabla </w:t>
                  </w:r>
                  <w:hyperlink w:anchor="tbl-friedman-stability">
                    <w:r>
                      <w:rPr>
                        <w:rStyle w:val="Hyperlink"/>
                      </w:rPr>
                      <w:t>Table 5.4</w:t>
                    </w:r>
                  </w:hyperlink>
                  <w:r>
                    <w:t xml:space="preserve"> y localización </w:t>
                  </w:r>
                  <w:proofErr w:type="spellStart"/>
                  <w:r>
                    <w:t>Nemenyi</w:t>
                  </w:r>
                  <w:proofErr w:type="spellEnd"/>
                  <w:r>
                    <w:t xml:space="preserve"> en texto</w:t>
                  </w:r>
                </w:p>
              </w:tc>
              <w:tc>
                <w:tcPr>
                  <w:tcW w:w="1584" w:type="dxa"/>
                </w:tcPr>
                <w:p w14:paraId="37BFA5AC" w14:textId="77777777" w:rsidR="00D762DD" w:rsidRPr="00A52D0E" w:rsidRDefault="00000000">
                  <w:pPr>
                    <w:jc w:val="center"/>
                    <w:rPr>
                      <w:lang w:val="en-US"/>
                    </w:rPr>
                  </w:pPr>
                  <w:r w:rsidRPr="00A52D0E">
                    <w:rPr>
                      <w:lang w:val="en-US"/>
                    </w:rPr>
                    <w:t>friedman_results.csv, nemenyi_stability.csv</w:t>
                  </w:r>
                </w:p>
              </w:tc>
              <w:tc>
                <w:tcPr>
                  <w:tcW w:w="1584" w:type="dxa"/>
                </w:tcPr>
                <w:p w14:paraId="4E437DB2" w14:textId="77777777" w:rsidR="00D762DD" w:rsidRPr="00A52D0E" w:rsidRDefault="00000000">
                  <w:pPr>
                    <w:jc w:val="center"/>
                    <w:rPr>
                      <w:lang w:val="en-US"/>
                    </w:rPr>
                  </w:pPr>
                  <w:r w:rsidRPr="00A52D0E">
                    <w:rPr>
                      <w:lang w:val="en-US"/>
                    </w:rPr>
                    <w:t>scripts/run_exp2_statistical_analysis.py</w:t>
                  </w:r>
                </w:p>
              </w:tc>
              <w:tc>
                <w:tcPr>
                  <w:tcW w:w="1584" w:type="dxa"/>
                </w:tcPr>
                <w:p w14:paraId="0E39E7B7" w14:textId="77777777" w:rsidR="00D762DD" w:rsidRDefault="00000000">
                  <w:pPr>
                    <w:jc w:val="center"/>
                  </w:pPr>
                  <w:r>
                    <w:t>Mismo diseño de bloques; estabilidad como similitud coseno</w:t>
                  </w:r>
                </w:p>
              </w:tc>
            </w:tr>
            <w:tr w:rsidR="00D762DD" w14:paraId="3F01CBE0" w14:textId="77777777" w:rsidTr="00972D74">
              <w:trPr>
                <w:jc w:val="center"/>
              </w:trPr>
              <w:tc>
                <w:tcPr>
                  <w:tcW w:w="1584" w:type="dxa"/>
                </w:tcPr>
                <w:p w14:paraId="30C7D188" w14:textId="77777777" w:rsidR="00D762DD" w:rsidRDefault="00000000">
                  <w:pPr>
                    <w:jc w:val="center"/>
                  </w:pPr>
                  <w:r>
                    <w:t xml:space="preserve">SHAP supera a LIME en fidelidad y </w:t>
                  </w:r>
                  <w:proofErr w:type="gramStart"/>
                  <w:r>
                    <w:t>estabilidad</w:t>
                  </w:r>
                  <w:proofErr w:type="gramEnd"/>
                  <w:r>
                    <w:t xml:space="preserve"> pero aumenta el coste medio</w:t>
                  </w:r>
                </w:p>
              </w:tc>
              <w:tc>
                <w:tcPr>
                  <w:tcW w:w="1584" w:type="dxa"/>
                </w:tcPr>
                <w:p w14:paraId="7CBE1C07" w14:textId="77777777" w:rsidR="00D762DD" w:rsidRDefault="00000000">
                  <w:pPr>
                    <w:jc w:val="center"/>
                  </w:pPr>
                  <w:r>
                    <w:t xml:space="preserve">Tabla </w:t>
                  </w:r>
                  <w:hyperlink w:anchor="tbl-paired-shap-lime">
                    <w:r>
                      <w:rPr>
                        <w:rStyle w:val="Hyperlink"/>
                      </w:rPr>
                      <w:t>Table 5.5</w:t>
                    </w:r>
                  </w:hyperlink>
                </w:p>
              </w:tc>
              <w:tc>
                <w:tcPr>
                  <w:tcW w:w="1584" w:type="dxa"/>
                </w:tcPr>
                <w:p w14:paraId="24463FA4" w14:textId="77777777" w:rsidR="00D762DD" w:rsidRPr="00A52D0E" w:rsidRDefault="00000000">
                  <w:pPr>
                    <w:jc w:val="center"/>
                    <w:rPr>
                      <w:lang w:val="en-US"/>
                    </w:rPr>
                  </w:pPr>
                  <w:r w:rsidRPr="00A52D0E">
                    <w:rPr>
                      <w:lang w:val="en-US"/>
                    </w:rPr>
                    <w:t>wilcoxon_shap_lime_all_models.csv, paired_cells_shap_lime_all_models.csv</w:t>
                  </w:r>
                </w:p>
              </w:tc>
              <w:tc>
                <w:tcPr>
                  <w:tcW w:w="1584" w:type="dxa"/>
                </w:tcPr>
                <w:p w14:paraId="36043D3D" w14:textId="77777777" w:rsidR="00D762DD" w:rsidRPr="00A52D0E" w:rsidRDefault="00000000">
                  <w:pPr>
                    <w:jc w:val="center"/>
                    <w:rPr>
                      <w:lang w:val="en-US"/>
                    </w:rPr>
                  </w:pPr>
                  <w:r w:rsidRPr="00A52D0E">
                    <w:rPr>
                      <w:lang w:val="en-US"/>
                    </w:rPr>
                    <w:t>scripts/run_exp2_statistical_analysis.py</w:t>
                  </w:r>
                </w:p>
              </w:tc>
              <w:tc>
                <w:tcPr>
                  <w:tcW w:w="1584" w:type="dxa"/>
                </w:tcPr>
                <w:p w14:paraId="5BAE0BA6" w14:textId="77777777" w:rsidR="00D762DD" w:rsidRDefault="00000000">
                  <w:pPr>
                    <w:jc w:val="center"/>
                  </w:pPr>
                  <w:r>
                    <w:t xml:space="preserve">75 celdas pareadas </w:t>
                  </w:r>
                  <m:oMath>
                    <m:r>
                      <m:rPr>
                        <m:sty m:val="p"/>
                      </m:rPr>
                      <w:rPr>
                        <w:rFonts w:ascii="Cambria Math" w:hAnsi="Cambria Math"/>
                      </w:rPr>
                      <m:t>(</m:t>
                    </m:r>
                    <m:r>
                      <w:rPr>
                        <w:rFonts w:ascii="Cambria Math" w:hAnsi="Cambria Math"/>
                      </w:rPr>
                      <m:t>g</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n</m:t>
                    </m:r>
                    <m:r>
                      <m:rPr>
                        <m:sty m:val="p"/>
                      </m:rPr>
                      <w:rPr>
                        <w:rFonts w:ascii="Cambria Math" w:hAnsi="Cambria Math"/>
                      </w:rPr>
                      <m:t>)</m:t>
                    </m:r>
                  </m:oMath>
                  <w:r>
                    <w:t>; no generaliza fuera de Adult/tabular</w:t>
                  </w:r>
                </w:p>
              </w:tc>
            </w:tr>
            <w:tr w:rsidR="00D762DD" w14:paraId="17EBB359" w14:textId="77777777" w:rsidTr="00972D74">
              <w:trPr>
                <w:jc w:val="center"/>
              </w:trPr>
              <w:tc>
                <w:tcPr>
                  <w:tcW w:w="1584" w:type="dxa"/>
                </w:tcPr>
                <w:p w14:paraId="42F731C8" w14:textId="77777777" w:rsidR="00D762DD" w:rsidRDefault="00000000">
                  <w:pPr>
                    <w:jc w:val="center"/>
                  </w:pPr>
                  <w:r>
                    <w:t xml:space="preserve">FOM-7 produce señales reproducibles </w:t>
                  </w:r>
                  <w:r>
                    <w:lastRenderedPageBreak/>
                    <w:t>para métricas principales</w:t>
                  </w:r>
                </w:p>
              </w:tc>
              <w:tc>
                <w:tcPr>
                  <w:tcW w:w="1584" w:type="dxa"/>
                </w:tcPr>
                <w:p w14:paraId="203DA498" w14:textId="77777777" w:rsidR="00D762DD" w:rsidRDefault="00000000">
                  <w:pPr>
                    <w:jc w:val="center"/>
                  </w:pPr>
                  <w:r>
                    <w:lastRenderedPageBreak/>
                    <w:t xml:space="preserve">Tabla </w:t>
                  </w:r>
                  <w:hyperlink w:anchor="tbl-cv-p1">
                    <w:r>
                      <w:rPr>
                        <w:rStyle w:val="Hyperlink"/>
                      </w:rPr>
                      <w:t>Table 5.6</w:t>
                    </w:r>
                  </w:hyperlink>
                </w:p>
              </w:tc>
              <w:tc>
                <w:tcPr>
                  <w:tcW w:w="1584" w:type="dxa"/>
                </w:tcPr>
                <w:p w14:paraId="77E01403" w14:textId="77777777" w:rsidR="00D762DD" w:rsidRDefault="00000000">
                  <w:pPr>
                    <w:jc w:val="center"/>
                  </w:pPr>
                  <w:r>
                    <w:t>outputs/</w:t>
                  </w:r>
                  <w:proofErr w:type="spellStart"/>
                  <w:r>
                    <w:t>analysis</w:t>
                  </w:r>
                  <w:proofErr w:type="spellEnd"/>
                  <w:r>
                    <w:t>/paper_a_exp2_stats/exp2_run_lev</w:t>
                  </w:r>
                  <w:r>
                    <w:lastRenderedPageBreak/>
                    <w:t>el_metrics.csv (estrato RF/</w:t>
                  </w:r>
                  <m:oMath>
                    <m:r>
                      <w:rPr>
                        <w:rFonts w:ascii="Cambria Math" w:hAnsi="Cambria Math"/>
                      </w:rPr>
                      <m:t>N</m:t>
                    </m:r>
                    <m:r>
                      <m:rPr>
                        <m:sty m:val="p"/>
                      </m:rPr>
                      <w:rPr>
                        <w:rFonts w:ascii="Cambria Math" w:hAnsi="Cambria Math"/>
                      </w:rPr>
                      <m:t>=</m:t>
                    </m:r>
                    <m:r>
                      <w:rPr>
                        <w:rFonts w:ascii="Cambria Math" w:hAnsi="Cambria Math"/>
                      </w:rPr>
                      <m:t>100</m:t>
                    </m:r>
                  </m:oMath>
                  <w:r>
                    <w:t>, cinco semillas); perfil complementario en experiments/exp1_adult/reproducibility/reproducibility_report.csv</w:t>
                  </w:r>
                </w:p>
              </w:tc>
              <w:tc>
                <w:tcPr>
                  <w:tcW w:w="1584" w:type="dxa"/>
                </w:tcPr>
                <w:p w14:paraId="6A6CAB27" w14:textId="77777777" w:rsidR="00D762DD" w:rsidRDefault="00000000">
                  <w:pPr>
                    <w:jc w:val="center"/>
                  </w:pPr>
                  <w:r>
                    <w:lastRenderedPageBreak/>
                    <w:t xml:space="preserve">Agregación por celda desde el nivel de </w:t>
                  </w:r>
                  <w:r>
                    <w:lastRenderedPageBreak/>
                    <w:t>ejecución</w:t>
                  </w:r>
                </w:p>
              </w:tc>
              <w:tc>
                <w:tcPr>
                  <w:tcW w:w="1584" w:type="dxa"/>
                </w:tcPr>
                <w:p w14:paraId="65EEDEF1" w14:textId="77777777" w:rsidR="00D762DD" w:rsidRDefault="00000000">
                  <w:pPr>
                    <w:jc w:val="center"/>
                  </w:pPr>
                  <w:r>
                    <w:lastRenderedPageBreak/>
                    <w:t xml:space="preserve">Confirmación parcial; LIME-estabilidad </w:t>
                  </w:r>
                  <w:r>
                    <w:lastRenderedPageBreak/>
                    <w:t>queda limitada por media cercana a cero</w:t>
                  </w:r>
                </w:p>
              </w:tc>
            </w:tr>
            <w:tr w:rsidR="00D762DD" w14:paraId="456A9444" w14:textId="77777777" w:rsidTr="00972D74">
              <w:trPr>
                <w:jc w:val="center"/>
              </w:trPr>
              <w:tc>
                <w:tcPr>
                  <w:tcW w:w="1584" w:type="dxa"/>
                </w:tcPr>
                <w:p w14:paraId="484C111B" w14:textId="77777777" w:rsidR="00D762DD" w:rsidRDefault="00000000">
                  <w:pPr>
                    <w:jc w:val="center"/>
                  </w:pPr>
                  <w:r>
                    <w:lastRenderedPageBreak/>
                    <w:t>La cobertura faltante no invalida las pruebas confirmativas principales</w:t>
                  </w:r>
                </w:p>
              </w:tc>
              <w:tc>
                <w:tcPr>
                  <w:tcW w:w="1584" w:type="dxa"/>
                </w:tcPr>
                <w:p w14:paraId="2939265B" w14:textId="77777777" w:rsidR="00D762DD" w:rsidRDefault="00000000">
                  <w:pPr>
                    <w:jc w:val="center"/>
                  </w:pPr>
                  <w:r>
                    <w:t>Capítulo 3, tablas de cobertura</w:t>
                  </w:r>
                </w:p>
              </w:tc>
              <w:tc>
                <w:tcPr>
                  <w:tcW w:w="1584" w:type="dxa"/>
                </w:tcPr>
                <w:p w14:paraId="108139F8" w14:textId="77777777" w:rsidR="00D762DD" w:rsidRPr="00A52D0E" w:rsidRDefault="00000000">
                  <w:pPr>
                    <w:jc w:val="center"/>
                    <w:rPr>
                      <w:lang w:val="en-US"/>
                    </w:rPr>
                  </w:pPr>
                  <w:r w:rsidRPr="00A52D0E">
                    <w:rPr>
                      <w:lang w:val="en-US"/>
                    </w:rPr>
                    <w:t>exp2_run_inventory.csv, árbol experiments/exp2_scaled/results/</w:t>
                  </w:r>
                </w:p>
              </w:tc>
              <w:tc>
                <w:tcPr>
                  <w:tcW w:w="1584" w:type="dxa"/>
                </w:tcPr>
                <w:p w14:paraId="48998874" w14:textId="77777777" w:rsidR="00D762DD" w:rsidRDefault="00000000">
                  <w:pPr>
                    <w:jc w:val="center"/>
                  </w:pPr>
                  <w:r>
                    <w:t>Auditoría FOM-7 puerta 3</w:t>
                  </w:r>
                </w:p>
              </w:tc>
              <w:tc>
                <w:tcPr>
                  <w:tcW w:w="1584" w:type="dxa"/>
                </w:tcPr>
                <w:p w14:paraId="4514AE2B" w14:textId="77777777" w:rsidR="00D762DD" w:rsidRDefault="00000000">
                  <w:pPr>
                    <w:jc w:val="center"/>
                  </w:pPr>
                  <w:r>
                    <w:t>Afecta precisión de Anchors/</w:t>
                  </w:r>
                  <w:proofErr w:type="spellStart"/>
                  <w:r>
                    <w:t>DiCE</w:t>
                  </w:r>
                  <w:proofErr w:type="spellEnd"/>
                  <w:r>
                    <w:t>; no afecta SHAP-LIME pareado</w:t>
                  </w:r>
                </w:p>
              </w:tc>
            </w:tr>
            <w:bookmarkEnd w:id="192"/>
          </w:tbl>
          <w:p w14:paraId="24C6DD15" w14:textId="77777777" w:rsidR="00D762DD" w:rsidRDefault="00D762DD"/>
        </w:tc>
      </w:tr>
    </w:tbl>
    <w:p w14:paraId="5E7A95CC" w14:textId="77777777" w:rsidR="00D762DD" w:rsidRDefault="00000000">
      <w:pPr>
        <w:pStyle w:val="Heading2"/>
      </w:pPr>
      <w:bookmarkStart w:id="193" w:name="sec-visualizaciones-resultados"/>
      <w:bookmarkStart w:id="194" w:name="_Toc238925784"/>
      <w:bookmarkEnd w:id="190"/>
      <w:r>
        <w:lastRenderedPageBreak/>
        <w:t>Visualizaciones complementarias</w:t>
      </w:r>
      <w:bookmarkEnd w:id="194"/>
    </w:p>
    <w:p w14:paraId="1FD1A3BB" w14:textId="77777777" w:rsidR="00D762DD" w:rsidRDefault="00000000">
      <w:r>
        <w:t xml:space="preserve">Las tablas inferenciales son la evidencia primaria del capítulo. Las figuras siguientes se incluyen como apoyo visual para inspeccionar patrones </w:t>
      </w:r>
      <w:proofErr w:type="spellStart"/>
      <w:r>
        <w:t>multimétricos</w:t>
      </w:r>
      <w:proofErr w:type="spellEnd"/>
      <w:r>
        <w:t xml:space="preserve"> y relaciones entre constructos. No sustituyen las pruebas estadísticas, pero ayudan a detectar si los resultados tabulares son coherentes con la estructura global de los datos.</w:t>
      </w:r>
    </w:p>
    <w:tbl>
      <w:tblPr>
        <w:tblW w:w="5000" w:type="pct"/>
        <w:tblLayout w:type="fixed"/>
        <w:tblLook w:val="0000" w:firstRow="0" w:lastRow="0" w:firstColumn="0" w:lastColumn="0" w:noHBand="0" w:noVBand="0"/>
      </w:tblPr>
      <w:tblGrid>
        <w:gridCol w:w="9576"/>
      </w:tblGrid>
      <w:tr w:rsidR="00D762DD" w14:paraId="264B11FD" w14:textId="77777777">
        <w:tc>
          <w:tcPr>
            <w:tcW w:w="7920" w:type="dxa"/>
          </w:tcPr>
          <w:p w14:paraId="4882F0A2" w14:textId="77777777" w:rsidR="00D762DD" w:rsidRDefault="00000000">
            <w:bookmarkStart w:id="195" w:name="fig-estabilidad-coste"/>
            <w:r>
              <w:rPr>
                <w:noProof/>
              </w:rPr>
              <w:lastRenderedPageBreak/>
              <w:drawing>
                <wp:inline distT="0" distB="0" distL="0" distR="0" wp14:anchorId="138D1601" wp14:editId="2691D55E">
                  <wp:extent cx="5052060" cy="3154709"/>
                  <wp:effectExtent l="0" t="0" r="0" b="0"/>
                  <wp:docPr id="130" name="Picture"/>
                  <wp:cNvGraphicFramePr/>
                  <a:graphic xmlns:a="http://schemas.openxmlformats.org/drawingml/2006/main">
                    <a:graphicData uri="http://schemas.openxmlformats.org/drawingml/2006/picture">
                      <pic:pic xmlns:pic="http://schemas.openxmlformats.org/drawingml/2006/picture">
                        <pic:nvPicPr>
                          <pic:cNvPr id="131" name="Picture" descr="assets/figures/fig_estabilidad_coste_es.png"/>
                          <pic:cNvPicPr>
                            <a:picLocks noChangeAspect="1" noChangeArrowheads="1"/>
                          </pic:cNvPicPr>
                        </pic:nvPicPr>
                        <pic:blipFill>
                          <a:blip r:embed="rId7"/>
                          <a:stretch>
                            <a:fillRect/>
                          </a:stretch>
                        </pic:blipFill>
                        <pic:spPr bwMode="auto">
                          <a:xfrm>
                            <a:off x="0" y="0"/>
                            <a:ext cx="5052060" cy="3154709"/>
                          </a:xfrm>
                          <a:prstGeom prst="rect">
                            <a:avLst/>
                          </a:prstGeom>
                          <a:noFill/>
                          <a:ln w="9525">
                            <a:noFill/>
                            <a:headEnd/>
                            <a:tailEnd/>
                          </a:ln>
                        </pic:spPr>
                      </pic:pic>
                    </a:graphicData>
                  </a:graphic>
                </wp:inline>
              </w:drawing>
            </w:r>
          </w:p>
          <w:p w14:paraId="62565D6D" w14:textId="77777777" w:rsidR="00D762DD" w:rsidRDefault="00000000">
            <w:pPr>
              <w:spacing w:before="200"/>
              <w:jc w:val="left"/>
            </w:pPr>
            <w:r>
              <w:t>Figure 5.1: Relación entre estabilidad y coste por método. La figura muestra la relación entre consistencia explicativa y coste computacional bajo las condiciones del banco de pruebas.</w:t>
            </w:r>
          </w:p>
        </w:tc>
        <w:bookmarkEnd w:id="195"/>
      </w:tr>
    </w:tbl>
    <w:p w14:paraId="28FDE643" w14:textId="77777777" w:rsidR="00D762DD" w:rsidRDefault="00000000">
      <w:pPr>
        <w:pStyle w:val="BodyText"/>
      </w:pPr>
      <w:r>
        <w:t xml:space="preserve"> </w:t>
      </w:r>
    </w:p>
    <w:tbl>
      <w:tblPr>
        <w:tblW w:w="5000" w:type="pct"/>
        <w:tblLayout w:type="fixed"/>
        <w:tblLook w:val="0000" w:firstRow="0" w:lastRow="0" w:firstColumn="0" w:lastColumn="0" w:noHBand="0" w:noVBand="0"/>
      </w:tblPr>
      <w:tblGrid>
        <w:gridCol w:w="9576"/>
      </w:tblGrid>
      <w:tr w:rsidR="00D762DD" w14:paraId="27BD12F7" w14:textId="77777777">
        <w:tc>
          <w:tcPr>
            <w:tcW w:w="7920" w:type="dxa"/>
          </w:tcPr>
          <w:p w14:paraId="2F775987" w14:textId="77777777" w:rsidR="00D762DD" w:rsidRDefault="00000000">
            <w:bookmarkStart w:id="196" w:name="fig-correlacion-metricas"/>
            <w:r>
              <w:rPr>
                <w:noProof/>
              </w:rPr>
              <w:lastRenderedPageBreak/>
              <w:drawing>
                <wp:inline distT="0" distB="0" distL="0" distR="0" wp14:anchorId="43B3490C" wp14:editId="5006194A">
                  <wp:extent cx="5052060" cy="3860951"/>
                  <wp:effectExtent l="0" t="0" r="0" b="0"/>
                  <wp:docPr id="134" name="Picture"/>
                  <wp:cNvGraphicFramePr/>
                  <a:graphic xmlns:a="http://schemas.openxmlformats.org/drawingml/2006/main">
                    <a:graphicData uri="http://schemas.openxmlformats.org/drawingml/2006/picture">
                      <pic:pic xmlns:pic="http://schemas.openxmlformats.org/drawingml/2006/picture">
                        <pic:nvPicPr>
                          <pic:cNvPr id="135" name="Picture" descr="assets/figures/fig_correlacion_metricas_es.png"/>
                          <pic:cNvPicPr>
                            <a:picLocks noChangeAspect="1" noChangeArrowheads="1"/>
                          </pic:cNvPicPr>
                        </pic:nvPicPr>
                        <pic:blipFill>
                          <a:blip r:embed="rId8"/>
                          <a:stretch>
                            <a:fillRect/>
                          </a:stretch>
                        </pic:blipFill>
                        <pic:spPr bwMode="auto">
                          <a:xfrm>
                            <a:off x="0" y="0"/>
                            <a:ext cx="5052060" cy="3860951"/>
                          </a:xfrm>
                          <a:prstGeom prst="rect">
                            <a:avLst/>
                          </a:prstGeom>
                          <a:noFill/>
                          <a:ln w="9525">
                            <a:noFill/>
                            <a:headEnd/>
                            <a:tailEnd/>
                          </a:ln>
                        </pic:spPr>
                      </pic:pic>
                    </a:graphicData>
                  </a:graphic>
                </wp:inline>
              </w:drawing>
            </w:r>
          </w:p>
          <w:p w14:paraId="10B26AEF" w14:textId="77777777" w:rsidR="00D762DD" w:rsidRDefault="00000000">
            <w:pPr>
              <w:spacing w:before="200"/>
              <w:jc w:val="left"/>
            </w:pPr>
            <w:r>
              <w:t xml:space="preserve">Figure 5.2: Correlación entre métricas del banco de pruebas. La matriz permite inspeccionar relaciones empíricas entre constructos y refuerza la necesidad de evitar una lectura </w:t>
            </w:r>
            <w:proofErr w:type="spellStart"/>
            <w:r>
              <w:t>mono-métrica</w:t>
            </w:r>
            <w:proofErr w:type="spellEnd"/>
            <w:r>
              <w:t xml:space="preserve"> de la calidad explicativa.</w:t>
            </w:r>
          </w:p>
        </w:tc>
        <w:bookmarkEnd w:id="196"/>
      </w:tr>
    </w:tbl>
    <w:p w14:paraId="1B8D53CA" w14:textId="77777777" w:rsidR="00D762DD" w:rsidRDefault="00000000">
      <w:pPr>
        <w:pStyle w:val="BodyText"/>
      </w:pPr>
      <w:r>
        <w:t xml:space="preserve"> </w:t>
      </w:r>
    </w:p>
    <w:tbl>
      <w:tblPr>
        <w:tblW w:w="5000" w:type="pct"/>
        <w:tblLayout w:type="fixed"/>
        <w:tblLook w:val="0000" w:firstRow="0" w:lastRow="0" w:firstColumn="0" w:lastColumn="0" w:noHBand="0" w:noVBand="0"/>
      </w:tblPr>
      <w:tblGrid>
        <w:gridCol w:w="9576"/>
      </w:tblGrid>
      <w:tr w:rsidR="00D762DD" w14:paraId="277D9BEC" w14:textId="77777777">
        <w:tc>
          <w:tcPr>
            <w:tcW w:w="7920" w:type="dxa"/>
          </w:tcPr>
          <w:p w14:paraId="17D43FDB" w14:textId="77777777" w:rsidR="00D762DD" w:rsidRDefault="00000000">
            <w:bookmarkStart w:id="197" w:name="fig-cobertura-exp2"/>
            <w:r>
              <w:rPr>
                <w:noProof/>
              </w:rPr>
              <w:lastRenderedPageBreak/>
              <w:drawing>
                <wp:inline distT="0" distB="0" distL="0" distR="0" wp14:anchorId="1505141C" wp14:editId="7EE1430B">
                  <wp:extent cx="5052060" cy="3412866"/>
                  <wp:effectExtent l="0" t="0" r="0" b="0"/>
                  <wp:docPr id="138" name="Picture"/>
                  <wp:cNvGraphicFramePr/>
                  <a:graphic xmlns:a="http://schemas.openxmlformats.org/drawingml/2006/main">
                    <a:graphicData uri="http://schemas.openxmlformats.org/drawingml/2006/picture">
                      <pic:pic xmlns:pic="http://schemas.openxmlformats.org/drawingml/2006/picture">
                        <pic:nvPicPr>
                          <pic:cNvPr id="139" name="Picture" descr="assets/figures/fig_cobertura_exp2_es.png"/>
                          <pic:cNvPicPr>
                            <a:picLocks noChangeAspect="1" noChangeArrowheads="1"/>
                          </pic:cNvPicPr>
                        </pic:nvPicPr>
                        <pic:blipFill>
                          <a:blip r:embed="rId9"/>
                          <a:stretch>
                            <a:fillRect/>
                          </a:stretch>
                        </pic:blipFill>
                        <pic:spPr bwMode="auto">
                          <a:xfrm>
                            <a:off x="0" y="0"/>
                            <a:ext cx="5052060" cy="3412866"/>
                          </a:xfrm>
                          <a:prstGeom prst="rect">
                            <a:avLst/>
                          </a:prstGeom>
                          <a:noFill/>
                          <a:ln w="9525">
                            <a:noFill/>
                            <a:headEnd/>
                            <a:tailEnd/>
                          </a:ln>
                        </pic:spPr>
                      </pic:pic>
                    </a:graphicData>
                  </a:graphic>
                </wp:inline>
              </w:drawing>
            </w:r>
          </w:p>
          <w:p w14:paraId="44A2755F" w14:textId="77777777" w:rsidR="00D762DD" w:rsidRDefault="00000000">
            <w:pPr>
              <w:spacing w:before="200"/>
              <w:jc w:val="left"/>
            </w:pPr>
            <w:r>
              <w:t>Figure 5.3: Cobertura analítica EXP2 por modelo y método. La figura muestra cuántas de las 15 celdas planificadas por combinación superan la auditoría de integridad FOM-7.</w:t>
            </w:r>
          </w:p>
        </w:tc>
        <w:bookmarkEnd w:id="197"/>
      </w:tr>
    </w:tbl>
    <w:p w14:paraId="18D3817B" w14:textId="77777777" w:rsidR="00D762DD" w:rsidRDefault="00000000">
      <w:pPr>
        <w:pStyle w:val="BodyText"/>
      </w:pPr>
      <w:r>
        <w:t xml:space="preserve"> </w:t>
      </w:r>
    </w:p>
    <w:tbl>
      <w:tblPr>
        <w:tblW w:w="5000" w:type="pct"/>
        <w:tblLayout w:type="fixed"/>
        <w:tblLook w:val="0000" w:firstRow="0" w:lastRow="0" w:firstColumn="0" w:lastColumn="0" w:noHBand="0" w:noVBand="0"/>
      </w:tblPr>
      <w:tblGrid>
        <w:gridCol w:w="9576"/>
      </w:tblGrid>
      <w:tr w:rsidR="00D762DD" w14:paraId="025566B0" w14:textId="77777777">
        <w:tc>
          <w:tcPr>
            <w:tcW w:w="7920" w:type="dxa"/>
          </w:tcPr>
          <w:p w14:paraId="051B0FDF" w14:textId="77777777" w:rsidR="00D762DD" w:rsidRDefault="00000000">
            <w:bookmarkStart w:id="198" w:name="fig-cd-diagram"/>
            <w:r>
              <w:rPr>
                <w:noProof/>
              </w:rPr>
              <w:drawing>
                <wp:inline distT="0" distB="0" distL="0" distR="0" wp14:anchorId="22D60B23" wp14:editId="08760739">
                  <wp:extent cx="5646420" cy="1801452"/>
                  <wp:effectExtent l="0" t="0" r="0" b="0"/>
                  <wp:docPr id="142" name="Picture"/>
                  <wp:cNvGraphicFramePr/>
                  <a:graphic xmlns:a="http://schemas.openxmlformats.org/drawingml/2006/main">
                    <a:graphicData uri="http://schemas.openxmlformats.org/drawingml/2006/picture">
                      <pic:pic xmlns:pic="http://schemas.openxmlformats.org/drawingml/2006/picture">
                        <pic:nvPicPr>
                          <pic:cNvPr id="143" name="Picture" descr="assets/figures/fig_cd_diagram_es.png"/>
                          <pic:cNvPicPr>
                            <a:picLocks noChangeAspect="1" noChangeArrowheads="1"/>
                          </pic:cNvPicPr>
                        </pic:nvPicPr>
                        <pic:blipFill>
                          <a:blip r:embed="rId10"/>
                          <a:stretch>
                            <a:fillRect/>
                          </a:stretch>
                        </pic:blipFill>
                        <pic:spPr bwMode="auto">
                          <a:xfrm>
                            <a:off x="0" y="0"/>
                            <a:ext cx="5646420" cy="1801452"/>
                          </a:xfrm>
                          <a:prstGeom prst="rect">
                            <a:avLst/>
                          </a:prstGeom>
                          <a:noFill/>
                          <a:ln w="9525">
                            <a:noFill/>
                            <a:headEnd/>
                            <a:tailEnd/>
                          </a:ln>
                        </pic:spPr>
                      </pic:pic>
                    </a:graphicData>
                  </a:graphic>
                </wp:inline>
              </w:drawing>
            </w:r>
          </w:p>
          <w:p w14:paraId="7A3C9CB9" w14:textId="77777777" w:rsidR="00D762DD" w:rsidRDefault="00000000">
            <w:pPr>
              <w:spacing w:before="200"/>
              <w:jc w:val="left"/>
            </w:pPr>
            <w:r>
              <w:t xml:space="preserve">Figure 5.4: Diagrama de diferencia crítica de </w:t>
            </w:r>
            <w:proofErr w:type="spellStart"/>
            <w:r>
              <w:t>Nemenyi</w:t>
            </w:r>
            <w:proofErr w:type="spellEnd"/>
            <w:r>
              <w:t xml:space="preserve"> para fidelidad (izquierda) y estabilidad (derecha). El eje horizontal muestra los rangos medios; las barras horizontales gruesas conectan métodos no significativamente distintos (diferencia &lt; DC = 1.211, k=4, n=15, α=0.05). En fidelidad, SHAP y LIME forman un grupo indistinguible entre sí, al igual que Anchors y </w:t>
            </w:r>
            <w:proofErr w:type="spellStart"/>
            <w:r>
              <w:t>DiCE</w:t>
            </w:r>
            <w:proofErr w:type="spellEnd"/>
            <w:r>
              <w:t xml:space="preserve">; </w:t>
            </w:r>
            <w:r>
              <w:lastRenderedPageBreak/>
              <w:t xml:space="preserve">ambos grupos son mutuamente distintos. En estabilidad, el reordenamiento es notable: SHAP y </w:t>
            </w:r>
            <w:proofErr w:type="spellStart"/>
            <w:r>
              <w:t>DiCE</w:t>
            </w:r>
            <w:proofErr w:type="spellEnd"/>
            <w:r>
              <w:t xml:space="preserve"> forman el grupo estable, mientras LIME y Anchors son indistinguibles entre </w:t>
            </w:r>
            <w:proofErr w:type="gramStart"/>
            <w:r>
              <w:t>sí</w:t>
            </w:r>
            <w:proofErr w:type="gramEnd"/>
            <w:r>
              <w:t xml:space="preserve"> pero claramente inferiores.</w:t>
            </w:r>
          </w:p>
        </w:tc>
        <w:bookmarkEnd w:id="198"/>
      </w:tr>
    </w:tbl>
    <w:p w14:paraId="21511C9F" w14:textId="77777777" w:rsidR="00D762DD" w:rsidRDefault="00000000">
      <w:pPr>
        <w:pStyle w:val="BodyText"/>
      </w:pPr>
      <w:r>
        <w:lastRenderedPageBreak/>
        <w:t xml:space="preserve"> </w:t>
      </w:r>
    </w:p>
    <w:tbl>
      <w:tblPr>
        <w:tblW w:w="5000" w:type="pct"/>
        <w:tblLayout w:type="fixed"/>
        <w:tblLook w:val="0000" w:firstRow="0" w:lastRow="0" w:firstColumn="0" w:lastColumn="0" w:noHBand="0" w:noVBand="0"/>
      </w:tblPr>
      <w:tblGrid>
        <w:gridCol w:w="9576"/>
      </w:tblGrid>
      <w:tr w:rsidR="00D762DD" w14:paraId="119A1DFE" w14:textId="77777777">
        <w:tc>
          <w:tcPr>
            <w:tcW w:w="7920" w:type="dxa"/>
          </w:tcPr>
          <w:p w14:paraId="3FC3B976" w14:textId="77777777" w:rsidR="00D762DD" w:rsidRDefault="00000000">
            <w:bookmarkStart w:id="199" w:name="fig-boxplots-metricas"/>
            <w:r>
              <w:rPr>
                <w:noProof/>
              </w:rPr>
              <w:drawing>
                <wp:inline distT="0" distB="0" distL="0" distR="0" wp14:anchorId="32FFD074" wp14:editId="1AECB534">
                  <wp:extent cx="5646420" cy="2662237"/>
                  <wp:effectExtent l="0" t="0" r="0" b="0"/>
                  <wp:docPr id="146" name="Picture"/>
                  <wp:cNvGraphicFramePr/>
                  <a:graphic xmlns:a="http://schemas.openxmlformats.org/drawingml/2006/main">
                    <a:graphicData uri="http://schemas.openxmlformats.org/drawingml/2006/picture">
                      <pic:pic xmlns:pic="http://schemas.openxmlformats.org/drawingml/2006/picture">
                        <pic:nvPicPr>
                          <pic:cNvPr id="147" name="Picture" descr="assets/figures/fig_boxplots_metricas_es.png"/>
                          <pic:cNvPicPr>
                            <a:picLocks noChangeAspect="1" noChangeArrowheads="1"/>
                          </pic:cNvPicPr>
                        </pic:nvPicPr>
                        <pic:blipFill>
                          <a:blip r:embed="rId11"/>
                          <a:stretch>
                            <a:fillRect/>
                          </a:stretch>
                        </pic:blipFill>
                        <pic:spPr bwMode="auto">
                          <a:xfrm>
                            <a:off x="0" y="0"/>
                            <a:ext cx="5646420" cy="2662237"/>
                          </a:xfrm>
                          <a:prstGeom prst="rect">
                            <a:avLst/>
                          </a:prstGeom>
                          <a:noFill/>
                          <a:ln w="9525">
                            <a:noFill/>
                            <a:headEnd/>
                            <a:tailEnd/>
                          </a:ln>
                        </pic:spPr>
                      </pic:pic>
                    </a:graphicData>
                  </a:graphic>
                </wp:inline>
              </w:drawing>
            </w:r>
          </w:p>
          <w:p w14:paraId="52AEA91A" w14:textId="77777777" w:rsidR="00D762DD" w:rsidRDefault="00000000">
            <w:pPr>
              <w:spacing w:before="200"/>
              <w:jc w:val="left"/>
            </w:pPr>
            <w:r>
              <w:t xml:space="preserve">Figure 5.5: Distribución de fidelidad (izquierda) y estabilidad (derecha) por método sobre los 15 bloques </w:t>
            </w:r>
            <m:oMath>
              <m:r>
                <m:rPr>
                  <m:sty m:val="p"/>
                </m:rPr>
                <w:rPr>
                  <w:rFonts w:ascii="Cambria Math" w:hAnsi="Cambria Math"/>
                </w:rPr>
                <m:t>(</m:t>
              </m:r>
              <m:r>
                <w:rPr>
                  <w:rFonts w:ascii="Cambria Math" w:hAnsi="Cambria Math"/>
                </w:rPr>
                <m:t>g</m:t>
              </m:r>
              <m:r>
                <m:rPr>
                  <m:sty m:val="p"/>
                </m:rPr>
                <w:rPr>
                  <w:rFonts w:ascii="Cambria Math" w:hAnsi="Cambria Math"/>
                </w:rPr>
                <m:t>,</m:t>
              </m:r>
              <m:r>
                <w:rPr>
                  <w:rFonts w:ascii="Cambria Math" w:hAnsi="Cambria Math"/>
                </w:rPr>
                <m:t>n</m:t>
              </m:r>
              <m:r>
                <m:rPr>
                  <m:sty m:val="p"/>
                </m:rPr>
                <w:rPr>
                  <w:rFonts w:ascii="Cambria Math" w:hAnsi="Cambria Math"/>
                </w:rPr>
                <m:t>)</m:t>
              </m:r>
            </m:oMath>
            <w:r>
              <w:t xml:space="preserve"> del diseño factorial. Cada punto representa un bloque; la caja muestra el rango intercuartílico; la línea interna, la mediana. Para fidelidad, las cajas de SHAP y LIME no se solapan con las de Anchors y DiCE. Para estabilidad, la caja de LIME colapsa casi en cero (mediana ≈ 0.014), confirmando que la inestabilidad afecta a todos los bloques del </w:t>
            </w:r>
            <w:proofErr w:type="spellStart"/>
            <w:r>
              <w:t>benchmark</w:t>
            </w:r>
            <w:proofErr w:type="spellEnd"/>
            <w:r>
              <w:t xml:space="preserve"> y no a un subconjunto de modelos.</w:t>
            </w:r>
          </w:p>
        </w:tc>
        <w:bookmarkEnd w:id="199"/>
      </w:tr>
    </w:tbl>
    <w:p w14:paraId="607D610E" w14:textId="77777777" w:rsidR="00D762DD" w:rsidRDefault="00000000">
      <w:pPr>
        <w:pStyle w:val="BodyText"/>
      </w:pPr>
      <w:r>
        <w:t xml:space="preserve"> </w:t>
      </w:r>
    </w:p>
    <w:tbl>
      <w:tblPr>
        <w:tblW w:w="5000" w:type="pct"/>
        <w:tblLayout w:type="fixed"/>
        <w:tblLook w:val="0000" w:firstRow="0" w:lastRow="0" w:firstColumn="0" w:lastColumn="0" w:noHBand="0" w:noVBand="0"/>
      </w:tblPr>
      <w:tblGrid>
        <w:gridCol w:w="9576"/>
      </w:tblGrid>
      <w:tr w:rsidR="00D762DD" w14:paraId="5C9EA24C" w14:textId="77777777">
        <w:tc>
          <w:tcPr>
            <w:tcW w:w="7920" w:type="dxa"/>
          </w:tcPr>
          <w:p w14:paraId="45013060" w14:textId="77777777" w:rsidR="00D762DD" w:rsidRDefault="00000000">
            <w:bookmarkStart w:id="200" w:name="fig-diferencias-pareadas"/>
            <w:r>
              <w:rPr>
                <w:noProof/>
              </w:rPr>
              <w:lastRenderedPageBreak/>
              <w:drawing>
                <wp:inline distT="0" distB="0" distL="0" distR="0" wp14:anchorId="05F0552D" wp14:editId="7000452F">
                  <wp:extent cx="5646420" cy="2357586"/>
                  <wp:effectExtent l="0" t="0" r="0" b="0"/>
                  <wp:docPr id="150" name="Picture"/>
                  <wp:cNvGraphicFramePr/>
                  <a:graphic xmlns:a="http://schemas.openxmlformats.org/drawingml/2006/main">
                    <a:graphicData uri="http://schemas.openxmlformats.org/drawingml/2006/picture">
                      <pic:pic xmlns:pic="http://schemas.openxmlformats.org/drawingml/2006/picture">
                        <pic:nvPicPr>
                          <pic:cNvPr id="151" name="Picture" descr="assets/figures/fig_diferencias_pareadas_es.png"/>
                          <pic:cNvPicPr>
                            <a:picLocks noChangeAspect="1" noChangeArrowheads="1"/>
                          </pic:cNvPicPr>
                        </pic:nvPicPr>
                        <pic:blipFill>
                          <a:blip r:embed="rId12"/>
                          <a:stretch>
                            <a:fillRect/>
                          </a:stretch>
                        </pic:blipFill>
                        <pic:spPr bwMode="auto">
                          <a:xfrm>
                            <a:off x="0" y="0"/>
                            <a:ext cx="5646420" cy="2357586"/>
                          </a:xfrm>
                          <a:prstGeom prst="rect">
                            <a:avLst/>
                          </a:prstGeom>
                          <a:noFill/>
                          <a:ln w="9525">
                            <a:noFill/>
                            <a:headEnd/>
                            <a:tailEnd/>
                          </a:ln>
                        </pic:spPr>
                      </pic:pic>
                    </a:graphicData>
                  </a:graphic>
                </wp:inline>
              </w:drawing>
            </w:r>
          </w:p>
          <w:p w14:paraId="59A9A7FE" w14:textId="77777777" w:rsidR="00D762DD" w:rsidRDefault="00000000">
            <w:pPr>
              <w:spacing w:before="200"/>
              <w:jc w:val="left"/>
            </w:pPr>
            <w:r>
              <w:t xml:space="preserve">Figure 5.6: Diferencias pareadas </w:t>
            </w:r>
            <m:oMath>
              <m:sSub>
                <m:sSubPr>
                  <m:ctrlPr>
                    <w:rPr>
                      <w:rFonts w:ascii="Cambria Math" w:hAnsi="Cambria Math"/>
                    </w:rPr>
                  </m:ctrlPr>
                </m:sSubPr>
                <m:e>
                  <m:r>
                    <w:rPr>
                      <w:rFonts w:ascii="Cambria Math" w:hAnsi="Cambria Math"/>
                    </w:rPr>
                    <m:t>d</m:t>
                  </m:r>
                </m:e>
                <m:sub>
                  <m:r>
                    <w:rPr>
                      <w:rFonts w:ascii="Cambria Math" w:hAnsi="Cambria Math"/>
                    </w:rPr>
                    <m:t>i</m:t>
                  </m:r>
                </m:sub>
              </m:sSub>
              <m:r>
                <m:rPr>
                  <m:sty m:val="p"/>
                </m:rPr>
                <w:rPr>
                  <w:rFonts w:ascii="Cambria Math" w:hAnsi="Cambria Math"/>
                </w:rPr>
                <m:t>=</m:t>
              </m:r>
              <m:r>
                <m:rPr>
                  <m:nor/>
                </m:rPr>
                <m:t>SHAP</m:t>
              </m:r>
              <m:r>
                <m:rPr>
                  <m:sty m:val="p"/>
                </m:rPr>
                <w:rPr>
                  <w:rFonts w:ascii="Cambria Math" w:hAnsi="Cambria Math"/>
                </w:rPr>
                <m:t>-</m:t>
              </m:r>
              <m:r>
                <m:rPr>
                  <m:nor/>
                </m:rPr>
                <m:t>LIME</m:t>
              </m:r>
            </m:oMath>
            <w:r>
              <w:t xml:space="preserve"> para fidelidad (izquierda) y estabilidad (derecha) sobre las 75 celdas </w:t>
            </w:r>
            <m:oMath>
              <m:r>
                <m:rPr>
                  <m:sty m:val="p"/>
                </m:rPr>
                <w:rPr>
                  <w:rFonts w:ascii="Cambria Math" w:hAnsi="Cambria Math"/>
                </w:rPr>
                <m:t>(</m:t>
              </m:r>
              <m:r>
                <w:rPr>
                  <w:rFonts w:ascii="Cambria Math" w:hAnsi="Cambria Math"/>
                </w:rPr>
                <m:t>g</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n</m:t>
              </m:r>
              <m:r>
                <m:rPr>
                  <m:sty m:val="p"/>
                </m:rPr>
                <w:rPr>
                  <w:rFonts w:ascii="Cambria Math" w:hAnsi="Cambria Math"/>
                </w:rPr>
                <m:t>)</m:t>
              </m:r>
            </m:oMath>
            <w:r>
              <w:t xml:space="preserve"> del análisis pareado. Las barras azules indican ventaja de SHAP; las rojas, ventaja de LIME. Para fidelidad, las 75/75 diferencias son positivas (media = +0.248; </w:t>
            </w:r>
            <m:oMath>
              <m:sSub>
                <m:sSubPr>
                  <m:ctrlPr>
                    <w:rPr>
                      <w:rFonts w:ascii="Cambria Math" w:hAnsi="Cambria Math"/>
                    </w:rPr>
                  </m:ctrlPr>
                </m:sSubPr>
                <m:e>
                  <m:r>
                    <w:rPr>
                      <w:rFonts w:ascii="Cambria Math" w:hAnsi="Cambria Math"/>
                    </w:rPr>
                    <m:t>d</m:t>
                  </m:r>
                </m:e>
                <m:sub>
                  <m:r>
                    <w:rPr>
                      <w:rFonts w:ascii="Cambria Math" w:hAnsi="Cambria Math"/>
                    </w:rPr>
                    <m:t>z</m:t>
                  </m:r>
                </m:sub>
              </m:sSub>
              <m:r>
                <m:rPr>
                  <m:sty m:val="p"/>
                </m:rPr>
                <w:rPr>
                  <w:rFonts w:ascii="Cambria Math" w:hAnsi="Cambria Math"/>
                </w:rPr>
                <m:t>=</m:t>
              </m:r>
              <m:r>
                <w:rPr>
                  <w:rFonts w:ascii="Cambria Math" w:hAnsi="Cambria Math"/>
                </w:rPr>
                <m:t>4.82</m:t>
              </m:r>
            </m:oMath>
            <w:r>
              <w:t xml:space="preserve">); para estabilidad, las 75/75 diferencias también son positivas (media = +0.718; </w:t>
            </w:r>
            <m:oMath>
              <m:sSub>
                <m:sSubPr>
                  <m:ctrlPr>
                    <w:rPr>
                      <w:rFonts w:ascii="Cambria Math" w:hAnsi="Cambria Math"/>
                    </w:rPr>
                  </m:ctrlPr>
                </m:sSubPr>
                <m:e>
                  <m:r>
                    <w:rPr>
                      <w:rFonts w:ascii="Cambria Math" w:hAnsi="Cambria Math"/>
                    </w:rPr>
                    <m:t>d</m:t>
                  </m:r>
                </m:e>
                <m:sub>
                  <m:r>
                    <w:rPr>
                      <w:rFonts w:ascii="Cambria Math" w:hAnsi="Cambria Math"/>
                    </w:rPr>
                    <m:t>z</m:t>
                  </m:r>
                </m:sub>
              </m:sSub>
              <m:r>
                <m:rPr>
                  <m:sty m:val="p"/>
                </m:rPr>
                <w:rPr>
                  <w:rFonts w:ascii="Cambria Math" w:hAnsi="Cambria Math"/>
                </w:rPr>
                <m:t>=</m:t>
              </m:r>
              <m:r>
                <w:rPr>
                  <w:rFonts w:ascii="Cambria Math" w:hAnsi="Cambria Math"/>
                </w:rPr>
                <m:t>3.00</m:t>
              </m:r>
            </m:oMath>
            <w:r>
              <w:t>). La ausencia de barras rojas confirma que la ventaja de SHAP no es un artefacto de valores atípicos.</w:t>
            </w:r>
          </w:p>
        </w:tc>
        <w:bookmarkEnd w:id="200"/>
      </w:tr>
    </w:tbl>
    <w:p w14:paraId="4CC53472" w14:textId="77777777" w:rsidR="00D762DD" w:rsidRDefault="00000000">
      <w:pPr>
        <w:pStyle w:val="BodyText"/>
      </w:pPr>
      <w:r>
        <w:t xml:space="preserve"> </w:t>
      </w:r>
    </w:p>
    <w:tbl>
      <w:tblPr>
        <w:tblW w:w="5000" w:type="pct"/>
        <w:tblLayout w:type="fixed"/>
        <w:tblLook w:val="0000" w:firstRow="0" w:lastRow="0" w:firstColumn="0" w:lastColumn="0" w:noHBand="0" w:noVBand="0"/>
      </w:tblPr>
      <w:tblGrid>
        <w:gridCol w:w="9576"/>
      </w:tblGrid>
      <w:tr w:rsidR="00D762DD" w14:paraId="047EC752" w14:textId="77777777">
        <w:tc>
          <w:tcPr>
            <w:tcW w:w="7920" w:type="dxa"/>
          </w:tcPr>
          <w:p w14:paraId="4479D666" w14:textId="77777777" w:rsidR="00D762DD" w:rsidRDefault="00000000">
            <w:bookmarkStart w:id="201" w:name="fig-radar-metodos"/>
            <w:r>
              <w:rPr>
                <w:noProof/>
              </w:rPr>
              <w:lastRenderedPageBreak/>
              <w:drawing>
                <wp:inline distT="0" distB="0" distL="0" distR="0" wp14:anchorId="556B11DC" wp14:editId="07991372">
                  <wp:extent cx="4160520" cy="3582746"/>
                  <wp:effectExtent l="0" t="0" r="0" b="0"/>
                  <wp:docPr id="154" name="Picture"/>
                  <wp:cNvGraphicFramePr/>
                  <a:graphic xmlns:a="http://schemas.openxmlformats.org/drawingml/2006/main">
                    <a:graphicData uri="http://schemas.openxmlformats.org/drawingml/2006/picture">
                      <pic:pic xmlns:pic="http://schemas.openxmlformats.org/drawingml/2006/picture">
                        <pic:nvPicPr>
                          <pic:cNvPr id="155" name="Picture" descr="assets/figures/fig_radar_metodos_es.png"/>
                          <pic:cNvPicPr>
                            <a:picLocks noChangeAspect="1" noChangeArrowheads="1"/>
                          </pic:cNvPicPr>
                        </pic:nvPicPr>
                        <pic:blipFill>
                          <a:blip r:embed="rId13"/>
                          <a:stretch>
                            <a:fillRect/>
                          </a:stretch>
                        </pic:blipFill>
                        <pic:spPr bwMode="auto">
                          <a:xfrm>
                            <a:off x="0" y="0"/>
                            <a:ext cx="4160520" cy="3582746"/>
                          </a:xfrm>
                          <a:prstGeom prst="rect">
                            <a:avLst/>
                          </a:prstGeom>
                          <a:noFill/>
                          <a:ln w="9525">
                            <a:noFill/>
                            <a:headEnd/>
                            <a:tailEnd/>
                          </a:ln>
                        </pic:spPr>
                      </pic:pic>
                    </a:graphicData>
                  </a:graphic>
                </wp:inline>
              </w:drawing>
            </w:r>
          </w:p>
          <w:p w14:paraId="1122F0DB" w14:textId="77777777" w:rsidR="00D762DD" w:rsidRDefault="00000000">
            <w:pPr>
              <w:spacing w:before="200"/>
              <w:jc w:val="left"/>
            </w:pPr>
            <w:r>
              <w:t xml:space="preserve">Figure 5.7: Perfil multidimensional normalizado por método en cinco ejes (radio mayor = mejor desempeño). Fidelidad y estabilidad se normalizan directamente; parsimonia y eficiencia de coste se invierten para que el exterior represente en todos los ejes la posición más favorable. Ningún método domina en todos los ejes simultáneamente: SHAP lidera en fidelidad, estabilidad y brecha de fidelidad; LIME en parsimonia y eficiencia de coste; </w:t>
            </w:r>
            <w:proofErr w:type="spellStart"/>
            <w:r>
              <w:t>DiCE</w:t>
            </w:r>
            <w:proofErr w:type="spellEnd"/>
            <w:r>
              <w:t xml:space="preserve"> es intermedio en </w:t>
            </w:r>
            <w:proofErr w:type="gramStart"/>
            <w:r>
              <w:t>estabilidad</w:t>
            </w:r>
            <w:proofErr w:type="gramEnd"/>
            <w:r>
              <w:t xml:space="preserve"> pero muy bajo en fidelidad. Este patrón valida la necesidad del enfoque </w:t>
            </w:r>
            <w:proofErr w:type="spellStart"/>
            <w:r>
              <w:t>multi-métrico</w:t>
            </w:r>
            <w:proofErr w:type="spellEnd"/>
            <w:r>
              <w:t xml:space="preserve"> de FOM-7.</w:t>
            </w:r>
          </w:p>
        </w:tc>
        <w:bookmarkEnd w:id="201"/>
      </w:tr>
    </w:tbl>
    <w:p w14:paraId="0EB14C64" w14:textId="77777777" w:rsidR="00D762DD" w:rsidRDefault="00000000">
      <w:pPr>
        <w:pStyle w:val="Heading2"/>
      </w:pPr>
      <w:bookmarkStart w:id="202" w:name="sec-discusion"/>
      <w:bookmarkStart w:id="203" w:name="_Toc238925785"/>
      <w:bookmarkEnd w:id="193"/>
      <w:r>
        <w:t>Discusión</w:t>
      </w:r>
      <w:bookmarkEnd w:id="203"/>
    </w:p>
    <w:p w14:paraId="42CC4343" w14:textId="77777777" w:rsidR="00D762DD" w:rsidRDefault="00000000">
      <w:pPr>
        <w:pStyle w:val="Heading3"/>
      </w:pPr>
      <w:bookmarkStart w:id="204" w:name="interpretación-conjunta-de-h1-h2-y-h3"/>
      <w:bookmarkStart w:id="205" w:name="_Toc238925786"/>
      <w:r>
        <w:t>Interpretación conjunta de H1, H2 y H3</w:t>
      </w:r>
      <w:bookmarkEnd w:id="205"/>
    </w:p>
    <w:p w14:paraId="313D3E41" w14:textId="77777777" w:rsidR="00D762DD" w:rsidRDefault="00000000">
      <w:r>
        <w:t xml:space="preserve">Los tres ejes confirmatorios convergen en una imagen coherente: SHAP es el método más fiable bajo un criterio multidimensional que incluye fidelidad, estabilidad y reproducibilidad, al precio de un coste computacional heterogéneo que puede ser prohibitivo para ciertos pares modelo-despliegue. LIME es la alternativa viable en entornos donde el coste es crítico, con la </w:t>
      </w:r>
      <w:proofErr w:type="spellStart"/>
      <w:r>
        <w:t>caveat</w:t>
      </w:r>
      <w:proofErr w:type="spellEnd"/>
      <w:r>
        <w:t xml:space="preserve"> explícita de que sus explicaciones son inestables y no deben usarse para comparación entre </w:t>
      </w:r>
      <w:r>
        <w:lastRenderedPageBreak/>
        <w:t xml:space="preserve">instancias ni para auditoría. Anchors y </w:t>
      </w:r>
      <w:proofErr w:type="spellStart"/>
      <w:r>
        <w:t>DiCE</w:t>
      </w:r>
      <w:proofErr w:type="spellEnd"/>
      <w:r>
        <w:t xml:space="preserve"> tienen perfiles de calidad bajos bajo las métricas de atribución, pero atienden a objetivos de evaluación cualitativamente distintos (reglas y contrafactuales), lo que limita la comparación directa.</w:t>
      </w:r>
    </w:p>
    <w:p w14:paraId="158A0015" w14:textId="77777777" w:rsidR="00D762DD" w:rsidRDefault="00000000">
      <w:pPr>
        <w:pStyle w:val="BodyText"/>
      </w:pPr>
      <w:r>
        <w:t xml:space="preserve">El hallazgo quizás más relevante para el campo es la disociación entre fidelidad y estabilidad en los distintos métodos. Un método puede tener fidelidad </w:t>
      </w:r>
      <w:proofErr w:type="gramStart"/>
      <w:r>
        <w:t>moderada</w:t>
      </w:r>
      <w:proofErr w:type="gramEnd"/>
      <w:r>
        <w:t xml:space="preserve"> pero inestabilidad total (LIME) o estabilidad moderada con fidelidad baja (</w:t>
      </w:r>
      <w:proofErr w:type="spellStart"/>
      <w:r>
        <w:t>DiCE</w:t>
      </w:r>
      <w:proofErr w:type="spellEnd"/>
      <w:r>
        <w:t xml:space="preserve">). Esta disociación valida la necesidad de un marco </w:t>
      </w:r>
      <w:proofErr w:type="spellStart"/>
      <w:r>
        <w:t>multi-métrico</w:t>
      </w:r>
      <w:proofErr w:type="spellEnd"/>
      <w:r>
        <w:t xml:space="preserve"> como el propuesto en esta tesis: una evaluación unidimensional basada únicamente en fidelidad habría presentado a LIME como método aceptable, sin capturar su deficiencia crítica en estabilidad.</w:t>
      </w:r>
    </w:p>
    <w:p w14:paraId="6A31EF82" w14:textId="77777777" w:rsidR="00D762DD" w:rsidRDefault="00000000">
      <w:pPr>
        <w:pStyle w:val="BodyText"/>
      </w:pPr>
      <w:r>
        <w:t>Los tamaños de efecto en las comparaciones SHAP-LIME (</w:t>
      </w:r>
      <m:oMath>
        <m:sSub>
          <m:sSubPr>
            <m:ctrlPr>
              <w:rPr>
                <w:rFonts w:ascii="Cambria Math" w:hAnsi="Cambria Math"/>
              </w:rPr>
            </m:ctrlPr>
          </m:sSubPr>
          <m:e>
            <m:r>
              <w:rPr>
                <w:rFonts w:ascii="Cambria Math" w:hAnsi="Cambria Math"/>
              </w:rPr>
              <m:t>d</m:t>
            </m:r>
          </m:e>
          <m:sub>
            <m:r>
              <w:rPr>
                <w:rFonts w:ascii="Cambria Math" w:hAnsi="Cambria Math"/>
              </w:rPr>
              <m:t>z</m:t>
            </m:r>
          </m:sub>
        </m:sSub>
        <m:r>
          <m:rPr>
            <m:sty m:val="p"/>
          </m:rPr>
          <w:rPr>
            <w:rFonts w:ascii="Cambria Math" w:hAnsi="Cambria Math"/>
          </w:rPr>
          <m:t>=</m:t>
        </m:r>
        <m:r>
          <w:rPr>
            <w:rFonts w:ascii="Cambria Math" w:hAnsi="Cambria Math"/>
          </w:rPr>
          <m:t>4.820</m:t>
        </m:r>
      </m:oMath>
      <w:r>
        <w:t xml:space="preserve"> para fidelidad, </w:t>
      </w:r>
      <m:oMath>
        <m:sSub>
          <m:sSubPr>
            <m:ctrlPr>
              <w:rPr>
                <w:rFonts w:ascii="Cambria Math" w:hAnsi="Cambria Math"/>
              </w:rPr>
            </m:ctrlPr>
          </m:sSubPr>
          <m:e>
            <m:r>
              <w:rPr>
                <w:rFonts w:ascii="Cambria Math" w:hAnsi="Cambria Math"/>
              </w:rPr>
              <m:t>d</m:t>
            </m:r>
          </m:e>
          <m:sub>
            <m:r>
              <w:rPr>
                <w:rFonts w:ascii="Cambria Math" w:hAnsi="Cambria Math"/>
              </w:rPr>
              <m:t>z</m:t>
            </m:r>
          </m:sub>
        </m:sSub>
        <m:r>
          <m:rPr>
            <m:sty m:val="p"/>
          </m:rPr>
          <w:rPr>
            <w:rFonts w:ascii="Cambria Math" w:hAnsi="Cambria Math"/>
          </w:rPr>
          <m:t>=</m:t>
        </m:r>
        <m:r>
          <w:rPr>
            <w:rFonts w:ascii="Cambria Math" w:hAnsi="Cambria Math"/>
          </w:rPr>
          <m:t>3.002</m:t>
        </m:r>
      </m:oMath>
      <w:r>
        <w:t xml:space="preserve"> para estabilidad) son notables en el contexto de experimentos de benchmarking XAI. Trabajos de referencia en el campo (Hedström et al. 2023; Agarwal et al. 2022) reportan diferencias entre métodos, aunque con diseños y métricas que no siempre permiten comparación directa. La consistencia direccional en los 75 pares de fidelidad y estabilidad refuerza la conclusión operacional: bajo este diseño y estas condiciones experimentales, la ventaja de SHAP responde a un patrón sistemático en las celdas pareadas, no a una fluctuación estadística marginal.</w:t>
      </w:r>
    </w:p>
    <w:p w14:paraId="18BE2BD1" w14:textId="77777777" w:rsidR="00D762DD" w:rsidRDefault="00000000">
      <w:pPr>
        <w:pStyle w:val="Heading3"/>
      </w:pPr>
      <w:bookmarkStart w:id="206" w:name="Xbd024e4a7bd7bf8de011157bde8f5cf667c76a0"/>
      <w:bookmarkStart w:id="207" w:name="_Toc238925787"/>
      <w:bookmarkEnd w:id="204"/>
      <w:r>
        <w:t>Relación calidad-coste y criterios de selección operativa</w:t>
      </w:r>
      <w:bookmarkEnd w:id="207"/>
    </w:p>
    <w:p w14:paraId="52A39F61" w14:textId="77777777" w:rsidR="00D762DD" w:rsidRDefault="00000000">
      <w:r>
        <w:t>Los resultados permiten derivar criterios técnicos de selección de método XAI en función del contexto operativo. Se propone la siguiente taxonomía de decisión:</w:t>
      </w:r>
    </w:p>
    <w:p w14:paraId="6A263DC1" w14:textId="77777777" w:rsidR="00D762DD" w:rsidRDefault="00000000">
      <w:pPr>
        <w:pStyle w:val="BodyText"/>
      </w:pPr>
      <w:r>
        <w:rPr>
          <w:b/>
          <w:bCs/>
        </w:rPr>
        <w:t>Contexto A — Alta fidelidad, sin restricción de latencia</w:t>
      </w:r>
      <w:r>
        <w:t xml:space="preserve"> (p. ej., auditoría regulatoria, análisis forense de decisiones): SHAP es la opción con mejor evidencia empírica en ambas dimensiones, pero el umbral operativo debe verificarse por familia de modelo y no sobre la media global. La media de fidelidad de SHAP (0.808) supera 0.80, y la de estabilidad (0.732) supera 0.70; por familia, sin embargo, solo </w:t>
      </w:r>
      <w:proofErr w:type="spellStart"/>
      <w:r>
        <w:t>logreg</w:t>
      </w:r>
      <w:proofErr w:type="spellEnd"/>
      <w:r>
        <w:t xml:space="preserve"> (0.946) y SVM (0.882) alcanzan fidelidad ≥ 0.80, y solo </w:t>
      </w:r>
      <w:proofErr w:type="spellStart"/>
      <w:r>
        <w:t>logreg</w:t>
      </w:r>
      <w:proofErr w:type="spellEnd"/>
      <w:r>
        <w:t xml:space="preserve"> (0.880), RF (0.949) y SVM (0.925) alcanzan estabilidad ≥ 0.70. En </w:t>
      </w:r>
      <w:proofErr w:type="spellStart"/>
      <w:r>
        <w:t>XGBoost</w:t>
      </w:r>
      <w:proofErr w:type="spellEnd"/>
      <w:r>
        <w:t xml:space="preserve"> la estabilidad desciende a 0.575 y en MLP a 0.331, de modo que un requisito de consistencia explicativa no queda garantizado en esas dos familias por el mero hecho de elegir SHAP. Para modelos basados </w:t>
      </w:r>
      <w:r>
        <w:lastRenderedPageBreak/>
        <w:t xml:space="preserve">en árboles, el coste de </w:t>
      </w:r>
      <w:proofErr w:type="spellStart"/>
      <w:r>
        <w:t>TreeSHAP</w:t>
      </w:r>
      <w:proofErr w:type="spellEnd"/>
      <w:r>
        <w:t xml:space="preserve"> hace esta elección también eficiente. Para SVM y redes neuronales, la latencia de </w:t>
      </w:r>
      <w:proofErr w:type="spellStart"/>
      <w:r>
        <w:t>KernelSHAP</w:t>
      </w:r>
      <w:proofErr w:type="spellEnd"/>
      <w:r>
        <w:t xml:space="preserve"> puede requerir infraestructura de cómputo dedicada o ejecución asíncrona.</w:t>
      </w:r>
    </w:p>
    <w:p w14:paraId="581BF612" w14:textId="77777777" w:rsidR="00D762DD" w:rsidRDefault="00000000">
      <w:pPr>
        <w:pStyle w:val="BodyText"/>
      </w:pPr>
      <w:r>
        <w:rPr>
          <w:b/>
          <w:bCs/>
        </w:rPr>
        <w:t>Contexto B — Velocidad crítica, consistencia explicativa no requerida</w:t>
      </w:r>
      <w:r>
        <w:t xml:space="preserve"> (p. ej., sistemas de recomendación con retroalimentación explicativa en tiempo real): LIME es viable para modelos </w:t>
      </w:r>
      <w:proofErr w:type="spellStart"/>
      <w:r>
        <w:t>logreg</w:t>
      </w:r>
      <w:proofErr w:type="spellEnd"/>
      <w:r>
        <w:t>/</w:t>
      </w:r>
      <w:proofErr w:type="spellStart"/>
      <w:r>
        <w:t>xgb</w:t>
      </w:r>
      <w:proofErr w:type="spellEnd"/>
      <w:r>
        <w:t>/</w:t>
      </w:r>
      <w:proofErr w:type="spellStart"/>
      <w:r>
        <w:t>mlp</w:t>
      </w:r>
      <w:proofErr w:type="spellEnd"/>
      <w:r>
        <w:t>, cuyas medias por familia de modelo —52 ms (</w:t>
      </w:r>
      <w:proofErr w:type="spellStart"/>
      <w:r>
        <w:t>mlp</w:t>
      </w:r>
      <w:proofErr w:type="spellEnd"/>
      <w:r>
        <w:t>), 73 ms (</w:t>
      </w:r>
      <w:proofErr w:type="spellStart"/>
      <w:r>
        <w:t>logreg</w:t>
      </w:r>
      <w:proofErr w:type="spellEnd"/>
      <w:r>
        <w:t>) y 122 ms (</w:t>
      </w:r>
      <w:proofErr w:type="spellStart"/>
      <w:r>
        <w:t>xgb</w:t>
      </w:r>
      <w:proofErr w:type="spellEnd"/>
      <w:r>
        <w:t>) por instancia, agregadas a nivel de ejecución— se mantienen dos órdenes de magnitud por debajo de las de SVM (17,620 ms), aceptando que la explicación de una misma instancia puede variar entre ejecuciones. Los usuarios finales de estos sistemas deben ser informados de que las explicaciones tienen naturaleza estocástica y no son comparables entre ejecuciones.</w:t>
      </w:r>
    </w:p>
    <w:p w14:paraId="43BBEC07" w14:textId="77777777" w:rsidR="00D762DD" w:rsidRDefault="00000000">
      <w:pPr>
        <w:pStyle w:val="BodyText"/>
      </w:pPr>
      <w:r>
        <w:rPr>
          <w:b/>
          <w:bCs/>
        </w:rPr>
        <w:t>Contexto C — Explicaciones comprensibles para usuarios no técnicos sin requisito cuantitativo</w:t>
      </w:r>
      <w:r>
        <w:t>: Anchors ofrece reglas IF-THEN semánticamente comprensibles, pero solo en modelos con frontera de decisión suficientemente regular (</w:t>
      </w:r>
      <w:proofErr w:type="spellStart"/>
      <w:r>
        <w:t>logreg</w:t>
      </w:r>
      <w:proofErr w:type="spellEnd"/>
      <w:r>
        <w:t xml:space="preserve">, </w:t>
      </w:r>
      <w:proofErr w:type="spellStart"/>
      <w:r>
        <w:t>xgb</w:t>
      </w:r>
      <w:proofErr w:type="spellEnd"/>
      <w:r>
        <w:t>); para RF y SVM, el coste y la baja tasa de cobertura lo hacen impracticable.</w:t>
      </w:r>
    </w:p>
    <w:p w14:paraId="1B5A9A11" w14:textId="77777777" w:rsidR="00D762DD" w:rsidRDefault="00000000">
      <w:pPr>
        <w:pStyle w:val="BodyText"/>
      </w:pPr>
      <w:r>
        <w:rPr>
          <w:b/>
          <w:bCs/>
        </w:rPr>
        <w:t>Contexto D — Análisis de acciones correctivas</w:t>
      </w:r>
      <w:r>
        <w:t xml:space="preserve"> (p. ej., ¿qué debe cambiar una instancia para obtener otro resultado?): </w:t>
      </w:r>
      <w:proofErr w:type="spellStart"/>
      <w:r>
        <w:t>DiCE</w:t>
      </w:r>
      <w:proofErr w:type="spellEnd"/>
      <w:r>
        <w:t xml:space="preserve"> es el único método de los cuatro evaluados diseñado para responder esta pregunta. Su baja fidelidad bajo métricas de atribución es irrelevante para este caso de uso.</w:t>
      </w:r>
    </w:p>
    <w:p w14:paraId="7DD549A0" w14:textId="77777777" w:rsidR="00D762DD" w:rsidRDefault="00000000">
      <w:pPr>
        <w:pStyle w:val="Heading3"/>
      </w:pPr>
      <w:bookmarkStart w:id="208" w:name="X99626a17a471bd5fb48825a2c4d4fcdcb69bcee"/>
      <w:bookmarkStart w:id="209" w:name="_Toc238925788"/>
      <w:bookmarkEnd w:id="206"/>
      <w:r>
        <w:t>Contribuciones, limitaciones y extensiones</w:t>
      </w:r>
      <w:bookmarkEnd w:id="209"/>
    </w:p>
    <w:p w14:paraId="7A767BF4" w14:textId="77777777" w:rsidR="00D762DD" w:rsidRDefault="00000000">
      <w:r>
        <w:t xml:space="preserve">Los hallazgos de este </w:t>
      </w:r>
      <w:proofErr w:type="spellStart"/>
      <w:r>
        <w:t>benchmark</w:t>
      </w:r>
      <w:proofErr w:type="spellEnd"/>
      <w:r>
        <w:t xml:space="preserve"> contribuyen al campo en tres dimensiones. En primer lugar, confirman empíricamente sobre datos tabulares reales y con una batería multidimensional de métricas la jerarquía SHAP &gt; LIME &gt; Anchors en fidelidad, que ha sido asumida </w:t>
      </w:r>
      <w:proofErr w:type="gramStart"/>
      <w:r>
        <w:t>teóricamente</w:t>
      </w:r>
      <w:proofErr w:type="gramEnd"/>
      <w:r>
        <w:t xml:space="preserve"> pero rara vez demostrada bajo un diseño estadístico riguroso (Pawlicki et al. 2024; </w:t>
      </w:r>
      <w:proofErr w:type="spellStart"/>
      <w:r>
        <w:t>Altukhi</w:t>
      </w:r>
      <w:proofErr w:type="spellEnd"/>
      <w:r>
        <w:t xml:space="preserve"> 2025). En segundo lugar, documentan cuantitativamente la inestabilidad de LIME bajo la configuración de referencia, un hallazgo que los estudios basados en fidelidad exclusiva sistemáticamente omiten (Bhattacharya and </w:t>
      </w:r>
      <w:proofErr w:type="spellStart"/>
      <w:r>
        <w:t>Verbert</w:t>
      </w:r>
      <w:proofErr w:type="spellEnd"/>
      <w:r>
        <w:t xml:space="preserve"> 2024). En tercer lugar, demuestran que el protocolo FOM-7 produce resultados reproducibles (CV &lt; 3% en fidelidad para el subgrupo replicado RF/</w:t>
      </w:r>
      <m:oMath>
        <m:r>
          <w:rPr>
            <w:rFonts w:ascii="Cambria Math" w:hAnsi="Cambria Math"/>
          </w:rPr>
          <m:t>N</m:t>
        </m:r>
        <m:r>
          <m:rPr>
            <m:sty m:val="p"/>
          </m:rPr>
          <w:rPr>
            <w:rFonts w:ascii="Cambria Math" w:hAnsi="Cambria Math"/>
          </w:rPr>
          <m:t>=</m:t>
        </m:r>
        <m:r>
          <w:rPr>
            <w:rFonts w:ascii="Cambria Math" w:hAnsi="Cambria Math"/>
          </w:rPr>
          <m:t>100</m:t>
        </m:r>
      </m:oMath>
      <w:r>
        <w:t xml:space="preserve">, y CV agrupado de 11.4% para SHAP y 12.0% para LIME sobre el </w:t>
      </w:r>
      <w:r>
        <w:lastRenderedPageBreak/>
        <w:t>conjunto completo de ejecuciones, todos dentro del umbral del 15% fijado en P1) y que los criterios de cobertura y exclusión de artefactos del benchmark son implementables sin pérdida sustancial de potencia estadística.</w:t>
      </w:r>
    </w:p>
    <w:p w14:paraId="2E7E3129" w14:textId="77777777" w:rsidR="00D762DD" w:rsidRDefault="00000000">
      <w:pPr>
        <w:pStyle w:val="BodyText"/>
      </w:pPr>
      <w:r>
        <w:t xml:space="preserve">Las limitaciones principales del estudio son las siguientes. Primero, el universo experimental se acota al conjunto de datos UCI </w:t>
      </w:r>
      <w:proofErr w:type="spellStart"/>
      <w:r>
        <w:t>Adult</w:t>
      </w:r>
      <w:proofErr w:type="spellEnd"/>
      <w:r>
        <w:t xml:space="preserve"> </w:t>
      </w:r>
      <w:proofErr w:type="spellStart"/>
      <w:r>
        <w:t>Income</w:t>
      </w:r>
      <w:proofErr w:type="spellEnd"/>
      <w:r>
        <w:t xml:space="preserve"> y a problemas de clasificación tabular binaria; la extensión a otros dominios (imágenes, texto, series temporales) requiere rediseño de las métricas de fidelidad y estabilidad. Segundo, las métricas utilizadas son operacionalizaciones específicas de los constructos de calidad: fidelidad como correlación de importancias, estabilidad como similitud coseno. Otras operacionalizaciones posibles (p. ej., fidelidad como perturbación ROAR (Hedström et al. 2023) o estabilidad como distancia entre vecindades) pueden producir ordenamientos distintos. Tercero, el diseño no contempla la dimensión del usuario (comprensibilidad percibida, utilidad para la toma de decisiones), que es una dimensión de calidad no </w:t>
      </w:r>
      <w:proofErr w:type="spellStart"/>
      <w:r>
        <w:t>capturable</w:t>
      </w:r>
      <w:proofErr w:type="spellEnd"/>
      <w:r>
        <w:t xml:space="preserve"> por métricas automáticas. Estos aspectos constituyen extensiones naturales para investigación futura que el protocolo FOM-7 está diseñado para acomodar mediante la adición de puertas adicionales.</w:t>
      </w:r>
    </w:p>
    <w:p w14:paraId="3A30AC90" w14:textId="77777777" w:rsidR="00D762DD" w:rsidRDefault="00000000">
      <w:pPr>
        <w:pStyle w:val="BodyText"/>
      </w:pPr>
      <w:r>
        <w:t xml:space="preserve">Este capítulo ha presentado la evidencia empírica del </w:t>
      </w:r>
      <w:proofErr w:type="spellStart"/>
      <w:r>
        <w:t>benchmark</w:t>
      </w:r>
      <w:proofErr w:type="spellEnd"/>
      <w:r>
        <w:t xml:space="preserve"> con trazabilidad completa de afirmaciones: los resultados de H1, H2 y H3 son estadísticamente robustos con márgenes de seguridad que superan el umbral crítico en más de cuatro veces, y los perfiles de método revelan que ningún método domina en todas las dimensiones simultáneamente. El Capítulo 5 construye sobre esta base en dos planos: desarrolla la taxonomía de cuatro ejes que organiza el espacio de métricas de evaluación XAI y hace explícitos los cuadrantes cubiertos y los que quedan como agenda; e incorpora los resultados del Estudio EXP4 como fundamento empírico de la brecha de evaluación semántica que la taxonomía identifica como la más urgente de resolver.</w:t>
      </w:r>
    </w:p>
    <w:p w14:paraId="7858F2C4" w14:textId="77777777" w:rsidR="00D762DD" w:rsidRDefault="00000000">
      <w:pPr>
        <w:pStyle w:val="Heading1"/>
      </w:pPr>
      <w:bookmarkStart w:id="210" w:name="Xa967782ce714a135dc69dc69099ccfe835ec70b"/>
      <w:bookmarkStart w:id="211" w:name="_Toc238925789"/>
      <w:bookmarkEnd w:id="150"/>
      <w:bookmarkEnd w:id="202"/>
      <w:bookmarkEnd w:id="208"/>
      <w:r>
        <w:t>Taxonomía de métricas y síntesis conceptual</w:t>
      </w:r>
      <w:bookmarkEnd w:id="211"/>
    </w:p>
    <w:p w14:paraId="07663CF9" w14:textId="77777777" w:rsidR="00D762DD" w:rsidRDefault="00000000">
      <w:r>
        <w:t xml:space="preserve">El Capítulo 4 produjo un resultado que no era predecible a priori y que tiene consecuencias metodológicas directas sobre cómo debe organizarse el espacio de métricas XAI. LIME obtuvo una fidelidad media de 0.560 —por encima del umbral de uso en producción para muchos equipos de datos— y al mismo tiempo una estabilidad prácticamente nula bajo la configuración </w:t>
      </w:r>
      <w:r>
        <w:lastRenderedPageBreak/>
        <w:t xml:space="preserve">de referencia del </w:t>
      </w:r>
      <w:proofErr w:type="spellStart"/>
      <w:r>
        <w:t>benchmark</w:t>
      </w:r>
      <w:proofErr w:type="spellEnd"/>
      <w:r>
        <w:t xml:space="preserve">: similitud coseno media de 0.014 y coeficiente de variación del 86.2% entre explicaciones generadas para la misma instancia con distintas semillas (el Capítulo 6 delimita el alcance de este resultado, que depende del espacio de características y del ancho del </w:t>
      </w:r>
      <w:proofErr w:type="spellStart"/>
      <w:r>
        <w:t>kernel</w:t>
      </w:r>
      <w:proofErr w:type="spellEnd"/>
      <w:r>
        <w:t xml:space="preserve">). SHAP, en cambio, mantuvo fidelidad de 0.808 y estabilidad de 0.732, con </w:t>
      </w:r>
      <w:proofErr w:type="spellStart"/>
      <w:r>
        <w:t>d</w:t>
      </w:r>
      <w:r>
        <w:rPr>
          <w:vertAlign w:val="subscript"/>
        </w:rPr>
        <w:t>z</w:t>
      </w:r>
      <w:proofErr w:type="spellEnd"/>
      <w:r>
        <w:t xml:space="preserve">=4.82 y </w:t>
      </w:r>
      <w:proofErr w:type="spellStart"/>
      <w:r>
        <w:t>d</w:t>
      </w:r>
      <w:r>
        <w:rPr>
          <w:vertAlign w:val="subscript"/>
        </w:rPr>
        <w:t>z</w:t>
      </w:r>
      <w:proofErr w:type="spellEnd"/>
      <w:r>
        <w:t xml:space="preserve">=3.00 respectivamente. La correlación empírica entre fidelidad y estabilidad —visible en la </w:t>
      </w:r>
      <w:hyperlink w:anchor="fig-correlacion-metricas">
        <w:r>
          <w:rPr>
            <w:rStyle w:val="Hyperlink"/>
          </w:rPr>
          <w:t>Figure 5.2</w:t>
        </w:r>
      </w:hyperlink>
      <w:r>
        <w:t xml:space="preserve">— es baja, lo que significa que ambas dimensiones aportan información no redundante sobre la calidad de una explicación. Un </w:t>
      </w:r>
      <w:proofErr w:type="spellStart"/>
      <w:r>
        <w:t>benchmark</w:t>
      </w:r>
      <w:proofErr w:type="spellEnd"/>
      <w:r>
        <w:t xml:space="preserve"> que solo reportara fidelidad habría concluido que LIME es aceptable para uso en auditoría. Un </w:t>
      </w:r>
      <w:proofErr w:type="spellStart"/>
      <w:r>
        <w:t>benchmark</w:t>
      </w:r>
      <w:proofErr w:type="spellEnd"/>
      <w:r>
        <w:t xml:space="preserve"> que solo reportara estabilidad habría eliminado LIME sin valorar su ventaja en coste y parsimonia. Ningún escalar único captura el perfil completo.</w:t>
      </w:r>
    </w:p>
    <w:p w14:paraId="783DC1FE" w14:textId="77777777" w:rsidR="00D762DD" w:rsidRDefault="00000000">
      <w:pPr>
        <w:pStyle w:val="BodyText"/>
      </w:pPr>
      <w:r>
        <w:t xml:space="preserve">Esta disociación no es un artefacto del diseño. La parsimonia media de </w:t>
      </w:r>
      <w:proofErr w:type="spellStart"/>
      <w:r>
        <w:t>DiCE</w:t>
      </w:r>
      <w:proofErr w:type="spellEnd"/>
      <w:r>
        <w:t xml:space="preserve"> (0.017 de ratio activo, la más concisa del </w:t>
      </w:r>
      <w:proofErr w:type="spellStart"/>
      <w:r>
        <w:t>benchmark</w:t>
      </w:r>
      <w:proofErr w:type="spellEnd"/>
      <w:r>
        <w:t xml:space="preserve">) y su fidelidad baja (0.172) responden a una lógica distinta a la de SHAP o LIME: </w:t>
      </w:r>
      <w:proofErr w:type="spellStart"/>
      <w:r>
        <w:t>DiCE</w:t>
      </w:r>
      <w:proofErr w:type="spellEnd"/>
      <w:r>
        <w:t xml:space="preserve"> minimiza la perturbación del contrafactual, no la aproximación local al modelo. Que </w:t>
      </w:r>
      <w:proofErr w:type="spellStart"/>
      <w:r>
        <w:t>DiCE</w:t>
      </w:r>
      <w:proofErr w:type="spellEnd"/>
      <w:r>
        <w:t xml:space="preserve"> tenga perfil óptimo en parsimonia —aunque no en coste, donde su media de 28,209 ms solo mejora a la de Anchors— pero deficiente en fidelidad técnica, indica que los ejes de calidad no colapsan sobre un único factor latente. La </w:t>
      </w:r>
      <w:hyperlink w:anchor="fig-radar-metodos">
        <w:r>
          <w:rPr>
            <w:rStyle w:val="Hyperlink"/>
          </w:rPr>
          <w:t>Figure 5.7</w:t>
        </w:r>
      </w:hyperlink>
      <w:r>
        <w:t xml:space="preserve"> hace visible esta estructura: ningún método domina simultáneamente en todas las dimensiones, y los cuellos de botella difieren por método. Este patrón solo es observable si las métricas están conceptualmente separadas antes de la medición, no consolidadas </w:t>
      </w:r>
      <w:proofErr w:type="spellStart"/>
      <w:r>
        <w:t>post-hoc</w:t>
      </w:r>
      <w:proofErr w:type="spellEnd"/>
      <w:r>
        <w:t xml:space="preserve"> en un índice compuesto.</w:t>
      </w:r>
    </w:p>
    <w:p w14:paraId="74482D8C" w14:textId="77777777" w:rsidR="00D762DD" w:rsidRDefault="00000000">
      <w:pPr>
        <w:pStyle w:val="BodyText"/>
      </w:pPr>
      <w:r>
        <w:t xml:space="preserve">La pregunta que emerge de esos resultados no es cuál método gana, sino </w:t>
      </w:r>
      <w:r>
        <w:rPr>
          <w:i/>
          <w:iCs/>
        </w:rPr>
        <w:t>qué dimensiones de calidad son genuinamente ortogonales, cuál fuente de evidencia mide cada una, y para qué contexto de tarea resulta relevante cada perfil</w:t>
      </w:r>
      <w:r>
        <w:t xml:space="preserve">. Sin un marco conceptual que responda esas tres preguntas de forma articulada, el </w:t>
      </w:r>
      <w:proofErr w:type="spellStart"/>
      <w:r>
        <w:t>benchmark</w:t>
      </w:r>
      <w:proofErr w:type="spellEnd"/>
      <w:r>
        <w:t xml:space="preserve"> produce números </w:t>
      </w:r>
      <w:proofErr w:type="gramStart"/>
      <w:r>
        <w:t>correctos</w:t>
      </w:r>
      <w:proofErr w:type="gramEnd"/>
      <w:r>
        <w:t xml:space="preserve"> pero no produce orientación. Un evaluador que conozca solo los rangos de fidelidad (SHAP: 0.808, LIME: 0.560, Anchors: 0.388, </w:t>
      </w:r>
      <w:proofErr w:type="spellStart"/>
      <w:r>
        <w:t>DiCE</w:t>
      </w:r>
      <w:proofErr w:type="spellEnd"/>
      <w:r>
        <w:t xml:space="preserve">: 0.172) no sabe si una diferencia de 0.05 puntos en parsimonia es sustantiva o trivial, ni si la brecha de fidelidad justifica el coste adicional de SHAP en un sistema de tiempo real. La taxonomía de este capítulo es, por tanto, una respuesta necesaria a lo que el </w:t>
      </w:r>
      <w:proofErr w:type="spellStart"/>
      <w:r>
        <w:t>benchmark</w:t>
      </w:r>
      <w:proofErr w:type="spellEnd"/>
      <w:r>
        <w:t xml:space="preserve"> demostró empíricamente: que el espacio de métricas es multidimensional, que las </w:t>
      </w:r>
      <w:r>
        <w:lastRenderedPageBreak/>
        <w:t>dimensiones son operativamente independientes, y que la selección de método requiere un lenguaje conceptual que articule cuál dimensión importa según el contexto de uso.</w:t>
      </w:r>
    </w:p>
    <w:p w14:paraId="100852DE" w14:textId="77777777" w:rsidR="00D762DD" w:rsidRDefault="00000000">
      <w:pPr>
        <w:pStyle w:val="BodyText"/>
      </w:pPr>
      <w:r>
        <w:t xml:space="preserve">Este capítulo desarrolla el Estudio Taxonómico de la tesis: una taxonomía estructurada del espacio de métricas de evaluación XAI. Su función es dar peso conceptual propio a la tercera contribución doctoral. Los capítulos anteriores mostraron que FOM-7 necesita distinguir objetos explicativos, constructos de calidad, fuentes de evidencia y contextos de uso. Este capítulo convierte esa necesidad en una matriz de clasificación que permite interpretar el </w:t>
      </w:r>
      <w:proofErr w:type="spellStart"/>
      <w:r>
        <w:t>benchmark</w:t>
      </w:r>
      <w:proofErr w:type="spellEnd"/>
      <w:r>
        <w:t xml:space="preserve"> y, al mismo tiempo, orientar evaluaciones futuras.</w:t>
      </w:r>
    </w:p>
    <w:p w14:paraId="2A5FBDA1" w14:textId="77777777" w:rsidR="00D762DD" w:rsidRDefault="00000000">
      <w:pPr>
        <w:pStyle w:val="BodyText"/>
      </w:pPr>
      <w:r>
        <w:t xml:space="preserve">La taxonomía se presenta como una </w:t>
      </w:r>
      <w:r>
        <w:rPr>
          <w:b/>
          <w:bCs/>
        </w:rPr>
        <w:t>síntesis integradora y operacional</w:t>
      </w:r>
      <w:r>
        <w:t xml:space="preserve">, no como una taxonomía completamente nueva en sentido fuerte. Integra distinciones ya presentes en la literatura —por ejemplo, evaluación </w:t>
      </w:r>
      <w:proofErr w:type="spellStart"/>
      <w:r>
        <w:t>functionally-grounded</w:t>
      </w:r>
      <w:proofErr w:type="spellEnd"/>
      <w:r>
        <w:t>, human-</w:t>
      </w:r>
      <w:proofErr w:type="spellStart"/>
      <w:r>
        <w:t>grounded</w:t>
      </w:r>
      <w:proofErr w:type="spellEnd"/>
      <w:r>
        <w:t xml:space="preserve"> y </w:t>
      </w:r>
      <w:proofErr w:type="spellStart"/>
      <w:r>
        <w:t>application-grounded</w:t>
      </w:r>
      <w:proofErr w:type="spellEnd"/>
      <w:r>
        <w:t xml:space="preserve">; fidelidad, robustez, plausibilidad, complejidad y utilidad— y las reorganiza en una estructura práctica para </w:t>
      </w:r>
      <w:proofErr w:type="spellStart"/>
      <w:r>
        <w:t>benchmarks</w:t>
      </w:r>
      <w:proofErr w:type="spellEnd"/>
      <w:r>
        <w:t xml:space="preserve"> comparativos de XAI (Doshi-</w:t>
      </w:r>
      <w:proofErr w:type="spellStart"/>
      <w:r>
        <w:t>Velez</w:t>
      </w:r>
      <w:proofErr w:type="spellEnd"/>
      <w:r>
        <w:t xml:space="preserve"> 2017; Schwalbe 2023; Abdul Kadir et al. 2023; Pawlicki et al. 2024; Nauta et al. 2023). Su contribución específica es hacer explícita la conexión entre métrica, fuente de evidencia, propiedad de calidad, contexto de tarea y </w:t>
      </w:r>
      <w:proofErr w:type="spellStart"/>
      <w:r>
        <w:t>claim</w:t>
      </w:r>
      <w:proofErr w:type="spellEnd"/>
      <w:r>
        <w:t xml:space="preserve"> admisible dentro del protocolo FOM-7.</w:t>
      </w:r>
    </w:p>
    <w:p w14:paraId="35FA9F0F" w14:textId="77777777" w:rsidR="00D762DD" w:rsidRDefault="00000000">
      <w:pPr>
        <w:pStyle w:val="Heading2"/>
      </w:pPr>
      <w:bookmarkStart w:id="212" w:name="sec-taxonomia-metodo"/>
      <w:bookmarkStart w:id="213" w:name="_Toc238925790"/>
      <w:r>
        <w:t>Método de construcción de la taxonomía</w:t>
      </w:r>
      <w:bookmarkEnd w:id="213"/>
    </w:p>
    <w:p w14:paraId="6AB4C68F" w14:textId="77777777" w:rsidR="00D762DD" w:rsidRDefault="00000000">
      <w:r>
        <w:t xml:space="preserve">La construcción siguió una revisión estructurada de alcance narrativo. No se presenta como revisión sistemática PRISMA, porque su objetivo no fue estimar prevalencias bibliométricas ni agotar todo el universo de publicaciones, sino organizar constructos recurrentes que ya estaban documentados en encuestas, </w:t>
      </w:r>
      <w:proofErr w:type="spellStart"/>
      <w:r>
        <w:t>toolkits</w:t>
      </w:r>
      <w:proofErr w:type="spellEnd"/>
      <w:r>
        <w:t xml:space="preserve">, </w:t>
      </w:r>
      <w:proofErr w:type="spellStart"/>
      <w:r>
        <w:t>benchmarks</w:t>
      </w:r>
      <w:proofErr w:type="spellEnd"/>
      <w:r>
        <w:t xml:space="preserve"> y trabajos metodológicos relevantes para la evaluación XAI. La taxonomía resultante se clasifica como una </w:t>
      </w:r>
      <w:r>
        <w:rPr>
          <w:b/>
          <w:bCs/>
        </w:rPr>
        <w:t>operacionalización doctoral integradora</w:t>
      </w:r>
      <w:r>
        <w:t xml:space="preserve">: integra y reorganiza distinciones ya presentes en la literatura en una estructura práctica, y añade el eje de contexto de tarea como dimensión operativa no explícita en los marcos previos. No es una taxonomía completamente nueva en sentido fuerte (no propone dimensiones sin antecedentes en la literatura) ni una mera síntesis descriptiva (la estructura de cuatro ejes y su mapeo al </w:t>
      </w:r>
      <w:proofErr w:type="spellStart"/>
      <w:r>
        <w:t>benchmark</w:t>
      </w:r>
      <w:proofErr w:type="spellEnd"/>
      <w:r>
        <w:t xml:space="preserve"> es una contribución propia).</w:t>
      </w:r>
    </w:p>
    <w:p w14:paraId="34323A0F" w14:textId="77777777" w:rsidR="00D762DD" w:rsidRDefault="00000000">
      <w:pPr>
        <w:pStyle w:val="BodyText"/>
      </w:pPr>
      <w:r>
        <w:lastRenderedPageBreak/>
        <w:t xml:space="preserve">El corpus de apoyo combina cuatro tipos de fuentes. Primero, revisiones y taxonomías de interpretabilidad y XAI que establecen el vocabulario conceptual del campo, incluyendo las revisiones fundacionales de Arrieta (2019), Lipton (2018), </w:t>
      </w:r>
      <w:proofErr w:type="spellStart"/>
      <w:r>
        <w:t>Linardatos</w:t>
      </w:r>
      <w:proofErr w:type="spellEnd"/>
      <w:r>
        <w:t xml:space="preserve"> (2020), la historia breve del campo de Molnar et al. (2020) y la taxonomía sistemática de Schwalbe (2023). Segundo, trabajos sobre evaluación y benchmarking que distinguen niveles de evidencia, métricas </w:t>
      </w:r>
      <w:proofErr w:type="spellStart"/>
      <w:r>
        <w:t>functionally-grounded</w:t>
      </w:r>
      <w:proofErr w:type="spellEnd"/>
      <w:r>
        <w:t xml:space="preserve"> y reproducibilidad, incluyendo la taxonomía de niveles de Doshi-</w:t>
      </w:r>
      <w:proofErr w:type="spellStart"/>
      <w:r>
        <w:t>Velez</w:t>
      </w:r>
      <w:proofErr w:type="spellEnd"/>
      <w:r>
        <w:t xml:space="preserve"> (2017), el </w:t>
      </w:r>
      <w:proofErr w:type="spellStart"/>
      <w:r>
        <w:t>toolkit</w:t>
      </w:r>
      <w:proofErr w:type="spellEnd"/>
      <w:r>
        <w:t xml:space="preserve"> </w:t>
      </w:r>
      <w:proofErr w:type="spellStart"/>
      <w:r>
        <w:t>Quantus</w:t>
      </w:r>
      <w:proofErr w:type="spellEnd"/>
      <w:r>
        <w:t xml:space="preserve"> (Hedström et al. 2023), la plataforma </w:t>
      </w:r>
      <w:proofErr w:type="spellStart"/>
      <w:r>
        <w:t>OpenXAI</w:t>
      </w:r>
      <w:proofErr w:type="spellEnd"/>
      <w:r>
        <w:t xml:space="preserve"> (Agarwal et al. 2022), el banco de pruebas de </w:t>
      </w:r>
      <w:proofErr w:type="spellStart"/>
      <w:r>
        <w:t>Sithakoul</w:t>
      </w:r>
      <w:proofErr w:type="spellEnd"/>
      <w:r>
        <w:t xml:space="preserve"> et al. (2024) y la revisión de propiedades de evaluación de Nauta et al. (2023). Tercero, artículos metodológicos sobre los cuatro explicadores evaluados, necesarios para ubicar qué objeto produce cada método y qué métricas le son adecuadas (Ribeiro 2016, 2018; Lundberg 2017; </w:t>
      </w:r>
      <w:proofErr w:type="spellStart"/>
      <w:r>
        <w:t>Mothilal</w:t>
      </w:r>
      <w:proofErr w:type="spellEnd"/>
      <w:r>
        <w:t xml:space="preserve"> 2020; Guidotti et al. 2018; Carvalho et al. 2019; Karimi et al. 2022; </w:t>
      </w:r>
      <w:proofErr w:type="spellStart"/>
      <w:r>
        <w:t>Poyiadzi</w:t>
      </w:r>
      <w:proofErr w:type="spellEnd"/>
      <w:r>
        <w:t xml:space="preserve"> et al. 2020). Cuarto, revisiones recientes centradas en métricas, robustez, reproducibilidad y evaluación human-</w:t>
      </w:r>
      <w:proofErr w:type="spellStart"/>
      <w:r>
        <w:t>centered</w:t>
      </w:r>
      <w:proofErr w:type="spellEnd"/>
      <w:r>
        <w:t xml:space="preserve">, incluyendo las revisiones de métricas de Abdul Kadir et al. (2023) y Pawlicki et al. (2024), el estudio de </w:t>
      </w:r>
      <w:proofErr w:type="spellStart"/>
      <w:r>
        <w:t>comprehensibilidad</w:t>
      </w:r>
      <w:proofErr w:type="spellEnd"/>
      <w:r>
        <w:t xml:space="preserve"> de Bhattacharya and </w:t>
      </w:r>
      <w:proofErr w:type="spellStart"/>
      <w:r>
        <w:t>Verbert</w:t>
      </w:r>
      <w:proofErr w:type="spellEnd"/>
      <w:r>
        <w:t xml:space="preserve"> (2024), la agenda de Ehsan et al. (2023) y trabajos sobre utilidad y confianza (Rong et al. 2024; Miller 2019; Hoffman et al. 2023; Mohseni et al. 2021).</w:t>
      </w:r>
    </w:p>
    <w:p w14:paraId="05EA30B0" w14:textId="77777777" w:rsidR="00D762DD" w:rsidRDefault="00000000">
      <w:pPr>
        <w:pStyle w:val="BodyText"/>
      </w:pPr>
      <w:r>
        <w:t xml:space="preserve">El corpus se amplió durante la revisión hasta las </w:t>
      </w:r>
      <w:r>
        <w:rPr>
          <w:b/>
          <w:bCs/>
        </w:rPr>
        <w:t>127 referencias de contenido XAI</w:t>
      </w:r>
      <w:r>
        <w:t xml:space="preserve"> que sostienen esta tesis —la bibliografía completa suma 140 entradas, de las cuales 13 corresponden a infraestructura estadística, conjuntos de datos y familias de modelo, no al objeto de la taxonomía—. De ese corpus, </w:t>
      </w:r>
      <w:r>
        <w:rPr>
          <w:b/>
          <w:bCs/>
        </w:rPr>
        <w:t>107 documentos se conservan a texto completo</w:t>
      </w:r>
      <w:r>
        <w:t xml:space="preserve"> en el repositorio público de la tesis (</w:t>
      </w:r>
      <w:proofErr w:type="spellStart"/>
      <w:r>
        <w:t>thesis</w:t>
      </w:r>
      <w:proofErr w:type="spellEnd"/>
      <w:r>
        <w:t>/</w:t>
      </w:r>
      <w:proofErr w:type="spellStart"/>
      <w:r>
        <w:t>papers</w:t>
      </w:r>
      <w:proofErr w:type="spellEnd"/>
      <w:r>
        <w:t>/), de modo que la base documental de la taxonomía es auditable y no solamente declarada: cada entrada de la bibliografía está citada en el cuerpo del texto, y no existen referencias registradas sin uso.</w:t>
      </w:r>
    </w:p>
    <w:p w14:paraId="045A7E3F" w14:textId="77777777" w:rsidR="00D762DD" w:rsidRDefault="00000000">
      <w:pPr>
        <w:pStyle w:val="BodyText"/>
      </w:pPr>
      <w:r>
        <w:t xml:space="preserve">Los criterios de inclusión fueron: (i) fuentes con relación directa con interpretabilidad, </w:t>
      </w:r>
      <w:proofErr w:type="spellStart"/>
      <w:r>
        <w:t>explicabilidad</w:t>
      </w:r>
      <w:proofErr w:type="spellEnd"/>
      <w:r>
        <w:t xml:space="preserve"> o evaluación XAI; (</w:t>
      </w:r>
      <w:proofErr w:type="spellStart"/>
      <w:r>
        <w:t>ii</w:t>
      </w:r>
      <w:proofErr w:type="spellEnd"/>
      <w:r>
        <w:t>) trabajos que definieran o usaran métricas de calidad explicativa; (</w:t>
      </w:r>
      <w:proofErr w:type="spellStart"/>
      <w:r>
        <w:t>iii</w:t>
      </w:r>
      <w:proofErr w:type="spellEnd"/>
      <w:r>
        <w:t>) artículos que permitieran clasificar métricas por fuente de evidencia o contexto de uso; y (</w:t>
      </w:r>
      <w:proofErr w:type="spellStart"/>
      <w:r>
        <w:t>iv</w:t>
      </w:r>
      <w:proofErr w:type="spellEnd"/>
      <w:r>
        <w:t xml:space="preserve">) fuentes con metadatos bibliográficos verificados en </w:t>
      </w:r>
      <w:proofErr w:type="spellStart"/>
      <w:r>
        <w:t>references.bib</w:t>
      </w:r>
      <w:proofErr w:type="spellEnd"/>
      <w:r>
        <w:t xml:space="preserve">. Se excluyeron </w:t>
      </w:r>
      <w:r>
        <w:lastRenderedPageBreak/>
        <w:t>fuentes meramente divulgativas, trabajos sin relación con evaluación de explicaciones y referencias no verificadas.</w:t>
      </w:r>
    </w:p>
    <w:p w14:paraId="1EA9F41B" w14:textId="77777777" w:rsidR="00D762DD" w:rsidRDefault="00000000">
      <w:pPr>
        <w:pStyle w:val="BodyText"/>
      </w:pPr>
      <w:r>
        <w:t xml:space="preserve">La codificación se realizó sobre cuatro dimensiones: objetivo de evaluación, fuente de evidencia, propiedad de calidad y contexto de tarea. Cuando una métrica admitía múltiples lecturas, se codificó según su uso dominante en la literatura y se registró la ambigüedad como riesgo de constructo. Por ejemplo, </w:t>
      </w:r>
      <w:proofErr w:type="spellStart"/>
      <w:r>
        <w:rPr>
          <w:i/>
          <w:iCs/>
        </w:rPr>
        <w:t>fidelity</w:t>
      </w:r>
      <w:proofErr w:type="spellEnd"/>
      <w:r>
        <w:t xml:space="preserve"> puede funcionar como acuerdo local entre modelo y sustituto, como cambio de predicción ante enmascaramiento o como proxy de </w:t>
      </w:r>
      <w:proofErr w:type="spellStart"/>
      <w:r>
        <w:t>faithfulness</w:t>
      </w:r>
      <w:proofErr w:type="spellEnd"/>
      <w:r>
        <w:t xml:space="preserve">; la taxonomía separa esas lecturas para evitar que una misma palabra sostenga </w:t>
      </w:r>
      <w:proofErr w:type="spellStart"/>
      <w:r>
        <w:t>claims</w:t>
      </w:r>
      <w:proofErr w:type="spellEnd"/>
      <w:r>
        <w:t xml:space="preserve"> no equivalentes. Los 15 constructos métricos de la Tabla </w:t>
      </w:r>
      <w:hyperlink w:anchor="tbl-taxonomia-ampliada">
        <w:r>
          <w:rPr>
            <w:rStyle w:val="Hyperlink"/>
          </w:rPr>
          <w:t>Table 6.1</w:t>
        </w:r>
      </w:hyperlink>
      <w:r>
        <w:t xml:space="preserve"> son el resultado de consolidar y desambiguar los constructos identificados en el corpus descrito; se reportan como una selección representativa, no como un catálogo exhaustivo.</w:t>
      </w:r>
    </w:p>
    <w:p w14:paraId="790672A4" w14:textId="77777777" w:rsidR="00D762DD" w:rsidRDefault="00000000">
      <w:pPr>
        <w:pStyle w:val="Heading2"/>
      </w:pPr>
      <w:bookmarkStart w:id="214" w:name="sec-taxonomia-motivacion"/>
      <w:bookmarkStart w:id="215" w:name="_Toc238925791"/>
      <w:bookmarkEnd w:id="212"/>
      <w:r>
        <w:t>Motivación y posicionamiento</w:t>
      </w:r>
      <w:bookmarkEnd w:id="215"/>
    </w:p>
    <w:p w14:paraId="0768FEAF" w14:textId="77777777" w:rsidR="00D762DD" w:rsidRDefault="00000000">
      <w:r>
        <w:t xml:space="preserve">El estado del arte en evaluación XAI muestra un patrón claro: los estudios proponen métricas de forma </w:t>
      </w:r>
      <w:proofErr w:type="gramStart"/>
      <w:r>
        <w:t>proliferante</w:t>
      </w:r>
      <w:proofErr w:type="gramEnd"/>
      <w:r>
        <w:t xml:space="preserve"> pero sin un marco conceptual integrador que permita comparar, seleccionar o acumular evidencia entre ellas (Pawlicki et al. 2024; Abdul Kadir et al. 2023; Bhattacharya and </w:t>
      </w:r>
      <w:proofErr w:type="spellStart"/>
      <w:r>
        <w:t>Verbert</w:t>
      </w:r>
      <w:proofErr w:type="spellEnd"/>
      <w:r>
        <w:t xml:space="preserve"> 2024). La revisión sistemática de Pawlicki et al. (2024) identificó casi noventa métricas distintas en la literatura, con solapes conceptuales notorios; un mismo constructo puede aparecer bajo nombres distintos, y un mismo nombre puede aplicarse a operacionalizaciones diferentes.</w:t>
      </w:r>
    </w:p>
    <w:p w14:paraId="61FF31D9" w14:textId="77777777" w:rsidR="00D762DD" w:rsidRDefault="00000000">
      <w:pPr>
        <w:pStyle w:val="BodyText"/>
      </w:pPr>
      <w:r>
        <w:t xml:space="preserve">Canha et al. (2025) y Bhattacharya y </w:t>
      </w:r>
      <w:proofErr w:type="spellStart"/>
      <w:r>
        <w:t>Verbert</w:t>
      </w:r>
      <w:proofErr w:type="spellEnd"/>
      <w:r>
        <w:t xml:space="preserve"> (2024) convergen en señalar la necesidad de distinguir métricas calculadas sin participantes humanos de métricas basadas en estudios de usuario. Esta distinción es central para la tesis porque los dos estudios empíricos producen evidencia </w:t>
      </w:r>
      <w:proofErr w:type="spellStart"/>
      <w:r>
        <w:t>functionally-grounded</w:t>
      </w:r>
      <w:proofErr w:type="spellEnd"/>
      <w:r>
        <w:t>: cuantifican propiedades computacionales de artefactos explicativos, pero no miden directamente utilidad humana, satisfacción, calibración de confianza o calidad de decisión.</w:t>
      </w:r>
    </w:p>
    <w:p w14:paraId="16284D77" w14:textId="77777777" w:rsidR="00D762DD" w:rsidRDefault="00000000">
      <w:pPr>
        <w:pStyle w:val="BodyText"/>
      </w:pPr>
      <w:r>
        <w:t xml:space="preserve">La taxonomía propuesta organiza el espacio en cuatro ejes ortogonales. Los ejes responden a preguntas distintas y complementarias: qué se evalúa, con qué evidencia, qué propiedad de calidad se operacionaliza y para qué tarea es relevante. La ortogonalidad evita que una métrica se interprete como evaluación total de una explicación. Una métrica puede ser válida para medir </w:t>
      </w:r>
      <w:r>
        <w:lastRenderedPageBreak/>
        <w:t>estabilidad, pero débil para inferir utilidad humana; puede ser adecuada para auditoría técnica, pero insuficiente para soporte a usuario final.</w:t>
      </w:r>
    </w:p>
    <w:p w14:paraId="23309CD5" w14:textId="77777777" w:rsidR="00D762DD" w:rsidRDefault="00000000">
      <w:pPr>
        <w:pStyle w:val="Heading2"/>
      </w:pPr>
      <w:bookmarkStart w:id="216" w:name="sec-taxonomia-ejes"/>
      <w:bookmarkStart w:id="217" w:name="_Toc238925792"/>
      <w:bookmarkEnd w:id="214"/>
      <w:r>
        <w:t>Los cuatro ejes de la taxonomía</w:t>
      </w:r>
      <w:bookmarkEnd w:id="217"/>
    </w:p>
    <w:p w14:paraId="1AFD5F9D" w14:textId="77777777" w:rsidR="00D762DD" w:rsidRDefault="00000000">
      <w:r>
        <w:rPr>
          <w:b/>
          <w:bCs/>
        </w:rPr>
        <w:t>Eje 1 — Objetivo de evaluación.</w:t>
      </w:r>
      <w:r>
        <w:t xml:space="preserve"> Este eje clasifica la dimensión de la explicación que la métrica interroga. Se identifican cinco objetivos primarios:</w:t>
      </w:r>
    </w:p>
    <w:p w14:paraId="0549C169" w14:textId="77777777" w:rsidR="00D762DD" w:rsidRDefault="00000000">
      <w:pPr>
        <w:numPr>
          <w:ilvl w:val="0"/>
          <w:numId w:val="14"/>
        </w:numPr>
      </w:pPr>
      <w:r>
        <w:rPr>
          <w:i/>
          <w:iCs/>
        </w:rPr>
        <w:t>Representatividad local</w:t>
      </w:r>
      <w:r>
        <w:t>: en qué medida la explicación captura la función del modelo en la vecindad de la instancia. Las métricas de fidelidad e infidelidad operan en este objetivo (Abdul Kadir et al. 2023).</w:t>
      </w:r>
    </w:p>
    <w:p w14:paraId="798D9589" w14:textId="77777777" w:rsidR="00D762DD" w:rsidRDefault="00000000">
      <w:pPr>
        <w:numPr>
          <w:ilvl w:val="0"/>
          <w:numId w:val="14"/>
        </w:numPr>
      </w:pPr>
      <w:r>
        <w:rPr>
          <w:i/>
          <w:iCs/>
        </w:rPr>
        <w:t>Consistencia bajo perturbación</w:t>
      </w:r>
      <w:r>
        <w:t>: en qué medida la explicación es estable ante pequeñas variaciones de la instancia de entrada. Las métricas de estabilidad y robustez operan en este objetivo (Schwalbe 2023; Pawlicki et al. 2024).</w:t>
      </w:r>
    </w:p>
    <w:p w14:paraId="47AE920B" w14:textId="77777777" w:rsidR="00D762DD" w:rsidRDefault="00000000">
      <w:pPr>
        <w:numPr>
          <w:ilvl w:val="0"/>
          <w:numId w:val="14"/>
        </w:numPr>
      </w:pPr>
      <w:r>
        <w:rPr>
          <w:i/>
          <w:iCs/>
        </w:rPr>
        <w:t>Compacidad explicativa</w:t>
      </w:r>
      <w:r>
        <w:t xml:space="preserve">: en qué medida la explicación es concisa y no redundante. Parsimonia, </w:t>
      </w:r>
      <w:proofErr w:type="spellStart"/>
      <w:r>
        <w:t>sparsity</w:t>
      </w:r>
      <w:proofErr w:type="spellEnd"/>
      <w:r>
        <w:t xml:space="preserve"> y complejidad efectiva pertenecen a este objetivo (Pawlicki et al. 2024).</w:t>
      </w:r>
    </w:p>
    <w:p w14:paraId="0F2591C8" w14:textId="77777777" w:rsidR="00D762DD" w:rsidRDefault="00000000">
      <w:pPr>
        <w:numPr>
          <w:ilvl w:val="0"/>
          <w:numId w:val="14"/>
        </w:numPr>
      </w:pPr>
      <w:r>
        <w:rPr>
          <w:i/>
          <w:iCs/>
        </w:rPr>
        <w:t>Relevancia causal local</w:t>
      </w:r>
      <w:r>
        <w:t>: en qué medida actuar sobre las características explicadas produce los efectos predichos por la explicación. La brecha de fidelidad y métricas de eliminación/perturbación top-k operan aquí (Abdul Kadir et al. 2023; Zheng et al. 2025).</w:t>
      </w:r>
    </w:p>
    <w:p w14:paraId="2F565AB5" w14:textId="77777777" w:rsidR="00D762DD" w:rsidRDefault="00000000">
      <w:pPr>
        <w:numPr>
          <w:ilvl w:val="0"/>
          <w:numId w:val="14"/>
        </w:numPr>
      </w:pPr>
      <w:r>
        <w:rPr>
          <w:i/>
          <w:iCs/>
        </w:rPr>
        <w:t>Eficiencia operativa</w:t>
      </w:r>
      <w:r>
        <w:t>: tiempo y coste computacional de producir la explicación, relevante para despliegues de baja latencia (Canha et al. 2025).</w:t>
      </w:r>
    </w:p>
    <w:p w14:paraId="1EE29C4F" w14:textId="77777777" w:rsidR="00D762DD" w:rsidRDefault="00000000">
      <w:r>
        <w:rPr>
          <w:b/>
          <w:bCs/>
        </w:rPr>
        <w:t>Eje 2 — Fuente de evidencia.</w:t>
      </w:r>
      <w:r>
        <w:t xml:space="preserve"> Las métricas también se diferencian por la operación que genera la señal de evaluación:</w:t>
      </w:r>
    </w:p>
    <w:p w14:paraId="76935245" w14:textId="77777777" w:rsidR="00D762DD" w:rsidRDefault="00000000">
      <w:pPr>
        <w:numPr>
          <w:ilvl w:val="0"/>
          <w:numId w:val="15"/>
        </w:numPr>
      </w:pPr>
      <w:r>
        <w:rPr>
          <w:i/>
          <w:iCs/>
        </w:rPr>
        <w:t>Enmascaramiento de características</w:t>
      </w:r>
      <w:r>
        <w:t xml:space="preserve">: se eliminan o reemplazan características del input y se mide el cambio en la salida del modelo. Incluye fidelidad por correlación de importancias, </w:t>
      </w:r>
      <w:proofErr w:type="spellStart"/>
      <w:r>
        <w:t>faithfulness</w:t>
      </w:r>
      <w:proofErr w:type="spellEnd"/>
      <w:r>
        <w:t xml:space="preserve"> gap, ROAR o MoRF (Zheng et al. 2025; Abdul Kadir et al. 2023).</w:t>
      </w:r>
    </w:p>
    <w:p w14:paraId="0CC81D87" w14:textId="77777777" w:rsidR="00D762DD" w:rsidRDefault="00000000">
      <w:pPr>
        <w:numPr>
          <w:ilvl w:val="0"/>
          <w:numId w:val="15"/>
        </w:numPr>
      </w:pPr>
      <w:r>
        <w:rPr>
          <w:i/>
          <w:iCs/>
        </w:rPr>
        <w:lastRenderedPageBreak/>
        <w:t>Perturbación del input</w:t>
      </w:r>
      <w:r>
        <w:t>: se añade ruido o transformación a la instancia y se mide la similitud entre las explicaciones resultantes. Incluye estabilidad como similitud coseno y estimaciones locales tipo Lipschitz (Pawlicki et al. 2024; Canha et al. 2025).</w:t>
      </w:r>
    </w:p>
    <w:p w14:paraId="74216C47" w14:textId="77777777" w:rsidR="00D762DD" w:rsidRDefault="00000000">
      <w:pPr>
        <w:numPr>
          <w:ilvl w:val="0"/>
          <w:numId w:val="15"/>
        </w:numPr>
      </w:pPr>
      <w:r>
        <w:rPr>
          <w:i/>
          <w:iCs/>
        </w:rPr>
        <w:t>Comparación con verdad-terreno</w:t>
      </w:r>
      <w:r>
        <w:t xml:space="preserve">: la explicación se compara con explicaciones de referencia conocidas, disponibles en </w:t>
      </w:r>
      <w:proofErr w:type="spellStart"/>
      <w:r>
        <w:t>benchmarks</w:t>
      </w:r>
      <w:proofErr w:type="spellEnd"/>
      <w:r>
        <w:t xml:space="preserve"> sintéticos o anotaciones especializadas (Pawlicki et al. 2024).</w:t>
      </w:r>
    </w:p>
    <w:p w14:paraId="4143CE63" w14:textId="77777777" w:rsidR="00D762DD" w:rsidRDefault="00000000">
      <w:pPr>
        <w:numPr>
          <w:ilvl w:val="0"/>
          <w:numId w:val="15"/>
        </w:numPr>
      </w:pPr>
      <w:r>
        <w:rPr>
          <w:i/>
          <w:iCs/>
        </w:rPr>
        <w:t>Estudio con usuario</w:t>
      </w:r>
      <w:r>
        <w:t xml:space="preserve">: la explicación se evalúa mediante comprensión, confianza, satisfacción, utilidad percibida o desempeño humano (Bhattacharya and </w:t>
      </w:r>
      <w:proofErr w:type="spellStart"/>
      <w:r>
        <w:t>Verbert</w:t>
      </w:r>
      <w:proofErr w:type="spellEnd"/>
      <w:r>
        <w:t xml:space="preserve"> 2024; Arrieta 2019; Rong et al. 2024).</w:t>
      </w:r>
    </w:p>
    <w:p w14:paraId="615189B3" w14:textId="77777777" w:rsidR="00D762DD" w:rsidRDefault="00000000">
      <w:r>
        <w:rPr>
          <w:b/>
          <w:bCs/>
        </w:rPr>
        <w:t>Eje 3 — Propiedad de calidad.</w:t>
      </w:r>
      <w:r>
        <w:t xml:space="preserve"> Siguiendo las sistematizaciones recientes, se identifican seis propiedades primarias:</w:t>
      </w:r>
    </w:p>
    <w:p w14:paraId="101C7AC9" w14:textId="77777777" w:rsidR="00D762DD" w:rsidRDefault="00000000">
      <w:pPr>
        <w:numPr>
          <w:ilvl w:val="0"/>
          <w:numId w:val="16"/>
        </w:numPr>
      </w:pPr>
      <w:proofErr w:type="spellStart"/>
      <w:r>
        <w:rPr>
          <w:i/>
          <w:iCs/>
        </w:rPr>
        <w:t>Faithfulness</w:t>
      </w:r>
      <w:proofErr w:type="spellEnd"/>
      <w:r>
        <w:rPr>
          <w:i/>
          <w:iCs/>
        </w:rPr>
        <w:t xml:space="preserve"> / fidelidad</w:t>
      </w:r>
      <w:r>
        <w:t>: correspondencia entre la importancia asignada por el explicador y el efecto real sobre la salida del modelo (Pawlicki et al. 2024).</w:t>
      </w:r>
    </w:p>
    <w:p w14:paraId="2F9F33EF" w14:textId="77777777" w:rsidR="00D762DD" w:rsidRDefault="00000000">
      <w:pPr>
        <w:numPr>
          <w:ilvl w:val="0"/>
          <w:numId w:val="16"/>
        </w:numPr>
      </w:pPr>
      <w:proofErr w:type="spellStart"/>
      <w:r>
        <w:rPr>
          <w:i/>
          <w:iCs/>
        </w:rPr>
        <w:t>Robustness</w:t>
      </w:r>
      <w:proofErr w:type="spellEnd"/>
      <w:r>
        <w:rPr>
          <w:i/>
          <w:iCs/>
        </w:rPr>
        <w:t xml:space="preserve"> / estabilidad</w:t>
      </w:r>
      <w:r>
        <w:t>: consistencia de las explicaciones bajo perturbaciones del input.</w:t>
      </w:r>
    </w:p>
    <w:p w14:paraId="0998132C" w14:textId="77777777" w:rsidR="00D762DD" w:rsidRDefault="00000000">
      <w:pPr>
        <w:numPr>
          <w:ilvl w:val="0"/>
          <w:numId w:val="16"/>
        </w:numPr>
      </w:pPr>
      <w:proofErr w:type="spellStart"/>
      <w:r>
        <w:rPr>
          <w:i/>
          <w:iCs/>
        </w:rPr>
        <w:t>Simplicity</w:t>
      </w:r>
      <w:proofErr w:type="spellEnd"/>
      <w:r>
        <w:rPr>
          <w:i/>
          <w:iCs/>
        </w:rPr>
        <w:t xml:space="preserve"> / parsimonia</w:t>
      </w:r>
      <w:r>
        <w:t>: compacidad de la representación explicativa, inversamente relacionada con complejidad (Schwalbe 2023).</w:t>
      </w:r>
    </w:p>
    <w:p w14:paraId="2A242D11" w14:textId="77777777" w:rsidR="00D762DD" w:rsidRDefault="00000000">
      <w:pPr>
        <w:numPr>
          <w:ilvl w:val="0"/>
          <w:numId w:val="16"/>
        </w:numPr>
      </w:pPr>
      <w:proofErr w:type="spellStart"/>
      <w:r>
        <w:rPr>
          <w:i/>
          <w:iCs/>
        </w:rPr>
        <w:t>Completeness</w:t>
      </w:r>
      <w:proofErr w:type="spellEnd"/>
      <w:r>
        <w:t>: cobertura de factores relevantes del modelo por la explicación.</w:t>
      </w:r>
    </w:p>
    <w:p w14:paraId="48E1B3DA" w14:textId="77777777" w:rsidR="00D762DD" w:rsidRDefault="00000000">
      <w:pPr>
        <w:numPr>
          <w:ilvl w:val="0"/>
          <w:numId w:val="16"/>
        </w:numPr>
      </w:pPr>
      <w:proofErr w:type="spellStart"/>
      <w:r>
        <w:rPr>
          <w:i/>
          <w:iCs/>
        </w:rPr>
        <w:t>Efficiency</w:t>
      </w:r>
      <w:proofErr w:type="spellEnd"/>
      <w:r>
        <w:t>: coste computacional de generar la explicación.</w:t>
      </w:r>
    </w:p>
    <w:p w14:paraId="15BD8166" w14:textId="77777777" w:rsidR="00D762DD" w:rsidRDefault="00000000">
      <w:pPr>
        <w:numPr>
          <w:ilvl w:val="0"/>
          <w:numId w:val="16"/>
        </w:numPr>
      </w:pPr>
      <w:proofErr w:type="spellStart"/>
      <w:r>
        <w:rPr>
          <w:i/>
          <w:iCs/>
        </w:rPr>
        <w:t>Fairness</w:t>
      </w:r>
      <w:proofErr w:type="spellEnd"/>
      <w:r>
        <w:t xml:space="preserve">: equidad en la calidad explicativa entre subgrupos, dimensión transversal identificada en </w:t>
      </w:r>
      <w:proofErr w:type="spellStart"/>
      <w:r>
        <w:t>benchmarks</w:t>
      </w:r>
      <w:proofErr w:type="spellEnd"/>
      <w:r>
        <w:t xml:space="preserve"> como </w:t>
      </w:r>
      <w:proofErr w:type="spellStart"/>
      <w:r>
        <w:t>OpenXAI</w:t>
      </w:r>
      <w:proofErr w:type="spellEnd"/>
      <w:r>
        <w:t xml:space="preserve"> (Agarwal et al. 2022).</w:t>
      </w:r>
    </w:p>
    <w:p w14:paraId="2219D94F" w14:textId="77777777" w:rsidR="00D762DD" w:rsidRDefault="00000000">
      <w:r>
        <w:rPr>
          <w:b/>
          <w:bCs/>
        </w:rPr>
        <w:t>Eje 4 — Contexto de tarea.</w:t>
      </w:r>
      <w:r>
        <w:t xml:space="preserve"> El contexto determina qué propiedades son prioritarias y qué nivel de coste es aceptable (Arrieta 2019; Bhattacharya and </w:t>
      </w:r>
      <w:proofErr w:type="spellStart"/>
      <w:r>
        <w:t>Verbert</w:t>
      </w:r>
      <w:proofErr w:type="spellEnd"/>
      <w:r>
        <w:t xml:space="preserve"> 2024):</w:t>
      </w:r>
    </w:p>
    <w:p w14:paraId="54B26877" w14:textId="77777777" w:rsidR="00D762DD" w:rsidRDefault="00000000">
      <w:pPr>
        <w:numPr>
          <w:ilvl w:val="0"/>
          <w:numId w:val="17"/>
        </w:numPr>
      </w:pPr>
      <w:r>
        <w:rPr>
          <w:i/>
          <w:iCs/>
        </w:rPr>
        <w:t>Auditoría y cumplimiento regulatorio</w:t>
      </w:r>
      <w:r>
        <w:t>: requiere alta fidelidad, estabilidad y trazabilidad; el coste computacional puede ser secundario.</w:t>
      </w:r>
    </w:p>
    <w:p w14:paraId="5B5E82FB" w14:textId="77777777" w:rsidR="00D762DD" w:rsidRDefault="00000000">
      <w:pPr>
        <w:numPr>
          <w:ilvl w:val="0"/>
          <w:numId w:val="17"/>
        </w:numPr>
      </w:pPr>
      <w:r>
        <w:rPr>
          <w:i/>
          <w:iCs/>
        </w:rPr>
        <w:lastRenderedPageBreak/>
        <w:t>Inferencia en tiempo real</w:t>
      </w:r>
      <w:r>
        <w:t>: requiere baja latencia; puede aceptar fidelidad moderada si el objetivo es respuesta inmediata.</w:t>
      </w:r>
    </w:p>
    <w:p w14:paraId="53D3CAA6" w14:textId="77777777" w:rsidR="00D762DD" w:rsidRDefault="00000000">
      <w:pPr>
        <w:numPr>
          <w:ilvl w:val="0"/>
          <w:numId w:val="17"/>
        </w:numPr>
      </w:pPr>
      <w:r>
        <w:rPr>
          <w:i/>
          <w:iCs/>
        </w:rPr>
        <w:t>Soporte a usuario final</w:t>
      </w:r>
      <w:r>
        <w:t>: requiere parsimonia, comprensibilidad y comunicación; la métrica automática no basta para demostrar utilidad.</w:t>
      </w:r>
    </w:p>
    <w:p w14:paraId="7F12189E" w14:textId="77777777" w:rsidR="00D762DD" w:rsidRDefault="00000000">
      <w:pPr>
        <w:numPr>
          <w:ilvl w:val="0"/>
          <w:numId w:val="17"/>
        </w:numPr>
      </w:pPr>
      <w:r>
        <w:rPr>
          <w:i/>
          <w:iCs/>
        </w:rPr>
        <w:t>Diagnóstico de modelos y depuración</w:t>
      </w:r>
      <w:r>
        <w:t>: requiere fidelidad local, cobertura y sensibilidad a errores del modelo; la eficiencia es secundaria.</w:t>
      </w:r>
    </w:p>
    <w:p w14:paraId="74476F30" w14:textId="77777777" w:rsidR="00D762DD" w:rsidRDefault="00000000">
      <w:pPr>
        <w:pStyle w:val="Heading2"/>
      </w:pPr>
      <w:bookmarkStart w:id="218" w:name="sec-taxonomia-matriz"/>
      <w:bookmarkStart w:id="219" w:name="_Toc238925793"/>
      <w:bookmarkEnd w:id="216"/>
      <w:r>
        <w:t>Matriz taxonómica de métricas XAI</w:t>
      </w:r>
      <w:bookmarkEnd w:id="219"/>
    </w:p>
    <w:p w14:paraId="73818623" w14:textId="77777777" w:rsidR="00D762DD" w:rsidRDefault="00000000">
      <w:r>
        <w:t xml:space="preserve">La Tabla </w:t>
      </w:r>
      <w:hyperlink w:anchor="tbl-taxonomia-ampliada">
        <w:r>
          <w:rPr>
            <w:rStyle w:val="Hyperlink"/>
          </w:rPr>
          <w:t>Table 6.1</w:t>
        </w:r>
      </w:hyperlink>
      <w:r>
        <w:t xml:space="preserve"> resume métricas frecuentes y su ubicación dentro de la taxonomía. La columna de alcance inferencial indica qué puede sostenerse razonablemente cuando la métrica se usa en un </w:t>
      </w:r>
      <w:proofErr w:type="spellStart"/>
      <w:r>
        <w:t>benchmark</w:t>
      </w:r>
      <w:proofErr w:type="spellEnd"/>
      <w:r>
        <w:t xml:space="preserve"> técnico.</w:t>
      </w:r>
    </w:p>
    <w:tbl>
      <w:tblPr>
        <w:tblW w:w="5000" w:type="pct"/>
        <w:tblLayout w:type="fixed"/>
        <w:tblLook w:val="0000" w:firstRow="0" w:lastRow="0" w:firstColumn="0" w:lastColumn="0" w:noHBand="0" w:noVBand="0"/>
      </w:tblPr>
      <w:tblGrid>
        <w:gridCol w:w="9576"/>
      </w:tblGrid>
      <w:tr w:rsidR="00D762DD" w14:paraId="3A847E33" w14:textId="77777777">
        <w:tc>
          <w:tcPr>
            <w:tcW w:w="7920" w:type="dxa"/>
          </w:tcPr>
          <w:p w14:paraId="4B03D6BD" w14:textId="77777777" w:rsidR="00D762DD" w:rsidRDefault="00000000">
            <w:pPr>
              <w:spacing w:before="200"/>
              <w:jc w:val="left"/>
            </w:pPr>
            <w:bookmarkStart w:id="220" w:name="tbl-taxonomia-ampliada"/>
            <w:r>
              <w:t>Table 6.1: Taxonomía ampliada de métricas y constructos de evaluación XAI.</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559"/>
              <w:gridCol w:w="1559"/>
              <w:gridCol w:w="1558"/>
              <w:gridCol w:w="1558"/>
              <w:gridCol w:w="1558"/>
              <w:gridCol w:w="1558"/>
            </w:tblGrid>
            <w:tr w:rsidR="00D762DD" w14:paraId="1161EF8B" w14:textId="77777777" w:rsidTr="00DA5BA3">
              <w:trPr>
                <w:tblHeader/>
              </w:trPr>
              <w:tc>
                <w:tcPr>
                  <w:tcW w:w="1320" w:type="dxa"/>
                </w:tcPr>
                <w:p w14:paraId="6D51EB65" w14:textId="77777777" w:rsidR="00D762DD" w:rsidRPr="00DA5BA3" w:rsidRDefault="00000000">
                  <w:pPr>
                    <w:jc w:val="center"/>
                    <w:rPr>
                      <w:b/>
                      <w:bCs/>
                    </w:rPr>
                  </w:pPr>
                  <w:r w:rsidRPr="00DA5BA3">
                    <w:rPr>
                      <w:b/>
                      <w:bCs/>
                    </w:rPr>
                    <w:t>Métrica / constructo</w:t>
                  </w:r>
                </w:p>
              </w:tc>
              <w:tc>
                <w:tcPr>
                  <w:tcW w:w="1320" w:type="dxa"/>
                </w:tcPr>
                <w:p w14:paraId="7AC0809E" w14:textId="77777777" w:rsidR="00D762DD" w:rsidRPr="00DA5BA3" w:rsidRDefault="00000000">
                  <w:pPr>
                    <w:jc w:val="center"/>
                    <w:rPr>
                      <w:b/>
                      <w:bCs/>
                    </w:rPr>
                  </w:pPr>
                  <w:r w:rsidRPr="00DA5BA3">
                    <w:rPr>
                      <w:b/>
                      <w:bCs/>
                    </w:rPr>
                    <w:t>Objetivo</w:t>
                  </w:r>
                </w:p>
              </w:tc>
              <w:tc>
                <w:tcPr>
                  <w:tcW w:w="1320" w:type="dxa"/>
                </w:tcPr>
                <w:p w14:paraId="46132236" w14:textId="77777777" w:rsidR="00D762DD" w:rsidRPr="00DA5BA3" w:rsidRDefault="00000000">
                  <w:pPr>
                    <w:jc w:val="center"/>
                    <w:rPr>
                      <w:b/>
                      <w:bCs/>
                    </w:rPr>
                  </w:pPr>
                  <w:r w:rsidRPr="00DA5BA3">
                    <w:rPr>
                      <w:b/>
                      <w:bCs/>
                    </w:rPr>
                    <w:t>Fuente de evidencia</w:t>
                  </w:r>
                </w:p>
              </w:tc>
              <w:tc>
                <w:tcPr>
                  <w:tcW w:w="1320" w:type="dxa"/>
                </w:tcPr>
                <w:p w14:paraId="67145259" w14:textId="77777777" w:rsidR="00D762DD" w:rsidRPr="00DA5BA3" w:rsidRDefault="00000000">
                  <w:pPr>
                    <w:jc w:val="center"/>
                    <w:rPr>
                      <w:b/>
                      <w:bCs/>
                    </w:rPr>
                  </w:pPr>
                  <w:r w:rsidRPr="00DA5BA3">
                    <w:rPr>
                      <w:b/>
                      <w:bCs/>
                    </w:rPr>
                    <w:t>Propiedad</w:t>
                  </w:r>
                </w:p>
              </w:tc>
              <w:tc>
                <w:tcPr>
                  <w:tcW w:w="1320" w:type="dxa"/>
                </w:tcPr>
                <w:p w14:paraId="11A80D48" w14:textId="77777777" w:rsidR="00D762DD" w:rsidRPr="00DA5BA3" w:rsidRDefault="00000000">
                  <w:pPr>
                    <w:jc w:val="center"/>
                    <w:rPr>
                      <w:b/>
                      <w:bCs/>
                    </w:rPr>
                  </w:pPr>
                  <w:r w:rsidRPr="00DA5BA3">
                    <w:rPr>
                      <w:b/>
                      <w:bCs/>
                    </w:rPr>
                    <w:t>Contexto típico</w:t>
                  </w:r>
                </w:p>
              </w:tc>
              <w:tc>
                <w:tcPr>
                  <w:tcW w:w="1320" w:type="dxa"/>
                </w:tcPr>
                <w:p w14:paraId="77123AAD" w14:textId="77777777" w:rsidR="00D762DD" w:rsidRPr="00DA5BA3" w:rsidRDefault="00000000">
                  <w:pPr>
                    <w:jc w:val="center"/>
                    <w:rPr>
                      <w:b/>
                      <w:bCs/>
                    </w:rPr>
                  </w:pPr>
                  <w:r w:rsidRPr="00DA5BA3">
                    <w:rPr>
                      <w:b/>
                      <w:bCs/>
                    </w:rPr>
                    <w:t>Alcance inferencial</w:t>
                  </w:r>
                </w:p>
              </w:tc>
            </w:tr>
            <w:tr w:rsidR="00D762DD" w14:paraId="7BC40F21" w14:textId="77777777" w:rsidTr="00DA5BA3">
              <w:tc>
                <w:tcPr>
                  <w:tcW w:w="1320" w:type="dxa"/>
                </w:tcPr>
                <w:p w14:paraId="752F6229" w14:textId="77777777" w:rsidR="00D762DD" w:rsidRDefault="00000000">
                  <w:pPr>
                    <w:jc w:val="center"/>
                  </w:pPr>
                  <w:r>
                    <w:t>Fidelidad local</w:t>
                  </w:r>
                </w:p>
              </w:tc>
              <w:tc>
                <w:tcPr>
                  <w:tcW w:w="1320" w:type="dxa"/>
                </w:tcPr>
                <w:p w14:paraId="35D5C7B7" w14:textId="77777777" w:rsidR="00D762DD" w:rsidRDefault="00000000">
                  <w:pPr>
                    <w:jc w:val="center"/>
                  </w:pPr>
                  <w:r>
                    <w:t>Representatividad local</w:t>
                  </w:r>
                </w:p>
              </w:tc>
              <w:tc>
                <w:tcPr>
                  <w:tcW w:w="1320" w:type="dxa"/>
                </w:tcPr>
                <w:p w14:paraId="655B8508" w14:textId="77777777" w:rsidR="00D762DD" w:rsidRDefault="00000000">
                  <w:pPr>
                    <w:jc w:val="center"/>
                  </w:pPr>
                  <w:r>
                    <w:t>Comparación modelo-explicador</w:t>
                  </w:r>
                </w:p>
              </w:tc>
              <w:tc>
                <w:tcPr>
                  <w:tcW w:w="1320" w:type="dxa"/>
                </w:tcPr>
                <w:p w14:paraId="030B5DAD" w14:textId="77777777" w:rsidR="00D762DD" w:rsidRDefault="00000000">
                  <w:pPr>
                    <w:jc w:val="center"/>
                  </w:pPr>
                  <w:proofErr w:type="spellStart"/>
                  <w:r>
                    <w:t>Faithfulness</w:t>
                  </w:r>
                  <w:proofErr w:type="spellEnd"/>
                  <w:r>
                    <w:t xml:space="preserve"> proxy</w:t>
                  </w:r>
                </w:p>
              </w:tc>
              <w:tc>
                <w:tcPr>
                  <w:tcW w:w="1320" w:type="dxa"/>
                </w:tcPr>
                <w:p w14:paraId="66155A30" w14:textId="77777777" w:rsidR="00D762DD" w:rsidRDefault="00000000">
                  <w:pPr>
                    <w:jc w:val="center"/>
                  </w:pPr>
                  <w:r>
                    <w:t>Auditoría, diagnóstico</w:t>
                  </w:r>
                </w:p>
              </w:tc>
              <w:tc>
                <w:tcPr>
                  <w:tcW w:w="1320" w:type="dxa"/>
                </w:tcPr>
                <w:p w14:paraId="5C31C0F3" w14:textId="77777777" w:rsidR="00D762DD" w:rsidRDefault="00000000">
                  <w:pPr>
                    <w:jc w:val="center"/>
                  </w:pPr>
                  <w:r>
                    <w:t>Acuerdo bajo vecindario definido</w:t>
                  </w:r>
                </w:p>
              </w:tc>
            </w:tr>
            <w:tr w:rsidR="00D762DD" w14:paraId="3DB05478" w14:textId="77777777" w:rsidTr="00DA5BA3">
              <w:tc>
                <w:tcPr>
                  <w:tcW w:w="1320" w:type="dxa"/>
                </w:tcPr>
                <w:p w14:paraId="2B855190" w14:textId="77777777" w:rsidR="00D762DD" w:rsidRDefault="00000000">
                  <w:pPr>
                    <w:jc w:val="center"/>
                  </w:pPr>
                  <w:proofErr w:type="spellStart"/>
                  <w:r>
                    <w:t>Infidelity</w:t>
                  </w:r>
                  <w:proofErr w:type="spellEnd"/>
                </w:p>
              </w:tc>
              <w:tc>
                <w:tcPr>
                  <w:tcW w:w="1320" w:type="dxa"/>
                </w:tcPr>
                <w:p w14:paraId="3496BC6F" w14:textId="77777777" w:rsidR="00D762DD" w:rsidRDefault="00000000">
                  <w:pPr>
                    <w:jc w:val="center"/>
                  </w:pPr>
                  <w:r>
                    <w:t>Representatividad local</w:t>
                  </w:r>
                </w:p>
              </w:tc>
              <w:tc>
                <w:tcPr>
                  <w:tcW w:w="1320" w:type="dxa"/>
                </w:tcPr>
                <w:p w14:paraId="15C7ADDE" w14:textId="77777777" w:rsidR="00D762DD" w:rsidRDefault="00000000">
                  <w:pPr>
                    <w:jc w:val="center"/>
                  </w:pPr>
                  <w:r>
                    <w:t>Perturbación/enmascaramiento</w:t>
                  </w:r>
                </w:p>
              </w:tc>
              <w:tc>
                <w:tcPr>
                  <w:tcW w:w="1320" w:type="dxa"/>
                </w:tcPr>
                <w:p w14:paraId="2865D253" w14:textId="77777777" w:rsidR="00D762DD" w:rsidRDefault="00000000">
                  <w:pPr>
                    <w:jc w:val="center"/>
                  </w:pPr>
                  <w:proofErr w:type="spellStart"/>
                  <w:r>
                    <w:t>Faithfulness</w:t>
                  </w:r>
                  <w:proofErr w:type="spellEnd"/>
                  <w:r>
                    <w:t xml:space="preserve"> proxy</w:t>
                  </w:r>
                </w:p>
              </w:tc>
              <w:tc>
                <w:tcPr>
                  <w:tcW w:w="1320" w:type="dxa"/>
                </w:tcPr>
                <w:p w14:paraId="6542883A" w14:textId="77777777" w:rsidR="00D762DD" w:rsidRDefault="00000000">
                  <w:pPr>
                    <w:jc w:val="center"/>
                  </w:pPr>
                  <w:r>
                    <w:t>Diagnóstico</w:t>
                  </w:r>
                </w:p>
              </w:tc>
              <w:tc>
                <w:tcPr>
                  <w:tcW w:w="1320" w:type="dxa"/>
                </w:tcPr>
                <w:p w14:paraId="4470FD40" w14:textId="77777777" w:rsidR="00D762DD" w:rsidRDefault="00000000">
                  <w:pPr>
                    <w:jc w:val="center"/>
                  </w:pPr>
                  <w:r>
                    <w:t>Sensibilidad entre explicación y cambio de salida</w:t>
                  </w:r>
                </w:p>
              </w:tc>
            </w:tr>
            <w:tr w:rsidR="00D762DD" w14:paraId="121FE0EF" w14:textId="77777777" w:rsidTr="00DA5BA3">
              <w:tc>
                <w:tcPr>
                  <w:tcW w:w="1320" w:type="dxa"/>
                </w:tcPr>
                <w:p w14:paraId="30A55FBA" w14:textId="77777777" w:rsidR="00D762DD" w:rsidRDefault="00000000">
                  <w:pPr>
                    <w:jc w:val="center"/>
                  </w:pPr>
                  <w:proofErr w:type="spellStart"/>
                  <w:r>
                    <w:t>Faithfulness</w:t>
                  </w:r>
                  <w:proofErr w:type="spellEnd"/>
                  <w:r>
                    <w:t xml:space="preserve"> gap / top-k</w:t>
                  </w:r>
                </w:p>
              </w:tc>
              <w:tc>
                <w:tcPr>
                  <w:tcW w:w="1320" w:type="dxa"/>
                </w:tcPr>
                <w:p w14:paraId="53563E22" w14:textId="77777777" w:rsidR="00D762DD" w:rsidRDefault="00000000">
                  <w:pPr>
                    <w:jc w:val="center"/>
                  </w:pPr>
                  <w:r>
                    <w:t>Relevancia local</w:t>
                  </w:r>
                </w:p>
              </w:tc>
              <w:tc>
                <w:tcPr>
                  <w:tcW w:w="1320" w:type="dxa"/>
                </w:tcPr>
                <w:p w14:paraId="2E9A76D8" w14:textId="77777777" w:rsidR="00D762DD" w:rsidRDefault="00000000">
                  <w:pPr>
                    <w:jc w:val="center"/>
                  </w:pPr>
                  <w:r>
                    <w:t>Enmascaramiento top-k</w:t>
                  </w:r>
                </w:p>
              </w:tc>
              <w:tc>
                <w:tcPr>
                  <w:tcW w:w="1320" w:type="dxa"/>
                </w:tcPr>
                <w:p w14:paraId="76CE03CC" w14:textId="77777777" w:rsidR="00D762DD" w:rsidRDefault="00000000">
                  <w:pPr>
                    <w:jc w:val="center"/>
                  </w:pPr>
                  <w:r>
                    <w:t>Relevancia causal local</w:t>
                  </w:r>
                </w:p>
              </w:tc>
              <w:tc>
                <w:tcPr>
                  <w:tcW w:w="1320" w:type="dxa"/>
                </w:tcPr>
                <w:p w14:paraId="5874A650" w14:textId="77777777" w:rsidR="00D762DD" w:rsidRDefault="00000000">
                  <w:pPr>
                    <w:jc w:val="center"/>
                  </w:pPr>
                  <w:r>
                    <w:t>Diagnóstico</w:t>
                  </w:r>
                </w:p>
              </w:tc>
              <w:tc>
                <w:tcPr>
                  <w:tcW w:w="1320" w:type="dxa"/>
                </w:tcPr>
                <w:p w14:paraId="0E1D38FC" w14:textId="77777777" w:rsidR="00D762DD" w:rsidRDefault="00000000">
                  <w:pPr>
                    <w:jc w:val="center"/>
                  </w:pPr>
                  <w:r>
                    <w:t xml:space="preserve">Cambio de predicción bajo intervención </w:t>
                  </w:r>
                  <w:r>
                    <w:lastRenderedPageBreak/>
                    <w:t>operacional</w:t>
                  </w:r>
                </w:p>
              </w:tc>
            </w:tr>
            <w:tr w:rsidR="00D762DD" w14:paraId="34117385" w14:textId="77777777" w:rsidTr="00DA5BA3">
              <w:tc>
                <w:tcPr>
                  <w:tcW w:w="1320" w:type="dxa"/>
                </w:tcPr>
                <w:p w14:paraId="6C04EBF1" w14:textId="77777777" w:rsidR="00D762DD" w:rsidRDefault="00000000">
                  <w:pPr>
                    <w:jc w:val="center"/>
                  </w:pPr>
                  <w:r>
                    <w:lastRenderedPageBreak/>
                    <w:t>Robustez</w:t>
                  </w:r>
                </w:p>
              </w:tc>
              <w:tc>
                <w:tcPr>
                  <w:tcW w:w="1320" w:type="dxa"/>
                </w:tcPr>
                <w:p w14:paraId="13DC6275" w14:textId="77777777" w:rsidR="00D762DD" w:rsidRDefault="00000000">
                  <w:pPr>
                    <w:jc w:val="center"/>
                  </w:pPr>
                  <w:r>
                    <w:t>Consistencia</w:t>
                  </w:r>
                </w:p>
              </w:tc>
              <w:tc>
                <w:tcPr>
                  <w:tcW w:w="1320" w:type="dxa"/>
                </w:tcPr>
                <w:p w14:paraId="08B9D72F" w14:textId="77777777" w:rsidR="00D762DD" w:rsidRDefault="00000000">
                  <w:pPr>
                    <w:jc w:val="center"/>
                  </w:pPr>
                  <w:r>
                    <w:t>Perturbación o estrés</w:t>
                  </w:r>
                </w:p>
              </w:tc>
              <w:tc>
                <w:tcPr>
                  <w:tcW w:w="1320" w:type="dxa"/>
                </w:tcPr>
                <w:p w14:paraId="5C80CDC9" w14:textId="77777777" w:rsidR="00D762DD" w:rsidRDefault="00000000">
                  <w:pPr>
                    <w:jc w:val="center"/>
                  </w:pPr>
                  <w:proofErr w:type="spellStart"/>
                  <w:r>
                    <w:t>Robustness</w:t>
                  </w:r>
                  <w:proofErr w:type="spellEnd"/>
                </w:p>
              </w:tc>
              <w:tc>
                <w:tcPr>
                  <w:tcW w:w="1320" w:type="dxa"/>
                </w:tcPr>
                <w:p w14:paraId="54637C33" w14:textId="77777777" w:rsidR="00D762DD" w:rsidRDefault="00000000">
                  <w:pPr>
                    <w:jc w:val="center"/>
                  </w:pPr>
                  <w:r>
                    <w:t>Alto riesgo</w:t>
                  </w:r>
                </w:p>
              </w:tc>
              <w:tc>
                <w:tcPr>
                  <w:tcW w:w="1320" w:type="dxa"/>
                </w:tcPr>
                <w:p w14:paraId="07A084C0" w14:textId="77777777" w:rsidR="00D762DD" w:rsidRDefault="00000000">
                  <w:pPr>
                    <w:jc w:val="center"/>
                  </w:pPr>
                  <w:r>
                    <w:t>Resistencia bajo condiciones definidas</w:t>
                  </w:r>
                </w:p>
              </w:tc>
            </w:tr>
            <w:tr w:rsidR="00D762DD" w14:paraId="0837C6B5" w14:textId="77777777" w:rsidTr="00DA5BA3">
              <w:tc>
                <w:tcPr>
                  <w:tcW w:w="1320" w:type="dxa"/>
                </w:tcPr>
                <w:p w14:paraId="1C8990E2" w14:textId="77777777" w:rsidR="00D762DD" w:rsidRDefault="00000000">
                  <w:pPr>
                    <w:jc w:val="center"/>
                  </w:pPr>
                  <w:r>
                    <w:t>Estabilidad</w:t>
                  </w:r>
                </w:p>
              </w:tc>
              <w:tc>
                <w:tcPr>
                  <w:tcW w:w="1320" w:type="dxa"/>
                </w:tcPr>
                <w:p w14:paraId="6487E03A" w14:textId="77777777" w:rsidR="00D762DD" w:rsidRDefault="00000000">
                  <w:pPr>
                    <w:jc w:val="center"/>
                  </w:pPr>
                  <w:r>
                    <w:t>Consistencia</w:t>
                  </w:r>
                </w:p>
              </w:tc>
              <w:tc>
                <w:tcPr>
                  <w:tcW w:w="1320" w:type="dxa"/>
                </w:tcPr>
                <w:p w14:paraId="4BB1FEC4" w14:textId="77777777" w:rsidR="00D762DD" w:rsidRDefault="00000000">
                  <w:pPr>
                    <w:jc w:val="center"/>
                  </w:pPr>
                  <w:r>
                    <w:t>Perturbación leve</w:t>
                  </w:r>
                </w:p>
              </w:tc>
              <w:tc>
                <w:tcPr>
                  <w:tcW w:w="1320" w:type="dxa"/>
                </w:tcPr>
                <w:p w14:paraId="06877C0D" w14:textId="77777777" w:rsidR="00D762DD" w:rsidRDefault="00000000">
                  <w:pPr>
                    <w:jc w:val="center"/>
                  </w:pPr>
                  <w:proofErr w:type="spellStart"/>
                  <w:r>
                    <w:t>Stability</w:t>
                  </w:r>
                  <w:proofErr w:type="spellEnd"/>
                </w:p>
              </w:tc>
              <w:tc>
                <w:tcPr>
                  <w:tcW w:w="1320" w:type="dxa"/>
                </w:tcPr>
                <w:p w14:paraId="16AE9FD8" w14:textId="77777777" w:rsidR="00D762DD" w:rsidRDefault="00000000">
                  <w:pPr>
                    <w:jc w:val="center"/>
                  </w:pPr>
                  <w:r>
                    <w:t>Auditoría</w:t>
                  </w:r>
                </w:p>
              </w:tc>
              <w:tc>
                <w:tcPr>
                  <w:tcW w:w="1320" w:type="dxa"/>
                </w:tcPr>
                <w:p w14:paraId="4436DFE2" w14:textId="77777777" w:rsidR="00D762DD" w:rsidRDefault="00000000">
                  <w:pPr>
                    <w:jc w:val="center"/>
                  </w:pPr>
                  <w:r>
                    <w:t>Consistencia ante variaciones pequeñas</w:t>
                  </w:r>
                </w:p>
              </w:tc>
            </w:tr>
            <w:tr w:rsidR="00D762DD" w14:paraId="534FEF1A" w14:textId="77777777" w:rsidTr="00DA5BA3">
              <w:tc>
                <w:tcPr>
                  <w:tcW w:w="1320" w:type="dxa"/>
                </w:tcPr>
                <w:p w14:paraId="5ECECCEB" w14:textId="77777777" w:rsidR="00D762DD" w:rsidRDefault="00000000">
                  <w:pPr>
                    <w:jc w:val="center"/>
                  </w:pPr>
                  <w:proofErr w:type="spellStart"/>
                  <w:r>
                    <w:t>Sparsity</w:t>
                  </w:r>
                  <w:proofErr w:type="spellEnd"/>
                  <w:r>
                    <w:t xml:space="preserve"> / parsimonia</w:t>
                  </w:r>
                </w:p>
              </w:tc>
              <w:tc>
                <w:tcPr>
                  <w:tcW w:w="1320" w:type="dxa"/>
                </w:tcPr>
                <w:p w14:paraId="3E9831EE" w14:textId="77777777" w:rsidR="00D762DD" w:rsidRDefault="00000000">
                  <w:pPr>
                    <w:jc w:val="center"/>
                  </w:pPr>
                  <w:r>
                    <w:t>Compacidad</w:t>
                  </w:r>
                </w:p>
              </w:tc>
              <w:tc>
                <w:tcPr>
                  <w:tcW w:w="1320" w:type="dxa"/>
                </w:tcPr>
                <w:p w14:paraId="6FC05A24" w14:textId="77777777" w:rsidR="00D762DD" w:rsidRDefault="00000000">
                  <w:pPr>
                    <w:jc w:val="center"/>
                  </w:pPr>
                  <w:r>
                    <w:t>Conteo de características activas</w:t>
                  </w:r>
                </w:p>
              </w:tc>
              <w:tc>
                <w:tcPr>
                  <w:tcW w:w="1320" w:type="dxa"/>
                </w:tcPr>
                <w:p w14:paraId="414EF962" w14:textId="77777777" w:rsidR="00D762DD" w:rsidRDefault="00000000">
                  <w:pPr>
                    <w:jc w:val="center"/>
                  </w:pPr>
                  <w:proofErr w:type="spellStart"/>
                  <w:r>
                    <w:t>Simplicity</w:t>
                  </w:r>
                  <w:proofErr w:type="spellEnd"/>
                </w:p>
              </w:tc>
              <w:tc>
                <w:tcPr>
                  <w:tcW w:w="1320" w:type="dxa"/>
                </w:tcPr>
                <w:p w14:paraId="0DC20A6F" w14:textId="77777777" w:rsidR="00D762DD" w:rsidRDefault="00000000">
                  <w:pPr>
                    <w:jc w:val="center"/>
                  </w:pPr>
                  <w:r>
                    <w:t>Interfaces, usuario final</w:t>
                  </w:r>
                </w:p>
              </w:tc>
              <w:tc>
                <w:tcPr>
                  <w:tcW w:w="1320" w:type="dxa"/>
                </w:tcPr>
                <w:p w14:paraId="6816F207" w14:textId="77777777" w:rsidR="00D762DD" w:rsidRDefault="00000000">
                  <w:pPr>
                    <w:jc w:val="center"/>
                  </w:pPr>
                  <w:r>
                    <w:t>Tamaño cognitivo aproximado</w:t>
                  </w:r>
                </w:p>
              </w:tc>
            </w:tr>
            <w:tr w:rsidR="00D762DD" w14:paraId="592BDFCF" w14:textId="77777777" w:rsidTr="00DA5BA3">
              <w:tc>
                <w:tcPr>
                  <w:tcW w:w="1320" w:type="dxa"/>
                </w:tcPr>
                <w:p w14:paraId="3C949C40" w14:textId="77777777" w:rsidR="00D762DD" w:rsidRDefault="00000000">
                  <w:pPr>
                    <w:jc w:val="center"/>
                  </w:pPr>
                  <w:r>
                    <w:t>Complejidad</w:t>
                  </w:r>
                </w:p>
              </w:tc>
              <w:tc>
                <w:tcPr>
                  <w:tcW w:w="1320" w:type="dxa"/>
                </w:tcPr>
                <w:p w14:paraId="2C3B1AFE" w14:textId="77777777" w:rsidR="00D762DD" w:rsidRDefault="00000000">
                  <w:pPr>
                    <w:jc w:val="center"/>
                  </w:pPr>
                  <w:r>
                    <w:t>Compacidad</w:t>
                  </w:r>
                </w:p>
              </w:tc>
              <w:tc>
                <w:tcPr>
                  <w:tcW w:w="1320" w:type="dxa"/>
                </w:tcPr>
                <w:p w14:paraId="728750A5" w14:textId="77777777" w:rsidR="00D762DD" w:rsidRDefault="00000000">
                  <w:pPr>
                    <w:jc w:val="center"/>
                  </w:pPr>
                  <w:r>
                    <w:t>Conteo, longitud, reglas</w:t>
                  </w:r>
                </w:p>
              </w:tc>
              <w:tc>
                <w:tcPr>
                  <w:tcW w:w="1320" w:type="dxa"/>
                </w:tcPr>
                <w:p w14:paraId="4C2DC9FE" w14:textId="77777777" w:rsidR="00D762DD" w:rsidRDefault="00000000">
                  <w:pPr>
                    <w:jc w:val="center"/>
                  </w:pPr>
                  <w:proofErr w:type="spellStart"/>
                  <w:r>
                    <w:t>Simplicity</w:t>
                  </w:r>
                  <w:proofErr w:type="spellEnd"/>
                  <w:r>
                    <w:t>/complejidad</w:t>
                  </w:r>
                </w:p>
              </w:tc>
              <w:tc>
                <w:tcPr>
                  <w:tcW w:w="1320" w:type="dxa"/>
                </w:tcPr>
                <w:p w14:paraId="13AAFF73" w14:textId="77777777" w:rsidR="00D762DD" w:rsidRDefault="00000000">
                  <w:pPr>
                    <w:jc w:val="center"/>
                  </w:pPr>
                  <w:r>
                    <w:t>Comunicación</w:t>
                  </w:r>
                </w:p>
              </w:tc>
              <w:tc>
                <w:tcPr>
                  <w:tcW w:w="1320" w:type="dxa"/>
                </w:tcPr>
                <w:p w14:paraId="2216A104" w14:textId="77777777" w:rsidR="00D762DD" w:rsidRDefault="00000000">
                  <w:pPr>
                    <w:jc w:val="center"/>
                  </w:pPr>
                  <w:r>
                    <w:t>Carga estructural del artefacto</w:t>
                  </w:r>
                </w:p>
              </w:tc>
            </w:tr>
            <w:tr w:rsidR="00D762DD" w14:paraId="553D9BB9" w14:textId="77777777" w:rsidTr="00DA5BA3">
              <w:tc>
                <w:tcPr>
                  <w:tcW w:w="1320" w:type="dxa"/>
                </w:tcPr>
                <w:p w14:paraId="0335DB60" w14:textId="77777777" w:rsidR="00D762DD" w:rsidRDefault="00000000">
                  <w:pPr>
                    <w:jc w:val="center"/>
                  </w:pPr>
                  <w:r>
                    <w:t>Plausibilidad</w:t>
                  </w:r>
                </w:p>
              </w:tc>
              <w:tc>
                <w:tcPr>
                  <w:tcW w:w="1320" w:type="dxa"/>
                </w:tcPr>
                <w:p w14:paraId="442D96D1" w14:textId="77777777" w:rsidR="00D762DD" w:rsidRDefault="00000000">
                  <w:pPr>
                    <w:jc w:val="center"/>
                  </w:pPr>
                  <w:r>
                    <w:t>Aceptabilidad humana</w:t>
                  </w:r>
                </w:p>
              </w:tc>
              <w:tc>
                <w:tcPr>
                  <w:tcW w:w="1320" w:type="dxa"/>
                </w:tcPr>
                <w:p w14:paraId="23FF9876" w14:textId="77777777" w:rsidR="00D762DD" w:rsidRDefault="00000000">
                  <w:pPr>
                    <w:jc w:val="center"/>
                  </w:pPr>
                  <w:r>
                    <w:t>Estudio con usuario o experto</w:t>
                  </w:r>
                </w:p>
              </w:tc>
              <w:tc>
                <w:tcPr>
                  <w:tcW w:w="1320" w:type="dxa"/>
                </w:tcPr>
                <w:p w14:paraId="1F88AAC1" w14:textId="77777777" w:rsidR="00D762DD" w:rsidRDefault="00000000">
                  <w:pPr>
                    <w:jc w:val="center"/>
                  </w:pPr>
                  <w:proofErr w:type="spellStart"/>
                  <w:r>
                    <w:t>Plausibility</w:t>
                  </w:r>
                  <w:proofErr w:type="spellEnd"/>
                </w:p>
              </w:tc>
              <w:tc>
                <w:tcPr>
                  <w:tcW w:w="1320" w:type="dxa"/>
                </w:tcPr>
                <w:p w14:paraId="590B7751" w14:textId="77777777" w:rsidR="00D762DD" w:rsidRDefault="00000000">
                  <w:pPr>
                    <w:jc w:val="center"/>
                  </w:pPr>
                  <w:r>
                    <w:t>Soporte a usuario</w:t>
                  </w:r>
                </w:p>
              </w:tc>
              <w:tc>
                <w:tcPr>
                  <w:tcW w:w="1320" w:type="dxa"/>
                </w:tcPr>
                <w:p w14:paraId="27ED4A06" w14:textId="77777777" w:rsidR="00D762DD" w:rsidRDefault="00000000">
                  <w:pPr>
                    <w:jc w:val="center"/>
                  </w:pPr>
                  <w:r>
                    <w:t>Coherencia percibida; no prueba verdad</w:t>
                  </w:r>
                </w:p>
              </w:tc>
            </w:tr>
            <w:tr w:rsidR="00D762DD" w14:paraId="0B594547" w14:textId="77777777" w:rsidTr="00DA5BA3">
              <w:tc>
                <w:tcPr>
                  <w:tcW w:w="1320" w:type="dxa"/>
                </w:tcPr>
                <w:p w14:paraId="378BF65A" w14:textId="77777777" w:rsidR="00D762DD" w:rsidRDefault="00000000">
                  <w:pPr>
                    <w:jc w:val="center"/>
                  </w:pPr>
                  <w:r>
                    <w:t>Comprensibilidad</w:t>
                  </w:r>
                </w:p>
              </w:tc>
              <w:tc>
                <w:tcPr>
                  <w:tcW w:w="1320" w:type="dxa"/>
                </w:tcPr>
                <w:p w14:paraId="0F76B4FD" w14:textId="77777777" w:rsidR="00D762DD" w:rsidRDefault="00000000">
                  <w:pPr>
                    <w:jc w:val="center"/>
                  </w:pPr>
                  <w:r>
                    <w:t>Soporte cognitivo</w:t>
                  </w:r>
                </w:p>
              </w:tc>
              <w:tc>
                <w:tcPr>
                  <w:tcW w:w="1320" w:type="dxa"/>
                </w:tcPr>
                <w:p w14:paraId="5809FCAA" w14:textId="77777777" w:rsidR="00D762DD" w:rsidRDefault="00000000">
                  <w:pPr>
                    <w:jc w:val="center"/>
                  </w:pPr>
                  <w:r>
                    <w:t>Estudio con usuario</w:t>
                  </w:r>
                </w:p>
              </w:tc>
              <w:tc>
                <w:tcPr>
                  <w:tcW w:w="1320" w:type="dxa"/>
                </w:tcPr>
                <w:p w14:paraId="122EECCA" w14:textId="77777777" w:rsidR="00D762DD" w:rsidRDefault="00000000">
                  <w:pPr>
                    <w:jc w:val="center"/>
                  </w:pPr>
                  <w:proofErr w:type="spellStart"/>
                  <w:r>
                    <w:t>Comprehensibility</w:t>
                  </w:r>
                  <w:proofErr w:type="spellEnd"/>
                </w:p>
              </w:tc>
              <w:tc>
                <w:tcPr>
                  <w:tcW w:w="1320" w:type="dxa"/>
                </w:tcPr>
                <w:p w14:paraId="2D3EAB7E" w14:textId="77777777" w:rsidR="00D762DD" w:rsidRDefault="00000000">
                  <w:pPr>
                    <w:jc w:val="center"/>
                  </w:pPr>
                  <w:r>
                    <w:t>Usuario final</w:t>
                  </w:r>
                </w:p>
              </w:tc>
              <w:tc>
                <w:tcPr>
                  <w:tcW w:w="1320" w:type="dxa"/>
                </w:tcPr>
                <w:p w14:paraId="5845DDC2" w14:textId="77777777" w:rsidR="00D762DD" w:rsidRDefault="00000000">
                  <w:pPr>
                    <w:jc w:val="center"/>
                  </w:pPr>
                  <w:r>
                    <w:t>Facilidad de comprensión observada</w:t>
                  </w:r>
                </w:p>
              </w:tc>
            </w:tr>
            <w:tr w:rsidR="00D762DD" w14:paraId="72821B68" w14:textId="77777777" w:rsidTr="00DA5BA3">
              <w:tc>
                <w:tcPr>
                  <w:tcW w:w="1320" w:type="dxa"/>
                </w:tcPr>
                <w:p w14:paraId="7AC37A8C" w14:textId="77777777" w:rsidR="00D762DD" w:rsidRDefault="00000000">
                  <w:pPr>
                    <w:jc w:val="center"/>
                  </w:pPr>
                  <w:r>
                    <w:t>Satisfacción humana</w:t>
                  </w:r>
                </w:p>
              </w:tc>
              <w:tc>
                <w:tcPr>
                  <w:tcW w:w="1320" w:type="dxa"/>
                </w:tcPr>
                <w:p w14:paraId="3841512F" w14:textId="77777777" w:rsidR="00D762DD" w:rsidRDefault="00000000">
                  <w:pPr>
                    <w:jc w:val="center"/>
                  </w:pPr>
                  <w:r>
                    <w:t>Experiencia de uso</w:t>
                  </w:r>
                </w:p>
              </w:tc>
              <w:tc>
                <w:tcPr>
                  <w:tcW w:w="1320" w:type="dxa"/>
                </w:tcPr>
                <w:p w14:paraId="3CD44986" w14:textId="77777777" w:rsidR="00D762DD" w:rsidRDefault="00000000">
                  <w:pPr>
                    <w:jc w:val="center"/>
                  </w:pPr>
                  <w:r>
                    <w:t>Encuesta/experimento</w:t>
                  </w:r>
                </w:p>
              </w:tc>
              <w:tc>
                <w:tcPr>
                  <w:tcW w:w="1320" w:type="dxa"/>
                </w:tcPr>
                <w:p w14:paraId="37155E2A" w14:textId="77777777" w:rsidR="00D762DD" w:rsidRDefault="00000000">
                  <w:pPr>
                    <w:jc w:val="center"/>
                  </w:pPr>
                  <w:proofErr w:type="spellStart"/>
                  <w:r>
                    <w:t>Usefulness</w:t>
                  </w:r>
                  <w:proofErr w:type="spellEnd"/>
                </w:p>
              </w:tc>
              <w:tc>
                <w:tcPr>
                  <w:tcW w:w="1320" w:type="dxa"/>
                </w:tcPr>
                <w:p w14:paraId="49CA4BD9" w14:textId="77777777" w:rsidR="00D762DD" w:rsidRDefault="00000000">
                  <w:pPr>
                    <w:jc w:val="center"/>
                  </w:pPr>
                  <w:r>
                    <w:t>Aplicación</w:t>
                  </w:r>
                </w:p>
              </w:tc>
              <w:tc>
                <w:tcPr>
                  <w:tcW w:w="1320" w:type="dxa"/>
                </w:tcPr>
                <w:p w14:paraId="70CC8E75" w14:textId="77777777" w:rsidR="00D762DD" w:rsidRDefault="00000000">
                  <w:pPr>
                    <w:jc w:val="center"/>
                  </w:pPr>
                  <w:r>
                    <w:t>Preferencia o utilidad percibida</w:t>
                  </w:r>
                </w:p>
              </w:tc>
            </w:tr>
            <w:tr w:rsidR="00D762DD" w14:paraId="1A5FD7B3" w14:textId="77777777" w:rsidTr="00DA5BA3">
              <w:tc>
                <w:tcPr>
                  <w:tcW w:w="1320" w:type="dxa"/>
                </w:tcPr>
                <w:p w14:paraId="04625D32" w14:textId="77777777" w:rsidR="00D762DD" w:rsidRDefault="00000000">
                  <w:pPr>
                    <w:jc w:val="center"/>
                  </w:pPr>
                  <w:r>
                    <w:lastRenderedPageBreak/>
                    <w:t>Validez contrafactual</w:t>
                  </w:r>
                </w:p>
              </w:tc>
              <w:tc>
                <w:tcPr>
                  <w:tcW w:w="1320" w:type="dxa"/>
                </w:tcPr>
                <w:p w14:paraId="4C9DF6BE" w14:textId="77777777" w:rsidR="00D762DD" w:rsidRDefault="00000000">
                  <w:pPr>
                    <w:jc w:val="center"/>
                  </w:pPr>
                  <w:r>
                    <w:t>Cambio de resultado</w:t>
                  </w:r>
                </w:p>
              </w:tc>
              <w:tc>
                <w:tcPr>
                  <w:tcW w:w="1320" w:type="dxa"/>
                </w:tcPr>
                <w:p w14:paraId="630FBDF9" w14:textId="77777777" w:rsidR="00D762DD" w:rsidRDefault="00000000">
                  <w:pPr>
                    <w:jc w:val="center"/>
                  </w:pPr>
                  <w:r>
                    <w:t>Evaluación de contrafactual</w:t>
                  </w:r>
                </w:p>
              </w:tc>
              <w:tc>
                <w:tcPr>
                  <w:tcW w:w="1320" w:type="dxa"/>
                </w:tcPr>
                <w:p w14:paraId="6DF7E953" w14:textId="77777777" w:rsidR="00D762DD" w:rsidRDefault="00000000">
                  <w:pPr>
                    <w:jc w:val="center"/>
                  </w:pPr>
                  <w:proofErr w:type="spellStart"/>
                  <w:r>
                    <w:t>Validity</w:t>
                  </w:r>
                  <w:proofErr w:type="spellEnd"/>
                </w:p>
              </w:tc>
              <w:tc>
                <w:tcPr>
                  <w:tcW w:w="1320" w:type="dxa"/>
                </w:tcPr>
                <w:p w14:paraId="5ABEF642" w14:textId="77777777" w:rsidR="00D762DD" w:rsidRDefault="00000000">
                  <w:pPr>
                    <w:jc w:val="center"/>
                  </w:pPr>
                  <w:proofErr w:type="spellStart"/>
                  <w:r>
                    <w:t>Recourse</w:t>
                  </w:r>
                  <w:proofErr w:type="spellEnd"/>
                </w:p>
              </w:tc>
              <w:tc>
                <w:tcPr>
                  <w:tcW w:w="1320" w:type="dxa"/>
                </w:tcPr>
                <w:p w14:paraId="6AFA2B66" w14:textId="77777777" w:rsidR="00D762DD" w:rsidRDefault="00000000">
                  <w:pPr>
                    <w:jc w:val="center"/>
                  </w:pPr>
                  <w:r>
                    <w:t>La alternativa cambia la predicción</w:t>
                  </w:r>
                </w:p>
              </w:tc>
            </w:tr>
            <w:tr w:rsidR="00D762DD" w14:paraId="791BD11F" w14:textId="77777777" w:rsidTr="00DA5BA3">
              <w:tc>
                <w:tcPr>
                  <w:tcW w:w="1320" w:type="dxa"/>
                </w:tcPr>
                <w:p w14:paraId="69E2BA61" w14:textId="77777777" w:rsidR="00D762DD" w:rsidRDefault="00000000">
                  <w:pPr>
                    <w:jc w:val="center"/>
                  </w:pPr>
                  <w:proofErr w:type="spellStart"/>
                  <w:r>
                    <w:t>Actionability</w:t>
                  </w:r>
                  <w:proofErr w:type="spellEnd"/>
                </w:p>
              </w:tc>
              <w:tc>
                <w:tcPr>
                  <w:tcW w:w="1320" w:type="dxa"/>
                </w:tcPr>
                <w:p w14:paraId="3A14F89A" w14:textId="77777777" w:rsidR="00D762DD" w:rsidRDefault="00000000">
                  <w:pPr>
                    <w:jc w:val="center"/>
                  </w:pPr>
                  <w:r>
                    <w:t>Factibilidad de cambio</w:t>
                  </w:r>
                </w:p>
              </w:tc>
              <w:tc>
                <w:tcPr>
                  <w:tcW w:w="1320" w:type="dxa"/>
                </w:tcPr>
                <w:p w14:paraId="5191EBDC" w14:textId="77777777" w:rsidR="00D762DD" w:rsidRDefault="00000000">
                  <w:pPr>
                    <w:jc w:val="center"/>
                  </w:pPr>
                  <w:r>
                    <w:t>Reglas de dominio/usuario</w:t>
                  </w:r>
                </w:p>
              </w:tc>
              <w:tc>
                <w:tcPr>
                  <w:tcW w:w="1320" w:type="dxa"/>
                </w:tcPr>
                <w:p w14:paraId="66122E70" w14:textId="77777777" w:rsidR="00D762DD" w:rsidRDefault="00000000">
                  <w:pPr>
                    <w:jc w:val="center"/>
                  </w:pPr>
                  <w:proofErr w:type="spellStart"/>
                  <w:r>
                    <w:t>Actionability</w:t>
                  </w:r>
                  <w:proofErr w:type="spellEnd"/>
                </w:p>
              </w:tc>
              <w:tc>
                <w:tcPr>
                  <w:tcW w:w="1320" w:type="dxa"/>
                </w:tcPr>
                <w:p w14:paraId="628C5E85" w14:textId="77777777" w:rsidR="00D762DD" w:rsidRDefault="00000000">
                  <w:pPr>
                    <w:jc w:val="center"/>
                  </w:pPr>
                  <w:proofErr w:type="spellStart"/>
                  <w:r>
                    <w:t>Recourse</w:t>
                  </w:r>
                  <w:proofErr w:type="spellEnd"/>
                </w:p>
              </w:tc>
              <w:tc>
                <w:tcPr>
                  <w:tcW w:w="1320" w:type="dxa"/>
                </w:tcPr>
                <w:p w14:paraId="3E12FA5F" w14:textId="77777777" w:rsidR="00D762DD" w:rsidRDefault="00000000">
                  <w:pPr>
                    <w:jc w:val="center"/>
                  </w:pPr>
                  <w:r>
                    <w:t>El cambio es ejecutable bajo restricciones</w:t>
                  </w:r>
                </w:p>
              </w:tc>
            </w:tr>
            <w:tr w:rsidR="00D762DD" w14:paraId="17F29CA1" w14:textId="77777777" w:rsidTr="00DA5BA3">
              <w:tc>
                <w:tcPr>
                  <w:tcW w:w="1320" w:type="dxa"/>
                </w:tcPr>
                <w:p w14:paraId="3B327E75" w14:textId="77777777" w:rsidR="00D762DD" w:rsidRDefault="00000000">
                  <w:pPr>
                    <w:jc w:val="center"/>
                  </w:pPr>
                  <w:r>
                    <w:t>Alineamiento causal</w:t>
                  </w:r>
                </w:p>
              </w:tc>
              <w:tc>
                <w:tcPr>
                  <w:tcW w:w="1320" w:type="dxa"/>
                </w:tcPr>
                <w:p w14:paraId="1B2A336F" w14:textId="77777777" w:rsidR="00D762DD" w:rsidRDefault="00000000">
                  <w:pPr>
                    <w:jc w:val="center"/>
                  </w:pPr>
                  <w:r>
                    <w:t>Relación explicación-dominio</w:t>
                  </w:r>
                </w:p>
              </w:tc>
              <w:tc>
                <w:tcPr>
                  <w:tcW w:w="1320" w:type="dxa"/>
                </w:tcPr>
                <w:p w14:paraId="3D03F680" w14:textId="77777777" w:rsidR="00D762DD" w:rsidRDefault="00000000">
                  <w:pPr>
                    <w:jc w:val="center"/>
                  </w:pPr>
                  <w:r>
                    <w:t>Modelo causal/experto</w:t>
                  </w:r>
                </w:p>
              </w:tc>
              <w:tc>
                <w:tcPr>
                  <w:tcW w:w="1320" w:type="dxa"/>
                </w:tcPr>
                <w:p w14:paraId="5C1469C9" w14:textId="77777777" w:rsidR="00D762DD" w:rsidRDefault="00000000">
                  <w:pPr>
                    <w:jc w:val="center"/>
                  </w:pPr>
                  <w:r>
                    <w:t xml:space="preserve">Causal </w:t>
                  </w:r>
                  <w:proofErr w:type="spellStart"/>
                  <w:r>
                    <w:t>alignment</w:t>
                  </w:r>
                  <w:proofErr w:type="spellEnd"/>
                </w:p>
              </w:tc>
              <w:tc>
                <w:tcPr>
                  <w:tcW w:w="1320" w:type="dxa"/>
                </w:tcPr>
                <w:p w14:paraId="162B2355" w14:textId="77777777" w:rsidR="00D762DD" w:rsidRDefault="00000000">
                  <w:pPr>
                    <w:jc w:val="center"/>
                  </w:pPr>
                  <w:r>
                    <w:t>Alto riesgo</w:t>
                  </w:r>
                </w:p>
              </w:tc>
              <w:tc>
                <w:tcPr>
                  <w:tcW w:w="1320" w:type="dxa"/>
                </w:tcPr>
                <w:p w14:paraId="0FF72928" w14:textId="77777777" w:rsidR="00D762DD" w:rsidRDefault="00000000">
                  <w:pPr>
                    <w:jc w:val="center"/>
                  </w:pPr>
                  <w:r>
                    <w:t>Requiere evidencia causal externa</w:t>
                  </w:r>
                </w:p>
              </w:tc>
            </w:tr>
            <w:tr w:rsidR="00D762DD" w14:paraId="7E07D7CD" w14:textId="77777777" w:rsidTr="00DA5BA3">
              <w:tc>
                <w:tcPr>
                  <w:tcW w:w="1320" w:type="dxa"/>
                </w:tcPr>
                <w:p w14:paraId="516F8FB3" w14:textId="77777777" w:rsidR="00D762DD" w:rsidRDefault="00000000">
                  <w:pPr>
                    <w:jc w:val="center"/>
                  </w:pPr>
                  <w:r>
                    <w:t>Coste computacional</w:t>
                  </w:r>
                </w:p>
              </w:tc>
              <w:tc>
                <w:tcPr>
                  <w:tcW w:w="1320" w:type="dxa"/>
                </w:tcPr>
                <w:p w14:paraId="3FE89D3F" w14:textId="77777777" w:rsidR="00D762DD" w:rsidRDefault="00000000">
                  <w:pPr>
                    <w:jc w:val="center"/>
                  </w:pPr>
                  <w:r>
                    <w:t>Eficiencia</w:t>
                  </w:r>
                </w:p>
              </w:tc>
              <w:tc>
                <w:tcPr>
                  <w:tcW w:w="1320" w:type="dxa"/>
                </w:tcPr>
                <w:p w14:paraId="59E53DD8" w14:textId="77777777" w:rsidR="00D762DD" w:rsidRDefault="00000000">
                  <w:pPr>
                    <w:jc w:val="center"/>
                  </w:pPr>
                  <w:r>
                    <w:t>Tiempo/recurso</w:t>
                  </w:r>
                </w:p>
              </w:tc>
              <w:tc>
                <w:tcPr>
                  <w:tcW w:w="1320" w:type="dxa"/>
                </w:tcPr>
                <w:p w14:paraId="4A827E01" w14:textId="77777777" w:rsidR="00D762DD" w:rsidRDefault="00000000">
                  <w:pPr>
                    <w:jc w:val="center"/>
                  </w:pPr>
                  <w:proofErr w:type="spellStart"/>
                  <w:r>
                    <w:t>Efficiency</w:t>
                  </w:r>
                  <w:proofErr w:type="spellEnd"/>
                </w:p>
              </w:tc>
              <w:tc>
                <w:tcPr>
                  <w:tcW w:w="1320" w:type="dxa"/>
                </w:tcPr>
                <w:p w14:paraId="0B28D3D8" w14:textId="77777777" w:rsidR="00D762DD" w:rsidRDefault="00000000">
                  <w:pPr>
                    <w:jc w:val="center"/>
                  </w:pPr>
                  <w:r>
                    <w:t>Producción</w:t>
                  </w:r>
                </w:p>
              </w:tc>
              <w:tc>
                <w:tcPr>
                  <w:tcW w:w="1320" w:type="dxa"/>
                </w:tcPr>
                <w:p w14:paraId="3853B307" w14:textId="77777777" w:rsidR="00D762DD" w:rsidRDefault="00000000">
                  <w:pPr>
                    <w:jc w:val="center"/>
                  </w:pPr>
                  <w:r>
                    <w:t>Factibilidad operacional</w:t>
                  </w:r>
                </w:p>
              </w:tc>
            </w:tr>
            <w:tr w:rsidR="00D762DD" w14:paraId="2501E068" w14:textId="77777777" w:rsidTr="00DA5BA3">
              <w:tc>
                <w:tcPr>
                  <w:tcW w:w="1320" w:type="dxa"/>
                </w:tcPr>
                <w:p w14:paraId="0DEEBF86" w14:textId="77777777" w:rsidR="00D762DD" w:rsidRDefault="00000000">
                  <w:pPr>
                    <w:jc w:val="center"/>
                  </w:pPr>
                  <w:r>
                    <w:t>Equidad explicativa</w:t>
                  </w:r>
                </w:p>
              </w:tc>
              <w:tc>
                <w:tcPr>
                  <w:tcW w:w="1320" w:type="dxa"/>
                </w:tcPr>
                <w:p w14:paraId="1B362876" w14:textId="77777777" w:rsidR="00D762DD" w:rsidRDefault="00000000">
                  <w:pPr>
                    <w:jc w:val="center"/>
                  </w:pPr>
                  <w:r>
                    <w:t>Comparación entre subgrupos</w:t>
                  </w:r>
                </w:p>
              </w:tc>
              <w:tc>
                <w:tcPr>
                  <w:tcW w:w="1320" w:type="dxa"/>
                </w:tcPr>
                <w:p w14:paraId="07BAF3DD" w14:textId="77777777" w:rsidR="00D762DD" w:rsidRDefault="00000000">
                  <w:pPr>
                    <w:jc w:val="center"/>
                  </w:pPr>
                  <w:r>
                    <w:t>Métrica estratificada</w:t>
                  </w:r>
                </w:p>
              </w:tc>
              <w:tc>
                <w:tcPr>
                  <w:tcW w:w="1320" w:type="dxa"/>
                </w:tcPr>
                <w:p w14:paraId="2A2A1338" w14:textId="77777777" w:rsidR="00D762DD" w:rsidRDefault="00000000">
                  <w:pPr>
                    <w:jc w:val="center"/>
                  </w:pPr>
                  <w:proofErr w:type="spellStart"/>
                  <w:r>
                    <w:t>Fairness</w:t>
                  </w:r>
                  <w:proofErr w:type="spellEnd"/>
                </w:p>
              </w:tc>
              <w:tc>
                <w:tcPr>
                  <w:tcW w:w="1320" w:type="dxa"/>
                </w:tcPr>
                <w:p w14:paraId="2B300C15" w14:textId="77777777" w:rsidR="00D762DD" w:rsidRDefault="00000000">
                  <w:pPr>
                    <w:jc w:val="center"/>
                  </w:pPr>
                  <w:r>
                    <w:t>Auditoría</w:t>
                  </w:r>
                </w:p>
              </w:tc>
              <w:tc>
                <w:tcPr>
                  <w:tcW w:w="1320" w:type="dxa"/>
                </w:tcPr>
                <w:p w14:paraId="6D4C5911" w14:textId="77777777" w:rsidR="00D762DD" w:rsidRDefault="00000000">
                  <w:pPr>
                    <w:jc w:val="center"/>
                  </w:pPr>
                  <w:r>
                    <w:t>Diferencias de calidad explicativa por grupo</w:t>
                  </w:r>
                </w:p>
              </w:tc>
            </w:tr>
            <w:bookmarkEnd w:id="220"/>
          </w:tbl>
          <w:p w14:paraId="540AB9BE" w14:textId="77777777" w:rsidR="00D762DD" w:rsidRDefault="00D762DD"/>
        </w:tc>
      </w:tr>
    </w:tbl>
    <w:p w14:paraId="07EA2BA5" w14:textId="77777777" w:rsidR="00D762DD" w:rsidRDefault="00000000">
      <w:pPr>
        <w:pStyle w:val="Heading2"/>
      </w:pPr>
      <w:bookmarkStart w:id="221" w:name="sec-taxonomia-benchmark"/>
      <w:bookmarkStart w:id="222" w:name="_Toc238925794"/>
      <w:bookmarkEnd w:id="218"/>
      <w:r>
        <w:lastRenderedPageBreak/>
        <w:t xml:space="preserve">Mapeo del </w:t>
      </w:r>
      <w:proofErr w:type="spellStart"/>
      <w:r>
        <w:t>benchmark</w:t>
      </w:r>
      <w:proofErr w:type="spellEnd"/>
      <w:r>
        <w:t xml:space="preserve"> a la taxonomía</w:t>
      </w:r>
      <w:bookmarkEnd w:id="222"/>
    </w:p>
    <w:p w14:paraId="3D990680" w14:textId="77777777" w:rsidR="00D762DD" w:rsidRDefault="00000000">
      <w:r>
        <w:t xml:space="preserve">Las cinco métricas operacionalizadas en el Estudio </w:t>
      </w:r>
      <w:proofErr w:type="spellStart"/>
      <w:r>
        <w:t>Omnibus</w:t>
      </w:r>
      <w:proofErr w:type="spellEnd"/>
      <w:r>
        <w:t xml:space="preserve"> </w:t>
      </w:r>
      <w:proofErr w:type="spellStart"/>
      <w:r>
        <w:t>Multimétrico</w:t>
      </w:r>
      <w:proofErr w:type="spellEnd"/>
      <w:r>
        <w:t xml:space="preserve"> y el Estudio Pareado LIME–SHAP se localizan en la taxonomía de la siguiente manera:</w:t>
      </w:r>
    </w:p>
    <w:tbl>
      <w:tblPr>
        <w:tblW w:w="5000" w:type="pct"/>
        <w:tblLayout w:type="fixed"/>
        <w:tblLook w:val="0000" w:firstRow="0" w:lastRow="0" w:firstColumn="0" w:lastColumn="0" w:noHBand="0" w:noVBand="0"/>
      </w:tblPr>
      <w:tblGrid>
        <w:gridCol w:w="9576"/>
      </w:tblGrid>
      <w:tr w:rsidR="00D762DD" w14:paraId="15C5992D" w14:textId="77777777">
        <w:tc>
          <w:tcPr>
            <w:tcW w:w="7920" w:type="dxa"/>
          </w:tcPr>
          <w:p w14:paraId="329B20C3" w14:textId="77777777" w:rsidR="00D762DD" w:rsidRDefault="00000000">
            <w:pPr>
              <w:spacing w:before="200"/>
              <w:jc w:val="left"/>
            </w:pPr>
            <w:bookmarkStart w:id="223" w:name="tbl-taxonomia-benchmark"/>
            <w:r>
              <w:t xml:space="preserve">Table 6.2: Mapeo de las métricas del </w:t>
            </w:r>
            <w:proofErr w:type="spellStart"/>
            <w:r>
              <w:t>benchmark</w:t>
            </w:r>
            <w:proofErr w:type="spellEnd"/>
            <w:r>
              <w:t xml:space="preserve"> a los cuatro ejes de la taxonomía.</w:t>
            </w:r>
          </w:p>
          <w:tbl>
            <w:tblPr>
              <w:tblW w:w="5000" w:type="pct"/>
              <w:tblLayout w:type="fixed"/>
              <w:tblLook w:val="0020" w:firstRow="1" w:lastRow="0" w:firstColumn="0" w:lastColumn="0" w:noHBand="0" w:noVBand="0"/>
            </w:tblPr>
            <w:tblGrid>
              <w:gridCol w:w="1872"/>
              <w:gridCol w:w="1872"/>
              <w:gridCol w:w="1872"/>
              <w:gridCol w:w="1872"/>
              <w:gridCol w:w="1872"/>
            </w:tblGrid>
            <w:tr w:rsidR="00D762DD" w14:paraId="50FCDA42" w14:textId="77777777">
              <w:trPr>
                <w:tblHeader/>
              </w:trPr>
              <w:tc>
                <w:tcPr>
                  <w:tcW w:w="1584" w:type="dxa"/>
                </w:tcPr>
                <w:p w14:paraId="04449E87" w14:textId="77777777" w:rsidR="00D762DD" w:rsidRDefault="00000000">
                  <w:pPr>
                    <w:jc w:val="center"/>
                  </w:pPr>
                  <w:r>
                    <w:t>Métrica</w:t>
                  </w:r>
                </w:p>
              </w:tc>
              <w:tc>
                <w:tcPr>
                  <w:tcW w:w="1584" w:type="dxa"/>
                </w:tcPr>
                <w:p w14:paraId="578251AC" w14:textId="77777777" w:rsidR="00D762DD" w:rsidRDefault="00000000">
                  <w:pPr>
                    <w:jc w:val="center"/>
                  </w:pPr>
                  <w:r>
                    <w:t>Eje 1: objetivo</w:t>
                  </w:r>
                </w:p>
              </w:tc>
              <w:tc>
                <w:tcPr>
                  <w:tcW w:w="1584" w:type="dxa"/>
                </w:tcPr>
                <w:p w14:paraId="3D8408E7" w14:textId="77777777" w:rsidR="00D762DD" w:rsidRDefault="00000000">
                  <w:pPr>
                    <w:jc w:val="center"/>
                  </w:pPr>
                  <w:r>
                    <w:t>Eje 2: fuente de evidencia</w:t>
                  </w:r>
                </w:p>
              </w:tc>
              <w:tc>
                <w:tcPr>
                  <w:tcW w:w="1584" w:type="dxa"/>
                </w:tcPr>
                <w:p w14:paraId="0D566275" w14:textId="77777777" w:rsidR="00D762DD" w:rsidRDefault="00000000">
                  <w:pPr>
                    <w:jc w:val="center"/>
                  </w:pPr>
                  <w:r>
                    <w:t>Eje 3: propiedad</w:t>
                  </w:r>
                </w:p>
              </w:tc>
              <w:tc>
                <w:tcPr>
                  <w:tcW w:w="1584" w:type="dxa"/>
                </w:tcPr>
                <w:p w14:paraId="460BE27E" w14:textId="77777777" w:rsidR="00D762DD" w:rsidRDefault="00000000">
                  <w:pPr>
                    <w:jc w:val="center"/>
                  </w:pPr>
                  <w:r>
                    <w:t>Eje 4: contexto prioritario</w:t>
                  </w:r>
                </w:p>
              </w:tc>
            </w:tr>
            <w:tr w:rsidR="00D762DD" w14:paraId="67AAFE27" w14:textId="77777777">
              <w:tc>
                <w:tcPr>
                  <w:tcW w:w="1584" w:type="dxa"/>
                </w:tcPr>
                <w:p w14:paraId="0F4DF1B1" w14:textId="77777777" w:rsidR="00D762DD" w:rsidRDefault="00000000">
                  <w:pPr>
                    <w:jc w:val="center"/>
                  </w:pPr>
                  <w:r>
                    <w:lastRenderedPageBreak/>
                    <w:t>Fidelidad (</w:t>
                  </w:r>
                  <m:oMath>
                    <m:r>
                      <w:rPr>
                        <w:rFonts w:ascii="Cambria Math" w:hAnsi="Cambria Math"/>
                      </w:rPr>
                      <m:t>F</m:t>
                    </m:r>
                  </m:oMath>
                  <w:r>
                    <w:t>)</w:t>
                  </w:r>
                </w:p>
              </w:tc>
              <w:tc>
                <w:tcPr>
                  <w:tcW w:w="1584" w:type="dxa"/>
                </w:tcPr>
                <w:p w14:paraId="3C3DD35D" w14:textId="77777777" w:rsidR="00D762DD" w:rsidRDefault="00000000">
                  <w:pPr>
                    <w:jc w:val="center"/>
                  </w:pPr>
                  <w:r>
                    <w:t>Representatividad local</w:t>
                  </w:r>
                </w:p>
              </w:tc>
              <w:tc>
                <w:tcPr>
                  <w:tcW w:w="1584" w:type="dxa"/>
                </w:tcPr>
                <w:p w14:paraId="2AE27C3D" w14:textId="77777777" w:rsidR="00D762DD" w:rsidRDefault="00000000">
                  <w:pPr>
                    <w:jc w:val="center"/>
                  </w:pPr>
                  <w:r>
                    <w:t>Enmascaramiento de características</w:t>
                  </w:r>
                </w:p>
              </w:tc>
              <w:tc>
                <w:tcPr>
                  <w:tcW w:w="1584" w:type="dxa"/>
                </w:tcPr>
                <w:p w14:paraId="4DC507C0" w14:textId="77777777" w:rsidR="00D762DD" w:rsidRDefault="00000000">
                  <w:pPr>
                    <w:jc w:val="center"/>
                  </w:pPr>
                  <w:proofErr w:type="spellStart"/>
                  <w:r>
                    <w:t>Faithfulness</w:t>
                  </w:r>
                  <w:proofErr w:type="spellEnd"/>
                  <w:r>
                    <w:t xml:space="preserve"> proxy</w:t>
                  </w:r>
                </w:p>
              </w:tc>
              <w:tc>
                <w:tcPr>
                  <w:tcW w:w="1584" w:type="dxa"/>
                </w:tcPr>
                <w:p w14:paraId="1AC7378E" w14:textId="77777777" w:rsidR="00D762DD" w:rsidRDefault="00000000">
                  <w:pPr>
                    <w:jc w:val="center"/>
                  </w:pPr>
                  <w:r>
                    <w:t>Auditoría, diagnóstico</w:t>
                  </w:r>
                </w:p>
              </w:tc>
            </w:tr>
            <w:tr w:rsidR="00D762DD" w14:paraId="3683207E" w14:textId="77777777">
              <w:tc>
                <w:tcPr>
                  <w:tcW w:w="1584" w:type="dxa"/>
                </w:tcPr>
                <w:p w14:paraId="25E50785" w14:textId="77777777" w:rsidR="00D762DD" w:rsidRDefault="00000000">
                  <w:pPr>
                    <w:jc w:val="center"/>
                  </w:pPr>
                  <w:r>
                    <w:t>Estabilidad (</w:t>
                  </w:r>
                  <m:oMath>
                    <m:r>
                      <w:rPr>
                        <w:rFonts w:ascii="Cambria Math" w:hAnsi="Cambria Math"/>
                      </w:rPr>
                      <m:t>S</m:t>
                    </m:r>
                  </m:oMath>
                  <w:r>
                    <w:t>)</w:t>
                  </w:r>
                </w:p>
              </w:tc>
              <w:tc>
                <w:tcPr>
                  <w:tcW w:w="1584" w:type="dxa"/>
                </w:tcPr>
                <w:p w14:paraId="5E5E3BA0" w14:textId="77777777" w:rsidR="00D762DD" w:rsidRDefault="00000000">
                  <w:pPr>
                    <w:jc w:val="center"/>
                  </w:pPr>
                  <w:r>
                    <w:t>Consistencia bajo perturbación</w:t>
                  </w:r>
                </w:p>
              </w:tc>
              <w:tc>
                <w:tcPr>
                  <w:tcW w:w="1584" w:type="dxa"/>
                </w:tcPr>
                <w:p w14:paraId="60225FCF" w14:textId="77777777" w:rsidR="00D762DD" w:rsidRDefault="00000000">
                  <w:pPr>
                    <w:jc w:val="center"/>
                  </w:pPr>
                  <w:r>
                    <w:t>Perturbación gaussiana del input</w:t>
                  </w:r>
                </w:p>
              </w:tc>
              <w:tc>
                <w:tcPr>
                  <w:tcW w:w="1584" w:type="dxa"/>
                </w:tcPr>
                <w:p w14:paraId="21C27D9D" w14:textId="77777777" w:rsidR="00D762DD" w:rsidRDefault="00000000">
                  <w:pPr>
                    <w:jc w:val="center"/>
                  </w:pPr>
                  <w:proofErr w:type="spellStart"/>
                  <w:r>
                    <w:t>Stability</w:t>
                  </w:r>
                  <w:proofErr w:type="spellEnd"/>
                  <w:r>
                    <w:t xml:space="preserve"> / </w:t>
                  </w:r>
                  <w:proofErr w:type="spellStart"/>
                  <w:r>
                    <w:t>robustness</w:t>
                  </w:r>
                  <w:proofErr w:type="spellEnd"/>
                </w:p>
              </w:tc>
              <w:tc>
                <w:tcPr>
                  <w:tcW w:w="1584" w:type="dxa"/>
                </w:tcPr>
                <w:p w14:paraId="3D59BBB7" w14:textId="77777777" w:rsidR="00D762DD" w:rsidRDefault="00000000">
                  <w:pPr>
                    <w:jc w:val="center"/>
                  </w:pPr>
                  <w:r>
                    <w:t>Auditoría, alto riesgo</w:t>
                  </w:r>
                </w:p>
              </w:tc>
            </w:tr>
            <w:tr w:rsidR="00D762DD" w14:paraId="7D073250" w14:textId="77777777">
              <w:tc>
                <w:tcPr>
                  <w:tcW w:w="1584" w:type="dxa"/>
                </w:tcPr>
                <w:p w14:paraId="5F824069" w14:textId="77777777" w:rsidR="00D762DD" w:rsidRDefault="00000000">
                  <w:pPr>
                    <w:jc w:val="center"/>
                  </w:pPr>
                  <w:r>
                    <w:t>Parsimonia (</w:t>
                  </w:r>
                  <m:oMath>
                    <m:r>
                      <w:rPr>
                        <w:rFonts w:ascii="Cambria Math" w:hAnsi="Cambria Math"/>
                      </w:rPr>
                      <m:t>P</m:t>
                    </m:r>
                  </m:oMath>
                  <w:r>
                    <w:t>)</w:t>
                  </w:r>
                </w:p>
              </w:tc>
              <w:tc>
                <w:tcPr>
                  <w:tcW w:w="1584" w:type="dxa"/>
                </w:tcPr>
                <w:p w14:paraId="22EDF6A8" w14:textId="77777777" w:rsidR="00D762DD" w:rsidRDefault="00000000">
                  <w:pPr>
                    <w:jc w:val="center"/>
                  </w:pPr>
                  <w:r>
                    <w:t>Compacidad explicativa</w:t>
                  </w:r>
                </w:p>
              </w:tc>
              <w:tc>
                <w:tcPr>
                  <w:tcW w:w="1584" w:type="dxa"/>
                </w:tcPr>
                <w:p w14:paraId="1E1C3DD6" w14:textId="77777777" w:rsidR="00D762DD" w:rsidRDefault="00000000">
                  <w:pPr>
                    <w:jc w:val="center"/>
                  </w:pPr>
                  <w:r>
                    <w:t>Conteo de atribuciones activas</w:t>
                  </w:r>
                </w:p>
              </w:tc>
              <w:tc>
                <w:tcPr>
                  <w:tcW w:w="1584" w:type="dxa"/>
                </w:tcPr>
                <w:p w14:paraId="3C7CF410" w14:textId="77777777" w:rsidR="00D762DD" w:rsidRDefault="00000000">
                  <w:pPr>
                    <w:jc w:val="center"/>
                  </w:pPr>
                  <w:proofErr w:type="spellStart"/>
                  <w:r>
                    <w:t>Simplicity</w:t>
                  </w:r>
                  <w:proofErr w:type="spellEnd"/>
                </w:p>
              </w:tc>
              <w:tc>
                <w:tcPr>
                  <w:tcW w:w="1584" w:type="dxa"/>
                </w:tcPr>
                <w:p w14:paraId="20ABE1EE" w14:textId="77777777" w:rsidR="00D762DD" w:rsidRDefault="00000000">
                  <w:pPr>
                    <w:jc w:val="center"/>
                  </w:pPr>
                  <w:r>
                    <w:t>Usuario final, interfaces</w:t>
                  </w:r>
                </w:p>
              </w:tc>
            </w:tr>
            <w:tr w:rsidR="00D762DD" w14:paraId="51305C64" w14:textId="77777777">
              <w:tc>
                <w:tcPr>
                  <w:tcW w:w="1584" w:type="dxa"/>
                </w:tcPr>
                <w:p w14:paraId="18221283" w14:textId="77777777" w:rsidR="00D762DD" w:rsidRDefault="00000000">
                  <w:pPr>
                    <w:jc w:val="center"/>
                  </w:pPr>
                  <w:r>
                    <w:t>Brecha de fidelidad (</w:t>
                  </w:r>
                  <m:oMath>
                    <m:sSub>
                      <m:sSubPr>
                        <m:ctrlPr>
                          <w:rPr>
                            <w:rFonts w:ascii="Cambria Math" w:hAnsi="Cambria Math"/>
                          </w:rPr>
                        </m:ctrlPr>
                      </m:sSubPr>
                      <m:e>
                        <m:r>
                          <m:rPr>
                            <m:sty m:val="p"/>
                          </m:rPr>
                          <w:rPr>
                            <w:rFonts w:ascii="Cambria Math" w:hAnsi="Cambria Math"/>
                          </w:rPr>
                          <m:t>Δ</m:t>
                        </m:r>
                      </m:e>
                      <m:sub>
                        <m:r>
                          <w:rPr>
                            <w:rFonts w:ascii="Cambria Math" w:hAnsi="Cambria Math"/>
                          </w:rPr>
                          <m:t>k</m:t>
                        </m:r>
                      </m:sub>
                    </m:sSub>
                  </m:oMath>
                  <w:r>
                    <w:t>)</w:t>
                  </w:r>
                </w:p>
              </w:tc>
              <w:tc>
                <w:tcPr>
                  <w:tcW w:w="1584" w:type="dxa"/>
                </w:tcPr>
                <w:p w14:paraId="6E2CF158" w14:textId="77777777" w:rsidR="00D762DD" w:rsidRDefault="00000000">
                  <w:pPr>
                    <w:jc w:val="center"/>
                  </w:pPr>
                  <w:r>
                    <w:t>Relevancia causal local</w:t>
                  </w:r>
                </w:p>
              </w:tc>
              <w:tc>
                <w:tcPr>
                  <w:tcW w:w="1584" w:type="dxa"/>
                </w:tcPr>
                <w:p w14:paraId="4D33C14B" w14:textId="77777777" w:rsidR="00D762DD" w:rsidRDefault="00000000">
                  <w:pPr>
                    <w:jc w:val="center"/>
                  </w:pPr>
                  <w:r>
                    <w:t>Enmascaramiento top-k</w:t>
                  </w:r>
                </w:p>
              </w:tc>
              <w:tc>
                <w:tcPr>
                  <w:tcW w:w="1584" w:type="dxa"/>
                </w:tcPr>
                <w:p w14:paraId="558B2BB1" w14:textId="77777777" w:rsidR="00D762DD" w:rsidRDefault="00000000">
                  <w:pPr>
                    <w:jc w:val="center"/>
                  </w:pPr>
                  <w:proofErr w:type="spellStart"/>
                  <w:r>
                    <w:t>Faithfulness</w:t>
                  </w:r>
                  <w:proofErr w:type="spellEnd"/>
                  <w:r>
                    <w:t xml:space="preserve"> operacional</w:t>
                  </w:r>
                </w:p>
              </w:tc>
              <w:tc>
                <w:tcPr>
                  <w:tcW w:w="1584" w:type="dxa"/>
                </w:tcPr>
                <w:p w14:paraId="57181026" w14:textId="77777777" w:rsidR="00D762DD" w:rsidRDefault="00000000">
                  <w:pPr>
                    <w:jc w:val="center"/>
                  </w:pPr>
                  <w:r>
                    <w:t>Diagnóstico, responsabilidad</w:t>
                  </w:r>
                </w:p>
              </w:tc>
            </w:tr>
            <w:tr w:rsidR="00D762DD" w14:paraId="4B8A8CE7" w14:textId="77777777">
              <w:tc>
                <w:tcPr>
                  <w:tcW w:w="1584" w:type="dxa"/>
                </w:tcPr>
                <w:p w14:paraId="47555952" w14:textId="77777777" w:rsidR="00D762DD" w:rsidRDefault="00000000">
                  <w:pPr>
                    <w:jc w:val="center"/>
                  </w:pPr>
                  <w:r>
                    <w:t>Coste (</w:t>
                  </w:r>
                  <m:oMath>
                    <m:r>
                      <w:rPr>
                        <w:rFonts w:ascii="Cambria Math" w:hAnsi="Cambria Math"/>
                      </w:rPr>
                      <m:t>C</m:t>
                    </m:r>
                  </m:oMath>
                  <w:r>
                    <w:t>)</w:t>
                  </w:r>
                </w:p>
              </w:tc>
              <w:tc>
                <w:tcPr>
                  <w:tcW w:w="1584" w:type="dxa"/>
                </w:tcPr>
                <w:p w14:paraId="30507555" w14:textId="77777777" w:rsidR="00D762DD" w:rsidRDefault="00000000">
                  <w:pPr>
                    <w:jc w:val="center"/>
                  </w:pPr>
                  <w:r>
                    <w:t>Eficiencia operativa</w:t>
                  </w:r>
                </w:p>
              </w:tc>
              <w:tc>
                <w:tcPr>
                  <w:tcW w:w="1584" w:type="dxa"/>
                </w:tcPr>
                <w:p w14:paraId="19B20FDA" w14:textId="77777777" w:rsidR="00D762DD" w:rsidRDefault="00000000">
                  <w:pPr>
                    <w:jc w:val="center"/>
                  </w:pPr>
                  <w:r>
                    <w:t>Tiempo de pared por instancia</w:t>
                  </w:r>
                </w:p>
              </w:tc>
              <w:tc>
                <w:tcPr>
                  <w:tcW w:w="1584" w:type="dxa"/>
                </w:tcPr>
                <w:p w14:paraId="5F16ED18" w14:textId="77777777" w:rsidR="00D762DD" w:rsidRDefault="00000000">
                  <w:pPr>
                    <w:jc w:val="center"/>
                  </w:pPr>
                  <w:proofErr w:type="spellStart"/>
                  <w:r>
                    <w:t>Efficiency</w:t>
                  </w:r>
                  <w:proofErr w:type="spellEnd"/>
                </w:p>
              </w:tc>
              <w:tc>
                <w:tcPr>
                  <w:tcW w:w="1584" w:type="dxa"/>
                </w:tcPr>
                <w:p w14:paraId="0D9295D4" w14:textId="77777777" w:rsidR="00D762DD" w:rsidRDefault="00000000">
                  <w:pPr>
                    <w:jc w:val="center"/>
                  </w:pPr>
                  <w:r>
                    <w:t>Despliegue en tiempo real</w:t>
                  </w:r>
                </w:p>
              </w:tc>
            </w:tr>
            <w:bookmarkEnd w:id="223"/>
          </w:tbl>
          <w:p w14:paraId="1D4C5E2D" w14:textId="77777777" w:rsidR="00D762DD" w:rsidRDefault="00D762DD"/>
        </w:tc>
      </w:tr>
    </w:tbl>
    <w:p w14:paraId="589208FF" w14:textId="77777777" w:rsidR="00D762DD" w:rsidRDefault="00000000">
      <w:pPr>
        <w:pStyle w:val="BodyText"/>
      </w:pPr>
      <w:r>
        <w:lastRenderedPageBreak/>
        <w:t xml:space="preserve">Este mapeo muestra que el </w:t>
      </w:r>
      <w:proofErr w:type="spellStart"/>
      <w:r>
        <w:t>benchmark</w:t>
      </w:r>
      <w:proofErr w:type="spellEnd"/>
      <w:r>
        <w:t xml:space="preserve"> cubre de forma fuerte la evaluación </w:t>
      </w:r>
      <w:proofErr w:type="spellStart"/>
      <w:r>
        <w:t>functionally-grounded</w:t>
      </w:r>
      <w:proofErr w:type="spellEnd"/>
      <w:r>
        <w:t>, pero no cubre directamente los cuadrantes human-</w:t>
      </w:r>
      <w:proofErr w:type="spellStart"/>
      <w:r>
        <w:t>centered</w:t>
      </w:r>
      <w:proofErr w:type="spellEnd"/>
      <w:r>
        <w:t xml:space="preserve">: plausibilidad, satisfacción, </w:t>
      </w:r>
      <w:proofErr w:type="spellStart"/>
      <w:r>
        <w:t>comprehensibilidad</w:t>
      </w:r>
      <w:proofErr w:type="spellEnd"/>
      <w:r>
        <w:t xml:space="preserve"> y utilidad en tarea humana. Esa ausencia no es una falla del estudio; es una delimitación. La taxonomía permite nombrar el límite con precisión y evita que el resultado estadístico se use para </w:t>
      </w:r>
      <w:proofErr w:type="spellStart"/>
      <w:r>
        <w:t>claimar</w:t>
      </w:r>
      <w:proofErr w:type="spellEnd"/>
      <w:r>
        <w:t xml:space="preserve"> propiedades no medidas.</w:t>
      </w:r>
    </w:p>
    <w:p w14:paraId="756FFA92" w14:textId="77777777" w:rsidR="00D762DD" w:rsidRDefault="00000000">
      <w:pPr>
        <w:pStyle w:val="Heading2"/>
      </w:pPr>
      <w:bookmarkStart w:id="224" w:name="sec-taxonomia-brechas"/>
      <w:bookmarkStart w:id="225" w:name="_Toc238925795"/>
      <w:bookmarkEnd w:id="221"/>
      <w:r>
        <w:t>Brechas de constructo que la taxonomía hace explícitas</w:t>
      </w:r>
      <w:bookmarkEnd w:id="225"/>
    </w:p>
    <w:p w14:paraId="63ECAE5F" w14:textId="77777777" w:rsidR="00D762DD" w:rsidRDefault="00000000">
      <w:r>
        <w:t xml:space="preserve">El mapeo anterior no solo localiza lo que el </w:t>
      </w:r>
      <w:proofErr w:type="spellStart"/>
      <w:r>
        <w:t>benchmark</w:t>
      </w:r>
      <w:proofErr w:type="spellEnd"/>
      <w:r>
        <w:t xml:space="preserve"> mide: delimita lo que no mide y por qué. Las tres brechas siguientes se derivan de esa delimitación y se numeran aquí porque el resto de la tesis se refiere a ellas de forma abreviada. No son defectos del diseño experimental, sino distancias estructurales entre lo que una métrica computa y lo que un </w:t>
      </w:r>
      <w:proofErr w:type="spellStart"/>
      <w:r>
        <w:t>claim</w:t>
      </w:r>
      <w:proofErr w:type="spellEnd"/>
      <w:r>
        <w:t xml:space="preserve"> pretende afirmar.</w:t>
      </w:r>
    </w:p>
    <w:p w14:paraId="09EA4BC1" w14:textId="77777777" w:rsidR="00D762DD" w:rsidRDefault="00000000">
      <w:pPr>
        <w:pStyle w:val="BodyText"/>
      </w:pPr>
      <w:r>
        <w:rPr>
          <w:b/>
          <w:bCs/>
        </w:rPr>
        <w:t>Brecha 1 — Distancia entre proxy y constructo.</w:t>
      </w:r>
      <w:r>
        <w:t xml:space="preserve"> Ninguna de las cinco métricas del </w:t>
      </w:r>
      <w:proofErr w:type="spellStart"/>
      <w:r>
        <w:t>benchmark</w:t>
      </w:r>
      <w:proofErr w:type="spellEnd"/>
      <w:r>
        <w:t xml:space="preserve"> mide el constructo que su nombre sugiere en sentido pleno: la fidelidad por correlación de importancias no autoriza a afirmar utilidad humana, la estabilidad bajo perturbación no prueba </w:t>
      </w:r>
      <w:r>
        <w:lastRenderedPageBreak/>
        <w:t xml:space="preserve">causalidad, una regla Anchor de alta precisión no garantiza cobertura amplia y un contrafactual válido para el modelo no es necesariamente accionable para la persona (Capítulo 2). La brecha se agrava cuando la métrica produce una cifra fácil de tabular, porque la forma tabular sugiere una objetividad mayor que la disponible. La taxonomía la gestiona obligando a que cada métrica declare su alcance inferencial admisible en la columna correspondiente de la Tabla </w:t>
      </w:r>
      <w:hyperlink w:anchor="tbl-taxonomia-ampliada">
        <w:r>
          <w:rPr>
            <w:rStyle w:val="Hyperlink"/>
          </w:rPr>
          <w:t>Table 6.1</w:t>
        </w:r>
      </w:hyperlink>
      <w:r>
        <w:t>.</w:t>
      </w:r>
    </w:p>
    <w:p w14:paraId="7C68EB66" w14:textId="77777777" w:rsidR="00D762DD" w:rsidRDefault="00000000">
      <w:pPr>
        <w:pStyle w:val="BodyText"/>
      </w:pPr>
      <w:r w:rsidRPr="00AC5577">
        <w:rPr>
          <w:b/>
          <w:bCs/>
          <w:lang w:val="en-US"/>
        </w:rPr>
        <w:t xml:space="preserve">Brecha 2 — </w:t>
      </w:r>
      <w:proofErr w:type="spellStart"/>
      <w:r w:rsidRPr="00AC5577">
        <w:rPr>
          <w:b/>
          <w:bCs/>
          <w:lang w:val="en-US"/>
        </w:rPr>
        <w:t>Ausencia</w:t>
      </w:r>
      <w:proofErr w:type="spellEnd"/>
      <w:r w:rsidRPr="00AC5577">
        <w:rPr>
          <w:b/>
          <w:bCs/>
          <w:lang w:val="en-US"/>
        </w:rPr>
        <w:t xml:space="preserve"> de </w:t>
      </w:r>
      <w:proofErr w:type="spellStart"/>
      <w:r w:rsidRPr="00AC5577">
        <w:rPr>
          <w:b/>
          <w:bCs/>
          <w:lang w:val="en-US"/>
        </w:rPr>
        <w:t>evidencia</w:t>
      </w:r>
      <w:proofErr w:type="spellEnd"/>
      <w:r w:rsidRPr="00AC5577">
        <w:rPr>
          <w:b/>
          <w:bCs/>
          <w:lang w:val="en-US"/>
        </w:rPr>
        <w:t xml:space="preserve"> human-grounded y application-grounded.</w:t>
      </w:r>
      <w:r w:rsidRPr="00AC5577">
        <w:rPr>
          <w:lang w:val="en-US"/>
        </w:rPr>
        <w:t xml:space="preserve"> </w:t>
      </w:r>
      <w:r>
        <w:t xml:space="preserve">El mapeo de la Tabla </w:t>
      </w:r>
      <w:hyperlink w:anchor="tbl-taxonomia-benchmark">
        <w:r>
          <w:rPr>
            <w:rStyle w:val="Hyperlink"/>
          </w:rPr>
          <w:t>Table 6.2</w:t>
        </w:r>
      </w:hyperlink>
      <w:r>
        <w:t xml:space="preserve"> muestra que las cinco métricas se concentran en dos fuentes de evidencia —enmascaramiento y perturbación— y dejan vacías las celdas de </w:t>
      </w:r>
      <w:r>
        <w:rPr>
          <w:i/>
          <w:iCs/>
        </w:rPr>
        <w:t>estudio con usuario</w:t>
      </w:r>
      <w:r>
        <w:t xml:space="preserve"> y </w:t>
      </w:r>
      <w:r>
        <w:rPr>
          <w:i/>
          <w:iCs/>
        </w:rPr>
        <w:t>comparación con verdad-terreno</w:t>
      </w:r>
      <w:r>
        <w:t>. En consecuencia, plausibilidad, comprensibilidad, satisfacción y utilidad en tarea quedan fuera del alcance de los dos estudios empíricos. Esta brecha es de cobertura, no de validez: se cierra añadiendo estudios con participantes humanos, no reinterpretando las métricas existentes.</w:t>
      </w:r>
    </w:p>
    <w:p w14:paraId="601BA269" w14:textId="77777777" w:rsidR="00D762DD" w:rsidRDefault="00000000">
      <w:pPr>
        <w:pStyle w:val="BodyText"/>
      </w:pPr>
      <w:r>
        <w:rPr>
          <w:b/>
          <w:bCs/>
        </w:rPr>
        <w:t>Brecha 3 — La evaluación semántica crece más rápido que su base de validación empírica.</w:t>
      </w:r>
      <w:r>
        <w:t xml:space="preserve"> La respuesta natural a la Brecha 2 ha sido delegar el juicio semántico en evaluadores automáticos —crecientemente, jueces LLM— que prometen aproximar el criterio humano sin el coste de un estudio con participantes. El problema es que esos evaluadores se adoptan como instrumento de medida antes de que su fiabilidad haya sido establecida: se usan para puntuar explicaciones sin que exista evidencia de que dos jueces independientes puntúan igual la misma explicación. La brecha, por tanto, no es de cobertura sino de calibración del instrumento, y es contrastable empíricamente. EXP4 la contrasta y la confirma en §sec-exp4-fiabilidad.</w:t>
      </w:r>
    </w:p>
    <w:p w14:paraId="1F3287D0" w14:textId="77777777" w:rsidR="00D762DD" w:rsidRDefault="00000000">
      <w:pPr>
        <w:pStyle w:val="Heading2"/>
      </w:pPr>
      <w:bookmarkStart w:id="226" w:name="sec-taxonomia-contribucion"/>
      <w:bookmarkStart w:id="227" w:name="_Toc238925796"/>
      <w:bookmarkEnd w:id="224"/>
      <w:r>
        <w:t>Contribución teórica de la taxonomía</w:t>
      </w:r>
      <w:bookmarkEnd w:id="227"/>
    </w:p>
    <w:p w14:paraId="7090FF17" w14:textId="77777777" w:rsidR="00D762DD" w:rsidRDefault="00000000">
      <w:r>
        <w:t xml:space="preserve">El valor de la taxonomía no es meramente descriptivo. Permite derivar dos afirmaciones con implicaciones directas para el diseño de futuros </w:t>
      </w:r>
      <w:proofErr w:type="spellStart"/>
      <w:r>
        <w:t>benchmarks</w:t>
      </w:r>
      <w:proofErr w:type="spellEnd"/>
      <w:r>
        <w:t>.</w:t>
      </w:r>
    </w:p>
    <w:p w14:paraId="05970EF8" w14:textId="77777777" w:rsidR="00D762DD" w:rsidRDefault="00000000">
      <w:pPr>
        <w:pStyle w:val="BodyText"/>
      </w:pPr>
      <w:r>
        <w:t xml:space="preserve">Primero, las propiedades del eje de calidad no son redundantes. La evidencia empírica de esta tesis muestra que fidelidad y estabilidad son disociables: LIME obtiene una fidelidad media moderada y una estabilidad prácticamente nula. Esta disociación habría sido invisible en un </w:t>
      </w:r>
      <w:proofErr w:type="spellStart"/>
      <w:r>
        <w:t>benchmark</w:t>
      </w:r>
      <w:proofErr w:type="spellEnd"/>
      <w:r>
        <w:t xml:space="preserve"> </w:t>
      </w:r>
      <w:proofErr w:type="spellStart"/>
      <w:r>
        <w:t>mono-métrico</w:t>
      </w:r>
      <w:proofErr w:type="spellEnd"/>
      <w:r>
        <w:t xml:space="preserve"> de fidelidad, lo que confirma que la evaluación </w:t>
      </w:r>
      <w:proofErr w:type="spellStart"/>
      <w:r>
        <w:t>multi-métrica</w:t>
      </w:r>
      <w:proofErr w:type="spellEnd"/>
      <w:r>
        <w:t xml:space="preserve"> </w:t>
      </w:r>
      <w:r>
        <w:lastRenderedPageBreak/>
        <w:t xml:space="preserve">organizada por constructos es necesaria para detectar perfiles de riesgo ocultos (Bhattacharya and </w:t>
      </w:r>
      <w:proofErr w:type="spellStart"/>
      <w:r>
        <w:t>Verbert</w:t>
      </w:r>
      <w:proofErr w:type="spellEnd"/>
      <w:r>
        <w:t xml:space="preserve"> 2024; Pawlicki et al. 2024).</w:t>
      </w:r>
    </w:p>
    <w:p w14:paraId="0F25EC14" w14:textId="77777777" w:rsidR="00D762DD" w:rsidRDefault="00000000">
      <w:pPr>
        <w:pStyle w:val="BodyText"/>
      </w:pPr>
      <w:r>
        <w:t xml:space="preserve">Segundo, la taxonomía convierte las limitaciones en información científica. Al mostrar que el </w:t>
      </w:r>
      <w:proofErr w:type="spellStart"/>
      <w:r>
        <w:t>benchmark</w:t>
      </w:r>
      <w:proofErr w:type="spellEnd"/>
      <w:r>
        <w:t xml:space="preserve"> no incluye estudios con usuario ni validación causal externa, evita </w:t>
      </w:r>
      <w:proofErr w:type="spellStart"/>
      <w:r>
        <w:t>sobreinterpretar</w:t>
      </w:r>
      <w:proofErr w:type="spellEnd"/>
      <w:r>
        <w:t xml:space="preserve"> los resultados y define qué evidencia sería necesaria para ampliar los </w:t>
      </w:r>
      <w:proofErr w:type="spellStart"/>
      <w:r>
        <w:t>claims</w:t>
      </w:r>
      <w:proofErr w:type="spellEnd"/>
      <w:r>
        <w:t>. Así, FOM-7 y la taxonomía se refuerzan mutuamente: FOM-7 gobierna el flujo de evidencia; la taxonomía gobierna el significado de esa evidencia.</w:t>
      </w:r>
    </w:p>
    <w:p w14:paraId="3CDE86A5" w14:textId="77777777" w:rsidR="00D762DD" w:rsidRDefault="00000000">
      <w:pPr>
        <w:pStyle w:val="BodyText"/>
      </w:pPr>
      <w:r>
        <w:t>En consecuencia, la taxonomía debe entenderse como una operacionalización doctoral del espacio de evaluación XAI. No reemplaza los marcos existentes; los integra para que cada métrica usada en la tesis tenga una ubicación conceptual, un alcance inferencial y una relación explícita con los resultados empíricos.</w:t>
      </w:r>
    </w:p>
    <w:p w14:paraId="3FE03771" w14:textId="77777777" w:rsidR="00D762DD" w:rsidRDefault="00000000">
      <w:pPr>
        <w:pStyle w:val="Heading2"/>
      </w:pPr>
      <w:bookmarkStart w:id="228" w:name="sec-exp4-fiabilidad"/>
      <w:bookmarkStart w:id="229" w:name="_Toc238925797"/>
      <w:bookmarkEnd w:id="226"/>
      <w:r>
        <w:t xml:space="preserve">Estudio de Fiabilidad </w:t>
      </w:r>
      <w:proofErr w:type="spellStart"/>
      <w:r>
        <w:t>Inter-juez</w:t>
      </w:r>
      <w:proofErr w:type="spellEnd"/>
      <w:r>
        <w:t xml:space="preserve"> (EXP4)</w:t>
      </w:r>
      <w:bookmarkEnd w:id="229"/>
    </w:p>
    <w:p w14:paraId="17BBB92E" w14:textId="77777777" w:rsidR="00D762DD" w:rsidRDefault="00000000">
      <w:r>
        <w:t>La Brecha 3 (§</w:t>
      </w:r>
      <w:proofErr w:type="spellStart"/>
      <w:r>
        <w:t>sec</w:t>
      </w:r>
      <w:proofErr w:type="spellEnd"/>
      <w:r>
        <w:t>-</w:t>
      </w:r>
      <w:proofErr w:type="spellStart"/>
      <w:r>
        <w:t>taxonomia</w:t>
      </w:r>
      <w:proofErr w:type="spellEnd"/>
      <w:r>
        <w:t xml:space="preserve">-brechas) identifica que la evaluación semántica crece más rápido que su base de validación empírica. EXP4 (diseñado en §sec-exp4-diseno, Capítulo 3) cuantifica directamente esa brecha: mide si los jueces LLM actuales alcanzan la convergencia </w:t>
      </w:r>
      <w:proofErr w:type="spellStart"/>
      <w:r>
        <w:t>inter-juez</w:t>
      </w:r>
      <w:proofErr w:type="spellEnd"/>
      <w:r>
        <w:t xml:space="preserve"> necesaria para operar como evidencia confirmativa.</w:t>
      </w:r>
    </w:p>
    <w:p w14:paraId="17BBC5FF" w14:textId="77777777" w:rsidR="00D762DD" w:rsidRDefault="00000000">
      <w:pPr>
        <w:pStyle w:val="BodyText"/>
      </w:pPr>
      <w:r>
        <w:rPr>
          <w:b/>
          <w:bCs/>
        </w:rPr>
        <w:t>Resultados.</w:t>
      </w:r>
      <w:r>
        <w:t xml:space="preserve"> La Tabla </w:t>
      </w:r>
      <w:hyperlink w:anchor="tbl-exp4-icc">
        <w:r>
          <w:rPr>
            <w:rStyle w:val="Hyperlink"/>
          </w:rPr>
          <w:t>Table 6.3</w:t>
        </w:r>
      </w:hyperlink>
      <w:r>
        <w:t xml:space="preserve"> reporta </w:t>
      </w:r>
      <w:proofErr w:type="gramStart"/>
      <w:r>
        <w:t>ICC(</w:t>
      </w:r>
      <w:proofErr w:type="gramEnd"/>
      <w:r>
        <w:t xml:space="preserve">1,1) y </w:t>
      </w:r>
      <m:oMath>
        <m:r>
          <w:rPr>
            <w:rFonts w:ascii="Cambria Math" w:hAnsi="Cambria Math"/>
          </w:rPr>
          <m:t>α</m:t>
        </m:r>
      </m:oMath>
      <w:r>
        <w:t xml:space="preserve"> de Krippendorff por dimensión para los tres jueces LLM. Los dos estadísticos se calculan sobre conjuntos de casos distintos: el ICC se obtiene de una descomposición unidireccional de efectos aleatorios, que exige una matriz completa de casos </w:t>
      </w:r>
      <m:oMath>
        <m:r>
          <m:rPr>
            <m:sty m:val="p"/>
          </m:rPr>
          <w:rPr>
            <w:rFonts w:ascii="Cambria Math" w:hAnsi="Cambria Math"/>
          </w:rPr>
          <m:t>×</m:t>
        </m:r>
      </m:oMath>
      <w:r>
        <w:t xml:space="preserve"> jueces y se restringe por tanto a los </w:t>
      </w:r>
      <m:oMath>
        <m:r>
          <w:rPr>
            <w:rFonts w:ascii="Cambria Math" w:hAnsi="Cambria Math"/>
          </w:rPr>
          <m:t>n</m:t>
        </m:r>
        <m:r>
          <m:rPr>
            <m:sty m:val="p"/>
          </m:rPr>
          <w:rPr>
            <w:rFonts w:ascii="Cambria Math" w:hAnsi="Cambria Math"/>
          </w:rPr>
          <m:t>=</m:t>
        </m:r>
        <m:r>
          <w:rPr>
            <w:rFonts w:ascii="Cambria Math" w:hAnsi="Cambria Math"/>
          </w:rPr>
          <m:t>147</m:t>
        </m:r>
      </m:oMath>
      <w:r>
        <w:t xml:space="preserve"> casos puntuados por los tres jueces, mientras que </w:t>
      </w:r>
      <m:oMath>
        <m:r>
          <w:rPr>
            <w:rFonts w:ascii="Cambria Math" w:hAnsi="Cambria Math"/>
          </w:rPr>
          <m:t>α</m:t>
        </m:r>
      </m:oMath>
      <w:r>
        <w:t xml:space="preserve"> de Krippendorff tolera puntuaciones ausentes y se calcula sobre el conjunto más amplio de </w:t>
      </w:r>
      <m:oMath>
        <m:r>
          <w:rPr>
            <w:rFonts w:ascii="Cambria Math" w:hAnsi="Cambria Math"/>
          </w:rPr>
          <m:t>n</m:t>
        </m:r>
        <m:r>
          <m:rPr>
            <m:sty m:val="p"/>
          </m:rPr>
          <w:rPr>
            <w:rFonts w:ascii="Cambria Math" w:hAnsi="Cambria Math"/>
          </w:rPr>
          <m:t>=</m:t>
        </m:r>
        <m:r>
          <w:rPr>
            <w:rFonts w:ascii="Cambria Math" w:hAnsi="Cambria Math"/>
          </w:rPr>
          <m:t>192</m:t>
        </m:r>
      </m:oMath>
      <w:r>
        <w:t xml:space="preserve"> casos, que incluye aquellos con al menos una puntuación de juez faltante. Ninguna dimensión alcanza el umbral de fiabilidad aceptable (</w:t>
      </w:r>
      <m:oMath>
        <m:r>
          <m:rPr>
            <m:sty m:val="p"/>
          </m:rPr>
          <w:rPr>
            <w:rFonts w:ascii="Cambria Math" w:hAnsi="Cambria Math"/>
          </w:rPr>
          <m:t>≥</m:t>
        </m:r>
        <m:r>
          <w:rPr>
            <w:rFonts w:ascii="Cambria Math" w:hAnsi="Cambria Math"/>
          </w:rPr>
          <m:t>0.75</m:t>
        </m:r>
      </m:oMath>
      <w:r>
        <w:t>) (Koo and Li 2016).</w:t>
      </w:r>
    </w:p>
    <w:tbl>
      <w:tblPr>
        <w:tblW w:w="5000" w:type="pct"/>
        <w:tblLayout w:type="fixed"/>
        <w:tblLook w:val="0000" w:firstRow="0" w:lastRow="0" w:firstColumn="0" w:lastColumn="0" w:noHBand="0" w:noVBand="0"/>
      </w:tblPr>
      <w:tblGrid>
        <w:gridCol w:w="9576"/>
      </w:tblGrid>
      <w:tr w:rsidR="00D762DD" w14:paraId="75BEFA51" w14:textId="77777777">
        <w:tc>
          <w:tcPr>
            <w:tcW w:w="7920" w:type="dxa"/>
          </w:tcPr>
          <w:p w14:paraId="19A78887" w14:textId="77777777" w:rsidR="00D762DD" w:rsidRDefault="00000000">
            <w:pPr>
              <w:spacing w:before="200"/>
              <w:jc w:val="left"/>
            </w:pPr>
            <w:bookmarkStart w:id="230" w:name="tbl-exp4-icc"/>
            <w:r>
              <w:t xml:space="preserve">Table 6.3: Fiabilidad </w:t>
            </w:r>
            <w:proofErr w:type="spellStart"/>
            <w:r>
              <w:t>inter-juez</w:t>
            </w:r>
            <w:proofErr w:type="spellEnd"/>
            <w:r>
              <w:t xml:space="preserve"> LLM en siete dimensiones semánticas (EXP4; ICC sobre </w:t>
            </w:r>
            <m:oMath>
              <m:r>
                <w:rPr>
                  <w:rFonts w:ascii="Cambria Math" w:hAnsi="Cambria Math"/>
                </w:rPr>
                <m:t>n</m:t>
              </m:r>
              <m:r>
                <m:rPr>
                  <m:sty m:val="p"/>
                </m:rPr>
                <w:rPr>
                  <w:rFonts w:ascii="Cambria Math" w:hAnsi="Cambria Math"/>
                </w:rPr>
                <m:t>=</m:t>
              </m:r>
              <m:r>
                <w:rPr>
                  <w:rFonts w:ascii="Cambria Math" w:hAnsi="Cambria Math"/>
                </w:rPr>
                <m:t>147</m:t>
              </m:r>
            </m:oMath>
            <w:r>
              <w:t xml:space="preserve"> casos con puntuación completa, </w:t>
            </w:r>
            <m:oMath>
              <m:r>
                <w:rPr>
                  <w:rFonts w:ascii="Cambria Math" w:hAnsi="Cambria Math"/>
                </w:rPr>
                <m:t>α</m:t>
              </m:r>
            </m:oMath>
            <w:r>
              <w:t xml:space="preserve"> de Krippendorff sobre </w:t>
            </w:r>
            <m:oMath>
              <m:r>
                <w:rPr>
                  <w:rFonts w:ascii="Cambria Math" w:hAnsi="Cambria Math"/>
                </w:rPr>
                <m:t>n</m:t>
              </m:r>
              <m:r>
                <m:rPr>
                  <m:sty m:val="p"/>
                </m:rPr>
                <w:rPr>
                  <w:rFonts w:ascii="Cambria Math" w:hAnsi="Cambria Math"/>
                </w:rPr>
                <m:t>=</m:t>
              </m:r>
              <m:r>
                <w:rPr>
                  <w:rFonts w:ascii="Cambria Math" w:hAnsi="Cambria Math"/>
                </w:rPr>
                <m:t>192</m:t>
              </m:r>
            </m:oMath>
            <w:r>
              <w:t xml:space="preserve"> casos —véase el texto—; 3 jueces LLM). </w:t>
            </w:r>
            <w:proofErr w:type="gramStart"/>
            <w:r>
              <w:t>ICC(</w:t>
            </w:r>
            <w:proofErr w:type="gramEnd"/>
            <w:r>
              <w:t xml:space="preserve">1,1): modelo unidireccional de efectos aleatorios, evaluador único. Un </w:t>
            </w:r>
            <w:r>
              <w:lastRenderedPageBreak/>
              <w:t xml:space="preserve">modelo unidireccional trata los sesgos sistemáticos entre jueces como error y no como efecto separable, por lo que estos valores son conservadores respecto de </w:t>
            </w:r>
            <w:proofErr w:type="gramStart"/>
            <w:r>
              <w:t>ICC(</w:t>
            </w:r>
            <w:proofErr w:type="gramEnd"/>
            <w:r>
              <w:t xml:space="preserve">2,1). Ninguna dimensión alcanza el umbral aceptable </w:t>
            </w:r>
            <m:oMath>
              <m:r>
                <m:rPr>
                  <m:sty m:val="p"/>
                </m:rPr>
                <w:rPr>
                  <w:rFonts w:ascii="Cambria Math" w:hAnsi="Cambria Math"/>
                </w:rPr>
                <m:t>≥</m:t>
              </m:r>
              <m:r>
                <w:rPr>
                  <w:rFonts w:ascii="Cambria Math" w:hAnsi="Cambria Math"/>
                </w:rPr>
                <m:t>0.75</m:t>
              </m:r>
            </m:oMath>
            <w:r>
              <w:t xml:space="preserve"> (Koo and Li 2016).</w:t>
            </w:r>
          </w:p>
          <w:tbl>
            <w:tblPr>
              <w:tblW w:w="0" w:type="auto"/>
              <w:tblLook w:val="0020" w:firstRow="1" w:lastRow="0" w:firstColumn="0" w:lastColumn="0" w:noHBand="0" w:noVBand="0"/>
            </w:tblPr>
            <w:tblGrid>
              <w:gridCol w:w="2640"/>
              <w:gridCol w:w="2640"/>
              <w:gridCol w:w="2640"/>
            </w:tblGrid>
            <w:tr w:rsidR="00D762DD" w14:paraId="412F136D" w14:textId="77777777">
              <w:trPr>
                <w:tblHeader/>
              </w:trPr>
              <w:tc>
                <w:tcPr>
                  <w:tcW w:w="2640" w:type="dxa"/>
                </w:tcPr>
                <w:p w14:paraId="4B2D620F" w14:textId="77777777" w:rsidR="00D762DD" w:rsidRDefault="00000000">
                  <w:pPr>
                    <w:jc w:val="center"/>
                  </w:pPr>
                  <w:r>
                    <w:t>Dimensión</w:t>
                  </w:r>
                </w:p>
              </w:tc>
              <w:tc>
                <w:tcPr>
                  <w:tcW w:w="2640" w:type="dxa"/>
                </w:tcPr>
                <w:p w14:paraId="2717AA13" w14:textId="77777777" w:rsidR="00D762DD" w:rsidRDefault="00000000">
                  <w:pPr>
                    <w:jc w:val="center"/>
                  </w:pPr>
                  <w:proofErr w:type="gramStart"/>
                  <w:r>
                    <w:t>ICC(</w:t>
                  </w:r>
                  <w:proofErr w:type="gramEnd"/>
                  <w:r>
                    <w:t>1,1)</w:t>
                  </w:r>
                </w:p>
              </w:tc>
              <w:tc>
                <w:tcPr>
                  <w:tcW w:w="2640" w:type="dxa"/>
                </w:tcPr>
                <w:p w14:paraId="51E45F76" w14:textId="77777777" w:rsidR="00D762DD" w:rsidRDefault="00000000">
                  <w:pPr>
                    <w:jc w:val="center"/>
                  </w:pPr>
                  <w:r>
                    <w:t xml:space="preserve">Krippendorff </w:t>
                  </w:r>
                  <m:oMath>
                    <m:r>
                      <w:rPr>
                        <w:rFonts w:ascii="Cambria Math" w:hAnsi="Cambria Math"/>
                      </w:rPr>
                      <m:t>α</m:t>
                    </m:r>
                  </m:oMath>
                </w:p>
              </w:tc>
            </w:tr>
            <w:tr w:rsidR="00D762DD" w14:paraId="3949577A" w14:textId="77777777">
              <w:tc>
                <w:tcPr>
                  <w:tcW w:w="2640" w:type="dxa"/>
                </w:tcPr>
                <w:p w14:paraId="4609031B" w14:textId="77777777" w:rsidR="00D762DD" w:rsidRDefault="00000000">
                  <w:pPr>
                    <w:jc w:val="center"/>
                  </w:pPr>
                  <w:r>
                    <w:t>Claridad</w:t>
                  </w:r>
                </w:p>
              </w:tc>
              <w:tc>
                <w:tcPr>
                  <w:tcW w:w="2640" w:type="dxa"/>
                </w:tcPr>
                <w:p w14:paraId="62C8F9B9" w14:textId="77777777" w:rsidR="00D762DD" w:rsidRDefault="00000000">
                  <w:pPr>
                    <w:jc w:val="center"/>
                  </w:pPr>
                  <w:r>
                    <w:t>0.321</w:t>
                  </w:r>
                </w:p>
              </w:tc>
              <w:tc>
                <w:tcPr>
                  <w:tcW w:w="2640" w:type="dxa"/>
                </w:tcPr>
                <w:p w14:paraId="53212305" w14:textId="77777777" w:rsidR="00D762DD" w:rsidRDefault="00000000">
                  <w:pPr>
                    <w:jc w:val="center"/>
                  </w:pPr>
                  <w:r>
                    <w:t>0.278</w:t>
                  </w:r>
                </w:p>
              </w:tc>
            </w:tr>
            <w:tr w:rsidR="00D762DD" w14:paraId="68CF4E6E" w14:textId="77777777">
              <w:tc>
                <w:tcPr>
                  <w:tcW w:w="2640" w:type="dxa"/>
                </w:tcPr>
                <w:p w14:paraId="4DADA2EF" w14:textId="77777777" w:rsidR="00D762DD" w:rsidRDefault="00000000">
                  <w:pPr>
                    <w:jc w:val="center"/>
                  </w:pPr>
                  <w:r>
                    <w:t>Concisión</w:t>
                  </w:r>
                </w:p>
              </w:tc>
              <w:tc>
                <w:tcPr>
                  <w:tcW w:w="2640" w:type="dxa"/>
                </w:tcPr>
                <w:p w14:paraId="19508CD5" w14:textId="77777777" w:rsidR="00D762DD" w:rsidRDefault="00000000">
                  <w:pPr>
                    <w:jc w:val="center"/>
                  </w:pPr>
                  <w:r>
                    <w:t>0.453</w:t>
                  </w:r>
                </w:p>
              </w:tc>
              <w:tc>
                <w:tcPr>
                  <w:tcW w:w="2640" w:type="dxa"/>
                </w:tcPr>
                <w:p w14:paraId="42379155" w14:textId="77777777" w:rsidR="00D762DD" w:rsidRDefault="00000000">
                  <w:pPr>
                    <w:jc w:val="center"/>
                  </w:pPr>
                  <w:r>
                    <w:t>0.409</w:t>
                  </w:r>
                </w:p>
              </w:tc>
            </w:tr>
            <w:tr w:rsidR="00D762DD" w14:paraId="5CA1EDAE" w14:textId="77777777">
              <w:tc>
                <w:tcPr>
                  <w:tcW w:w="2640" w:type="dxa"/>
                </w:tcPr>
                <w:p w14:paraId="7400C905" w14:textId="77777777" w:rsidR="00D762DD" w:rsidRDefault="00000000">
                  <w:pPr>
                    <w:jc w:val="center"/>
                  </w:pPr>
                  <w:proofErr w:type="spellStart"/>
                  <w:r>
                    <w:t>Accionabilidad</w:t>
                  </w:r>
                  <w:proofErr w:type="spellEnd"/>
                </w:p>
              </w:tc>
              <w:tc>
                <w:tcPr>
                  <w:tcW w:w="2640" w:type="dxa"/>
                </w:tcPr>
                <w:p w14:paraId="5D2CB6B5" w14:textId="77777777" w:rsidR="00D762DD" w:rsidRDefault="00000000">
                  <w:pPr>
                    <w:jc w:val="center"/>
                  </w:pPr>
                  <w:r>
                    <w:t>0.400</w:t>
                  </w:r>
                </w:p>
              </w:tc>
              <w:tc>
                <w:tcPr>
                  <w:tcW w:w="2640" w:type="dxa"/>
                </w:tcPr>
                <w:p w14:paraId="176A1B31" w14:textId="77777777" w:rsidR="00D762DD" w:rsidRDefault="00000000">
                  <w:pPr>
                    <w:jc w:val="center"/>
                  </w:pPr>
                  <w:r>
                    <w:t>0.362</w:t>
                  </w:r>
                </w:p>
              </w:tc>
            </w:tr>
            <w:tr w:rsidR="00D762DD" w14:paraId="2863F83C" w14:textId="77777777">
              <w:tc>
                <w:tcPr>
                  <w:tcW w:w="2640" w:type="dxa"/>
                </w:tcPr>
                <w:p w14:paraId="4B2825F8" w14:textId="77777777" w:rsidR="00D762DD" w:rsidRDefault="00000000">
                  <w:pPr>
                    <w:jc w:val="center"/>
                  </w:pPr>
                  <w:r>
                    <w:t>Utilidad para auditoría</w:t>
                  </w:r>
                </w:p>
              </w:tc>
              <w:tc>
                <w:tcPr>
                  <w:tcW w:w="2640" w:type="dxa"/>
                </w:tcPr>
                <w:p w14:paraId="5E457B4D" w14:textId="77777777" w:rsidR="00D762DD" w:rsidRDefault="00000000">
                  <w:pPr>
                    <w:jc w:val="center"/>
                  </w:pPr>
                  <w:r>
                    <w:t>0.376</w:t>
                  </w:r>
                </w:p>
              </w:tc>
              <w:tc>
                <w:tcPr>
                  <w:tcW w:w="2640" w:type="dxa"/>
                </w:tcPr>
                <w:p w14:paraId="2A981B81" w14:textId="77777777" w:rsidR="00D762DD" w:rsidRDefault="00000000">
                  <w:pPr>
                    <w:jc w:val="center"/>
                  </w:pPr>
                  <w:r>
                    <w:t>0.340</w:t>
                  </w:r>
                </w:p>
              </w:tc>
            </w:tr>
            <w:tr w:rsidR="00D762DD" w14:paraId="61AC70B6" w14:textId="77777777">
              <w:tc>
                <w:tcPr>
                  <w:tcW w:w="2640" w:type="dxa"/>
                </w:tcPr>
                <w:p w14:paraId="1E36DD81" w14:textId="77777777" w:rsidR="00D762DD" w:rsidRDefault="00000000">
                  <w:pPr>
                    <w:jc w:val="center"/>
                  </w:pPr>
                  <w:r>
                    <w:t>Completitud</w:t>
                  </w:r>
                </w:p>
              </w:tc>
              <w:tc>
                <w:tcPr>
                  <w:tcW w:w="2640" w:type="dxa"/>
                </w:tcPr>
                <w:p w14:paraId="39DC712F" w14:textId="77777777" w:rsidR="00D762DD" w:rsidRDefault="00000000">
                  <w:pPr>
                    <w:jc w:val="center"/>
                  </w:pPr>
                  <w:r>
                    <w:t>0.585</w:t>
                  </w:r>
                </w:p>
              </w:tc>
              <w:tc>
                <w:tcPr>
                  <w:tcW w:w="2640" w:type="dxa"/>
                </w:tcPr>
                <w:p w14:paraId="58EEF150" w14:textId="77777777" w:rsidR="00D762DD" w:rsidRDefault="00000000">
                  <w:pPr>
                    <w:jc w:val="center"/>
                  </w:pPr>
                  <w:r>
                    <w:t>0.566</w:t>
                  </w:r>
                </w:p>
              </w:tc>
            </w:tr>
            <w:tr w:rsidR="00D762DD" w14:paraId="4013AB63" w14:textId="77777777">
              <w:tc>
                <w:tcPr>
                  <w:tcW w:w="2640" w:type="dxa"/>
                </w:tcPr>
                <w:p w14:paraId="2F6CF07A" w14:textId="77777777" w:rsidR="00D762DD" w:rsidRDefault="00000000">
                  <w:pPr>
                    <w:jc w:val="center"/>
                  </w:pPr>
                  <w:r>
                    <w:t>Plausibilidad semántica</w:t>
                  </w:r>
                </w:p>
              </w:tc>
              <w:tc>
                <w:tcPr>
                  <w:tcW w:w="2640" w:type="dxa"/>
                </w:tcPr>
                <w:p w14:paraId="0152438D" w14:textId="77777777" w:rsidR="00D762DD" w:rsidRDefault="00000000">
                  <w:pPr>
                    <w:jc w:val="center"/>
                  </w:pPr>
                  <w:r>
                    <w:t>0.601</w:t>
                  </w:r>
                </w:p>
              </w:tc>
              <w:tc>
                <w:tcPr>
                  <w:tcW w:w="2640" w:type="dxa"/>
                </w:tcPr>
                <w:p w14:paraId="4BF639C9" w14:textId="77777777" w:rsidR="00D762DD" w:rsidRDefault="00000000">
                  <w:pPr>
                    <w:jc w:val="center"/>
                  </w:pPr>
                  <w:r>
                    <w:t>0.573</w:t>
                  </w:r>
                </w:p>
              </w:tc>
            </w:tr>
            <w:tr w:rsidR="00D762DD" w14:paraId="42B8EF27" w14:textId="77777777">
              <w:tc>
                <w:tcPr>
                  <w:tcW w:w="2640" w:type="dxa"/>
                </w:tcPr>
                <w:p w14:paraId="4DA2D253" w14:textId="77777777" w:rsidR="00D762DD" w:rsidRDefault="00000000">
                  <w:pPr>
                    <w:jc w:val="center"/>
                  </w:pPr>
                  <w:r>
                    <w:t>Calidad global</w:t>
                  </w:r>
                </w:p>
              </w:tc>
              <w:tc>
                <w:tcPr>
                  <w:tcW w:w="2640" w:type="dxa"/>
                </w:tcPr>
                <w:p w14:paraId="7A6BA06D" w14:textId="77777777" w:rsidR="00D762DD" w:rsidRDefault="00000000">
                  <w:pPr>
                    <w:jc w:val="center"/>
                  </w:pPr>
                  <w:r>
                    <w:t>0.431</w:t>
                  </w:r>
                </w:p>
              </w:tc>
              <w:tc>
                <w:tcPr>
                  <w:tcW w:w="2640" w:type="dxa"/>
                </w:tcPr>
                <w:p w14:paraId="0DF6737B" w14:textId="77777777" w:rsidR="00D762DD" w:rsidRDefault="00000000">
                  <w:pPr>
                    <w:jc w:val="center"/>
                  </w:pPr>
                  <w:r>
                    <w:t>0.394</w:t>
                  </w:r>
                </w:p>
              </w:tc>
            </w:tr>
            <w:bookmarkEnd w:id="230"/>
          </w:tbl>
          <w:p w14:paraId="4BBB9138" w14:textId="77777777" w:rsidR="00D762DD" w:rsidRDefault="00D762DD"/>
        </w:tc>
      </w:tr>
    </w:tbl>
    <w:p w14:paraId="3A95E19F" w14:textId="77777777" w:rsidR="00D762DD" w:rsidRDefault="00000000">
      <w:pPr>
        <w:pStyle w:val="BodyText"/>
      </w:pPr>
      <w:r>
        <w:lastRenderedPageBreak/>
        <w:t>Las dimensiones con mayor consistencia relativa son Completitud (</w:t>
      </w:r>
      <m:oMath>
        <m:r>
          <w:rPr>
            <w:rFonts w:ascii="Cambria Math" w:hAnsi="Cambria Math"/>
          </w:rPr>
          <m:t>α</m:t>
        </m:r>
        <m:r>
          <m:rPr>
            <m:sty m:val="p"/>
          </m:rPr>
          <w:rPr>
            <w:rFonts w:ascii="Cambria Math" w:hAnsi="Cambria Math"/>
          </w:rPr>
          <m:t>=</m:t>
        </m:r>
        <m:r>
          <w:rPr>
            <w:rFonts w:ascii="Cambria Math" w:hAnsi="Cambria Math"/>
          </w:rPr>
          <m:t>0.566</m:t>
        </m:r>
      </m:oMath>
      <w:r>
        <w:t>) y Plausibilidad Semántica (</w:t>
      </w:r>
      <m:oMath>
        <m:r>
          <w:rPr>
            <w:rFonts w:ascii="Cambria Math" w:hAnsi="Cambria Math"/>
          </w:rPr>
          <m:t>α</m:t>
        </m:r>
        <m:r>
          <m:rPr>
            <m:sty m:val="p"/>
          </m:rPr>
          <w:rPr>
            <w:rFonts w:ascii="Cambria Math" w:hAnsi="Cambria Math"/>
          </w:rPr>
          <m:t>=</m:t>
        </m:r>
        <m:r>
          <w:rPr>
            <w:rFonts w:ascii="Cambria Math" w:hAnsi="Cambria Math"/>
          </w:rPr>
          <m:t>0.573</m:t>
        </m:r>
      </m:oMath>
      <w:r>
        <w:t>); las de menor consistencia son Claridad (</w:t>
      </w:r>
      <m:oMath>
        <m:r>
          <w:rPr>
            <w:rFonts w:ascii="Cambria Math" w:hAnsi="Cambria Math"/>
          </w:rPr>
          <m:t>α</m:t>
        </m:r>
        <m:r>
          <m:rPr>
            <m:sty m:val="p"/>
          </m:rPr>
          <w:rPr>
            <w:rFonts w:ascii="Cambria Math" w:hAnsi="Cambria Math"/>
          </w:rPr>
          <m:t>=</m:t>
        </m:r>
        <m:r>
          <w:rPr>
            <w:rFonts w:ascii="Cambria Math" w:hAnsi="Cambria Math"/>
          </w:rPr>
          <m:t>0.278</m:t>
        </m:r>
      </m:oMath>
      <w:r>
        <w:t>) y Utilidad para auditoría (</w:t>
      </w:r>
      <m:oMath>
        <m:r>
          <w:rPr>
            <w:rFonts w:ascii="Cambria Math" w:hAnsi="Cambria Math"/>
          </w:rPr>
          <m:t>α</m:t>
        </m:r>
        <m:r>
          <m:rPr>
            <m:sty m:val="p"/>
          </m:rPr>
          <w:rPr>
            <w:rFonts w:ascii="Cambria Math" w:hAnsi="Cambria Math"/>
          </w:rPr>
          <m:t>=</m:t>
        </m:r>
        <m:r>
          <w:rPr>
            <w:rFonts w:ascii="Cambria Math" w:hAnsi="Cambria Math"/>
          </w:rPr>
          <m:t>0.340</m:t>
        </m:r>
      </m:oMath>
      <w:r>
        <w:t xml:space="preserve">). Los valores </w:t>
      </w:r>
      <w:proofErr w:type="gramStart"/>
      <w:r>
        <w:t>ICC(</w:t>
      </w:r>
      <w:proofErr w:type="gramEnd"/>
      <w:r>
        <w:t xml:space="preserve">1,1) entre 0.321 y 0.601 se clasifican como fiabilidad </w:t>
      </w:r>
      <w:proofErr w:type="spellStart"/>
      <w:r>
        <w:rPr>
          <w:i/>
          <w:iCs/>
        </w:rPr>
        <w:t>poor</w:t>
      </w:r>
      <w:proofErr w:type="spellEnd"/>
      <w:r>
        <w:t xml:space="preserve"> a </w:t>
      </w:r>
      <w:proofErr w:type="spellStart"/>
      <w:r>
        <w:rPr>
          <w:i/>
          <w:iCs/>
        </w:rPr>
        <w:t>moderate</w:t>
      </w:r>
      <w:proofErr w:type="spellEnd"/>
      <w:r>
        <w:t xml:space="preserve"> según Koo and Li (2016), situándose en todos los casos por debajo de la categoría </w:t>
      </w:r>
      <w:proofErr w:type="spellStart"/>
      <w:r>
        <w:rPr>
          <w:i/>
          <w:iCs/>
        </w:rPr>
        <w:t>good</w:t>
      </w:r>
      <w:proofErr w:type="spellEnd"/>
      <w:r>
        <w:t>.</w:t>
      </w:r>
    </w:p>
    <w:p w14:paraId="22FD75B1" w14:textId="77777777" w:rsidR="00D762DD" w:rsidRDefault="00000000">
      <w:pPr>
        <w:pStyle w:val="BodyText"/>
      </w:pPr>
      <w:r>
        <w:rPr>
          <w:b/>
          <w:bCs/>
        </w:rPr>
        <w:t>Interpretación.</w:t>
      </w:r>
      <w:r>
        <w:t xml:space="preserve"> La diferencia entre dimensiones de alta y baja consistencia es interpretable: Completitud y Plausibilidad Semántica tienen referentes relativamente objetivos (¿cubre los factores relevantes?, ¿es coherente con el dominio?), mientras que Claridad y Utilidad para auditoría dependen del perfil del destinatario y el contexto de uso, que la rúbrica no especificó. Esto señala un déficit de formalización: el juez no tiene acceso al </w:t>
      </w:r>
      <w:proofErr w:type="spellStart"/>
      <w:r>
        <w:t>stakeholder</w:t>
      </w:r>
      <w:proofErr w:type="spellEnd"/>
      <w:r>
        <w:t xml:space="preserve"> ni al contexto de tarea al calificar, lo que introduce varianza </w:t>
      </w:r>
      <w:proofErr w:type="spellStart"/>
      <w:r>
        <w:t>inter-juez</w:t>
      </w:r>
      <w:proofErr w:type="spellEnd"/>
      <w:r>
        <w:t xml:space="preserve"> evitable.</w:t>
      </w:r>
    </w:p>
    <w:p w14:paraId="7098D479" w14:textId="77777777" w:rsidR="00D762DD" w:rsidRDefault="00000000">
      <w:pPr>
        <w:pStyle w:val="BodyText"/>
      </w:pPr>
      <w:r>
        <w:rPr>
          <w:b/>
          <w:bCs/>
        </w:rPr>
        <w:t>Consecuencias para el diseño de evaluación semántica.</w:t>
      </w:r>
      <w:r>
        <w:t xml:space="preserve"> EXP4 confirma cuantitativamente la Brecha 3: los jueces LLM actuales, bajo rúbricas sin especificación de </w:t>
      </w:r>
      <w:proofErr w:type="spellStart"/>
      <w:r>
        <w:t>stakeholder</w:t>
      </w:r>
      <w:proofErr w:type="spellEnd"/>
      <w:r>
        <w:t xml:space="preserve"> ni criterio de corrección explícito, no alcanzan la convergencia necesaria para afirmaciones confirmativas. </w:t>
      </w:r>
      <w:r>
        <w:lastRenderedPageBreak/>
        <w:t xml:space="preserve">Esto no clausura la evaluación semántica; establece los requisitos que las rúbricas deben satisfacer: (i) especificación de la necesidad informativa del </w:t>
      </w:r>
      <w:proofErr w:type="spellStart"/>
      <w:r>
        <w:t>stakeholder</w:t>
      </w:r>
      <w:proofErr w:type="spellEnd"/>
      <w:r>
        <w:t>, (</w:t>
      </w:r>
      <w:proofErr w:type="spellStart"/>
      <w:r>
        <w:t>ii</w:t>
      </w:r>
      <w:proofErr w:type="spellEnd"/>
      <w:r>
        <w:t>) definición de un criterio de corrección o referencia verificable, (</w:t>
      </w:r>
      <w:proofErr w:type="spellStart"/>
      <w:r>
        <w:t>iii</w:t>
      </w:r>
      <w:proofErr w:type="spellEnd"/>
      <w:r>
        <w:t>) separación de desiderata secundarios de la dimensión central, y (</w:t>
      </w:r>
      <w:proofErr w:type="spellStart"/>
      <w:r>
        <w:t>iv</w:t>
      </w:r>
      <w:proofErr w:type="spellEnd"/>
      <w:r>
        <w:t>) calibración contra juicios humanos expertos antes del uso confirmativo. Estos requisitos son la operacionalización doctoral de la Brecha 3 y constituyen la agenda de investigación directamente derivada de esta taxonomía.</w:t>
      </w:r>
    </w:p>
    <w:p w14:paraId="321C299B" w14:textId="77777777" w:rsidR="00D762DD" w:rsidRDefault="00000000">
      <w:pPr>
        <w:pStyle w:val="BodyText"/>
      </w:pPr>
      <w:r>
        <w:t xml:space="preserve">Este capítulo ha establecido la tercera contribución doctoral: una taxonomía de cuatro ejes que organiza el espacio de métricas XAI, localiza las cinco métricas del </w:t>
      </w:r>
      <w:proofErr w:type="spellStart"/>
      <w:r>
        <w:t>benchmark</w:t>
      </w:r>
      <w:proofErr w:type="spellEnd"/>
      <w:r>
        <w:t xml:space="preserve"> en su cuadrante correspondiente y hace explícito el alcance inferencial de cada una. La consecuencia teórica de esta revisión es que la evaluación XAI no puede reducirse a un único criterio ni generalizarse a dominios de usuario sin evidencia adicional: cada métrica responde a una pregunta específica sobre un tipo de objeto explicativo en un contexto de uso determinado. El Capítulo 6 cierra la tesis sintetizando las tres contribuciones, posicionándolas respecto a la literatura más cercana, reconociendo las limitaciones con precisión y trazando las líneas de investigación futura que emergen directamente de los hallazgos y las fronteras de la taxonomía.</w:t>
      </w:r>
    </w:p>
    <w:p w14:paraId="7D74FEB0" w14:textId="77777777" w:rsidR="00D762DD" w:rsidRDefault="00000000">
      <w:pPr>
        <w:pStyle w:val="Heading1"/>
      </w:pPr>
      <w:bookmarkStart w:id="231" w:name="conclusiones"/>
      <w:bookmarkStart w:id="232" w:name="_Toc238925798"/>
      <w:bookmarkEnd w:id="210"/>
      <w:bookmarkEnd w:id="228"/>
      <w:r>
        <w:t>Conclusiones</w:t>
      </w:r>
      <w:bookmarkEnd w:id="232"/>
    </w:p>
    <w:p w14:paraId="0C5BAEE9" w14:textId="77777777" w:rsidR="00D762DD" w:rsidRDefault="00000000">
      <w:r>
        <w:t xml:space="preserve">Esta tesis parte de una constatación empírica recurrente en la literatura: el campo de la evaluación de métodos XAI carece de marcos operativos que conecten la ejecución experimental con la inferencia estadística admisible (Pawlicki et al. 2024; Abdul Kadir et al. 2023; Canha et al. 2025). El problema no es la ausencia de métricas —se han identificado más de noventa constructos distintos (Pawlicki et al. 2024)— sino la fragmentación conceptual y la falta de vinculación auditable entre diseño experimental, artefactos de resultado y afirmaciones inferenciales. Esta tesis responde a ese problema con tres contribuciones articuladas: la secuencia operativa FOM-7, un </w:t>
      </w:r>
      <w:proofErr w:type="spellStart"/>
      <w:r>
        <w:t>benchmark</w:t>
      </w:r>
      <w:proofErr w:type="spellEnd"/>
      <w:r>
        <w:t xml:space="preserve"> </w:t>
      </w:r>
      <w:proofErr w:type="spellStart"/>
      <w:r>
        <w:t>multi-métrico</w:t>
      </w:r>
      <w:proofErr w:type="spellEnd"/>
      <w:r>
        <w:t xml:space="preserve"> sobre datos tabulares reales y una taxonomía del espacio de métricas de evaluación XAI.</w:t>
      </w:r>
    </w:p>
    <w:p w14:paraId="3451D59F" w14:textId="77777777" w:rsidR="00D762DD" w:rsidRDefault="00000000">
      <w:pPr>
        <w:pStyle w:val="Heading2"/>
      </w:pPr>
      <w:bookmarkStart w:id="233" w:name="sec-respuesta"/>
      <w:bookmarkStart w:id="234" w:name="_Toc238925799"/>
      <w:r>
        <w:t>Respuesta al problema de investigación e hipótesis</w:t>
      </w:r>
      <w:bookmarkEnd w:id="234"/>
    </w:p>
    <w:p w14:paraId="427CF859" w14:textId="77777777" w:rsidR="00D762DD" w:rsidRDefault="00000000">
      <w:r>
        <w:t xml:space="preserve">El problema de investigación formulado en el Capítulo 1 pregunta: </w:t>
      </w:r>
      <w:r>
        <w:rPr>
          <w:i/>
          <w:iCs/>
        </w:rPr>
        <w:t xml:space="preserve">¿En qué medida difieren los métodos de </w:t>
      </w:r>
      <w:proofErr w:type="spellStart"/>
      <w:r>
        <w:rPr>
          <w:i/>
          <w:iCs/>
        </w:rPr>
        <w:t>explicabilidad</w:t>
      </w:r>
      <w:proofErr w:type="spellEnd"/>
      <w:r>
        <w:rPr>
          <w:i/>
          <w:iCs/>
        </w:rPr>
        <w:t xml:space="preserve"> agnósticos al modelo en un conjunto multidimensional de métricas de </w:t>
      </w:r>
      <w:r>
        <w:rPr>
          <w:i/>
          <w:iCs/>
        </w:rPr>
        <w:lastRenderedPageBreak/>
        <w:t>calidad bajo condiciones de benchmarking controladas y reproducibles, y qué criterios técnicos permiten orientar su selección en función de los objetivos operativos?</w:t>
      </w:r>
    </w:p>
    <w:p w14:paraId="4F504207" w14:textId="77777777" w:rsidR="00D762DD" w:rsidRDefault="00000000">
      <w:pPr>
        <w:pStyle w:val="BodyText"/>
      </w:pPr>
      <w:r>
        <w:t xml:space="preserve">Los resultados del </w:t>
      </w:r>
      <w:proofErr w:type="spellStart"/>
      <w:r>
        <w:t>benchmark</w:t>
      </w:r>
      <w:proofErr w:type="spellEnd"/>
      <w:r>
        <w:t xml:space="preserve"> responden esta pregunta con precisión cuantitativa. Las diferencias entre métodos son grandes, consistentes y estadísticamente robustas bajo el protocolo FOM-7. La respuesta directa es: </w:t>
      </w:r>
      <w:r>
        <w:rPr>
          <w:b/>
          <w:bCs/>
        </w:rPr>
        <w:t xml:space="preserve">SHAP presenta el mejor perfil de fidelidad y estabilidad en los contextos modelo-muestra evaluados; LIME es una alternativa cuando el coste computacional es crítico, con la condición de aceptar explicaciones inestables; Anchors y </w:t>
      </w:r>
      <w:proofErr w:type="spellStart"/>
      <w:r>
        <w:rPr>
          <w:b/>
          <w:bCs/>
        </w:rPr>
        <w:t>DiCE</w:t>
      </w:r>
      <w:proofErr w:type="spellEnd"/>
      <w:r>
        <w:rPr>
          <w:b/>
          <w:bCs/>
        </w:rPr>
        <w:t xml:space="preserve"> atienden objetivos explicativos cualitativamente distintos que las métricas de atribución no capturan plenamente.</w:t>
      </w:r>
      <w:r>
        <w:t xml:space="preserve"> Esta orientación es robusta: emerge de 275 artefactos calificados, se replica a través de cinco modelos, cinco semillas y tres tamaños de muestra, y es resistente al 8.3% de datos ausentes del diseño.</w:t>
      </w:r>
    </w:p>
    <w:p w14:paraId="5501DC43" w14:textId="77777777" w:rsidR="00D762DD" w:rsidRDefault="00000000">
      <w:pPr>
        <w:pStyle w:val="BodyText"/>
      </w:pPr>
      <w:r>
        <w:t>La resolución formal de las hipótesis y objetivos se sintetiza en la tabla siguiente:</w:t>
      </w:r>
    </w:p>
    <w:tbl>
      <w:tblPr>
        <w:tblW w:w="5000" w:type="pct"/>
        <w:tblLayout w:type="fixed"/>
        <w:tblLook w:val="0000" w:firstRow="0" w:lastRow="0" w:firstColumn="0" w:lastColumn="0" w:noHBand="0" w:noVBand="0"/>
      </w:tblPr>
      <w:tblGrid>
        <w:gridCol w:w="9576"/>
      </w:tblGrid>
      <w:tr w:rsidR="00D762DD" w14:paraId="5115C7BE" w14:textId="77777777">
        <w:tc>
          <w:tcPr>
            <w:tcW w:w="7920" w:type="dxa"/>
          </w:tcPr>
          <w:p w14:paraId="436BC863" w14:textId="77777777" w:rsidR="00D762DD" w:rsidRDefault="00000000">
            <w:pPr>
              <w:spacing w:before="200"/>
              <w:jc w:val="left"/>
            </w:pPr>
            <w:bookmarkStart w:id="235" w:name="tbl-hipotesis"/>
            <w:r>
              <w:t>Table 7.1: Síntesis de hipótesis y proposiciones de trabajo.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4250"/>
              <w:gridCol w:w="1870"/>
              <w:gridCol w:w="3230"/>
            </w:tblGrid>
            <w:tr w:rsidR="00D762DD" w14:paraId="478447E0" w14:textId="77777777" w:rsidTr="00442EA4">
              <w:trPr>
                <w:tblHeader/>
              </w:trPr>
              <w:tc>
                <w:tcPr>
                  <w:tcW w:w="3600" w:type="dxa"/>
                </w:tcPr>
                <w:p w14:paraId="18F353D6" w14:textId="77777777" w:rsidR="00D762DD" w:rsidRPr="00442EA4" w:rsidRDefault="00000000">
                  <w:pPr>
                    <w:rPr>
                      <w:b/>
                      <w:bCs/>
                    </w:rPr>
                  </w:pPr>
                  <w:r w:rsidRPr="00442EA4">
                    <w:rPr>
                      <w:b/>
                      <w:bCs/>
                    </w:rPr>
                    <w:t>Hipótesis / Proposición</w:t>
                  </w:r>
                </w:p>
              </w:tc>
              <w:tc>
                <w:tcPr>
                  <w:tcW w:w="1584" w:type="dxa"/>
                </w:tcPr>
                <w:p w14:paraId="49E3F25D" w14:textId="77777777" w:rsidR="00D762DD" w:rsidRPr="00442EA4" w:rsidRDefault="00000000">
                  <w:pPr>
                    <w:rPr>
                      <w:b/>
                      <w:bCs/>
                    </w:rPr>
                  </w:pPr>
                  <w:r w:rsidRPr="00442EA4">
                    <w:rPr>
                      <w:b/>
                      <w:bCs/>
                    </w:rPr>
                    <w:t>Resultado</w:t>
                  </w:r>
                </w:p>
              </w:tc>
              <w:tc>
                <w:tcPr>
                  <w:tcW w:w="2736" w:type="dxa"/>
                </w:tcPr>
                <w:p w14:paraId="48D5A769" w14:textId="77777777" w:rsidR="00D762DD" w:rsidRPr="00442EA4" w:rsidRDefault="00000000">
                  <w:pPr>
                    <w:rPr>
                      <w:b/>
                      <w:bCs/>
                    </w:rPr>
                  </w:pPr>
                  <w:r w:rsidRPr="00442EA4">
                    <w:rPr>
                      <w:b/>
                      <w:bCs/>
                    </w:rPr>
                    <w:t>Estadístico clave</w:t>
                  </w:r>
                </w:p>
              </w:tc>
            </w:tr>
            <w:tr w:rsidR="00D762DD" w14:paraId="58C02661" w14:textId="77777777" w:rsidTr="00442EA4">
              <w:tc>
                <w:tcPr>
                  <w:tcW w:w="3600" w:type="dxa"/>
                </w:tcPr>
                <w:p w14:paraId="38C64952" w14:textId="77777777" w:rsidR="00D762DD" w:rsidRDefault="00000000">
                  <w:r>
                    <w:t>H1: diferencias en fidelidad</w:t>
                  </w:r>
                </w:p>
              </w:tc>
              <w:tc>
                <w:tcPr>
                  <w:tcW w:w="1584" w:type="dxa"/>
                </w:tcPr>
                <w:p w14:paraId="29F7ACAD" w14:textId="77777777" w:rsidR="00D762DD" w:rsidRDefault="00000000">
                  <w:r>
                    <w:rPr>
                      <w:b/>
                      <w:bCs/>
                    </w:rPr>
                    <w:t>Confirmada</w:t>
                  </w:r>
                </w:p>
              </w:tc>
              <w:tc>
                <w:tcPr>
                  <w:tcW w:w="2736" w:type="dxa"/>
                </w:tcPr>
                <w:p w14:paraId="1DA8332E" w14:textId="77777777" w:rsidR="00D762DD" w:rsidRDefault="00000000">
                  <m:oMath>
                    <m:sSubSup>
                      <m:sSubSupPr>
                        <m:ctrlPr>
                          <w:rPr>
                            <w:rFonts w:ascii="Cambria Math" w:hAnsi="Cambria Math"/>
                          </w:rPr>
                        </m:ctrlPr>
                      </m:sSubSupPr>
                      <m:e>
                        <m:r>
                          <w:rPr>
                            <w:rFonts w:ascii="Cambria Math" w:hAnsi="Cambria Math"/>
                          </w:rPr>
                          <m:t>χ</m:t>
                        </m:r>
                      </m:e>
                      <m:sub>
                        <m:r>
                          <w:rPr>
                            <w:rFonts w:ascii="Cambria Math" w:hAnsi="Cambria Math"/>
                          </w:rPr>
                          <m:t>F</m:t>
                        </m:r>
                      </m:sub>
                      <m:sup>
                        <m:r>
                          <w:rPr>
                            <w:rFonts w:ascii="Cambria Math" w:hAnsi="Cambria Math"/>
                          </w:rPr>
                          <m:t>2</m:t>
                        </m:r>
                      </m:sup>
                    </m:sSubSup>
                    <m:r>
                      <m:rPr>
                        <m:sty m:val="p"/>
                      </m:rPr>
                      <w:rPr>
                        <w:rFonts w:ascii="Cambria Math" w:hAnsi="Cambria Math"/>
                      </w:rPr>
                      <m:t>=</m:t>
                    </m:r>
                    <m:r>
                      <w:rPr>
                        <w:rFonts w:ascii="Cambria Math" w:hAnsi="Cambria Math"/>
                      </w:rPr>
                      <m:t>42.12</m:t>
                    </m:r>
                  </m:oMath>
                  <w:r>
                    <w:t>; margen 439%</w:t>
                  </w:r>
                </w:p>
              </w:tc>
            </w:tr>
            <w:tr w:rsidR="00D762DD" w14:paraId="5C0AD84F" w14:textId="77777777" w:rsidTr="00442EA4">
              <w:tc>
                <w:tcPr>
                  <w:tcW w:w="3600" w:type="dxa"/>
                </w:tcPr>
                <w:p w14:paraId="5E8D39B1" w14:textId="77777777" w:rsidR="00D762DD" w:rsidRDefault="00000000">
                  <w:r>
                    <w:t>H2: diferencias en estabilidad</w:t>
                  </w:r>
                </w:p>
              </w:tc>
              <w:tc>
                <w:tcPr>
                  <w:tcW w:w="1584" w:type="dxa"/>
                </w:tcPr>
                <w:p w14:paraId="6AEB2F10" w14:textId="77777777" w:rsidR="00D762DD" w:rsidRDefault="00000000">
                  <w:r>
                    <w:rPr>
                      <w:b/>
                      <w:bCs/>
                    </w:rPr>
                    <w:t>Confirmada</w:t>
                  </w:r>
                </w:p>
              </w:tc>
              <w:tc>
                <w:tcPr>
                  <w:tcW w:w="2736" w:type="dxa"/>
                </w:tcPr>
                <w:p w14:paraId="5B796B00" w14:textId="77777777" w:rsidR="00D762DD" w:rsidRDefault="00000000">
                  <m:oMath>
                    <m:sSubSup>
                      <m:sSubSupPr>
                        <m:ctrlPr>
                          <w:rPr>
                            <w:rFonts w:ascii="Cambria Math" w:hAnsi="Cambria Math"/>
                          </w:rPr>
                        </m:ctrlPr>
                      </m:sSubSupPr>
                      <m:e>
                        <m:r>
                          <w:rPr>
                            <w:rFonts w:ascii="Cambria Math" w:hAnsi="Cambria Math"/>
                          </w:rPr>
                          <m:t>χ</m:t>
                        </m:r>
                      </m:e>
                      <m:sub>
                        <m:r>
                          <w:rPr>
                            <w:rFonts w:ascii="Cambria Math" w:hAnsi="Cambria Math"/>
                          </w:rPr>
                          <m:t>F</m:t>
                        </m:r>
                      </m:sub>
                      <m:sup>
                        <m:r>
                          <w:rPr>
                            <w:rFonts w:ascii="Cambria Math" w:hAnsi="Cambria Math"/>
                          </w:rPr>
                          <m:t>2</m:t>
                        </m:r>
                      </m:sup>
                    </m:sSubSup>
                    <m:r>
                      <m:rPr>
                        <m:sty m:val="p"/>
                      </m:rPr>
                      <w:rPr>
                        <w:rFonts w:ascii="Cambria Math" w:hAnsi="Cambria Math"/>
                      </w:rPr>
                      <m:t>=</m:t>
                    </m:r>
                    <m:r>
                      <w:rPr>
                        <w:rFonts w:ascii="Cambria Math" w:hAnsi="Cambria Math"/>
                      </w:rPr>
                      <m:t>40.68</m:t>
                    </m:r>
                  </m:oMath>
                  <w:r>
                    <w:t>; margen 421%</w:t>
                  </w:r>
                </w:p>
              </w:tc>
            </w:tr>
            <w:tr w:rsidR="00D762DD" w14:paraId="23B50E35" w14:textId="77777777" w:rsidTr="00442EA4">
              <w:tc>
                <w:tcPr>
                  <w:tcW w:w="3600" w:type="dxa"/>
                </w:tcPr>
                <w:p w14:paraId="27192B76" w14:textId="77777777" w:rsidR="00D762DD" w:rsidRDefault="00000000">
                  <w:r>
                    <w:t>H3: SHAP-LIME difieren en calidad y coste</w:t>
                  </w:r>
                </w:p>
              </w:tc>
              <w:tc>
                <w:tcPr>
                  <w:tcW w:w="1584" w:type="dxa"/>
                </w:tcPr>
                <w:p w14:paraId="0BA522C4" w14:textId="77777777" w:rsidR="00D762DD" w:rsidRDefault="00000000">
                  <w:r>
                    <w:rPr>
                      <w:b/>
                      <w:bCs/>
                    </w:rPr>
                    <w:t>Confirmada</w:t>
                  </w:r>
                </w:p>
              </w:tc>
              <w:tc>
                <w:tcPr>
                  <w:tcW w:w="2736" w:type="dxa"/>
                </w:tcPr>
                <w:p w14:paraId="593364F6" w14:textId="77777777" w:rsidR="00D762DD" w:rsidRDefault="00000000">
                  <m:oMath>
                    <m:sSub>
                      <m:sSubPr>
                        <m:ctrlPr>
                          <w:rPr>
                            <w:rFonts w:ascii="Cambria Math" w:hAnsi="Cambria Math"/>
                          </w:rPr>
                        </m:ctrlPr>
                      </m:sSubPr>
                      <m:e>
                        <m:r>
                          <w:rPr>
                            <w:rFonts w:ascii="Cambria Math" w:hAnsi="Cambria Math"/>
                          </w:rPr>
                          <m:t>d</m:t>
                        </m:r>
                      </m:e>
                      <m:sub>
                        <m:r>
                          <w:rPr>
                            <w:rFonts w:ascii="Cambria Math" w:hAnsi="Cambria Math"/>
                          </w:rPr>
                          <m:t>z</m:t>
                        </m:r>
                      </m:sub>
                    </m:sSub>
                    <m:r>
                      <m:rPr>
                        <m:sty m:val="p"/>
                      </m:rPr>
                      <w:rPr>
                        <w:rFonts w:ascii="Cambria Math" w:hAnsi="Cambria Math"/>
                      </w:rPr>
                      <m:t>=+</m:t>
                    </m:r>
                    <m:r>
                      <w:rPr>
                        <w:rFonts w:ascii="Cambria Math" w:hAnsi="Cambria Math"/>
                      </w:rPr>
                      <m:t>4.82</m:t>
                    </m:r>
                  </m:oMath>
                  <w:r>
                    <w:t xml:space="preserve"> (fidelidad); </w:t>
                  </w:r>
                  <m:oMath>
                    <m:sSub>
                      <m:sSubPr>
                        <m:ctrlPr>
                          <w:rPr>
                            <w:rFonts w:ascii="Cambria Math" w:hAnsi="Cambria Math"/>
                          </w:rPr>
                        </m:ctrlPr>
                      </m:sSubPr>
                      <m:e>
                        <m:r>
                          <w:rPr>
                            <w:rFonts w:ascii="Cambria Math" w:hAnsi="Cambria Math"/>
                          </w:rPr>
                          <m:t>d</m:t>
                        </m:r>
                      </m:e>
                      <m:sub>
                        <m:r>
                          <w:rPr>
                            <w:rFonts w:ascii="Cambria Math" w:hAnsi="Cambria Math"/>
                          </w:rPr>
                          <m:t>z</m:t>
                        </m:r>
                      </m:sub>
                    </m:sSub>
                    <m:r>
                      <m:rPr>
                        <m:sty m:val="p"/>
                      </m:rPr>
                      <w:rPr>
                        <w:rFonts w:ascii="Cambria Math" w:hAnsi="Cambria Math"/>
                      </w:rPr>
                      <m:t>=+</m:t>
                    </m:r>
                    <m:r>
                      <w:rPr>
                        <w:rFonts w:ascii="Cambria Math" w:hAnsi="Cambria Math"/>
                      </w:rPr>
                      <m:t>3.00</m:t>
                    </m:r>
                  </m:oMath>
                  <w:r>
                    <w:t xml:space="preserve"> (estabilidad); 75/75 positivas</w:t>
                  </w:r>
                </w:p>
              </w:tc>
            </w:tr>
            <w:tr w:rsidR="00D762DD" w14:paraId="20E94E9A" w14:textId="77777777" w:rsidTr="00442EA4">
              <w:tc>
                <w:tcPr>
                  <w:tcW w:w="3600" w:type="dxa"/>
                </w:tcPr>
                <w:p w14:paraId="73EEBCC0" w14:textId="77777777" w:rsidR="00D762DD" w:rsidRDefault="00000000">
                  <w:r>
                    <w:t>P1: CV &lt; 15% en métricas primarias</w:t>
                  </w:r>
                </w:p>
              </w:tc>
              <w:tc>
                <w:tcPr>
                  <w:tcW w:w="1584" w:type="dxa"/>
                </w:tcPr>
                <w:p w14:paraId="28CC061E" w14:textId="77777777" w:rsidR="00D762DD" w:rsidRDefault="00000000">
                  <w:r>
                    <w:rPr>
                      <w:b/>
                      <w:bCs/>
                    </w:rPr>
                    <w:t>Parcialmente confirmada</w:t>
                  </w:r>
                </w:p>
              </w:tc>
              <w:tc>
                <w:tcPr>
                  <w:tcW w:w="2736" w:type="dxa"/>
                </w:tcPr>
                <w:p w14:paraId="361363D2" w14:textId="77777777" w:rsidR="00D762DD" w:rsidRDefault="00000000">
                  <w:r>
                    <w:t>SHAP-fidelidad: CV=0.8%; LIME-estabilidad: CV=86.2% (incoherencia estructural, no ruido del protocolo)</w:t>
                  </w:r>
                </w:p>
              </w:tc>
            </w:tr>
            <w:tr w:rsidR="00D762DD" w14:paraId="0BB2B394" w14:textId="77777777" w:rsidTr="00442EA4">
              <w:tc>
                <w:tcPr>
                  <w:tcW w:w="3600" w:type="dxa"/>
                </w:tcPr>
                <w:p w14:paraId="31791F38" w14:textId="77777777" w:rsidR="00D762DD" w:rsidRDefault="00000000">
                  <w:r>
                    <w:t xml:space="preserve">P2 (exploratoria, declarada en el Capítulo 1): Jueces LLM alcanzan fiabilidad </w:t>
                  </w:r>
                  <w:r>
                    <w:lastRenderedPageBreak/>
                    <w:t>aceptable en evaluación semántica XAI</w:t>
                  </w:r>
                </w:p>
              </w:tc>
              <w:tc>
                <w:tcPr>
                  <w:tcW w:w="1584" w:type="dxa"/>
                </w:tcPr>
                <w:p w14:paraId="0EAF86CE" w14:textId="77777777" w:rsidR="00D762DD" w:rsidRDefault="00000000">
                  <w:r>
                    <w:rPr>
                      <w:b/>
                      <w:bCs/>
                    </w:rPr>
                    <w:lastRenderedPageBreak/>
                    <w:t xml:space="preserve">No confirmada (resultado </w:t>
                  </w:r>
                  <w:r>
                    <w:rPr>
                      <w:b/>
                      <w:bCs/>
                    </w:rPr>
                    <w:lastRenderedPageBreak/>
                    <w:t>negativo)</w:t>
                  </w:r>
                </w:p>
              </w:tc>
              <w:tc>
                <w:tcPr>
                  <w:tcW w:w="2736" w:type="dxa"/>
                </w:tcPr>
                <w:p w14:paraId="7ED3500B" w14:textId="77777777" w:rsidR="00D762DD" w:rsidRDefault="00000000">
                  <w:proofErr w:type="gramStart"/>
                  <w:r>
                    <w:lastRenderedPageBreak/>
                    <w:t>ICC(</w:t>
                  </w:r>
                  <w:proofErr w:type="gramEnd"/>
                  <w:r>
                    <w:t xml:space="preserve">1,1) entre 0.321 y 0.601; ninguna dimensión alcanza </w:t>
                  </w:r>
                  <w:r>
                    <w:lastRenderedPageBreak/>
                    <w:t xml:space="preserve">umbral </w:t>
                  </w:r>
                  <m:oMath>
                    <m:r>
                      <m:rPr>
                        <m:sty m:val="p"/>
                      </m:rPr>
                      <w:rPr>
                        <w:rFonts w:ascii="Cambria Math" w:hAnsi="Cambria Math"/>
                      </w:rPr>
                      <m:t>≥</m:t>
                    </m:r>
                    <m:r>
                      <w:rPr>
                        <w:rFonts w:ascii="Cambria Math" w:hAnsi="Cambria Math"/>
                      </w:rPr>
                      <m:t>0.75</m:t>
                    </m:r>
                  </m:oMath>
                  <w:r>
                    <w:t xml:space="preserve"> (EXP4, </w:t>
                  </w:r>
                  <m:oMath>
                    <m:r>
                      <w:rPr>
                        <w:rFonts w:ascii="Cambria Math" w:hAnsi="Cambria Math"/>
                      </w:rPr>
                      <m:t>n</m:t>
                    </m:r>
                    <m:r>
                      <m:rPr>
                        <m:sty m:val="p"/>
                      </m:rPr>
                      <w:rPr>
                        <w:rFonts w:ascii="Cambria Math" w:hAnsi="Cambria Math"/>
                      </w:rPr>
                      <m:t>=</m:t>
                    </m:r>
                    <m:r>
                      <w:rPr>
                        <w:rFonts w:ascii="Cambria Math" w:hAnsi="Cambria Math"/>
                      </w:rPr>
                      <m:t>147</m:t>
                    </m:r>
                  </m:oMath>
                  <w:r>
                    <w:t>, 3 jueces)</w:t>
                  </w:r>
                </w:p>
              </w:tc>
            </w:tr>
            <w:bookmarkEnd w:id="235"/>
          </w:tbl>
          <w:p w14:paraId="619FF8B9" w14:textId="77777777" w:rsidR="00D762DD" w:rsidRDefault="00D762DD"/>
        </w:tc>
      </w:tr>
    </w:tbl>
    <w:p w14:paraId="4B9CAB80" w14:textId="77777777" w:rsidR="00D762DD" w:rsidRDefault="00000000">
      <w:pPr>
        <w:pStyle w:val="BodyText"/>
      </w:pPr>
      <w:r>
        <w:lastRenderedPageBreak/>
        <w:t xml:space="preserve"> </w:t>
      </w:r>
    </w:p>
    <w:tbl>
      <w:tblPr>
        <w:tblW w:w="5000" w:type="pct"/>
        <w:tblLayout w:type="fixed"/>
        <w:tblLook w:val="0000" w:firstRow="0" w:lastRow="0" w:firstColumn="0" w:lastColumn="0" w:noHBand="0" w:noVBand="0"/>
      </w:tblPr>
      <w:tblGrid>
        <w:gridCol w:w="9576"/>
      </w:tblGrid>
      <w:tr w:rsidR="00D762DD" w14:paraId="0FAA9901" w14:textId="77777777">
        <w:tc>
          <w:tcPr>
            <w:tcW w:w="7920" w:type="dxa"/>
          </w:tcPr>
          <w:p w14:paraId="546C216B" w14:textId="77777777" w:rsidR="00D762DD" w:rsidRDefault="00000000">
            <w:pPr>
              <w:spacing w:before="200"/>
              <w:jc w:val="left"/>
            </w:pPr>
            <w:bookmarkStart w:id="236" w:name="tbl-objetivos"/>
            <w:r>
              <w:t>Table 7.2: Cierre de objetivos específicos.</w:t>
            </w:r>
          </w:p>
          <w:tbl>
            <w:tblPr>
              <w:tblW w:w="5000" w:type="pct"/>
              <w:tblLayout w:type="fixed"/>
              <w:tblLook w:val="0020" w:firstRow="1" w:lastRow="0" w:firstColumn="0" w:lastColumn="0" w:noHBand="0" w:noVBand="0"/>
            </w:tblPr>
            <w:tblGrid>
              <w:gridCol w:w="6779"/>
              <w:gridCol w:w="2581"/>
            </w:tblGrid>
            <w:tr w:rsidR="00D762DD" w14:paraId="772E3847" w14:textId="77777777">
              <w:trPr>
                <w:tblHeader/>
              </w:trPr>
              <w:tc>
                <w:tcPr>
                  <w:tcW w:w="5735" w:type="dxa"/>
                </w:tcPr>
                <w:p w14:paraId="534AF07E" w14:textId="77777777" w:rsidR="00D762DD" w:rsidRDefault="00000000">
                  <w:r>
                    <w:t>Objetivo específico</w:t>
                  </w:r>
                </w:p>
              </w:tc>
              <w:tc>
                <w:tcPr>
                  <w:tcW w:w="2184" w:type="dxa"/>
                </w:tcPr>
                <w:p w14:paraId="7CF8FDD1" w14:textId="77777777" w:rsidR="00D762DD" w:rsidRDefault="00000000">
                  <w:r>
                    <w:t>Estado</w:t>
                  </w:r>
                </w:p>
              </w:tc>
            </w:tr>
            <w:tr w:rsidR="00D762DD" w14:paraId="016E8D4E" w14:textId="77777777">
              <w:tc>
                <w:tcPr>
                  <w:tcW w:w="5735" w:type="dxa"/>
                </w:tcPr>
                <w:p w14:paraId="4331F7A6" w14:textId="77777777" w:rsidR="00D762DD" w:rsidRDefault="00000000">
                  <w:r>
                    <w:t>OE1 — Formalizar protocolo FOM-7</w:t>
                  </w:r>
                </w:p>
              </w:tc>
              <w:tc>
                <w:tcPr>
                  <w:tcW w:w="2184" w:type="dxa"/>
                </w:tcPr>
                <w:p w14:paraId="6EF67EE2" w14:textId="77777777" w:rsidR="00D762DD" w:rsidRDefault="00000000">
                  <w:r>
                    <w:t>Completado. El protocolo opera como secuencia de 7 puertas y produjo 275 artefactos calificados con trazabilidad completa.</w:t>
                  </w:r>
                </w:p>
              </w:tc>
            </w:tr>
            <w:tr w:rsidR="00D762DD" w14:paraId="6D793E60" w14:textId="77777777">
              <w:tc>
                <w:tcPr>
                  <w:tcW w:w="5735" w:type="dxa"/>
                </w:tcPr>
                <w:p w14:paraId="092F9DB7" w14:textId="77777777" w:rsidR="00D762DD" w:rsidRDefault="00000000">
                  <w:r>
                    <w:t xml:space="preserve">OE2 — Evaluar SHAP, LIME, Anchors, </w:t>
                  </w:r>
                  <w:proofErr w:type="spellStart"/>
                  <w:r>
                    <w:t>DiCE</w:t>
                  </w:r>
                  <w:proofErr w:type="spellEnd"/>
                  <w:r>
                    <w:t xml:space="preserve"> sobre 5 modelos</w:t>
                  </w:r>
                </w:p>
              </w:tc>
              <w:tc>
                <w:tcPr>
                  <w:tcW w:w="2184" w:type="dxa"/>
                </w:tcPr>
                <w:p w14:paraId="02C227B0" w14:textId="77777777" w:rsidR="00D762DD" w:rsidRDefault="00000000">
                  <w:r>
                    <w:t xml:space="preserve">Completado. </w:t>
                  </w:r>
                  <w:proofErr w:type="spellStart"/>
                  <w:r>
                    <w:t>Benchmark</w:t>
                  </w:r>
                  <w:proofErr w:type="spellEnd"/>
                  <w:r>
                    <w:t xml:space="preserve"> </w:t>
                  </w:r>
                  <w:proofErr w:type="spellStart"/>
                  <w:r>
                    <w:t>multi-métrico</w:t>
                  </w:r>
                  <w:proofErr w:type="spellEnd"/>
                  <w:r>
                    <w:t xml:space="preserve"> sobre UCI </w:t>
                  </w:r>
                  <w:proofErr w:type="spellStart"/>
                  <w:r>
                    <w:t>Adult</w:t>
                  </w:r>
                  <w:proofErr w:type="spellEnd"/>
                  <w:r>
                    <w:t xml:space="preserve"> </w:t>
                  </w:r>
                  <w:proofErr w:type="spellStart"/>
                  <w:r>
                    <w:t>Income</w:t>
                  </w:r>
                  <w:proofErr w:type="spellEnd"/>
                  <w:r>
                    <w:t xml:space="preserve"> con 5 métricas primarias.</w:t>
                  </w:r>
                </w:p>
              </w:tc>
            </w:tr>
            <w:tr w:rsidR="00D762DD" w14:paraId="5D7CE3AC" w14:textId="77777777">
              <w:tc>
                <w:tcPr>
                  <w:tcW w:w="5735" w:type="dxa"/>
                </w:tcPr>
                <w:p w14:paraId="5F5ACA3F" w14:textId="77777777" w:rsidR="00D762DD" w:rsidRDefault="00000000">
                  <w:r>
                    <w:t>OE3 — Cuantificar la relación calidad-coste SHAP-LIME</w:t>
                  </w:r>
                </w:p>
              </w:tc>
              <w:tc>
                <w:tcPr>
                  <w:tcW w:w="2184" w:type="dxa"/>
                </w:tcPr>
                <w:p w14:paraId="390DB245" w14:textId="77777777" w:rsidR="00D762DD" w:rsidRDefault="00000000">
                  <w:r>
                    <w:t>Completado. Análisis pareado sobre 75 celdas coincidentes con corrección de multiplicidad Holm-Bonferroni.</w:t>
                  </w:r>
                </w:p>
              </w:tc>
            </w:tr>
            <w:tr w:rsidR="00D762DD" w14:paraId="03BB69DC" w14:textId="77777777">
              <w:tc>
                <w:tcPr>
                  <w:tcW w:w="5735" w:type="dxa"/>
                </w:tcPr>
                <w:p w14:paraId="1B3718D3" w14:textId="77777777" w:rsidR="00D762DD" w:rsidRDefault="00000000">
                  <w:r>
                    <w:t>OE4 — Caracterizar reproducibilidad del protocolo</w:t>
                  </w:r>
                </w:p>
              </w:tc>
              <w:tc>
                <w:tcPr>
                  <w:tcW w:w="2184" w:type="dxa"/>
                </w:tcPr>
                <w:p w14:paraId="2BC01A3D" w14:textId="77777777" w:rsidR="00D762DD" w:rsidRDefault="00000000">
                  <w:r>
                    <w:t xml:space="preserve">Completado. CV &lt; 3% en fidelidad para el subgrupo replicado </w:t>
                  </w:r>
                  <w:r>
                    <w:lastRenderedPageBreak/>
                    <w:t>RF/</w:t>
                  </w:r>
                  <m:oMath>
                    <m:r>
                      <w:rPr>
                        <w:rFonts w:ascii="Cambria Math" w:hAnsi="Cambria Math"/>
                      </w:rPr>
                      <m:t>N</m:t>
                    </m:r>
                    <m:r>
                      <m:rPr>
                        <m:sty m:val="p"/>
                      </m:rPr>
                      <w:rPr>
                        <w:rFonts w:ascii="Cambria Math" w:hAnsi="Cambria Math"/>
                      </w:rPr>
                      <m:t>=</m:t>
                    </m:r>
                    <m:r>
                      <w:rPr>
                        <w:rFonts w:ascii="Cambria Math" w:hAnsi="Cambria Math"/>
                      </w:rPr>
                      <m:t>100</m:t>
                    </m:r>
                  </m:oMath>
                  <w:r>
                    <w:t xml:space="preserve"> y CV agrupado de 11.4% (SHAP) y 12.0% (LIME) sobre el conjunto completo de ejecuciones, todos por debajo del umbral del 15% de P1; variabilidad del coste inherente a la heterogeneidad del hardware.</w:t>
                  </w:r>
                </w:p>
              </w:tc>
            </w:tr>
            <w:tr w:rsidR="00D762DD" w14:paraId="19E4BAFA" w14:textId="77777777">
              <w:tc>
                <w:tcPr>
                  <w:tcW w:w="5735" w:type="dxa"/>
                </w:tcPr>
                <w:p w14:paraId="47D8CC47" w14:textId="77777777" w:rsidR="00D762DD" w:rsidRDefault="00000000">
                  <w:r>
                    <w:lastRenderedPageBreak/>
                    <w:t>OE5 — Construir taxonomía estructurada y explicitar brechas de constructo</w:t>
                  </w:r>
                </w:p>
              </w:tc>
              <w:tc>
                <w:tcPr>
                  <w:tcW w:w="2184" w:type="dxa"/>
                </w:tcPr>
                <w:p w14:paraId="632191D6" w14:textId="77777777" w:rsidR="00D762DD" w:rsidRDefault="00000000">
                  <w:r>
                    <w:t>Completado. Taxonomía de cuatro ejes en el Capítulo 5; tres brechas enunciadas en §</w:t>
                  </w:r>
                  <w:proofErr w:type="spellStart"/>
                  <w:r>
                    <w:t>sec</w:t>
                  </w:r>
                  <w:proofErr w:type="spellEnd"/>
                  <w:r>
                    <w:t>-</w:t>
                  </w:r>
                  <w:proofErr w:type="spellStart"/>
                  <w:r>
                    <w:t>taxonomia</w:t>
                  </w:r>
                  <w:proofErr w:type="spellEnd"/>
                  <w:r>
                    <w:t>-brechas, de las que la Brecha 3 origina OE6.</w:t>
                  </w:r>
                </w:p>
              </w:tc>
            </w:tr>
            <w:tr w:rsidR="00D762DD" w14:paraId="177B6B95" w14:textId="77777777">
              <w:tc>
                <w:tcPr>
                  <w:tcW w:w="5735" w:type="dxa"/>
                </w:tcPr>
                <w:p w14:paraId="76E5C270" w14:textId="77777777" w:rsidR="00D762DD" w:rsidRDefault="00000000">
                  <w:r>
                    <w:t>OE6 — Cuantificar fiabilidad de evaluadores semánticos LLM (objetivo exploratorio, derivado de la Brecha 3)</w:t>
                  </w:r>
                </w:p>
              </w:tc>
              <w:tc>
                <w:tcPr>
                  <w:tcW w:w="2184" w:type="dxa"/>
                </w:tcPr>
                <w:p w14:paraId="676136AD" w14:textId="77777777" w:rsidR="00D762DD" w:rsidRDefault="00000000">
                  <w:r>
                    <w:t xml:space="preserve">Completado (resultado negativo). EXP4: </w:t>
                  </w:r>
                  <w:proofErr w:type="gramStart"/>
                  <w:r>
                    <w:t>ICC(</w:t>
                  </w:r>
                  <w:proofErr w:type="gramEnd"/>
                  <w:r>
                    <w:t xml:space="preserve">1,1) entre 0.321 y 0.601 en 7 dimensiones; ninguna alcanza umbral </w:t>
                  </w:r>
                  <m:oMath>
                    <m:r>
                      <m:rPr>
                        <m:sty m:val="p"/>
                      </m:rPr>
                      <w:rPr>
                        <w:rFonts w:ascii="Cambria Math" w:hAnsi="Cambria Math"/>
                      </w:rPr>
                      <m:t>≥</m:t>
                    </m:r>
                    <m:r>
                      <w:rPr>
                        <w:rFonts w:ascii="Cambria Math" w:hAnsi="Cambria Math"/>
                      </w:rPr>
                      <m:t>0.75</m:t>
                    </m:r>
                  </m:oMath>
                  <w:r>
                    <w:t>. Véase §sec-exp4-fiabilidad.</w:t>
                  </w:r>
                </w:p>
              </w:tc>
            </w:tr>
            <w:bookmarkEnd w:id="236"/>
          </w:tbl>
          <w:p w14:paraId="74DAF9B5" w14:textId="77777777" w:rsidR="00D762DD" w:rsidRDefault="00D762DD"/>
        </w:tc>
      </w:tr>
    </w:tbl>
    <w:p w14:paraId="1EBC85C5" w14:textId="77777777" w:rsidR="00D762DD" w:rsidRDefault="00000000">
      <w:pPr>
        <w:pStyle w:val="Heading2"/>
      </w:pPr>
      <w:bookmarkStart w:id="237" w:name="sec-contribuciones"/>
      <w:bookmarkStart w:id="238" w:name="_Toc238925800"/>
      <w:bookmarkEnd w:id="233"/>
      <w:r>
        <w:lastRenderedPageBreak/>
        <w:t>Contribuciones científicas</w:t>
      </w:r>
      <w:bookmarkEnd w:id="238"/>
    </w:p>
    <w:p w14:paraId="41649834" w14:textId="77777777" w:rsidR="00D762DD" w:rsidRDefault="00000000">
      <w:pPr>
        <w:pStyle w:val="Heading3"/>
      </w:pPr>
      <w:bookmarkStart w:id="239" w:name="X2e7af289f3df14f7e31f2445fc83a79cfc8b431"/>
      <w:bookmarkStart w:id="240" w:name="_Toc238925801"/>
      <w:r>
        <w:t>Contribución metodológica: protocolo FOM-7</w:t>
      </w:r>
      <w:bookmarkEnd w:id="240"/>
    </w:p>
    <w:p w14:paraId="4B2FE13A" w14:textId="77777777" w:rsidR="00D762DD" w:rsidRDefault="00000000">
      <w:r>
        <w:t>El protocolo FOM-7 (</w:t>
      </w:r>
      <w:r>
        <w:rPr>
          <w:i/>
          <w:iCs/>
        </w:rPr>
        <w:t xml:space="preserve">Framework </w:t>
      </w:r>
      <w:proofErr w:type="spellStart"/>
      <w:r>
        <w:rPr>
          <w:i/>
          <w:iCs/>
        </w:rPr>
        <w:t>Operation</w:t>
      </w:r>
      <w:proofErr w:type="spellEnd"/>
      <w:r>
        <w:rPr>
          <w:i/>
          <w:iCs/>
        </w:rPr>
        <w:t xml:space="preserve"> Method</w:t>
      </w:r>
      <w:r>
        <w:t>, siete puertas) formaliza los requisitos de benchmarking reproducible identificados en la literatura (Canha et al. 2025; Agarwal et al. 2022; Hedström et al. 2023) en una secuencia operativa implementable: (1) congelación del protocolo, (2) ejecución por lotes con semillas declarativas, (3) auditoría de integridad de artefactos, (4) armonización a tablas de análisis, (5) exportación inferencial determinista, (6) perfilado de reproducibilidad, (7) reporte con trazabilidad de afirmaciones.</w:t>
      </w:r>
    </w:p>
    <w:p w14:paraId="06E03BDA" w14:textId="77777777" w:rsidR="00D762DD" w:rsidRDefault="00000000">
      <w:pPr>
        <w:pStyle w:val="BodyText"/>
      </w:pPr>
      <w:r>
        <w:t xml:space="preserve">La contribución metodológica no es la lista de siete pasos —cada uno de ellos es un requisito conocido individualmente— sino su integración en una secuencia que garantiza que </w:t>
      </w:r>
      <w:r>
        <w:rPr>
          <w:i/>
          <w:iCs/>
        </w:rPr>
        <w:t>ninguna afirmación inferencial puede formularse sin que todas las puertas previas estén satisfechas</w:t>
      </w:r>
      <w:r>
        <w:t>. Esta propiedad de cierre secuencial elimina la categoría de estudios que reportan estadísticos significativos sobre artefactos contaminados (datos de calibración mezclados con datos confirmatorios, artefactos malformados no detectados, corrección de multiplicidad omitida). Es precisamente este tipo de contaminación el que, según Pawlicki et al. (2024), hace que los estudios publicados en evaluación XAI sean frecuentemente inconmensurables entre sí.</w:t>
      </w:r>
    </w:p>
    <w:p w14:paraId="6364BC23" w14:textId="77777777" w:rsidR="00D762DD" w:rsidRDefault="00000000">
      <w:pPr>
        <w:pStyle w:val="BodyText"/>
      </w:pPr>
      <w:r>
        <w:t xml:space="preserve">FOM-7 está disponible como código fuente verificable con rastreabilidad completa de artefactos, satisfaciendo los criterios de la iniciativa </w:t>
      </w:r>
      <w:r>
        <w:rPr>
          <w:i/>
          <w:iCs/>
        </w:rPr>
        <w:t>Reproducible AI</w:t>
      </w:r>
      <w:r>
        <w:t xml:space="preserve"> discutidos en (Canha et al. 2025).</w:t>
      </w:r>
    </w:p>
    <w:p w14:paraId="2A926F6C" w14:textId="77777777" w:rsidR="00D762DD" w:rsidRDefault="00000000">
      <w:pPr>
        <w:pStyle w:val="Heading3"/>
      </w:pPr>
      <w:bookmarkStart w:id="241" w:name="X93d1d918ce055ba24ba9e9f0b305f424c9a5ca8"/>
      <w:bookmarkStart w:id="242" w:name="_Toc238925802"/>
      <w:bookmarkEnd w:id="239"/>
      <w:r>
        <w:t>Contribución teórica: disociación fidelidad-estabilidad y taxonomía de métricas</w:t>
      </w:r>
      <w:bookmarkEnd w:id="242"/>
    </w:p>
    <w:p w14:paraId="4EC93A81" w14:textId="77777777" w:rsidR="00D762DD" w:rsidRDefault="00000000">
      <w:r>
        <w:t>La disociación empírica entre fidelidad y estabilidad, documentada con tamaños de efecto de magnitud muy grande (</w:t>
      </w:r>
      <m:oMath>
        <m:sSub>
          <m:sSubPr>
            <m:ctrlPr>
              <w:rPr>
                <w:rFonts w:ascii="Cambria Math" w:hAnsi="Cambria Math"/>
              </w:rPr>
            </m:ctrlPr>
          </m:sSubPr>
          <m:e>
            <m:r>
              <w:rPr>
                <w:rFonts w:ascii="Cambria Math" w:hAnsi="Cambria Math"/>
              </w:rPr>
              <m:t>d</m:t>
            </m:r>
          </m:e>
          <m:sub>
            <m:r>
              <w:rPr>
                <w:rFonts w:ascii="Cambria Math" w:hAnsi="Cambria Math"/>
              </w:rPr>
              <m:t>z</m:t>
            </m:r>
          </m:sub>
        </m:sSub>
        <m:r>
          <m:rPr>
            <m:sty m:val="p"/>
          </m:rPr>
          <w:rPr>
            <w:rFonts w:ascii="Cambria Math" w:hAnsi="Cambria Math"/>
          </w:rPr>
          <m:t>&gt;</m:t>
        </m:r>
        <m:r>
          <w:rPr>
            <w:rFonts w:ascii="Cambria Math" w:hAnsi="Cambria Math"/>
          </w:rPr>
          <m:t>2.8</m:t>
        </m:r>
      </m:oMath>
      <w:r>
        <w:t xml:space="preserve">) y sin excepciones en 75 pares, constituye evidencia cuantitativa de una propiedad que la literatura había </w:t>
      </w:r>
      <w:proofErr w:type="gramStart"/>
      <w:r>
        <w:t>asumido</w:t>
      </w:r>
      <w:proofErr w:type="gramEnd"/>
      <w:r>
        <w:t xml:space="preserve"> pero raramente demostrado: las dimensiones de calidad de las explicaciones XAI son parcialmente independientes y no sustituibles entre sí (Pawlicki et al. 2024; Bhattacharya and Verbert 2024; Burger et al. 2023). Específicamente, la inestabilidad de LIME no es un artefacto de escenarios extremos ni de un presupuesto de muestreo insuficiente, sino una propiedad reproducible del método bajo las condiciones controladas del </w:t>
      </w:r>
      <w:proofErr w:type="spellStart"/>
      <w:r>
        <w:t>benchmark</w:t>
      </w:r>
      <w:proofErr w:type="spellEnd"/>
      <w:r>
        <w:t xml:space="preserve"> —y, como delimitan §</w:t>
      </w:r>
      <w:proofErr w:type="spellStart"/>
      <w:r>
        <w:t>sec</w:t>
      </w:r>
      <w:proofErr w:type="spellEnd"/>
      <w:r>
        <w:t xml:space="preserve">-limitaciones y §sec-exp3-nota, una propiedad del par (configuración, espacio de características) más que del método en </w:t>
      </w:r>
      <w:r>
        <w:lastRenderedPageBreak/>
        <w:t xml:space="preserve">abstracto. Esta demostración cuantifica el riesgo de usar LIME en contextos donde se exija consistencia explicativa (auditoría, decisiones de alto riesgo) sin haber medido antes su estabilidad en el espacio de despliegue, un riesgo que los trabajos de referencia sobre LIME (Ribeiro 2016) no cuantifican en </w:t>
      </w:r>
      <w:proofErr w:type="spellStart"/>
      <w:r>
        <w:t>benchmarks</w:t>
      </w:r>
      <w:proofErr w:type="spellEnd"/>
      <w:r>
        <w:t xml:space="preserve"> </w:t>
      </w:r>
      <w:proofErr w:type="spellStart"/>
      <w:r>
        <w:t>multi-métricos</w:t>
      </w:r>
      <w:proofErr w:type="spellEnd"/>
      <w:r>
        <w:t>.</w:t>
      </w:r>
    </w:p>
    <w:p w14:paraId="18D65084" w14:textId="77777777" w:rsidR="00D762DD" w:rsidRDefault="00000000">
      <w:pPr>
        <w:pStyle w:val="BodyText"/>
      </w:pPr>
      <w:r>
        <w:t xml:space="preserve">La taxonomía desarrollada en el Capítulo 5 complementa este hallazgo empírico con un marco conceptual que organiza el espacio de métricas de evaluación en cuatro ejes y que localiza explícitamente las dimensiones no cubiertas por los </w:t>
      </w:r>
      <w:proofErr w:type="spellStart"/>
      <w:r>
        <w:t>benchmarks</w:t>
      </w:r>
      <w:proofErr w:type="spellEnd"/>
      <w:r>
        <w:t xml:space="preserve"> </w:t>
      </w:r>
      <w:proofErr w:type="spellStart"/>
      <w:r>
        <w:t>funcionally-grounded</w:t>
      </w:r>
      <w:proofErr w:type="spellEnd"/>
      <w:r>
        <w:t xml:space="preserve">, incluyendo la </w:t>
      </w:r>
      <w:proofErr w:type="spellStart"/>
      <w:r>
        <w:t>comprehensibilidad</w:t>
      </w:r>
      <w:proofErr w:type="spellEnd"/>
      <w:r>
        <w:t xml:space="preserve"> percibida por el usuario (Bhattacharya and </w:t>
      </w:r>
      <w:proofErr w:type="spellStart"/>
      <w:r>
        <w:t>Verbert</w:t>
      </w:r>
      <w:proofErr w:type="spellEnd"/>
      <w:r>
        <w:t xml:space="preserve"> 2024; Arrieta 2019). La taxonomía integra y extiende los marcos previos de Schwalbe y Finzel (2023), Abdulkadir et al. (2023) y Canha et al. (2025), alineándola explícitamente con el espacio experimental del </w:t>
      </w:r>
      <w:proofErr w:type="spellStart"/>
      <w:r>
        <w:t>benchmark</w:t>
      </w:r>
      <w:proofErr w:type="spellEnd"/>
      <w:r>
        <w:t>.</w:t>
      </w:r>
    </w:p>
    <w:p w14:paraId="70DB8FC6" w14:textId="77777777" w:rsidR="00D762DD" w:rsidRDefault="00000000">
      <w:pPr>
        <w:pStyle w:val="Heading3"/>
      </w:pPr>
      <w:bookmarkStart w:id="243" w:name="X6583905c1b1630bf3acfdae91528ca52ef61481"/>
      <w:bookmarkStart w:id="244" w:name="_Toc238925803"/>
      <w:bookmarkEnd w:id="241"/>
      <w:r>
        <w:t>Contribución aplicada: criterios prescriptivos de selección de métodos XAI</w:t>
      </w:r>
      <w:bookmarkEnd w:id="244"/>
    </w:p>
    <w:p w14:paraId="32278522" w14:textId="77777777" w:rsidR="00D762DD" w:rsidRDefault="00000000">
      <w:r>
        <w:t xml:space="preserve">Los resultados del </w:t>
      </w:r>
      <w:proofErr w:type="spellStart"/>
      <w:r>
        <w:t>benchmark</w:t>
      </w:r>
      <w:proofErr w:type="spellEnd"/>
      <w:r>
        <w:t xml:space="preserve"> son suficientemente consistentes para formular criterios de selección prescriptivos en lugar de simples “recomendaciones contextuales”. El carácter prescriptivo se refiere a la firmeza del criterio dada la evidencia, no a su alcance: cada criterio queda condicionado a las condiciones del </w:t>
      </w:r>
      <w:proofErr w:type="spellStart"/>
      <w:r>
        <w:t>benchmark</w:t>
      </w:r>
      <w:proofErr w:type="spellEnd"/>
      <w:r>
        <w:t xml:space="preserve"> especificadas en </w:t>
      </w:r>
      <w:hyperlink w:anchor="tbl-fronteras-generalizacion">
        <w:r>
          <w:rPr>
            <w:rStyle w:val="Hyperlink"/>
          </w:rPr>
          <w:t>Table 7.4</w:t>
        </w:r>
      </w:hyperlink>
      <w:r>
        <w:t xml:space="preserve"> —</w:t>
      </w:r>
      <w:proofErr w:type="spellStart"/>
      <w:r>
        <w:t>dataset</w:t>
      </w:r>
      <w:proofErr w:type="spellEnd"/>
      <w:r>
        <w:t xml:space="preserve"> </w:t>
      </w:r>
      <w:proofErr w:type="spellStart"/>
      <w:r>
        <w:t>Adult</w:t>
      </w:r>
      <w:proofErr w:type="spellEnd"/>
      <w:r>
        <w:t xml:space="preserve"> </w:t>
      </w:r>
      <w:proofErr w:type="spellStart"/>
      <w:r>
        <w:t>Income</w:t>
      </w:r>
      <w:proofErr w:type="spellEnd"/>
      <w:r>
        <w:t xml:space="preserve">, clasificación tabular binaria, las cinco familias de modelo evaluadas y las operacionalizaciones métricas del Capítulo 3— y ninguno se extiende a preferencias de usuarios finales, dominios regulados con restricciones normativas propias ni criterios de </w:t>
      </w:r>
      <w:proofErr w:type="spellStart"/>
      <w:r>
        <w:t>comprehensibilidad</w:t>
      </w:r>
      <w:proofErr w:type="spellEnd"/>
      <w:r>
        <w:t>. Con esa delimitación:</w:t>
      </w:r>
    </w:p>
    <w:p w14:paraId="312B39E7" w14:textId="77777777" w:rsidR="00D762DD" w:rsidRDefault="00000000">
      <w:pPr>
        <w:pStyle w:val="BodyText"/>
      </w:pPr>
      <w:r>
        <w:rPr>
          <w:b/>
          <w:bCs/>
        </w:rPr>
        <w:t>SHAP debe seleccionarse</w:t>
      </w:r>
      <w:r>
        <w:t xml:space="preserve"> como método primario en cualquier aplicación que requiera fidelidad o consistencia explicativa verificables, con la condición de comprobar el umbral en la familia de modelo concreta. Sobre la media global SHAP satisface </w:t>
      </w:r>
      <m:oMath>
        <m:acc>
          <m:accPr>
            <m:chr m:val="‾"/>
            <m:ctrlPr>
              <w:rPr>
                <w:rFonts w:ascii="Cambria Math" w:hAnsi="Cambria Math"/>
              </w:rPr>
            </m:ctrlPr>
          </m:accPr>
          <m:e>
            <m:r>
              <w:rPr>
                <w:rFonts w:ascii="Cambria Math" w:hAnsi="Cambria Math"/>
              </w:rPr>
              <m:t>F</m:t>
            </m:r>
          </m:e>
        </m:acc>
        <m:r>
          <m:rPr>
            <m:sty m:val="p"/>
          </m:rPr>
          <w:rPr>
            <w:rFonts w:ascii="Cambria Math" w:hAnsi="Cambria Math"/>
          </w:rPr>
          <m:t>=</m:t>
        </m:r>
        <m:r>
          <w:rPr>
            <w:rFonts w:ascii="Cambria Math" w:hAnsi="Cambria Math"/>
          </w:rPr>
          <m:t>0.808</m:t>
        </m:r>
        <m:r>
          <m:rPr>
            <m:sty m:val="p"/>
          </m:rPr>
          <w:rPr>
            <w:rFonts w:ascii="Cambria Math" w:hAnsi="Cambria Math"/>
          </w:rPr>
          <m:t>≥</m:t>
        </m:r>
        <m:r>
          <w:rPr>
            <w:rFonts w:ascii="Cambria Math" w:hAnsi="Cambria Math"/>
          </w:rPr>
          <m:t>0.80</m:t>
        </m:r>
      </m:oMath>
      <w:r>
        <w:t xml:space="preserve"> y </w:t>
      </w:r>
      <m:oMath>
        <m:acc>
          <m:accPr>
            <m:chr m:val="‾"/>
            <m:ctrlPr>
              <w:rPr>
                <w:rFonts w:ascii="Cambria Math" w:hAnsi="Cambria Math"/>
              </w:rPr>
            </m:ctrlPr>
          </m:accPr>
          <m:e>
            <m:r>
              <w:rPr>
                <w:rFonts w:ascii="Cambria Math" w:hAnsi="Cambria Math"/>
              </w:rPr>
              <m:t>S</m:t>
            </m:r>
          </m:e>
        </m:acc>
        <m:r>
          <m:rPr>
            <m:sty m:val="p"/>
          </m:rPr>
          <w:rPr>
            <w:rFonts w:ascii="Cambria Math" w:hAnsi="Cambria Math"/>
          </w:rPr>
          <m:t>=</m:t>
        </m:r>
        <m:r>
          <w:rPr>
            <w:rFonts w:ascii="Cambria Math" w:hAnsi="Cambria Math"/>
          </w:rPr>
          <m:t>0.732</m:t>
        </m:r>
        <m:r>
          <m:rPr>
            <m:sty m:val="p"/>
          </m:rPr>
          <w:rPr>
            <w:rFonts w:ascii="Cambria Math" w:hAnsi="Cambria Math"/>
          </w:rPr>
          <m:t>≥</m:t>
        </m:r>
        <m:r>
          <w:rPr>
            <w:rFonts w:ascii="Cambria Math" w:hAnsi="Cambria Math"/>
          </w:rPr>
          <m:t>0.70</m:t>
        </m:r>
      </m:oMath>
      <w:r>
        <w:t xml:space="preserve">, pero la media global no es el criterio operativo: por familia, la fidelidad alcanza </w:t>
      </w:r>
      <m:oMath>
        <m:r>
          <m:rPr>
            <m:sty m:val="p"/>
          </m:rPr>
          <w:rPr>
            <w:rFonts w:ascii="Cambria Math" w:hAnsi="Cambria Math"/>
          </w:rPr>
          <m:t>≥</m:t>
        </m:r>
        <m:r>
          <w:rPr>
            <w:rFonts w:ascii="Cambria Math" w:hAnsi="Cambria Math"/>
          </w:rPr>
          <m:t>0.80</m:t>
        </m:r>
      </m:oMath>
      <w:r>
        <w:t xml:space="preserve"> solo en </w:t>
      </w:r>
      <w:proofErr w:type="spellStart"/>
      <w:r>
        <w:t>logreg</w:t>
      </w:r>
      <w:proofErr w:type="spellEnd"/>
      <w:r>
        <w:t xml:space="preserve"> (0.946) y SVM (0.882), y la estabilidad alcanza </w:t>
      </w:r>
      <m:oMath>
        <m:r>
          <m:rPr>
            <m:sty m:val="p"/>
          </m:rPr>
          <w:rPr>
            <w:rFonts w:ascii="Cambria Math" w:hAnsi="Cambria Math"/>
          </w:rPr>
          <m:t>≥</m:t>
        </m:r>
        <m:r>
          <w:rPr>
            <w:rFonts w:ascii="Cambria Math" w:hAnsi="Cambria Math"/>
          </w:rPr>
          <m:t>0.70</m:t>
        </m:r>
      </m:oMath>
      <w:r>
        <w:t xml:space="preserve"> solo en logreg (0.880), RF (0.949) y SVM (0.925), descendiendo a 0.575 en XGBoost y 0.331 en MLP. Para modelos basados en árboles, TreeSHAP reduce el coste en dos o tres órdenes de magnitud respecto a KernelSHAP —</w:t>
      </w:r>
      <w:r>
        <w:lastRenderedPageBreak/>
        <w:t>21 ms por instancia en XGBoost y 2,820 ms en Random Forest, frente a 54,231 ms en SVM— lo que hace esta elección también la más eficiente en XGBoost.</w:t>
      </w:r>
    </w:p>
    <w:p w14:paraId="62591082" w14:textId="77777777" w:rsidR="00D762DD" w:rsidRDefault="00000000">
      <w:pPr>
        <w:pStyle w:val="BodyText"/>
      </w:pPr>
      <w:r>
        <w:rPr>
          <w:b/>
          <w:bCs/>
        </w:rPr>
        <w:t>LIME puede seleccionarse</w:t>
      </w:r>
      <w:r>
        <w:t xml:space="preserve"> exclusivamente cuando el coste computacional es el criterio dominante y la aplicación no requiere comparación de explicaciones entre instancias ni auditoría de consistencia. Las medias por familia de modelo de LIME en </w:t>
      </w:r>
      <w:proofErr w:type="spellStart"/>
      <w:r>
        <w:t>logreg</w:t>
      </w:r>
      <w:proofErr w:type="spellEnd"/>
      <w:r>
        <w:t>/</w:t>
      </w:r>
      <w:proofErr w:type="spellStart"/>
      <w:r>
        <w:t>xgb</w:t>
      </w:r>
      <w:proofErr w:type="spellEnd"/>
      <w:r>
        <w:t>/</w:t>
      </w:r>
      <w:proofErr w:type="spellStart"/>
      <w:r>
        <w:t>mlp</w:t>
      </w:r>
      <w:proofErr w:type="spellEnd"/>
      <w:r>
        <w:t xml:space="preserve"> —73 ms, 122 ms y 52 ms por instancia respectivamente— hacen posible la explicación en tiempo real, con la condición explícita de que las explicaciones no sean comparadas entre ejecuciones. En SVM esa ventaja desaparece: LIME asciende a 17,620 ms de media.</w:t>
      </w:r>
    </w:p>
    <w:p w14:paraId="0DDB30E8" w14:textId="77777777" w:rsidR="00D762DD" w:rsidRDefault="00000000">
      <w:pPr>
        <w:pStyle w:val="BodyText"/>
      </w:pPr>
      <w:r>
        <w:rPr>
          <w:b/>
          <w:bCs/>
        </w:rPr>
        <w:t>Anchors debe usarse con cautela</w:t>
      </w:r>
      <w:r>
        <w:t xml:space="preserve"> para modelos no-lineales (RF, SVM, MLP) en aplicaciones de latencia crítica: sus medias por familia de modelo —15,564 ms (MLP), 37,415 ms (SVM) y 48,955 ms (RF) por instancia— son inviables en producción, y su cobertura analítica cae al 76.0% por no convergencia. Su uso es justificable exclusivamente cuando la forma semántica IF-THEN es un requisito regulatorio o de usuario y el modelo es de complejidad baja (</w:t>
      </w:r>
      <w:proofErr w:type="spellStart"/>
      <w:r>
        <w:t>logreg</w:t>
      </w:r>
      <w:proofErr w:type="spellEnd"/>
      <w:r>
        <w:t>, 2,918 ms).</w:t>
      </w:r>
    </w:p>
    <w:p w14:paraId="2CEFFA6A" w14:textId="77777777" w:rsidR="00D762DD" w:rsidRDefault="00000000">
      <w:pPr>
        <w:pStyle w:val="BodyText"/>
      </w:pPr>
      <w:proofErr w:type="spellStart"/>
      <w:r>
        <w:rPr>
          <w:b/>
          <w:bCs/>
        </w:rPr>
        <w:t>DiCE</w:t>
      </w:r>
      <w:proofErr w:type="spellEnd"/>
      <w:r>
        <w:rPr>
          <w:b/>
          <w:bCs/>
        </w:rPr>
        <w:t xml:space="preserve"> es la opción de esta comparación orientada a acciones correctivas</w:t>
      </w:r>
      <w:r>
        <w:t xml:space="preserve"> cuando el objetivo es generar acciones correctivas (</w:t>
      </w:r>
      <w:proofErr w:type="spellStart"/>
      <w:r>
        <w:rPr>
          <w:i/>
          <w:iCs/>
        </w:rPr>
        <w:t>algorithmic</w:t>
      </w:r>
      <w:proofErr w:type="spellEnd"/>
      <w:r>
        <w:rPr>
          <w:i/>
          <w:iCs/>
        </w:rPr>
        <w:t xml:space="preserve"> </w:t>
      </w:r>
      <w:proofErr w:type="spellStart"/>
      <w:r>
        <w:rPr>
          <w:i/>
          <w:iCs/>
        </w:rPr>
        <w:t>recourse</w:t>
      </w:r>
      <w:proofErr w:type="spellEnd"/>
      <w:r>
        <w:t xml:space="preserve">) para cambiar la predicción. Sus métricas de fidelidad bajas son irrelevantes para este objetivo, puesto que la métrica de atribución no mide lo que </w:t>
      </w:r>
      <w:proofErr w:type="spellStart"/>
      <w:r>
        <w:t>DiCE</w:t>
      </w:r>
      <w:proofErr w:type="spellEnd"/>
      <w:r>
        <w:t xml:space="preserve"> optimiza. Su coste, en cambio, sí es una restricción real y no debe presentarse como moderado: con una media de 28,209 ms por instancia (mediana 11,880 ms) es el segundo más elevado del </w:t>
      </w:r>
      <w:proofErr w:type="spellStart"/>
      <w:r>
        <w:t>benchmark</w:t>
      </w:r>
      <w:proofErr w:type="spellEnd"/>
      <w:r>
        <w:t xml:space="preserve">, solo por debajo de Anchors (38,159 ms), y varía entre 12,634 ms (MLP) y 66,266 ms (SVM) según la familia de modelo. </w:t>
      </w:r>
      <w:proofErr w:type="spellStart"/>
      <w:r>
        <w:t>DiCE</w:t>
      </w:r>
      <w:proofErr w:type="spellEnd"/>
      <w:r>
        <w:t xml:space="preserve"> se justifica cuando el </w:t>
      </w:r>
      <w:proofErr w:type="spellStart"/>
      <w:r>
        <w:t>recourse</w:t>
      </w:r>
      <w:proofErr w:type="spellEnd"/>
      <w:r>
        <w:t xml:space="preserve"> es el objetivo y no existe sustituto, no por eficiencia.</w:t>
      </w:r>
    </w:p>
    <w:p w14:paraId="0D668EF3" w14:textId="77777777" w:rsidR="00D762DD" w:rsidRDefault="00000000">
      <w:pPr>
        <w:pStyle w:val="Heading2"/>
      </w:pPr>
      <w:bookmarkStart w:id="245" w:name="sec-posicionamiento"/>
      <w:bookmarkStart w:id="246" w:name="_Toc238925804"/>
      <w:bookmarkEnd w:id="237"/>
      <w:bookmarkEnd w:id="243"/>
      <w:r>
        <w:t>Posicionamiento respecto a la literatura y separación de contribuciones</w:t>
      </w:r>
      <w:bookmarkEnd w:id="246"/>
    </w:p>
    <w:p w14:paraId="3286BCF8" w14:textId="77777777" w:rsidR="00D762DD" w:rsidRDefault="00000000">
      <w:r>
        <w:t xml:space="preserve">Las tres contribuciones de esta tesis deben separarse con precisión de los trabajos más cercanos para que su originalidad sea evaluable. La Tabla </w:t>
      </w:r>
      <w:hyperlink w:anchor="tbl-contribucion-separacion">
        <w:r>
          <w:rPr>
            <w:rStyle w:val="Hyperlink"/>
          </w:rPr>
          <w:t>Table 7.3</w:t>
        </w:r>
      </w:hyperlink>
      <w:r>
        <w:t xml:space="preserve"> realiza esta separación de forma explícita.</w:t>
      </w:r>
    </w:p>
    <w:tbl>
      <w:tblPr>
        <w:tblW w:w="5000" w:type="pct"/>
        <w:tblLayout w:type="fixed"/>
        <w:tblLook w:val="0000" w:firstRow="0" w:lastRow="0" w:firstColumn="0" w:lastColumn="0" w:noHBand="0" w:noVBand="0"/>
      </w:tblPr>
      <w:tblGrid>
        <w:gridCol w:w="9576"/>
      </w:tblGrid>
      <w:tr w:rsidR="00D762DD" w14:paraId="6DF68A9E" w14:textId="77777777">
        <w:tc>
          <w:tcPr>
            <w:tcW w:w="7920" w:type="dxa"/>
          </w:tcPr>
          <w:p w14:paraId="760C54E0" w14:textId="77777777" w:rsidR="00D762DD" w:rsidRDefault="00000000">
            <w:pPr>
              <w:spacing w:before="200"/>
              <w:jc w:val="left"/>
            </w:pPr>
            <w:bookmarkStart w:id="247" w:name="tbl-contribucion-separacion"/>
            <w:r>
              <w:t>Table 7.3: Separación de contribuciones respecto a los trabajos más cercanos.</w:t>
            </w:r>
          </w:p>
          <w:tbl>
            <w:tblPr>
              <w:tblW w:w="5000" w:type="pct"/>
              <w:tblLayout w:type="fixed"/>
              <w:tblLook w:val="0020" w:firstRow="1" w:lastRow="0" w:firstColumn="0" w:lastColumn="0" w:noHBand="0" w:noVBand="0"/>
            </w:tblPr>
            <w:tblGrid>
              <w:gridCol w:w="2340"/>
              <w:gridCol w:w="2340"/>
              <w:gridCol w:w="2340"/>
              <w:gridCol w:w="2340"/>
            </w:tblGrid>
            <w:tr w:rsidR="00D762DD" w14:paraId="5F44B917" w14:textId="77777777">
              <w:trPr>
                <w:tblHeader/>
              </w:trPr>
              <w:tc>
                <w:tcPr>
                  <w:tcW w:w="1980" w:type="dxa"/>
                </w:tcPr>
                <w:p w14:paraId="52210CF6" w14:textId="77777777" w:rsidR="00D762DD" w:rsidRDefault="00000000">
                  <w:pPr>
                    <w:jc w:val="center"/>
                  </w:pPr>
                  <w:r>
                    <w:lastRenderedPageBreak/>
                    <w:t>Contribución</w:t>
                  </w:r>
                </w:p>
              </w:tc>
              <w:tc>
                <w:tcPr>
                  <w:tcW w:w="1980" w:type="dxa"/>
                </w:tcPr>
                <w:p w14:paraId="58FB0F4F" w14:textId="77777777" w:rsidR="00D762DD" w:rsidRDefault="00000000">
                  <w:pPr>
                    <w:jc w:val="center"/>
                  </w:pPr>
                  <w:r>
                    <w:t>Trabajos más cercanos</w:t>
                  </w:r>
                </w:p>
              </w:tc>
              <w:tc>
                <w:tcPr>
                  <w:tcW w:w="1980" w:type="dxa"/>
                </w:tcPr>
                <w:p w14:paraId="328730A7" w14:textId="77777777" w:rsidR="00D762DD" w:rsidRDefault="00000000">
                  <w:pPr>
                    <w:jc w:val="center"/>
                  </w:pPr>
                  <w:r>
                    <w:t>En qué se solapa</w:t>
                  </w:r>
                </w:p>
              </w:tc>
              <w:tc>
                <w:tcPr>
                  <w:tcW w:w="1980" w:type="dxa"/>
                </w:tcPr>
                <w:p w14:paraId="0762402D" w14:textId="77777777" w:rsidR="00D762DD" w:rsidRDefault="00000000">
                  <w:pPr>
                    <w:jc w:val="center"/>
                  </w:pPr>
                  <w:r>
                    <w:t>En qué difiere esta tesis</w:t>
                  </w:r>
                </w:p>
              </w:tc>
            </w:tr>
            <w:tr w:rsidR="00D762DD" w14:paraId="61B7C323" w14:textId="77777777">
              <w:tc>
                <w:tcPr>
                  <w:tcW w:w="1980" w:type="dxa"/>
                </w:tcPr>
                <w:p w14:paraId="6A7D90C7" w14:textId="77777777" w:rsidR="00D762DD" w:rsidRDefault="00000000">
                  <w:pPr>
                    <w:jc w:val="center"/>
                  </w:pPr>
                  <w:r>
                    <w:rPr>
                      <w:b/>
                      <w:bCs/>
                    </w:rPr>
                    <w:t>FOM-7 — protocolo de benchmarking reproducible</w:t>
                  </w:r>
                </w:p>
              </w:tc>
              <w:tc>
                <w:tcPr>
                  <w:tcW w:w="1980" w:type="dxa"/>
                </w:tcPr>
                <w:p w14:paraId="6E2811EF" w14:textId="77777777" w:rsidR="00D762DD" w:rsidRDefault="00000000">
                  <w:pPr>
                    <w:jc w:val="center"/>
                  </w:pPr>
                  <w:proofErr w:type="spellStart"/>
                  <w:r>
                    <w:t>OpenXAI</w:t>
                  </w:r>
                  <w:proofErr w:type="spellEnd"/>
                  <w:r>
                    <w:t xml:space="preserve"> (Agarwal et al. 2022); </w:t>
                  </w:r>
                  <w:proofErr w:type="spellStart"/>
                  <w:r>
                    <w:t>Quantus</w:t>
                  </w:r>
                  <w:proofErr w:type="spellEnd"/>
                  <w:r>
                    <w:t xml:space="preserve"> (Hedström et al. 2023); Canha et al. (2025)</w:t>
                  </w:r>
                </w:p>
              </w:tc>
              <w:tc>
                <w:tcPr>
                  <w:tcW w:w="1980" w:type="dxa"/>
                </w:tcPr>
                <w:p w14:paraId="1244F065" w14:textId="77777777" w:rsidR="00D762DD" w:rsidRDefault="00000000">
                  <w:pPr>
                    <w:jc w:val="center"/>
                  </w:pPr>
                  <w:r>
                    <w:t xml:space="preserve">Objetivo de estandarización, uso de métricas </w:t>
                  </w:r>
                  <w:proofErr w:type="spellStart"/>
                  <w:r>
                    <w:t>functionally-grounded</w:t>
                  </w:r>
                  <w:proofErr w:type="spellEnd"/>
                  <w:r>
                    <w:t>, énfasis en reproducibilidad</w:t>
                  </w:r>
                </w:p>
              </w:tc>
              <w:tc>
                <w:tcPr>
                  <w:tcW w:w="1980" w:type="dxa"/>
                </w:tcPr>
                <w:p w14:paraId="79C6FBD3" w14:textId="77777777" w:rsidR="00D762DD" w:rsidRDefault="00000000">
                  <w:pPr>
                    <w:jc w:val="center"/>
                  </w:pPr>
                  <w:r>
                    <w:t xml:space="preserve">FOM-7 añade siete puertas secuenciales con criterios de admisibilidad y falla explícitos; </w:t>
                  </w:r>
                  <w:proofErr w:type="spellStart"/>
                  <w:r>
                    <w:t>OpenXAI</w:t>
                  </w:r>
                  <w:proofErr w:type="spellEnd"/>
                  <w:r>
                    <w:t xml:space="preserve"> y </w:t>
                  </w:r>
                  <w:proofErr w:type="spellStart"/>
                  <w:r>
                    <w:t>Quantus</w:t>
                  </w:r>
                  <w:proofErr w:type="spellEnd"/>
                  <w:r>
                    <w:t xml:space="preserve"> no regulan la cadena diseño-artefacto-inferencia-</w:t>
                  </w:r>
                  <w:proofErr w:type="spellStart"/>
                  <w:r>
                    <w:t>claim</w:t>
                  </w:r>
                  <w:proofErr w:type="spellEnd"/>
                  <w:r>
                    <w:t>; Canha et al. proponen principios sin implementación operativa completa</w:t>
                  </w:r>
                </w:p>
              </w:tc>
            </w:tr>
            <w:tr w:rsidR="00D762DD" w14:paraId="646CFD21" w14:textId="77777777">
              <w:tc>
                <w:tcPr>
                  <w:tcW w:w="1980" w:type="dxa"/>
                </w:tcPr>
                <w:p w14:paraId="61C60EB9" w14:textId="77777777" w:rsidR="00D762DD" w:rsidRDefault="00000000">
                  <w:pPr>
                    <w:jc w:val="center"/>
                  </w:pPr>
                  <w:proofErr w:type="spellStart"/>
                  <w:r>
                    <w:rPr>
                      <w:b/>
                      <w:bCs/>
                    </w:rPr>
                    <w:t>Benchmark</w:t>
                  </w:r>
                  <w:proofErr w:type="spellEnd"/>
                  <w:r>
                    <w:rPr>
                      <w:b/>
                      <w:bCs/>
                    </w:rPr>
                    <w:t xml:space="preserve"> </w:t>
                  </w:r>
                  <w:proofErr w:type="spellStart"/>
                  <w:r>
                    <w:rPr>
                      <w:b/>
                      <w:bCs/>
                    </w:rPr>
                    <w:t>multi-métrico</w:t>
                  </w:r>
                  <w:proofErr w:type="spellEnd"/>
                  <w:r>
                    <w:rPr>
                      <w:b/>
                      <w:bCs/>
                    </w:rPr>
                    <w:t xml:space="preserve"> SHAP-LIME-Anchors-</w:t>
                  </w:r>
                  <w:proofErr w:type="spellStart"/>
                  <w:r>
                    <w:rPr>
                      <w:b/>
                      <w:bCs/>
                    </w:rPr>
                    <w:t>DiCE</w:t>
                  </w:r>
                  <w:proofErr w:type="spellEnd"/>
                </w:p>
              </w:tc>
              <w:tc>
                <w:tcPr>
                  <w:tcW w:w="1980" w:type="dxa"/>
                </w:tcPr>
                <w:p w14:paraId="062FB676" w14:textId="77777777" w:rsidR="00D762DD" w:rsidRDefault="00000000">
                  <w:pPr>
                    <w:jc w:val="center"/>
                  </w:pPr>
                  <w:r>
                    <w:t xml:space="preserve">Nauta et al. (2023) (revisión de 30 propiedades); </w:t>
                  </w:r>
                  <w:proofErr w:type="spellStart"/>
                  <w:r>
                    <w:t>Altukhi</w:t>
                  </w:r>
                  <w:proofErr w:type="spellEnd"/>
                  <w:r>
                    <w:t xml:space="preserve"> et al. (2025) (comparación de explicadores); Hedström et al. (2023) (</w:t>
                  </w:r>
                  <w:proofErr w:type="spellStart"/>
                  <w:r>
                    <w:t>Quantus</w:t>
                  </w:r>
                  <w:proofErr w:type="spellEnd"/>
                  <w:r>
                    <w:t xml:space="preserve"> </w:t>
                  </w:r>
                  <w:proofErr w:type="spellStart"/>
                  <w:r>
                    <w:t>evaluation</w:t>
                  </w:r>
                  <w:proofErr w:type="spellEnd"/>
                  <w:r>
                    <w:t>)</w:t>
                  </w:r>
                </w:p>
              </w:tc>
              <w:tc>
                <w:tcPr>
                  <w:tcW w:w="1980" w:type="dxa"/>
                </w:tcPr>
                <w:p w14:paraId="6F778BE1" w14:textId="77777777" w:rsidR="00D762DD" w:rsidRDefault="00000000">
                  <w:pPr>
                    <w:jc w:val="center"/>
                  </w:pPr>
                  <w:r>
                    <w:t>Comparación de métodos agnósticos; uso de fidelidad y estabilidad como métricas primarias</w:t>
                  </w:r>
                </w:p>
              </w:tc>
              <w:tc>
                <w:tcPr>
                  <w:tcW w:w="1980" w:type="dxa"/>
                </w:tcPr>
                <w:p w14:paraId="583E2DB9" w14:textId="77777777" w:rsidR="00D762DD" w:rsidRDefault="00000000">
                  <w:pPr>
                    <w:jc w:val="center"/>
                  </w:pPr>
                  <w:r>
                    <w:t>Esta tesis usa diseño factorial con cinco modelos, cinco semillas y tres tamaños de muestra; reporta tamaños de efecto (</w:t>
                  </w:r>
                  <m:oMath>
                    <m:sSub>
                      <m:sSubPr>
                        <m:ctrlPr>
                          <w:rPr>
                            <w:rFonts w:ascii="Cambria Math" w:hAnsi="Cambria Math"/>
                          </w:rPr>
                        </m:ctrlPr>
                      </m:sSubPr>
                      <m:e>
                        <m:r>
                          <w:rPr>
                            <w:rFonts w:ascii="Cambria Math" w:hAnsi="Cambria Math"/>
                          </w:rPr>
                          <m:t>d</m:t>
                        </m:r>
                      </m:e>
                      <m:sub>
                        <m:r>
                          <w:rPr>
                            <w:rFonts w:ascii="Cambria Math" w:hAnsi="Cambria Math"/>
                          </w:rPr>
                          <m:t>z</m:t>
                        </m:r>
                      </m:sub>
                    </m:sSub>
                  </m:oMath>
                  <w:r>
                    <w:t xml:space="preserve">) y control de multiplicidad Holm-Bonferroni; cuantifica la disociación fidelidad-estabilidad con evidencia pareada en </w:t>
                  </w:r>
                  <w:r>
                    <w:lastRenderedPageBreak/>
                    <w:t>75 celdas</w:t>
                  </w:r>
                </w:p>
              </w:tc>
            </w:tr>
            <w:tr w:rsidR="00D762DD" w14:paraId="4AC6E2DB" w14:textId="77777777">
              <w:tc>
                <w:tcPr>
                  <w:tcW w:w="1980" w:type="dxa"/>
                </w:tcPr>
                <w:p w14:paraId="4437BC8C" w14:textId="77777777" w:rsidR="00D762DD" w:rsidRDefault="00000000">
                  <w:pPr>
                    <w:jc w:val="center"/>
                  </w:pPr>
                  <w:r>
                    <w:rPr>
                      <w:b/>
                      <w:bCs/>
                    </w:rPr>
                    <w:lastRenderedPageBreak/>
                    <w:t>Taxonomía de cuatro ejes</w:t>
                  </w:r>
                </w:p>
              </w:tc>
              <w:tc>
                <w:tcPr>
                  <w:tcW w:w="1980" w:type="dxa"/>
                </w:tcPr>
                <w:p w14:paraId="29490D5E" w14:textId="77777777" w:rsidR="00D762DD" w:rsidRDefault="00000000">
                  <w:pPr>
                    <w:jc w:val="center"/>
                  </w:pPr>
                  <w:r>
                    <w:t>Schwalbe y Finzel (2023) (taxonomía de conceptos XAI); Abdulkadir et al. (2023) (revisión de métricas); Doshi-</w:t>
                  </w:r>
                  <w:proofErr w:type="spellStart"/>
                  <w:r>
                    <w:t>Velez</w:t>
                  </w:r>
                  <w:proofErr w:type="spellEnd"/>
                  <w:r>
                    <w:t xml:space="preserve"> y Kim (2017) (tres tipos de evaluación)</w:t>
                  </w:r>
                </w:p>
              </w:tc>
              <w:tc>
                <w:tcPr>
                  <w:tcW w:w="1980" w:type="dxa"/>
                </w:tcPr>
                <w:p w14:paraId="7292A610" w14:textId="77777777" w:rsidR="00D762DD" w:rsidRDefault="00000000">
                  <w:pPr>
                    <w:jc w:val="center"/>
                  </w:pPr>
                  <w:r>
                    <w:t>Uso de dimensiones de calidad (fidelidad, robustez, complejidad); distinción entre evaluación humana y computacional</w:t>
                  </w:r>
                </w:p>
              </w:tc>
              <w:tc>
                <w:tcPr>
                  <w:tcW w:w="1980" w:type="dxa"/>
                </w:tcPr>
                <w:p w14:paraId="7EF9A89F" w14:textId="77777777" w:rsidR="00D762DD" w:rsidRDefault="00000000">
                  <w:pPr>
                    <w:jc w:val="center"/>
                  </w:pPr>
                  <w:r>
                    <w:t xml:space="preserve">La taxonomía de esta tesis añade el eje de contexto de tarea como dimensión operativa; la ubica explícitamente en relación con el </w:t>
                  </w:r>
                  <w:proofErr w:type="spellStart"/>
                  <w:r>
                    <w:t>benchmark</w:t>
                  </w:r>
                  <w:proofErr w:type="spellEnd"/>
                  <w:r>
                    <w:t xml:space="preserve"> empírico; y proporciona el alcance inferencial admisible para cada cuadrante</w:t>
                  </w:r>
                </w:p>
              </w:tc>
            </w:tr>
            <w:bookmarkEnd w:id="247"/>
          </w:tbl>
          <w:p w14:paraId="4AF9D894" w14:textId="77777777" w:rsidR="00D762DD" w:rsidRDefault="00D762DD"/>
        </w:tc>
      </w:tr>
    </w:tbl>
    <w:p w14:paraId="2630BBF9" w14:textId="77777777" w:rsidR="00D762DD" w:rsidRDefault="00000000">
      <w:pPr>
        <w:pStyle w:val="BodyText"/>
      </w:pPr>
      <w:r>
        <w:lastRenderedPageBreak/>
        <w:t xml:space="preserve">El posicionamiento más informativo se obtiene comparando la tesis con los dos trabajos más cercanos en alcance. </w:t>
      </w:r>
      <w:proofErr w:type="spellStart"/>
      <w:r>
        <w:t>OpenXAI</w:t>
      </w:r>
      <w:proofErr w:type="spellEnd"/>
      <w:r>
        <w:t xml:space="preserve"> (Agarwal et al. 2022) proporciona una plataforma con </w:t>
      </w:r>
      <w:proofErr w:type="spellStart"/>
      <w:r>
        <w:t>ground-truth</w:t>
      </w:r>
      <w:proofErr w:type="spellEnd"/>
      <w:r>
        <w:t xml:space="preserve"> sintético y permite comparar métodos bajo condiciones estandarizadas; sin embargo, no ofrece un protocolo de calificación de artefactos, no requiere separación EXP1/EXP2, y no contempla control de multiplicidad sobre familias de hipótesis. Nauta et al. (2023) proporcionan la revisión más amplia disponible de propiedades de evaluación XAI (30 propiedades, taxonomía propia), pero su contribución es conceptual: no producen un </w:t>
      </w:r>
      <w:proofErr w:type="spellStart"/>
      <w:r>
        <w:t>benchmark</w:t>
      </w:r>
      <w:proofErr w:type="spellEnd"/>
      <w:r>
        <w:t xml:space="preserve"> experimental con análisis inferencial. Esta tesis ocupa el espacio entre ambas obras: implementa un pipeline experimental completo con gobernanza de protocolo (FOM-7), produce evidencia empírica con análisis estadístico riguroso, y contribuye una taxonomía que integra esas propiedades con su alcance inferencial operacional.</w:t>
      </w:r>
    </w:p>
    <w:p w14:paraId="36A7FA94" w14:textId="77777777" w:rsidR="00D762DD" w:rsidRDefault="00000000">
      <w:pPr>
        <w:pStyle w:val="BodyText"/>
      </w:pPr>
      <w:r>
        <w:t xml:space="preserve">El aporte de FOM-7 respecto a Canha et al. (2025) es también diferenciable. Canha et al. articulan principios de reproducibilidad para XAI (declaración de semillas, versionado, separación de conjuntos), pero sin una secuencia de puertas con criterios explícitos de falla y admisibilidad. FOM-7 convierte esos principios en un protocolo ejecutable cuya puerta 3 </w:t>
      </w:r>
      <w:r>
        <w:lastRenderedPageBreak/>
        <w:t xml:space="preserve">(auditoría de integridad de artefactos) controla la contaminación antes de la inferencia, y cuya puerta 7 (trazabilidad de </w:t>
      </w:r>
      <w:proofErr w:type="spellStart"/>
      <w:r>
        <w:t>claims</w:t>
      </w:r>
      <w:proofErr w:type="spellEnd"/>
      <w:r>
        <w:t>) garantiza que cada afirmación publicada puede rastrearse hasta una celda del diseño factorial.</w:t>
      </w:r>
    </w:p>
    <w:p w14:paraId="6544BF4E" w14:textId="77777777" w:rsidR="00D762DD" w:rsidRDefault="00000000">
      <w:pPr>
        <w:pStyle w:val="Heading2"/>
      </w:pPr>
      <w:bookmarkStart w:id="248" w:name="sec-limitaciones"/>
      <w:bookmarkStart w:id="249" w:name="_Toc238925805"/>
      <w:bookmarkEnd w:id="245"/>
      <w:r>
        <w:t>Limitaciones del estudio</w:t>
      </w:r>
      <w:bookmarkEnd w:id="249"/>
    </w:p>
    <w:p w14:paraId="196BEE60" w14:textId="77777777" w:rsidR="00D762DD" w:rsidRDefault="00000000">
      <w:r>
        <w:t>Cuatro limitaciones deben tenerse en cuenta al interpretar los resultados y generalizar los criterios de selección.</w:t>
      </w:r>
    </w:p>
    <w:p w14:paraId="5CA4A6F3" w14:textId="77777777" w:rsidR="00D762DD" w:rsidRDefault="00000000">
      <w:pPr>
        <w:pStyle w:val="BodyText"/>
      </w:pPr>
      <w:r>
        <w:rPr>
          <w:b/>
          <w:bCs/>
        </w:rPr>
        <w:t>Universo experimental acotado.</w:t>
      </w:r>
      <w:r>
        <w:t xml:space="preserve"> El </w:t>
      </w:r>
      <w:proofErr w:type="spellStart"/>
      <w:r>
        <w:t>benchmark</w:t>
      </w:r>
      <w:proofErr w:type="spellEnd"/>
      <w:r>
        <w:t xml:space="preserve"> opera sobre el conjunto de datos UCI </w:t>
      </w:r>
      <w:proofErr w:type="spellStart"/>
      <w:r>
        <w:t>Adult</w:t>
      </w:r>
      <w:proofErr w:type="spellEnd"/>
      <w:r>
        <w:t xml:space="preserve"> </w:t>
      </w:r>
      <w:proofErr w:type="spellStart"/>
      <w:r>
        <w:t>Income</w:t>
      </w:r>
      <w:proofErr w:type="spellEnd"/>
      <w:r>
        <w:t xml:space="preserve">, que es tabular, binario y de tamaño moderado (48,842 instancias). La extensión de los hallazgos a datos de imagen, texto o series temporales requiere redefinir las operacionalizaciones de fidelidad y estabilidad, que en este </w:t>
      </w:r>
      <w:proofErr w:type="spellStart"/>
      <w:r>
        <w:t>benchmark</w:t>
      </w:r>
      <w:proofErr w:type="spellEnd"/>
      <w:r>
        <w:t xml:space="preserve"> son específicas de la estructura de características tabulares.</w:t>
      </w:r>
    </w:p>
    <w:p w14:paraId="33A59C75" w14:textId="77777777" w:rsidR="00D762DD" w:rsidRDefault="00000000">
      <w:pPr>
        <w:pStyle w:val="BodyText"/>
      </w:pPr>
      <w:r>
        <w:rPr>
          <w:b/>
          <w:bCs/>
        </w:rPr>
        <w:t>Operacionalizaciones métricas específicas.</w:t>
      </w:r>
      <w:r>
        <w:t xml:space="preserve"> Fidelidad y estabilidad se operacionalizan aquí mediante enmascaramiento de características y perturbación gaussiana, respectivamente. Otras operacionalizaciones —por ejemplo, fidelidad como ROAR (Zheng et al. 2025) o estabilidad como estimación de la constante de Lipschitz local (Canha et al. 2025)— pueden producir ordenamientos distintos, especialmente en el rango medio de los métodos (Anchors-</w:t>
      </w:r>
      <w:proofErr w:type="spellStart"/>
      <w:r>
        <w:t>DiCE</w:t>
      </w:r>
      <w:proofErr w:type="spellEnd"/>
      <w:r>
        <w:t>).</w:t>
      </w:r>
    </w:p>
    <w:p w14:paraId="737008B8" w14:textId="77777777" w:rsidR="00D762DD" w:rsidRDefault="00000000">
      <w:pPr>
        <w:pStyle w:val="BodyText"/>
      </w:pPr>
      <w:r>
        <w:rPr>
          <w:b/>
          <w:bCs/>
        </w:rPr>
        <w:t>Ausencia de evaluación human-</w:t>
      </w:r>
      <w:proofErr w:type="spellStart"/>
      <w:r>
        <w:rPr>
          <w:b/>
          <w:bCs/>
        </w:rPr>
        <w:t>centered</w:t>
      </w:r>
      <w:proofErr w:type="spellEnd"/>
      <w:r>
        <w:rPr>
          <w:b/>
          <w:bCs/>
        </w:rPr>
        <w:t>.</w:t>
      </w:r>
      <w:r>
        <w:t xml:space="preserve"> El </w:t>
      </w:r>
      <w:proofErr w:type="spellStart"/>
      <w:r>
        <w:t>benchmark</w:t>
      </w:r>
      <w:proofErr w:type="spellEnd"/>
      <w:r>
        <w:t xml:space="preserve"> es exclusivamente </w:t>
      </w:r>
      <w:proofErr w:type="spellStart"/>
      <w:r>
        <w:t>funcionally-grounded</w:t>
      </w:r>
      <w:proofErr w:type="spellEnd"/>
      <w:r>
        <w:t xml:space="preserve">. La dimensión de </w:t>
      </w:r>
      <w:proofErr w:type="spellStart"/>
      <w:r>
        <w:t>comprehensibilidad</w:t>
      </w:r>
      <w:proofErr w:type="spellEnd"/>
      <w:r>
        <w:t xml:space="preserve"> percibida, utilidad para la toma de decisiones y confianza del usuario (Bhattacharya and </w:t>
      </w:r>
      <w:proofErr w:type="spellStart"/>
      <w:r>
        <w:t>Verbert</w:t>
      </w:r>
      <w:proofErr w:type="spellEnd"/>
      <w:r>
        <w:t xml:space="preserve"> 2024) no está cubierta. La taxonomía del Capítulo 5 hace explícita esta limitación y la localiza en los ejes de fuente de evidencia y contexto de tarea, pero los criterios de selección prescriptivos derivados no incorporan preferencias de usuarios finales.</w:t>
      </w:r>
    </w:p>
    <w:p w14:paraId="2C0B8157" w14:textId="77777777" w:rsidR="00D762DD" w:rsidRDefault="00000000">
      <w:pPr>
        <w:pStyle w:val="BodyText"/>
      </w:pPr>
      <w:r>
        <w:rPr>
          <w:b/>
          <w:bCs/>
        </w:rPr>
        <w:t>Configuraciones de referencia y artefactos de diseño.</w:t>
      </w:r>
      <w:r>
        <w:t xml:space="preserve"> Los resultados son válidos bajo las configuraciones de referencia de cada método. Tres </w:t>
      </w:r>
      <w:proofErr w:type="spellStart"/>
      <w:r>
        <w:t>caveats</w:t>
      </w:r>
      <w:proofErr w:type="spellEnd"/>
      <w:r>
        <w:t xml:space="preserve"> específicos deben tenerse en cuenta al interpretar las métricas de LIME.</w:t>
      </w:r>
    </w:p>
    <w:p w14:paraId="506DC23E" w14:textId="77777777" w:rsidR="00D762DD" w:rsidRDefault="00000000">
      <w:pPr>
        <w:pStyle w:val="BodyText"/>
      </w:pPr>
      <w:r>
        <w:rPr>
          <w:i/>
          <w:iCs/>
        </w:rPr>
        <w:t>Artefacto de parsimonia.</w:t>
      </w:r>
      <w:r>
        <w:t xml:space="preserve"> El parámetro </w:t>
      </w:r>
      <w:proofErr w:type="spellStart"/>
      <w:r>
        <w:t>num_features</w:t>
      </w:r>
      <w:proofErr w:type="spellEnd"/>
      <w:r>
        <w:t xml:space="preserve"> = 10 de LIME actúa como techo rígido sobre el número de características activas devueltas. La parsimonia de LIME es, por tanto, un </w:t>
      </w:r>
      <w:r>
        <w:lastRenderedPageBreak/>
        <w:t>artefacto de configuración, no una propiedad emergente del modelo sustituto local. Las comparaciones de parsimonia con métodos sin restricción explícita deben interpretarse en este contexto.</w:t>
      </w:r>
    </w:p>
    <w:p w14:paraId="1DC1A3FC" w14:textId="77777777" w:rsidR="00D762DD" w:rsidRDefault="00000000">
      <w:pPr>
        <w:pStyle w:val="BodyText"/>
      </w:pPr>
      <w:r>
        <w:rPr>
          <w:i/>
          <w:iCs/>
        </w:rPr>
        <w:t>Alcance de la inestabilidad de LIME.</w:t>
      </w:r>
      <w:r>
        <w:t xml:space="preserve"> La inestabilidad de LIME observada en EXP2 (CV = 86.2%, similitud coseno media ≈ 0.014) fue examinada sistemáticamente variando </w:t>
      </w:r>
      <w:proofErr w:type="spellStart"/>
      <w:r>
        <w:t>num_samples</w:t>
      </w:r>
      <w:proofErr w:type="spellEnd"/>
      <w:r>
        <w:t xml:space="preserve"> ∈ {500, 1000, 2000}: la estabilidad permanece cercana a cero en todos los niveles, lo que descarta que el resultado sea un artefacto de convergencia del muestreo. La sensibilidad al ancho del </w:t>
      </w:r>
      <w:proofErr w:type="spellStart"/>
      <w:r>
        <w:t>kernel</w:t>
      </w:r>
      <w:proofErr w:type="spellEnd"/>
      <w:r>
        <w:t xml:space="preserve">, en cambio, sí es sustantiva. Un análisis a </w:t>
      </w:r>
      <w:proofErr w:type="spellStart"/>
      <w:r>
        <w:t>kernel_width</w:t>
      </w:r>
      <w:proofErr w:type="spellEnd"/>
      <w:r>
        <w:t xml:space="preserve"> ∈ {0.25, 0.75, 3.0, 10.0} muestra que los valores inferiores a 3.0 producen pesos degenerados (cero) en el espacio de características preprocesado de 103 dimensiones —de modo que 3.0 es el mínimo viable— pero que </w:t>
      </w:r>
      <w:proofErr w:type="spellStart"/>
      <w:r>
        <w:t>kernel_width</w:t>
      </w:r>
      <w:proofErr w:type="spellEnd"/>
      <w:r>
        <w:t xml:space="preserve"> = 10.0 recupera una estabilidad de 0.664 a costa de la fidelidad, que desciende de 0.518 a 0.441 (Apéndice C, </w:t>
      </w:r>
      <w:hyperlink w:anchor="tbl-appendix-lime-kw-sensitivity">
        <w:r>
          <w:rPr>
            <w:rStyle w:val="Hyperlink"/>
          </w:rPr>
          <w:t>Table 7.11</w:t>
        </w:r>
      </w:hyperlink>
      <w:r>
        <w:t xml:space="preserve">). El resultado debe enunciarse, por tanto, con su condición de producción: bajo la configuración de referencia y en el espacio de 103 dimensiones de </w:t>
      </w:r>
      <w:proofErr w:type="spellStart"/>
      <w:r>
        <w:t>Adult</w:t>
      </w:r>
      <w:proofErr w:type="spellEnd"/>
      <w:r>
        <w:t xml:space="preserve"> </w:t>
      </w:r>
      <w:proofErr w:type="spellStart"/>
      <w:r>
        <w:t>Income</w:t>
      </w:r>
      <w:proofErr w:type="spellEnd"/>
      <w:r>
        <w:t xml:space="preserve">, las explicaciones de LIME son casi ortogonales entre réplicas; no se trata de una propiedad universal del método, sino de una propiedad del par (configuración, espacio de características). La validación cruzada de EXP3 (§sec-exp3-nota) confirma esta lectura desde el otro extremo: con el mismo </w:t>
      </w:r>
      <w:proofErr w:type="spellStart"/>
      <w:r>
        <w:t>kernel_width</w:t>
      </w:r>
      <w:proofErr w:type="spellEnd"/>
      <w:r>
        <w:t xml:space="preserve"> = 3.0, LIME alcanza estabilidades de 0.748–0.927 en </w:t>
      </w:r>
      <w:proofErr w:type="spellStart"/>
      <w:r>
        <w:t>Breast</w:t>
      </w:r>
      <w:proofErr w:type="spellEnd"/>
      <w:r>
        <w:t xml:space="preserve"> </w:t>
      </w:r>
      <w:proofErr w:type="spellStart"/>
      <w:r>
        <w:t>Cancer</w:t>
      </w:r>
      <w:proofErr w:type="spellEnd"/>
      <w:r>
        <w:t xml:space="preserve"> y German Credit. La consecuencia práctica no es más débil, sino más accionable: la estabilidad de LIME no puede presuponerse a partir de la literatura ni de este </w:t>
      </w:r>
      <w:proofErr w:type="spellStart"/>
      <w:r>
        <w:t>benchmark</w:t>
      </w:r>
      <w:proofErr w:type="spellEnd"/>
      <w:r>
        <w:t>, debe medirse en el espacio de características y la configuración del despliegue concreto.</w:t>
      </w:r>
    </w:p>
    <w:p w14:paraId="28BCBDC2" w14:textId="77777777" w:rsidR="00D762DD" w:rsidRDefault="00000000">
      <w:pPr>
        <w:pStyle w:val="BodyText"/>
      </w:pPr>
      <w:r>
        <w:rPr>
          <w:i/>
          <w:iCs/>
        </w:rPr>
        <w:t>Sesgo de enmascaramiento y correlaciones de características.</w:t>
      </w:r>
      <w:r>
        <w:t xml:space="preserve"> La métrica de fidelidad enmascara características individualmente sustituyéndolas por valores de referencia medios. En el </w:t>
      </w:r>
      <w:proofErr w:type="spellStart"/>
      <w:r>
        <w:t>dataset</w:t>
      </w:r>
      <w:proofErr w:type="spellEnd"/>
      <w:r>
        <w:t xml:space="preserve"> </w:t>
      </w:r>
      <w:proofErr w:type="spellStart"/>
      <w:r>
        <w:t>Adult</w:t>
      </w:r>
      <w:proofErr w:type="spellEnd"/>
      <w:r>
        <w:t xml:space="preserve"> </w:t>
      </w:r>
      <w:proofErr w:type="spellStart"/>
      <w:r>
        <w:t>Income</w:t>
      </w:r>
      <w:proofErr w:type="spellEnd"/>
      <w:r>
        <w:t xml:space="preserve">, pares como </w:t>
      </w:r>
      <w:proofErr w:type="spellStart"/>
      <w:r>
        <w:t>education</w:t>
      </w:r>
      <w:proofErr w:type="spellEnd"/>
      <w:r>
        <w:t>/</w:t>
      </w:r>
      <w:proofErr w:type="spellStart"/>
      <w:r>
        <w:t>education-num</w:t>
      </w:r>
      <w:proofErr w:type="spellEnd"/>
      <w:r>
        <w:t xml:space="preserve"> (</w:t>
      </w:r>
      <m:oMath>
        <m:r>
          <w:rPr>
            <w:rFonts w:ascii="Cambria Math" w:hAnsi="Cambria Math"/>
          </w:rPr>
          <m:t>r</m:t>
        </m:r>
        <m:r>
          <m:rPr>
            <m:sty m:val="p"/>
          </m:rPr>
          <w:rPr>
            <w:rFonts w:ascii="Cambria Math" w:hAnsi="Cambria Math"/>
          </w:rPr>
          <m:t>=</m:t>
        </m:r>
        <m:r>
          <w:rPr>
            <w:rFonts w:ascii="Cambria Math" w:hAnsi="Cambria Math"/>
          </w:rPr>
          <m:t>1.0</m:t>
        </m:r>
      </m:oMath>
      <w:r>
        <w:t xml:space="preserve">) y occupation/education (Cramér’s </w:t>
      </w:r>
      <m:oMath>
        <m:r>
          <w:rPr>
            <w:rFonts w:ascii="Cambria Math" w:hAnsi="Cambria Math"/>
          </w:rPr>
          <m:t>V</m:t>
        </m:r>
        <m:r>
          <m:rPr>
            <m:sty m:val="p"/>
          </m:rPr>
          <w:rPr>
            <w:rFonts w:ascii="Cambria Math" w:hAnsi="Cambria Math"/>
          </w:rPr>
          <m:t>≈</m:t>
        </m:r>
        <m:r>
          <w:rPr>
            <w:rFonts w:ascii="Cambria Math" w:hAnsi="Cambria Math"/>
          </w:rPr>
          <m:t>0.34</m:t>
        </m:r>
      </m:oMath>
      <w:r>
        <w:t xml:space="preserve">) están moderadamente correlacionados. El enmascaramiento independiente de características correlacionadas genera instancias fuera de la distribución de entrenamiento, lo que puede sesgar la estimación de la importancia de características al hacer que el modelo reciba combinaciones de valores implausibles. No puede descartarse que parte de la brecha de fidelidad </w:t>
      </w:r>
      <w:r>
        <w:lastRenderedPageBreak/>
        <w:t>SHAP-LIME refleje sensibilidad diferencial a este sesgo en lugar de diferencias puras de calidad de atribución.</w:t>
      </w:r>
    </w:p>
    <w:p w14:paraId="6BC892B1" w14:textId="77777777" w:rsidR="00D762DD" w:rsidRDefault="00000000">
      <w:pPr>
        <w:pStyle w:val="Heading2"/>
      </w:pPr>
      <w:bookmarkStart w:id="250" w:name="sec-fronteras"/>
      <w:bookmarkStart w:id="251" w:name="_Toc238925806"/>
      <w:bookmarkEnd w:id="248"/>
      <w:r>
        <w:t>Fronteras de generalización</w:t>
      </w:r>
      <w:bookmarkEnd w:id="251"/>
    </w:p>
    <w:p w14:paraId="08B07AA1" w14:textId="77777777" w:rsidR="00D762DD" w:rsidRDefault="00000000">
      <w:r>
        <w:t xml:space="preserve">La claridad sobre los límites de las afirmaciones es un requisito de integridad científica. La Tabla </w:t>
      </w:r>
      <w:hyperlink w:anchor="tbl-fronteras-generalizacion">
        <w:r>
          <w:rPr>
            <w:rStyle w:val="Hyperlink"/>
          </w:rPr>
          <w:t>Table 7.4</w:t>
        </w:r>
      </w:hyperlink>
      <w:r>
        <w:t xml:space="preserve"> especifica el alcance soportado y el alcance no soportado de los hallazgos principales, junto con la evidencia que sería necesaria para extender las conclusiones.</w:t>
      </w:r>
    </w:p>
    <w:tbl>
      <w:tblPr>
        <w:tblW w:w="5000" w:type="pct"/>
        <w:tblLayout w:type="fixed"/>
        <w:tblLook w:val="0000" w:firstRow="0" w:lastRow="0" w:firstColumn="0" w:lastColumn="0" w:noHBand="0" w:noVBand="0"/>
      </w:tblPr>
      <w:tblGrid>
        <w:gridCol w:w="9576"/>
      </w:tblGrid>
      <w:tr w:rsidR="00D762DD" w14:paraId="2103AEE8" w14:textId="77777777">
        <w:tc>
          <w:tcPr>
            <w:tcW w:w="7920" w:type="dxa"/>
          </w:tcPr>
          <w:p w14:paraId="755D1C5F" w14:textId="77777777" w:rsidR="00D762DD" w:rsidRDefault="00000000">
            <w:pPr>
              <w:spacing w:before="200"/>
              <w:jc w:val="left"/>
            </w:pPr>
            <w:bookmarkStart w:id="252" w:name="tbl-fronteras-generalizacion"/>
            <w:r>
              <w:t>Table 7.4: Fronteras de generalización de los hallazgos principales.</w:t>
            </w:r>
          </w:p>
          <w:tbl>
            <w:tblPr>
              <w:tblW w:w="5000" w:type="pct"/>
              <w:tblLayout w:type="fixed"/>
              <w:tblLook w:val="0020" w:firstRow="1" w:lastRow="0" w:firstColumn="0" w:lastColumn="0" w:noHBand="0" w:noVBand="0"/>
            </w:tblPr>
            <w:tblGrid>
              <w:gridCol w:w="2340"/>
              <w:gridCol w:w="2340"/>
              <w:gridCol w:w="2340"/>
              <w:gridCol w:w="2340"/>
            </w:tblGrid>
            <w:tr w:rsidR="00D762DD" w14:paraId="44D2AB0E" w14:textId="77777777">
              <w:trPr>
                <w:tblHeader/>
              </w:trPr>
              <w:tc>
                <w:tcPr>
                  <w:tcW w:w="1980" w:type="dxa"/>
                </w:tcPr>
                <w:p w14:paraId="101656F6" w14:textId="77777777" w:rsidR="00D762DD" w:rsidRPr="00442EA4" w:rsidRDefault="00000000">
                  <w:pPr>
                    <w:jc w:val="center"/>
                    <w:rPr>
                      <w:b/>
                      <w:bCs/>
                    </w:rPr>
                  </w:pPr>
                  <w:r w:rsidRPr="00442EA4">
                    <w:rPr>
                      <w:b/>
                      <w:bCs/>
                    </w:rPr>
                    <w:t>Afirmación</w:t>
                  </w:r>
                </w:p>
              </w:tc>
              <w:tc>
                <w:tcPr>
                  <w:tcW w:w="1980" w:type="dxa"/>
                </w:tcPr>
                <w:p w14:paraId="4412C4F4" w14:textId="77777777" w:rsidR="00D762DD" w:rsidRPr="00442EA4" w:rsidRDefault="00000000">
                  <w:pPr>
                    <w:jc w:val="center"/>
                    <w:rPr>
                      <w:b/>
                      <w:bCs/>
                    </w:rPr>
                  </w:pPr>
                  <w:r w:rsidRPr="00442EA4">
                    <w:rPr>
                      <w:b/>
                      <w:bCs/>
                    </w:rPr>
                    <w:t>Soportada para</w:t>
                  </w:r>
                </w:p>
              </w:tc>
              <w:tc>
                <w:tcPr>
                  <w:tcW w:w="1980" w:type="dxa"/>
                </w:tcPr>
                <w:p w14:paraId="1F1A9737" w14:textId="77777777" w:rsidR="00D762DD" w:rsidRPr="00442EA4" w:rsidRDefault="00000000">
                  <w:pPr>
                    <w:jc w:val="center"/>
                    <w:rPr>
                      <w:b/>
                      <w:bCs/>
                    </w:rPr>
                  </w:pPr>
                  <w:r w:rsidRPr="00442EA4">
                    <w:rPr>
                      <w:b/>
                      <w:bCs/>
                    </w:rPr>
                    <w:t>No soportada para</w:t>
                  </w:r>
                </w:p>
              </w:tc>
              <w:tc>
                <w:tcPr>
                  <w:tcW w:w="1980" w:type="dxa"/>
                </w:tcPr>
                <w:p w14:paraId="5A27D2E6" w14:textId="77777777" w:rsidR="00D762DD" w:rsidRPr="00442EA4" w:rsidRDefault="00000000">
                  <w:pPr>
                    <w:jc w:val="center"/>
                    <w:rPr>
                      <w:b/>
                      <w:bCs/>
                    </w:rPr>
                  </w:pPr>
                  <w:r w:rsidRPr="00442EA4">
                    <w:rPr>
                      <w:b/>
                      <w:bCs/>
                    </w:rPr>
                    <w:t>Validación futura requerida</w:t>
                  </w:r>
                </w:p>
              </w:tc>
            </w:tr>
            <w:tr w:rsidR="00D762DD" w14:paraId="1D969CF5" w14:textId="77777777">
              <w:tc>
                <w:tcPr>
                  <w:tcW w:w="1980" w:type="dxa"/>
                </w:tcPr>
                <w:p w14:paraId="60F90855" w14:textId="77777777" w:rsidR="00D762DD" w:rsidRDefault="00000000">
                  <w:pPr>
                    <w:jc w:val="center"/>
                  </w:pPr>
                  <w:r>
                    <w:t xml:space="preserve">SHAP supera a LIME en fidelidad (efecto muy grande, </w:t>
                  </w:r>
                  <m:oMath>
                    <m:sSub>
                      <m:sSubPr>
                        <m:ctrlPr>
                          <w:rPr>
                            <w:rFonts w:ascii="Cambria Math" w:hAnsi="Cambria Math"/>
                          </w:rPr>
                        </m:ctrlPr>
                      </m:sSubPr>
                      <m:e>
                        <m:r>
                          <w:rPr>
                            <w:rFonts w:ascii="Cambria Math" w:hAnsi="Cambria Math"/>
                          </w:rPr>
                          <m:t>d</m:t>
                        </m:r>
                      </m:e>
                      <m:sub>
                        <m:r>
                          <w:rPr>
                            <w:rFonts w:ascii="Cambria Math" w:hAnsi="Cambria Math"/>
                          </w:rPr>
                          <m:t>z</m:t>
                        </m:r>
                      </m:sub>
                    </m:sSub>
                    <m:r>
                      <m:rPr>
                        <m:sty m:val="p"/>
                      </m:rPr>
                      <w:rPr>
                        <w:rFonts w:ascii="Cambria Math" w:hAnsi="Cambria Math"/>
                      </w:rPr>
                      <m:t>=</m:t>
                    </m:r>
                    <m:r>
                      <w:rPr>
                        <w:rFonts w:ascii="Cambria Math" w:hAnsi="Cambria Math"/>
                      </w:rPr>
                      <m:t>4.82</m:t>
                    </m:r>
                  </m:oMath>
                  <w:r>
                    <w:t>)</w:t>
                  </w:r>
                </w:p>
              </w:tc>
              <w:tc>
                <w:tcPr>
                  <w:tcW w:w="1980" w:type="dxa"/>
                </w:tcPr>
                <w:p w14:paraId="4CC19353" w14:textId="77777777" w:rsidR="00D762DD" w:rsidRDefault="00000000">
                  <w:pPr>
                    <w:jc w:val="center"/>
                  </w:pPr>
                  <w:r>
                    <w:t xml:space="preserve">UCI </w:t>
                  </w:r>
                  <w:proofErr w:type="spellStart"/>
                  <w:r>
                    <w:t>Adult</w:t>
                  </w:r>
                  <w:proofErr w:type="spellEnd"/>
                  <w:r>
                    <w:t xml:space="preserve"> </w:t>
                  </w:r>
                  <w:proofErr w:type="spellStart"/>
                  <w:r>
                    <w:t>Income</w:t>
                  </w:r>
                  <w:proofErr w:type="spellEnd"/>
                  <w:r>
                    <w:t>; clasificación tabular binaria; cinco modelos ML convencionales; métricas de fidelidad por enmascaramiento de características</w:t>
                  </w:r>
                </w:p>
              </w:tc>
              <w:tc>
                <w:tcPr>
                  <w:tcW w:w="1980" w:type="dxa"/>
                </w:tcPr>
                <w:p w14:paraId="393DA6F4" w14:textId="77777777" w:rsidR="00D762DD" w:rsidRDefault="00000000">
                  <w:pPr>
                    <w:jc w:val="center"/>
                  </w:pPr>
                  <w:r>
                    <w:t xml:space="preserve">Dominios de imagen, texto, series temporales; </w:t>
                  </w:r>
                  <w:proofErr w:type="spellStart"/>
                  <w:r>
                    <w:t>datasets</w:t>
                  </w:r>
                  <w:proofErr w:type="spellEnd"/>
                  <w:r>
                    <w:t xml:space="preserve"> tabulares adicionales para la comparación específica SHAP-LIME; otras operacionalizaciones de fidelidad (ROAR, </w:t>
                  </w:r>
                  <w:proofErr w:type="gramStart"/>
                  <w:r>
                    <w:t>pixel</w:t>
                  </w:r>
                  <w:proofErr w:type="gramEnd"/>
                  <w:r>
                    <w:t>-</w:t>
                  </w:r>
                  <w:proofErr w:type="spellStart"/>
                  <w:r>
                    <w:t>flipping</w:t>
                  </w:r>
                  <w:proofErr w:type="spellEnd"/>
                  <w:r>
                    <w:t>)</w:t>
                  </w:r>
                </w:p>
              </w:tc>
              <w:tc>
                <w:tcPr>
                  <w:tcW w:w="1980" w:type="dxa"/>
                </w:tcPr>
                <w:p w14:paraId="0D3AA347" w14:textId="77777777" w:rsidR="00D762DD" w:rsidRDefault="00000000">
                  <w:pPr>
                    <w:jc w:val="center"/>
                  </w:pPr>
                  <w:r>
                    <w:rPr>
                      <w:b/>
                      <w:bCs/>
                    </w:rPr>
                    <w:t>Validación parcial completada (EXP3):</w:t>
                  </w:r>
                  <w:r>
                    <w:t xml:space="preserve"> el ordenamiento SHAP </w:t>
                  </w:r>
                  <m:oMath>
                    <m:r>
                      <m:rPr>
                        <m:sty m:val="p"/>
                      </m:rPr>
                      <w:rPr>
                        <w:rFonts w:ascii="Cambria Math" w:hAnsi="Cambria Math"/>
                      </w:rPr>
                      <m:t>&gt;</m:t>
                    </m:r>
                  </m:oMath>
                  <w:r>
                    <w:t xml:space="preserve"> Anchors en fidelidad fue replicado en </w:t>
                  </w:r>
                  <w:proofErr w:type="spellStart"/>
                  <w:r>
                    <w:t>Breast</w:t>
                  </w:r>
                  <w:proofErr w:type="spellEnd"/>
                  <w:r>
                    <w:t xml:space="preserve"> </w:t>
                  </w:r>
                  <w:proofErr w:type="spellStart"/>
                  <w:r>
                    <w:t>Cancer</w:t>
                  </w:r>
                  <w:proofErr w:type="spellEnd"/>
                  <w:r>
                    <w:t xml:space="preserve"> Wisconsin y German Credit (12/12 combinaciones pareadas; véase §sec-exp3-nota). La extensión posterior incorporó LIME en esos dos </w:t>
                  </w:r>
                  <w:proofErr w:type="spellStart"/>
                  <w:r>
                    <w:t>datasets</w:t>
                  </w:r>
                  <w:proofErr w:type="spellEnd"/>
                  <w:r>
                    <w:t xml:space="preserve">, pero no instrumentó estabilidad de SHAP; por tanto, el contraste pareado SHAP-LIME </w:t>
                  </w:r>
                  <w:r>
                    <w:lastRenderedPageBreak/>
                    <w:t xml:space="preserve">completo fuera de </w:t>
                  </w:r>
                  <w:proofErr w:type="spellStart"/>
                  <w:r>
                    <w:t>Adult</w:t>
                  </w:r>
                  <w:proofErr w:type="spellEnd"/>
                  <w:r>
                    <w:t xml:space="preserve"> permanece pendiente.</w:t>
                  </w:r>
                </w:p>
              </w:tc>
            </w:tr>
            <w:tr w:rsidR="00D762DD" w14:paraId="7869908B" w14:textId="77777777">
              <w:tc>
                <w:tcPr>
                  <w:tcW w:w="1980" w:type="dxa"/>
                </w:tcPr>
                <w:p w14:paraId="36102564" w14:textId="77777777" w:rsidR="00D762DD" w:rsidRDefault="00000000">
                  <w:pPr>
                    <w:jc w:val="center"/>
                  </w:pPr>
                  <w:r>
                    <w:lastRenderedPageBreak/>
                    <w:t>La inestabilidad de LIME es casi total en la condición medida (CV=86%, media≈0.014)</w:t>
                  </w:r>
                </w:p>
              </w:tc>
              <w:tc>
                <w:tcPr>
                  <w:tcW w:w="1980" w:type="dxa"/>
                </w:tcPr>
                <w:p w14:paraId="2477449F" w14:textId="77777777" w:rsidR="00D762DD" w:rsidRDefault="00000000">
                  <w:pPr>
                    <w:jc w:val="center"/>
                  </w:pPr>
                  <w:r>
                    <w:t xml:space="preserve">UCI </w:t>
                  </w:r>
                  <w:proofErr w:type="spellStart"/>
                  <w:r>
                    <w:t>Adult</w:t>
                  </w:r>
                  <w:proofErr w:type="spellEnd"/>
                  <w:r>
                    <w:t xml:space="preserve"> </w:t>
                  </w:r>
                  <w:proofErr w:type="spellStart"/>
                  <w:r>
                    <w:t>Income</w:t>
                  </w:r>
                  <w:proofErr w:type="spellEnd"/>
                  <w:r>
                    <w:t xml:space="preserve">; espacio preprocesado de 103 dimensiones predominantemente binario; estabilidad definida como similitud coseno bajo perturbación gaussiana; configuración </w:t>
                  </w:r>
                  <w:proofErr w:type="spellStart"/>
                  <w:r>
                    <w:t>num_samples</w:t>
                  </w:r>
                  <w:proofErr w:type="spellEnd"/>
                  <w:r>
                    <w:t xml:space="preserve">=1000, </w:t>
                  </w:r>
                  <w:proofErr w:type="spellStart"/>
                  <w:r>
                    <w:t>kernel_width</w:t>
                  </w:r>
                  <w:proofErr w:type="spellEnd"/>
                  <w:r>
                    <w:t>=3.0</w:t>
                  </w:r>
                </w:p>
              </w:tc>
              <w:tc>
                <w:tcPr>
                  <w:tcW w:w="1980" w:type="dxa"/>
                </w:tcPr>
                <w:p w14:paraId="0E9052B1" w14:textId="77777777" w:rsidR="00D762DD" w:rsidRDefault="00000000">
                  <w:pPr>
                    <w:jc w:val="center"/>
                  </w:pPr>
                  <w:r>
                    <w:t xml:space="preserve">Otros espacios de características o </w:t>
                  </w:r>
                  <w:proofErr w:type="spellStart"/>
                  <w:r>
                    <w:t>datasets</w:t>
                  </w:r>
                  <w:proofErr w:type="spellEnd"/>
                  <w:r>
                    <w:t xml:space="preserve"> —§sec-exp3-nota mide 0.748–0.927 en </w:t>
                  </w:r>
                  <w:proofErr w:type="spellStart"/>
                  <w:r>
                    <w:t>Breast</w:t>
                  </w:r>
                  <w:proofErr w:type="spellEnd"/>
                  <w:r>
                    <w:t xml:space="preserve"> </w:t>
                  </w:r>
                  <w:proofErr w:type="spellStart"/>
                  <w:r>
                    <w:t>Cancer</w:t>
                  </w:r>
                  <w:proofErr w:type="spellEnd"/>
                  <w:r>
                    <w:t xml:space="preserve"> y German Credit bajo la misma configuración—; otros anchos de </w:t>
                  </w:r>
                  <w:proofErr w:type="spellStart"/>
                  <w:r>
                    <w:t>kernel</w:t>
                  </w:r>
                  <w:proofErr w:type="spellEnd"/>
                  <w:r>
                    <w:t xml:space="preserve"> (</w:t>
                  </w:r>
                  <w:proofErr w:type="spellStart"/>
                  <w:r>
                    <w:t>kernel_width</w:t>
                  </w:r>
                  <w:proofErr w:type="spellEnd"/>
                  <w:r>
                    <w:t>=10.0 produce 0.664, Apéndice C); otras definiciones de estabilidad (distancia Lipschitz local, varianza de pesos)</w:t>
                  </w:r>
                </w:p>
              </w:tc>
              <w:tc>
                <w:tcPr>
                  <w:tcW w:w="1980" w:type="dxa"/>
                </w:tcPr>
                <w:p w14:paraId="51C11C5A" w14:textId="77777777" w:rsidR="00D762DD" w:rsidRDefault="00000000">
                  <w:pPr>
                    <w:jc w:val="center"/>
                  </w:pPr>
                  <w:r>
                    <w:t xml:space="preserve">Interacción entre </w:t>
                  </w:r>
                  <w:proofErr w:type="spellStart"/>
                  <w:r>
                    <w:t>kernel_width</w:t>
                  </w:r>
                  <w:proofErr w:type="spellEnd"/>
                  <w:r>
                    <w:t xml:space="preserve"> y la dimensionalidad del espacio de características; estabilidad bajo esquemas de perturbación no gaussianos; instrumentación de la estabilidad de SHAP en los </w:t>
                  </w:r>
                  <w:proofErr w:type="spellStart"/>
                  <w:r>
                    <w:t>datasets</w:t>
                  </w:r>
                  <w:proofErr w:type="spellEnd"/>
                  <w:r>
                    <w:t xml:space="preserve"> de EXP3 para obtener el contraste pareado completo</w:t>
                  </w:r>
                </w:p>
              </w:tc>
            </w:tr>
            <w:tr w:rsidR="00D762DD" w14:paraId="3B03998B" w14:textId="77777777">
              <w:tc>
                <w:tcPr>
                  <w:tcW w:w="1980" w:type="dxa"/>
                </w:tcPr>
                <w:p w14:paraId="04DB1B43" w14:textId="77777777" w:rsidR="00D762DD" w:rsidRDefault="00000000">
                  <w:pPr>
                    <w:jc w:val="center"/>
                  </w:pPr>
                  <w:r>
                    <w:t>FOM-7 produce resultados reproducibles (CV&lt;3% en fidelidad en el subgrupo replicado RF/</w:t>
                  </w:r>
                  <m:oMath>
                    <m:r>
                      <w:rPr>
                        <w:rFonts w:ascii="Cambria Math" w:hAnsi="Cambria Math"/>
                      </w:rPr>
                      <m:t>N</m:t>
                    </m:r>
                    <m:r>
                      <m:rPr>
                        <m:sty m:val="p"/>
                      </m:rPr>
                      <w:rPr>
                        <w:rFonts w:ascii="Cambria Math" w:hAnsi="Cambria Math"/>
                      </w:rPr>
                      <m:t>=</m:t>
                    </m:r>
                    <m:r>
                      <w:rPr>
                        <w:rFonts w:ascii="Cambria Math" w:hAnsi="Cambria Math"/>
                      </w:rPr>
                      <m:t>100</m:t>
                    </m:r>
                  </m:oMath>
                  <w:r>
                    <w:t xml:space="preserve">; CV agrupado 11.4% SHAP y </w:t>
                  </w:r>
                  <w:r>
                    <w:lastRenderedPageBreak/>
                    <w:t>12.0% LIME sobre el conjunto completo, frente al umbral del 15% de P1)</w:t>
                  </w:r>
                </w:p>
              </w:tc>
              <w:tc>
                <w:tcPr>
                  <w:tcW w:w="1980" w:type="dxa"/>
                </w:tcPr>
                <w:p w14:paraId="64B18911" w14:textId="77777777" w:rsidR="00D762DD" w:rsidRDefault="00000000">
                  <w:pPr>
                    <w:jc w:val="center"/>
                  </w:pPr>
                  <w:r>
                    <w:lastRenderedPageBreak/>
                    <w:t>Entorno controlado; cinco semillas definidas; modelos congelados en EXP1</w:t>
                  </w:r>
                </w:p>
              </w:tc>
              <w:tc>
                <w:tcPr>
                  <w:tcW w:w="1980" w:type="dxa"/>
                </w:tcPr>
                <w:p w14:paraId="09E44611" w14:textId="77777777" w:rsidR="00D762DD" w:rsidRDefault="00000000">
                  <w:pPr>
                    <w:jc w:val="center"/>
                  </w:pPr>
                  <w:r>
                    <w:t xml:space="preserve">Otros entornos computacionales sin control de recursos; modelos </w:t>
                  </w:r>
                  <w:proofErr w:type="spellStart"/>
                  <w:r>
                    <w:t>re-entrenados</w:t>
                  </w:r>
                  <w:proofErr w:type="spellEnd"/>
                  <w:r>
                    <w:t xml:space="preserve"> entre ejecuciones; </w:t>
                  </w:r>
                  <w:proofErr w:type="spellStart"/>
                  <w:r>
                    <w:t>datasets</w:t>
                  </w:r>
                  <w:proofErr w:type="spellEnd"/>
                  <w:r>
                    <w:t xml:space="preserve"> con alta varianza de instancias</w:t>
                  </w:r>
                </w:p>
              </w:tc>
              <w:tc>
                <w:tcPr>
                  <w:tcW w:w="1980" w:type="dxa"/>
                </w:tcPr>
                <w:p w14:paraId="1560BB71" w14:textId="77777777" w:rsidR="00D762DD" w:rsidRDefault="00000000">
                  <w:pPr>
                    <w:jc w:val="center"/>
                  </w:pPr>
                  <w:r>
                    <w:t xml:space="preserve">Replicación independiente con infraestructura distinta; publicación de resultados en </w:t>
                  </w:r>
                  <w:proofErr w:type="spellStart"/>
                  <w:r>
                    <w:t>Zenodo</w:t>
                  </w:r>
                  <w:proofErr w:type="spellEnd"/>
                  <w:r>
                    <w:t xml:space="preserve"> con instrucciones verificadas</w:t>
                  </w:r>
                </w:p>
              </w:tc>
            </w:tr>
            <w:tr w:rsidR="00D762DD" w14:paraId="1208CA21" w14:textId="77777777">
              <w:tc>
                <w:tcPr>
                  <w:tcW w:w="1980" w:type="dxa"/>
                </w:tcPr>
                <w:p w14:paraId="14264BE1" w14:textId="77777777" w:rsidR="00D762DD" w:rsidRDefault="00000000">
                  <w:pPr>
                    <w:jc w:val="center"/>
                  </w:pPr>
                  <w:r>
                    <w:t>Los criterios prescriptivos de selección son válidos (Contextos A-D)</w:t>
                  </w:r>
                </w:p>
              </w:tc>
              <w:tc>
                <w:tcPr>
                  <w:tcW w:w="1980" w:type="dxa"/>
                </w:tcPr>
                <w:p w14:paraId="1C39BD2C" w14:textId="77777777" w:rsidR="00D762DD" w:rsidRDefault="00000000">
                  <w:pPr>
                    <w:jc w:val="center"/>
                  </w:pPr>
                  <w:r>
                    <w:t xml:space="preserve">Condiciones del </w:t>
                  </w:r>
                  <w:proofErr w:type="spellStart"/>
                  <w:r>
                    <w:t>benchmark</w:t>
                  </w:r>
                  <w:proofErr w:type="spellEnd"/>
                  <w:r>
                    <w:t xml:space="preserve"> descritas; modelos y métricas definidas</w:t>
                  </w:r>
                </w:p>
              </w:tc>
              <w:tc>
                <w:tcPr>
                  <w:tcW w:w="1980" w:type="dxa"/>
                </w:tcPr>
                <w:p w14:paraId="6E1B10EE" w14:textId="77777777" w:rsidR="00D762DD" w:rsidRDefault="00000000">
                  <w:pPr>
                    <w:jc w:val="center"/>
                  </w:pPr>
                  <w:r>
                    <w:t xml:space="preserve">Dominios regulados con restricciones normativas propias; preferencias de usuarios finales; criterios de </w:t>
                  </w:r>
                  <w:proofErr w:type="spellStart"/>
                  <w:r>
                    <w:t>comprehensibilidad</w:t>
                  </w:r>
                  <w:proofErr w:type="spellEnd"/>
                </w:p>
              </w:tc>
              <w:tc>
                <w:tcPr>
                  <w:tcW w:w="1980" w:type="dxa"/>
                </w:tcPr>
                <w:p w14:paraId="1F657366" w14:textId="77777777" w:rsidR="00D762DD" w:rsidRDefault="00000000">
                  <w:pPr>
                    <w:jc w:val="center"/>
                  </w:pPr>
                  <w:r>
                    <w:t>Estudios human-</w:t>
                  </w:r>
                  <w:proofErr w:type="spellStart"/>
                  <w:r>
                    <w:t>centered</w:t>
                  </w:r>
                  <w:proofErr w:type="spellEnd"/>
                  <w:r>
                    <w:t xml:space="preserve"> en dominios específicos (crédito, salud, justicia) con usuarios expertos</w:t>
                  </w:r>
                </w:p>
              </w:tc>
            </w:tr>
            <w:tr w:rsidR="00D762DD" w14:paraId="3EEE4392" w14:textId="77777777">
              <w:tc>
                <w:tcPr>
                  <w:tcW w:w="1980" w:type="dxa"/>
                </w:tcPr>
                <w:p w14:paraId="763EFEB2" w14:textId="77777777" w:rsidR="00D762DD" w:rsidRDefault="00000000">
                  <w:pPr>
                    <w:jc w:val="center"/>
                  </w:pPr>
                  <w:proofErr w:type="spellStart"/>
                  <w:r>
                    <w:t>DiCE</w:t>
                  </w:r>
                  <w:proofErr w:type="spellEnd"/>
                  <w:r>
                    <w:t xml:space="preserve"> es preferible para </w:t>
                  </w:r>
                  <w:proofErr w:type="spellStart"/>
                  <w:r>
                    <w:t>recourse</w:t>
                  </w:r>
                  <w:proofErr w:type="spellEnd"/>
                  <w:r>
                    <w:t xml:space="preserve"> sobre otros métodos</w:t>
                  </w:r>
                </w:p>
              </w:tc>
              <w:tc>
                <w:tcPr>
                  <w:tcW w:w="1980" w:type="dxa"/>
                </w:tcPr>
                <w:p w14:paraId="69BDE108" w14:textId="77777777" w:rsidR="00D762DD" w:rsidRDefault="00000000">
                  <w:pPr>
                    <w:jc w:val="center"/>
                  </w:pPr>
                  <w:r>
                    <w:t xml:space="preserve">Objetivo de cambio de predicción; </w:t>
                  </w:r>
                  <w:proofErr w:type="spellStart"/>
                  <w:r>
                    <w:t>dataset</w:t>
                  </w:r>
                  <w:proofErr w:type="spellEnd"/>
                  <w:r>
                    <w:t xml:space="preserve"> </w:t>
                  </w:r>
                  <w:proofErr w:type="spellStart"/>
                  <w:r>
                    <w:t>Adult</w:t>
                  </w:r>
                  <w:proofErr w:type="spellEnd"/>
                  <w:r>
                    <w:t xml:space="preserve"> </w:t>
                  </w:r>
                  <w:proofErr w:type="spellStart"/>
                  <w:r>
                    <w:t>Income</w:t>
                  </w:r>
                  <w:proofErr w:type="spellEnd"/>
                </w:p>
              </w:tc>
              <w:tc>
                <w:tcPr>
                  <w:tcW w:w="1980" w:type="dxa"/>
                </w:tcPr>
                <w:p w14:paraId="346EDF2D" w14:textId="77777777" w:rsidR="00D762DD" w:rsidRDefault="00000000">
                  <w:pPr>
                    <w:jc w:val="center"/>
                  </w:pPr>
                  <w:r>
                    <w:t xml:space="preserve">Entornos con restricciones de factibilidad semántica; dominios donde la </w:t>
                  </w:r>
                  <w:proofErr w:type="spellStart"/>
                  <w:r>
                    <w:t>accionabilidad</w:t>
                  </w:r>
                  <w:proofErr w:type="spellEnd"/>
                  <w:r>
                    <w:t xml:space="preserve"> requiere validación causal</w:t>
                  </w:r>
                </w:p>
              </w:tc>
              <w:tc>
                <w:tcPr>
                  <w:tcW w:w="1980" w:type="dxa"/>
                </w:tcPr>
                <w:p w14:paraId="1C749113" w14:textId="77777777" w:rsidR="00D762DD" w:rsidRDefault="00000000">
                  <w:pPr>
                    <w:jc w:val="center"/>
                  </w:pPr>
                  <w:r>
                    <w:t>Evaluación de contrafactuales bajo restricciones de dominio reales con expertos</w:t>
                  </w:r>
                </w:p>
              </w:tc>
            </w:tr>
            <w:tr w:rsidR="00D762DD" w14:paraId="294BDB15" w14:textId="77777777">
              <w:tc>
                <w:tcPr>
                  <w:tcW w:w="1980" w:type="dxa"/>
                </w:tcPr>
                <w:p w14:paraId="55A2FE52" w14:textId="77777777" w:rsidR="00D762DD" w:rsidRDefault="00000000">
                  <w:pPr>
                    <w:jc w:val="center"/>
                  </w:pPr>
                  <w:r>
                    <w:t>La taxonomía de cuatro ejes organiza el espacio de métricas XAI</w:t>
                  </w:r>
                </w:p>
              </w:tc>
              <w:tc>
                <w:tcPr>
                  <w:tcW w:w="1980" w:type="dxa"/>
                </w:tcPr>
                <w:p w14:paraId="69037829" w14:textId="77777777" w:rsidR="00D762DD" w:rsidRDefault="00000000">
                  <w:pPr>
                    <w:jc w:val="center"/>
                  </w:pPr>
                  <w:r>
                    <w:t>Las 15 métricas catalogadas en la matriz taxonómica; literatura revisada en el corpus de construcción</w:t>
                  </w:r>
                </w:p>
              </w:tc>
              <w:tc>
                <w:tcPr>
                  <w:tcW w:w="1980" w:type="dxa"/>
                </w:tcPr>
                <w:p w14:paraId="4525BE12" w14:textId="77777777" w:rsidR="00D762DD" w:rsidRDefault="00000000">
                  <w:pPr>
                    <w:jc w:val="center"/>
                  </w:pPr>
                  <w:r>
                    <w:t>Métricas emergentes no revisadas; métricas específicas de dominio (XAI médica, XAI legal) con propiedades propias</w:t>
                  </w:r>
                </w:p>
              </w:tc>
              <w:tc>
                <w:tcPr>
                  <w:tcW w:w="1980" w:type="dxa"/>
                </w:tcPr>
                <w:p w14:paraId="53F99812" w14:textId="77777777" w:rsidR="00D762DD" w:rsidRDefault="00000000">
                  <w:pPr>
                    <w:jc w:val="center"/>
                  </w:pPr>
                  <w:r>
                    <w:t>Extensión del corpus de revisión; validación por expertos de dominio</w:t>
                  </w:r>
                </w:p>
              </w:tc>
            </w:tr>
            <w:bookmarkEnd w:id="252"/>
          </w:tbl>
          <w:p w14:paraId="5E2087B9" w14:textId="77777777" w:rsidR="00D762DD" w:rsidRDefault="00D762DD"/>
        </w:tc>
      </w:tr>
    </w:tbl>
    <w:p w14:paraId="2559C6EF" w14:textId="77777777" w:rsidR="00D762DD" w:rsidRDefault="00000000">
      <w:pPr>
        <w:pStyle w:val="BodyText"/>
      </w:pPr>
      <w:r>
        <w:lastRenderedPageBreak/>
        <w:t xml:space="preserve">Esta tabla cumple la función de convertir las limitaciones del estudio en información científica estructurada. Al especificar qué evidencia sería necesaria para extender cada afirmación, la tesis no solo reconoce sus </w:t>
      </w:r>
      <w:proofErr w:type="gramStart"/>
      <w:r>
        <w:t>límites</w:t>
      </w:r>
      <w:proofErr w:type="gramEnd"/>
      <w:r>
        <w:t xml:space="preserve"> sino que define la agenda de investigación de la manera más útil para investigadores que deseen construir sobre estos resultados.</w:t>
      </w:r>
    </w:p>
    <w:p w14:paraId="003191B3" w14:textId="77777777" w:rsidR="00D762DD" w:rsidRDefault="00000000">
      <w:pPr>
        <w:pStyle w:val="Heading3"/>
      </w:pPr>
      <w:bookmarkStart w:id="253" w:name="sec-exp3-nota"/>
      <w:bookmarkStart w:id="254" w:name="_Toc238925807"/>
      <w:r>
        <w:t>Nota sobre la validación externa parcial: EXP3</w:t>
      </w:r>
      <w:bookmarkEnd w:id="254"/>
    </w:p>
    <w:p w14:paraId="08AF2F76" w14:textId="77777777" w:rsidR="00D762DD" w:rsidRDefault="00000000">
      <w:r>
        <w:t xml:space="preserve">Durante el desarrollo de esta línea de investigación se completó una validación externa parcial del ordenamiento de fidelidad (EXP3). El estudio comparó SHAP frente a Anchors en dos </w:t>
      </w:r>
      <w:proofErr w:type="spellStart"/>
      <w:r>
        <w:t>datasets</w:t>
      </w:r>
      <w:proofErr w:type="spellEnd"/>
      <w:r>
        <w:t xml:space="preserve"> tabulares binarios adicionales: </w:t>
      </w:r>
      <w:proofErr w:type="spellStart"/>
      <w:r>
        <w:t>Breast</w:t>
      </w:r>
      <w:proofErr w:type="spellEnd"/>
      <w:r>
        <w:t xml:space="preserve"> </w:t>
      </w:r>
      <w:proofErr w:type="spellStart"/>
      <w:r>
        <w:t>Cancer</w:t>
      </w:r>
      <w:proofErr w:type="spellEnd"/>
      <w:r>
        <w:t xml:space="preserve"> Wisconsin (</w:t>
      </w:r>
      <m:oMath>
        <m:r>
          <w:rPr>
            <w:rFonts w:ascii="Cambria Math" w:hAnsi="Cambria Math"/>
          </w:rPr>
          <m:t>n</m:t>
        </m:r>
        <m:r>
          <m:rPr>
            <m:sty m:val="p"/>
          </m:rPr>
          <w:rPr>
            <w:rFonts w:ascii="Cambria Math" w:hAnsi="Cambria Math"/>
          </w:rPr>
          <m:t>=</m:t>
        </m:r>
        <m:r>
          <w:rPr>
            <w:rFonts w:ascii="Cambria Math" w:hAnsi="Cambria Math"/>
          </w:rPr>
          <m:t>569</m:t>
        </m:r>
      </m:oMath>
      <w:r>
        <w:t>, 30 características, Dua and Graff 2019) y German Credit (</w:t>
      </w:r>
      <m:oMath>
        <m:r>
          <w:rPr>
            <w:rFonts w:ascii="Cambria Math" w:hAnsi="Cambria Math"/>
          </w:rPr>
          <m:t>n</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000</m:t>
        </m:r>
      </m:oMath>
      <w:r>
        <w:t>, 20 características, Dua and Graff 2019), empleando los modelos Random Forest y XGBoost con tres semillas por combinación (</w:t>
      </w:r>
      <m:oMath>
        <m:r>
          <w:rPr>
            <w:rFonts w:ascii="Cambria Math" w:hAnsi="Cambria Math"/>
          </w:rPr>
          <m:t>3</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12</m:t>
        </m:r>
      </m:oMath>
      <w:r>
        <w:t xml:space="preserve"> comparaciones pareadas por dataset </w:t>
      </w:r>
      <m:oMath>
        <m:r>
          <m:rPr>
            <m:sty m:val="p"/>
          </m:rPr>
          <w:rPr>
            <w:rFonts w:ascii="Cambria Math" w:hAnsi="Cambria Math"/>
          </w:rPr>
          <m:t>×</m:t>
        </m:r>
      </m:oMath>
      <w:r>
        <w:t xml:space="preserve"> modelo </w:t>
      </w:r>
      <m:oMath>
        <m:r>
          <m:rPr>
            <m:sty m:val="p"/>
          </m:rPr>
          <w:rPr>
            <w:rFonts w:ascii="Cambria Math" w:hAnsi="Cambria Math"/>
          </w:rPr>
          <m:t>×</m:t>
        </m:r>
      </m:oMath>
      <w:r>
        <w:t xml:space="preserve"> semilla). SHAP superó a Anchors en fidelidad en las 12 combinaciones, con brechas medias de </w:t>
      </w:r>
      <m:oMath>
        <m:r>
          <m:rPr>
            <m:sty m:val="p"/>
          </m:rPr>
          <w:rPr>
            <w:rFonts w:ascii="Cambria Math" w:hAnsi="Cambria Math"/>
          </w:rPr>
          <m:t>+</m:t>
        </m:r>
        <m:r>
          <w:rPr>
            <w:rFonts w:ascii="Cambria Math" w:hAnsi="Cambria Math"/>
          </w:rPr>
          <m:t>0.26</m:t>
        </m:r>
      </m:oMath>
      <w:r>
        <w:t xml:space="preserve"> (German Credit, XGB) a </w:t>
      </w:r>
      <m:oMath>
        <m:r>
          <m:rPr>
            <m:sty m:val="p"/>
          </m:rPr>
          <w:rPr>
            <w:rFonts w:ascii="Cambria Math" w:hAnsi="Cambria Math"/>
          </w:rPr>
          <m:t>+</m:t>
        </m:r>
        <m:r>
          <w:rPr>
            <w:rFonts w:ascii="Cambria Math" w:hAnsi="Cambria Math"/>
          </w:rPr>
          <m:t>0.51</m:t>
        </m:r>
      </m:oMath>
      <w:r>
        <w:t xml:space="preserve"> (Breast Cancer, RF). Estos resultados replican el ordenamiento observado en EXP2 en espacios de características con dimensionalidad y distribución distintas al dataset primario.</w:t>
      </w:r>
    </w:p>
    <w:p w14:paraId="43BC7485" w14:textId="77777777" w:rsidR="00D762DD" w:rsidRDefault="00000000">
      <w:pPr>
        <w:pStyle w:val="BodyText"/>
      </w:pPr>
      <w:r>
        <w:t xml:space="preserve">Adicionalmente, se completó una extensión de EXP3 que incluye LIME en los mismos dos </w:t>
      </w:r>
      <w:proofErr w:type="spellStart"/>
      <w:r>
        <w:t>datasets</w:t>
      </w:r>
      <w:proofErr w:type="spellEnd"/>
      <w:r>
        <w:t>, utilizando el protocolo de fidelidad y estabilidad del diseño EXP2 (</w:t>
      </w:r>
      <m:oMath>
        <m:r>
          <w:rPr>
            <w:rFonts w:ascii="Cambria Math" w:hAnsi="Cambria Math"/>
          </w:rPr>
          <m:t>N</m:t>
        </m:r>
        <m:r>
          <m:rPr>
            <m:sty m:val="p"/>
          </m:rPr>
          <w:rPr>
            <w:rFonts w:ascii="Cambria Math" w:hAnsi="Cambria Math"/>
          </w:rPr>
          <m:t>=</m:t>
        </m:r>
        <m:r>
          <w:rPr>
            <w:rFonts w:ascii="Cambria Math" w:hAnsi="Cambria Math"/>
          </w:rPr>
          <m:t>100</m:t>
        </m:r>
      </m:oMath>
      <w:r>
        <w:t xml:space="preserve">, 50 por clase; estabilidad: </w:t>
      </w:r>
      <m:oMath>
        <m:r>
          <w:rPr>
            <w:rFonts w:ascii="Cambria Math" w:hAnsi="Cambria Math"/>
          </w:rPr>
          <m:t>T</m:t>
        </m:r>
        <m:r>
          <m:rPr>
            <m:sty m:val="p"/>
          </m:rPr>
          <w:rPr>
            <w:rFonts w:ascii="Cambria Math" w:hAnsi="Cambria Math"/>
          </w:rPr>
          <m:t>=</m:t>
        </m:r>
        <m:r>
          <w:rPr>
            <w:rFonts w:ascii="Cambria Math" w:hAnsi="Cambria Math"/>
          </w:rPr>
          <m:t>15</m:t>
        </m:r>
      </m:oMath>
      <w:r>
        <w:t xml:space="preserve"> perturbaciones gaussianas, </w:t>
      </w:r>
      <m:oMath>
        <m:r>
          <w:rPr>
            <w:rFonts w:ascii="Cambria Math" w:hAnsi="Cambria Math"/>
          </w:rPr>
          <m:t>σ</m:t>
        </m:r>
        <m:r>
          <m:rPr>
            <m:sty m:val="p"/>
          </m:rPr>
          <w:rPr>
            <w:rFonts w:ascii="Cambria Math" w:hAnsi="Cambria Math"/>
          </w:rPr>
          <m:t>=</m:t>
        </m:r>
        <m:r>
          <w:rPr>
            <w:rFonts w:ascii="Cambria Math" w:hAnsi="Cambria Math"/>
          </w:rPr>
          <m:t>0.1</m:t>
        </m:r>
      </m:oMath>
      <w:r>
        <w:t xml:space="preserve">). Los resultados principales son los siguientes. En fidelidad, LIME alcanza valores de </w:t>
      </w:r>
      <m:oMath>
        <m:r>
          <w:rPr>
            <w:rFonts w:ascii="Cambria Math" w:hAnsi="Cambria Math"/>
          </w:rPr>
          <m:t>0.713</m:t>
        </m:r>
      </m:oMath>
      <w:r>
        <w:t xml:space="preserve"> (BC, RF) y </w:t>
      </w:r>
      <m:oMath>
        <m:r>
          <w:rPr>
            <w:rFonts w:ascii="Cambria Math" w:hAnsi="Cambria Math"/>
          </w:rPr>
          <m:t>0.543</m:t>
        </m:r>
      </m:oMath>
      <w:r>
        <w:t xml:space="preserve"> (BC, XGB), frente a </w:t>
      </w:r>
      <m:oMath>
        <m:r>
          <w:rPr>
            <w:rFonts w:ascii="Cambria Math" w:hAnsi="Cambria Math"/>
          </w:rPr>
          <m:t>0.483</m:t>
        </m:r>
      </m:oMath>
      <w:r>
        <w:t xml:space="preserve"> (GC, RF) y </w:t>
      </w:r>
      <m:oMath>
        <m:r>
          <w:rPr>
            <w:rFonts w:ascii="Cambria Math" w:hAnsi="Cambria Math"/>
          </w:rPr>
          <m:t>0.468</m:t>
        </m:r>
      </m:oMath>
      <w:r>
        <w:t xml:space="preserve"> (GC, XGB). El ordenamiento SHAP &gt; LIME se sostiene en German </w:t>
      </w:r>
      <w:proofErr w:type="gramStart"/>
      <w:r>
        <w:t>Credit</w:t>
      </w:r>
      <w:proofErr w:type="gramEnd"/>
      <w:r>
        <w:t xml:space="preserve"> pero la brecha se reduce en Breast Cancer (</w:t>
      </w:r>
      <m:oMath>
        <m:r>
          <m:rPr>
            <m:sty m:val="p"/>
          </m:rPr>
          <w:rPr>
            <w:rFonts w:ascii="Cambria Math" w:hAnsi="Cambria Math"/>
          </w:rPr>
          <m:t>+</m:t>
        </m:r>
        <m:r>
          <w:rPr>
            <w:rFonts w:ascii="Cambria Math" w:hAnsi="Cambria Math"/>
          </w:rPr>
          <m:t>0.07</m:t>
        </m:r>
      </m:oMath>
      <w:r>
        <w:t xml:space="preserve"> en BC frente a </w:t>
      </w:r>
      <m:oMath>
        <m:r>
          <m:rPr>
            <m:sty m:val="p"/>
          </m:rPr>
          <w:rPr>
            <w:rFonts w:ascii="Cambria Math" w:hAnsi="Cambria Math"/>
          </w:rPr>
          <m:t>+</m:t>
        </m:r>
        <m:r>
          <w:rPr>
            <w:rFonts w:ascii="Cambria Math" w:hAnsi="Cambria Math"/>
          </w:rPr>
          <m:t>0.27</m:t>
        </m:r>
      </m:oMath>
      <w:r>
        <w:t xml:space="preserve"> en Adult). El resultado más notable concierne a la estabilidad: LIME obtiene similitud coseno media de </w:t>
      </w:r>
      <m:oMath>
        <m:r>
          <w:rPr>
            <w:rFonts w:ascii="Cambria Math" w:hAnsi="Cambria Math"/>
          </w:rPr>
          <m:t>0.922</m:t>
        </m:r>
      </m:oMath>
      <w:r>
        <w:t>–</w:t>
      </w:r>
      <m:oMath>
        <m:r>
          <w:rPr>
            <w:rFonts w:ascii="Cambria Math" w:hAnsi="Cambria Math"/>
          </w:rPr>
          <m:t>0.927</m:t>
        </m:r>
      </m:oMath>
      <w:r>
        <w:t xml:space="preserve"> en Breast Cancer y </w:t>
      </w:r>
      <m:oMath>
        <m:r>
          <w:rPr>
            <w:rFonts w:ascii="Cambria Math" w:hAnsi="Cambria Math"/>
          </w:rPr>
          <m:t>0.748</m:t>
        </m:r>
      </m:oMath>
      <w:r>
        <w:t>–</w:t>
      </w:r>
      <m:oMath>
        <m:r>
          <w:rPr>
            <w:rFonts w:ascii="Cambria Math" w:hAnsi="Cambria Math"/>
          </w:rPr>
          <m:t>0.854</m:t>
        </m:r>
      </m:oMath>
      <w:r>
        <w:t xml:space="preserve"> en German Credit, en marcado contraste con el valor de </w:t>
      </w:r>
      <m:oMath>
        <m:r>
          <w:rPr>
            <w:rFonts w:ascii="Cambria Math" w:hAnsi="Cambria Math"/>
          </w:rPr>
          <m:t>0.014</m:t>
        </m:r>
      </m:oMath>
      <w:r>
        <w:t xml:space="preserve"> registrado en </w:t>
      </w:r>
      <w:proofErr w:type="spellStart"/>
      <w:r>
        <w:t>Adult</w:t>
      </w:r>
      <w:proofErr w:type="spellEnd"/>
      <w:r>
        <w:t xml:space="preserve"> </w:t>
      </w:r>
      <w:proofErr w:type="spellStart"/>
      <w:r>
        <w:t>Income</w:t>
      </w:r>
      <w:proofErr w:type="spellEnd"/>
      <w:r>
        <w:t xml:space="preserve">. Esta disparidad apunta al espacio de características como factor mediador: </w:t>
      </w:r>
      <w:proofErr w:type="spellStart"/>
      <w:r>
        <w:t>Adult</w:t>
      </w:r>
      <w:proofErr w:type="spellEnd"/>
      <w:r>
        <w:t xml:space="preserve"> </w:t>
      </w:r>
      <w:proofErr w:type="spellStart"/>
      <w:r>
        <w:t>Income</w:t>
      </w:r>
      <w:proofErr w:type="spellEnd"/>
      <w:r>
        <w:t xml:space="preserve"> fue preprocesado mediante codificación one-</w:t>
      </w:r>
      <w:proofErr w:type="spellStart"/>
      <w:r>
        <w:t>hot</w:t>
      </w:r>
      <w:proofErr w:type="spellEnd"/>
      <w:r>
        <w:t xml:space="preserve"> de 13 variables categóricas, produciendo un espacio de 103 dimensiones predominantemente binario; </w:t>
      </w:r>
      <w:proofErr w:type="spellStart"/>
      <w:r>
        <w:t>Breast</w:t>
      </w:r>
      <w:proofErr w:type="spellEnd"/>
      <w:r>
        <w:t xml:space="preserve"> </w:t>
      </w:r>
      <w:proofErr w:type="spellStart"/>
      <w:r>
        <w:t>Cancer</w:t>
      </w:r>
      <w:proofErr w:type="spellEnd"/>
      <w:r>
        <w:t xml:space="preserve"> (30 características continuas) y German Credit (61 dimensiones tras preprocesamiento, mezcla de continuas y binarias) presentan estructuras de vecindad más densas y regulares para el </w:t>
      </w:r>
      <w:proofErr w:type="spellStart"/>
      <w:r>
        <w:t>kernel</w:t>
      </w:r>
      <w:proofErr w:type="spellEnd"/>
      <w:r>
        <w:t xml:space="preserve"> de LIME. La inestabilidad estructural de LIME </w:t>
      </w:r>
      <w:r>
        <w:lastRenderedPageBreak/>
        <w:t>documentada en EXP2 es, por tanto, dependiente del espacio de características, no una propiedad universal del método.</w:t>
      </w:r>
    </w:p>
    <w:p w14:paraId="2FCEF271" w14:textId="77777777" w:rsidR="00D762DD" w:rsidRDefault="00000000">
      <w:pPr>
        <w:pStyle w:val="BodyText"/>
      </w:pPr>
      <w:r>
        <w:t xml:space="preserve">El alcance de EXP3 permanece acotado en dos sentidos relevantes. Primero, la estabilidad de SHAP no fue instrumentada en los </w:t>
      </w:r>
      <w:proofErr w:type="spellStart"/>
      <w:r>
        <w:t>datasets</w:t>
      </w:r>
      <w:proofErr w:type="spellEnd"/>
      <w:r>
        <w:t xml:space="preserve"> adicionales (la sonda se diseñó para LIME), por lo que no es posible calcular diferencias pareadas SHAP-LIME de estabilidad en BC ni GC. Segundo, los modelos SVM y MLP no están cubiertos. En consecuencia, la afirmación principal de esta tesis —SHAP supera a LIME en fidelidad (</w:t>
      </w:r>
      <m:oMath>
        <m:sSub>
          <m:sSubPr>
            <m:ctrlPr>
              <w:rPr>
                <w:rFonts w:ascii="Cambria Math" w:hAnsi="Cambria Math"/>
              </w:rPr>
            </m:ctrlPr>
          </m:sSubPr>
          <m:e>
            <m:r>
              <w:rPr>
                <w:rFonts w:ascii="Cambria Math" w:hAnsi="Cambria Math"/>
              </w:rPr>
              <m:t>d</m:t>
            </m:r>
          </m:e>
          <m:sub>
            <m:r>
              <w:rPr>
                <w:rFonts w:ascii="Cambria Math" w:hAnsi="Cambria Math"/>
              </w:rPr>
              <m:t>z</m:t>
            </m:r>
          </m:sub>
        </m:sSub>
        <m:r>
          <m:rPr>
            <m:sty m:val="p"/>
          </m:rPr>
          <w:rPr>
            <w:rFonts w:ascii="Cambria Math" w:hAnsi="Cambria Math"/>
          </w:rPr>
          <m:t>=</m:t>
        </m:r>
        <m:r>
          <w:rPr>
            <w:rFonts w:ascii="Cambria Math" w:hAnsi="Cambria Math"/>
          </w:rPr>
          <m:t>4.82</m:t>
        </m:r>
      </m:oMath>
      <w:r>
        <w:t>) y en estabilidad (</w:t>
      </w:r>
      <m:oMath>
        <m:sSub>
          <m:sSubPr>
            <m:ctrlPr>
              <w:rPr>
                <w:rFonts w:ascii="Cambria Math" w:hAnsi="Cambria Math"/>
              </w:rPr>
            </m:ctrlPr>
          </m:sSubPr>
          <m:e>
            <m:r>
              <w:rPr>
                <w:rFonts w:ascii="Cambria Math" w:hAnsi="Cambria Math"/>
              </w:rPr>
              <m:t>d</m:t>
            </m:r>
          </m:e>
          <m:sub>
            <m:r>
              <w:rPr>
                <w:rFonts w:ascii="Cambria Math" w:hAnsi="Cambria Math"/>
              </w:rPr>
              <m:t>z</m:t>
            </m:r>
          </m:sub>
        </m:sSub>
        <m:r>
          <m:rPr>
            <m:sty m:val="p"/>
          </m:rPr>
          <w:rPr>
            <w:rFonts w:ascii="Cambria Math" w:hAnsi="Cambria Math"/>
          </w:rPr>
          <m:t>=</m:t>
        </m:r>
        <m:r>
          <w:rPr>
            <w:rFonts w:ascii="Cambria Math" w:hAnsi="Cambria Math"/>
          </w:rPr>
          <m:t>3.00</m:t>
        </m:r>
      </m:oMath>
      <w:r>
        <w:t xml:space="preserve">)— permanece referida a UCI Adult Income bajo las condiciones del diseño EXP2; la extensión cross-dataset muestra que la ventaja de fidelidad se </w:t>
      </w:r>
      <w:proofErr w:type="gramStart"/>
      <w:r>
        <w:t>mantiene</w:t>
      </w:r>
      <w:proofErr w:type="gramEnd"/>
      <w:r>
        <w:t xml:space="preserve"> pero se atenúa, y que la brecha de estabilidad puede ser un artefacto del espacio de alta dimensión y no una diferencia intrínseca entre métodos.</w:t>
      </w:r>
    </w:p>
    <w:p w14:paraId="3137A554" w14:textId="77777777" w:rsidR="00D762DD" w:rsidRDefault="00000000">
      <w:pPr>
        <w:pStyle w:val="Heading2"/>
      </w:pPr>
      <w:bookmarkStart w:id="255" w:name="sec-futuro"/>
      <w:bookmarkStart w:id="256" w:name="_Toc238925808"/>
      <w:bookmarkEnd w:id="250"/>
      <w:bookmarkEnd w:id="253"/>
      <w:r>
        <w:t>Líneas de investigación futura</w:t>
      </w:r>
      <w:bookmarkEnd w:id="256"/>
    </w:p>
    <w:p w14:paraId="3ECE5DE9" w14:textId="77777777" w:rsidR="00D762DD" w:rsidRDefault="00000000">
      <w:r>
        <w:t>Los resultados, las limitaciones y la taxonomía del Capítulo 5 convergen en señalar cinco extensiones de investigación con fundamento empírico:</w:t>
      </w:r>
    </w:p>
    <w:p w14:paraId="0DF577AF" w14:textId="77777777" w:rsidR="00D762DD" w:rsidRDefault="00000000">
      <w:pPr>
        <w:pStyle w:val="BodyText"/>
      </w:pPr>
      <w:r>
        <w:rPr>
          <w:b/>
          <w:bCs/>
        </w:rPr>
        <w:t xml:space="preserve">1. Extensión del </w:t>
      </w:r>
      <w:proofErr w:type="spellStart"/>
      <w:r>
        <w:rPr>
          <w:b/>
          <w:bCs/>
        </w:rPr>
        <w:t>benchmark</w:t>
      </w:r>
      <w:proofErr w:type="spellEnd"/>
      <w:r>
        <w:rPr>
          <w:b/>
          <w:bCs/>
        </w:rPr>
        <w:t xml:space="preserve"> a dominios de imagen y texto.</w:t>
      </w:r>
      <w:r>
        <w:t xml:space="preserve"> La arquitectura experimental del FOM-7 es portátil. Su aplicación a dominios no tabulares requiere redefinir las métricas de fidelidad (sustituyendo enmascaramiento de características por </w:t>
      </w:r>
      <w:proofErr w:type="gramStart"/>
      <w:r>
        <w:t>pixel</w:t>
      </w:r>
      <w:proofErr w:type="gramEnd"/>
      <w:r>
        <w:t>-</w:t>
      </w:r>
      <w:proofErr w:type="spellStart"/>
      <w:r>
        <w:t>flipping</w:t>
      </w:r>
      <w:proofErr w:type="spellEnd"/>
      <w:r>
        <w:t xml:space="preserve"> o eliminación de tokens) y estabilidad (sustituyendo perturbación gaussiana por transformaciones específicas del dominio). El protocolo FOM-7 está diseñado para acomodar esta extensión sin cambios en su lógica de puertas.</w:t>
      </w:r>
    </w:p>
    <w:p w14:paraId="1CFD255B" w14:textId="77777777" w:rsidR="00D762DD" w:rsidRDefault="00000000">
      <w:pPr>
        <w:pStyle w:val="BodyText"/>
      </w:pPr>
      <w:r>
        <w:rPr>
          <w:b/>
          <w:bCs/>
        </w:rPr>
        <w:t>2. Validación de evaluadores semánticos e incorporación de evaluación human-</w:t>
      </w:r>
      <w:proofErr w:type="spellStart"/>
      <w:r>
        <w:rPr>
          <w:b/>
          <w:bCs/>
        </w:rPr>
        <w:t>centered</w:t>
      </w:r>
      <w:proofErr w:type="spellEnd"/>
      <w:r>
        <w:rPr>
          <w:b/>
          <w:bCs/>
        </w:rPr>
        <w:t>.</w:t>
      </w:r>
      <w:r>
        <w:t xml:space="preserve"> EXP4 (§sec-exp4-fiabilidad) estableció que los jueces LLM actuales no alcanzan la convergencia </w:t>
      </w:r>
      <w:proofErr w:type="spellStart"/>
      <w:r>
        <w:t>inter-juez</w:t>
      </w:r>
      <w:proofErr w:type="spellEnd"/>
      <w:r>
        <w:t xml:space="preserve"> necesaria bajo rúbricas sin especificación de </w:t>
      </w:r>
      <w:proofErr w:type="spellStart"/>
      <w:r>
        <w:t>stakeholder</w:t>
      </w:r>
      <w:proofErr w:type="spellEnd"/>
      <w:r>
        <w:t xml:space="preserve">. La continuación directa de este resultado son dos líneas: primera, rediseñar las rúbricas con los cuatro criterios de formalización identificados en §sec-exp4-fiabilidad (especificación de </w:t>
      </w:r>
      <w:proofErr w:type="spellStart"/>
      <w:r>
        <w:t>stakeholder</w:t>
      </w:r>
      <w:proofErr w:type="spellEnd"/>
      <w:r>
        <w:t>, criterio de corrección verificable, separación de desiderata secundarios, calibración contra expertos humanos) y replicar EXP4 con las rúbricas revisadas para determinar si la brecha de fiabilidad se cierra con mayor formalización o refleja límites del paradigma LLM-as-a-</w:t>
      </w:r>
      <w:proofErr w:type="spellStart"/>
      <w:r>
        <w:t>judge</w:t>
      </w:r>
      <w:proofErr w:type="spellEnd"/>
      <w:r>
        <w:t xml:space="preserve">. </w:t>
      </w:r>
      <w:r>
        <w:lastRenderedPageBreak/>
        <w:t>Segunda: incorporar estudios de usuario con expertos de dominio (médicos, analistas de crédito) que evalúen comprensión, confianza y utilidad de las explicaciones de SHAP y LIME bajo condiciones de tarea real, produciendo la calibración humana necesaria para validar cualquier evaluador semántico automático.</w:t>
      </w:r>
    </w:p>
    <w:p w14:paraId="368ED10D" w14:textId="77777777" w:rsidR="00D762DD" w:rsidRDefault="00000000">
      <w:pPr>
        <w:pStyle w:val="BodyText"/>
      </w:pPr>
      <w:r>
        <w:rPr>
          <w:b/>
          <w:bCs/>
        </w:rPr>
        <w:t>3. Extensión del análisis de sensibilidad a hiperparámetros.</w:t>
      </w:r>
      <w:r>
        <w:t xml:space="preserve"> Los análisis de sensibilidad completados en el Apéndice C establecen tres resultados base: (i) la inestabilidad de LIME es robusta a variaciones de </w:t>
      </w:r>
      <w:proofErr w:type="spellStart"/>
      <w:r>
        <w:t>num_samples</w:t>
      </w:r>
      <w:proofErr w:type="spellEnd"/>
      <w:r>
        <w:t xml:space="preserve"> ∈ {500, 1000, 2000} —la similitud coseno permanece cercana a cero en todos los niveles, descartando que sea un artefacto de convergencia—; (</w:t>
      </w:r>
      <w:proofErr w:type="spellStart"/>
      <w:r>
        <w:t>ii</w:t>
      </w:r>
      <w:proofErr w:type="spellEnd"/>
      <w:r>
        <w:t xml:space="preserve">) </w:t>
      </w:r>
      <w:proofErr w:type="spellStart"/>
      <w:r>
        <w:t>kernel_width</w:t>
      </w:r>
      <w:proofErr w:type="spellEnd"/>
      <w:r>
        <w:t xml:space="preserve"> ∈ {0.25, 0.75} produce pesos degenerados en el espacio preprocesado de 103 dimensiones, con </w:t>
      </w:r>
      <w:proofErr w:type="spellStart"/>
      <w:r>
        <w:t>kernel_width</w:t>
      </w:r>
      <w:proofErr w:type="spellEnd"/>
      <w:r>
        <w:t xml:space="preserve"> = 3.0 como valor mínimo viable y </w:t>
      </w:r>
      <w:proofErr w:type="spellStart"/>
      <w:r>
        <w:t>kernel_width</w:t>
      </w:r>
      <w:proofErr w:type="spellEnd"/>
      <w:r>
        <w:t xml:space="preserve"> = 10.0 como alternativa más estable a costa de localidad; y (</w:t>
      </w:r>
      <w:proofErr w:type="spellStart"/>
      <w:r>
        <w:t>iii</w:t>
      </w:r>
      <w:proofErr w:type="spellEnd"/>
      <w:r>
        <w:t xml:space="preserve">) la cobertura de Anchors es extremadamente sensible al umbral de precisión </w:t>
      </w:r>
      <m:oMath>
        <m:r>
          <w:rPr>
            <w:rFonts w:ascii="Cambria Math" w:hAnsi="Cambria Math"/>
          </w:rPr>
          <m:t>τ</m:t>
        </m:r>
      </m:oMath>
      <w:r>
        <w:t>. Las brechas pendientes incluyen la sensibilidad del tamaño del conjunto de referencia de SHAP más allá del rango evaluado (25–100), la interacción entre kernel_width y num_samples en espacios de dimensionalidad variable, y la extensión de los análisis a los modelos SVM y MLP, que emplean KernelSHAP en lugar de TreeSHAP y exhiben distintos perfiles de coste-estabilidad.</w:t>
      </w:r>
    </w:p>
    <w:p w14:paraId="1FF6B405" w14:textId="77777777" w:rsidR="00D762DD" w:rsidRDefault="00000000">
      <w:pPr>
        <w:pStyle w:val="BodyText"/>
      </w:pPr>
      <w:r>
        <w:rPr>
          <w:b/>
          <w:bCs/>
        </w:rPr>
        <w:t xml:space="preserve">4. Completar el contraste </w:t>
      </w:r>
      <w:proofErr w:type="spellStart"/>
      <w:r>
        <w:rPr>
          <w:b/>
          <w:bCs/>
        </w:rPr>
        <w:t>cross-dataset</w:t>
      </w:r>
      <w:proofErr w:type="spellEnd"/>
      <w:r>
        <w:rPr>
          <w:b/>
          <w:bCs/>
        </w:rPr>
        <w:t xml:space="preserve"> SHAP-LIME y replicar en dominios de alto riesgo.</w:t>
      </w:r>
      <w:r>
        <w:t xml:space="preserve"> EXP3 replicó el ordenamiento de fidelidad SHAP-Anchors en </w:t>
      </w:r>
      <w:proofErr w:type="spellStart"/>
      <w:r>
        <w:t>Breast</w:t>
      </w:r>
      <w:proofErr w:type="spellEnd"/>
      <w:r>
        <w:t xml:space="preserve"> </w:t>
      </w:r>
      <w:proofErr w:type="spellStart"/>
      <w:r>
        <w:t>Cancer</w:t>
      </w:r>
      <w:proofErr w:type="spellEnd"/>
      <w:r>
        <w:t xml:space="preserve"> Wisconsin y German Credit, y una extensión posterior incorporó LIME con las mismas métricas de fidelidad y estabilidad. Sin embargo, la estabilidad de SHAP no fue instrumentada en esos </w:t>
      </w:r>
      <w:proofErr w:type="spellStart"/>
      <w:r>
        <w:t>datasets</w:t>
      </w:r>
      <w:proofErr w:type="spellEnd"/>
      <w:r>
        <w:t xml:space="preserve">, por lo que aún no existe un contraste pareado SHAP-LIME completo de estabilidad fuera de UCI </w:t>
      </w:r>
      <w:proofErr w:type="spellStart"/>
      <w:r>
        <w:t>Adult</w:t>
      </w:r>
      <w:proofErr w:type="spellEnd"/>
      <w:r>
        <w:t xml:space="preserve"> </w:t>
      </w:r>
      <w:proofErr w:type="spellStart"/>
      <w:r>
        <w:t>Income</w:t>
      </w:r>
      <w:proofErr w:type="spellEnd"/>
      <w:r>
        <w:t xml:space="preserve">. La extensión prioritaria es completar esa instrumentación y ampliar el diseño a más modelos y </w:t>
      </w:r>
      <w:proofErr w:type="spellStart"/>
      <w:r>
        <w:t>datasets</w:t>
      </w:r>
      <w:proofErr w:type="spellEnd"/>
      <w:r>
        <w:t>, de modo que los hallazgos centrales de esta tesis —</w:t>
      </w:r>
      <m:oMath>
        <m:sSub>
          <m:sSubPr>
            <m:ctrlPr>
              <w:rPr>
                <w:rFonts w:ascii="Cambria Math" w:hAnsi="Cambria Math"/>
              </w:rPr>
            </m:ctrlPr>
          </m:sSubPr>
          <m:e>
            <m:r>
              <w:rPr>
                <w:rFonts w:ascii="Cambria Math" w:hAnsi="Cambria Math"/>
              </w:rPr>
              <m:t>d</m:t>
            </m:r>
          </m:e>
          <m:sub>
            <m:r>
              <w:rPr>
                <w:rFonts w:ascii="Cambria Math" w:hAnsi="Cambria Math"/>
              </w:rPr>
              <m:t>z</m:t>
            </m:r>
          </m:sub>
        </m:sSub>
        <m:r>
          <m:rPr>
            <m:sty m:val="p"/>
          </m:rPr>
          <w:rPr>
            <w:rFonts w:ascii="Cambria Math" w:hAnsi="Cambria Math"/>
          </w:rPr>
          <m:t>=</m:t>
        </m:r>
        <m:r>
          <w:rPr>
            <w:rFonts w:ascii="Cambria Math" w:hAnsi="Cambria Math"/>
          </w:rPr>
          <m:t>4.82</m:t>
        </m:r>
      </m:oMath>
      <w:r>
        <w:t xml:space="preserve"> en fidelidad y </w:t>
      </w:r>
      <m:oMath>
        <m:sSub>
          <m:sSubPr>
            <m:ctrlPr>
              <w:rPr>
                <w:rFonts w:ascii="Cambria Math" w:hAnsi="Cambria Math"/>
              </w:rPr>
            </m:ctrlPr>
          </m:sSubPr>
          <m:e>
            <m:r>
              <w:rPr>
                <w:rFonts w:ascii="Cambria Math" w:hAnsi="Cambria Math"/>
              </w:rPr>
              <m:t>d</m:t>
            </m:r>
          </m:e>
          <m:sub>
            <m:r>
              <w:rPr>
                <w:rFonts w:ascii="Cambria Math" w:hAnsi="Cambria Math"/>
              </w:rPr>
              <m:t>z</m:t>
            </m:r>
          </m:sub>
        </m:sSub>
        <m:r>
          <m:rPr>
            <m:sty m:val="p"/>
          </m:rPr>
          <w:rPr>
            <w:rFonts w:ascii="Cambria Math" w:hAnsi="Cambria Math"/>
          </w:rPr>
          <m:t>=</m:t>
        </m:r>
        <m:r>
          <w:rPr>
            <w:rFonts w:ascii="Cambria Math" w:hAnsi="Cambria Math"/>
          </w:rPr>
          <m:t>3.00</m:t>
        </m:r>
      </m:oMath>
      <w:r>
        <w:t xml:space="preserve"> en estabilidad— sean verificables fuera del contexto Adult. Una segunda dirección es la validación en dominios regulados (crédito, salud, justicia) con restricciones normativas explícitas (EU AI Act, GDPR Art. 22), donde la elección del método explicador tiene consecuencias legales directas.</w:t>
      </w:r>
    </w:p>
    <w:p w14:paraId="5664E48E" w14:textId="77777777" w:rsidR="00D762DD" w:rsidRDefault="00000000">
      <w:pPr>
        <w:pStyle w:val="BodyText"/>
      </w:pPr>
      <w:r>
        <w:rPr>
          <w:b/>
          <w:bCs/>
        </w:rPr>
        <w:lastRenderedPageBreak/>
        <w:t xml:space="preserve">5. Formalización del eje de </w:t>
      </w:r>
      <w:proofErr w:type="spellStart"/>
      <w:r>
        <w:rPr>
          <w:b/>
          <w:bCs/>
        </w:rPr>
        <w:t>comprehensibilidad</w:t>
      </w:r>
      <w:proofErr w:type="spellEnd"/>
      <w:r>
        <w:rPr>
          <w:b/>
          <w:bCs/>
        </w:rPr>
        <w:t xml:space="preserve"> en la taxonomía.</w:t>
      </w:r>
      <w:r>
        <w:t xml:space="preserve"> El eje de contexto de tarea de la taxonomía incluye el contexto </w:t>
      </w:r>
      <w:r>
        <w:rPr>
          <w:i/>
          <w:iCs/>
        </w:rPr>
        <w:t>usuario final</w:t>
      </w:r>
      <w:r>
        <w:t xml:space="preserve"> pero no dispone de métricas experimentales en este </w:t>
      </w:r>
      <w:proofErr w:type="spellStart"/>
      <w:r>
        <w:t>benchmark</w:t>
      </w:r>
      <w:proofErr w:type="spellEnd"/>
      <w:r>
        <w:t xml:space="preserve">. La formalización de métricas de </w:t>
      </w:r>
      <w:proofErr w:type="spellStart"/>
      <w:r>
        <w:t>comprehensibilidad</w:t>
      </w:r>
      <w:proofErr w:type="spellEnd"/>
      <w:r>
        <w:t xml:space="preserve"> normalizadas —siguiendo la propuesta de Bhattacharya y </w:t>
      </w:r>
      <w:proofErr w:type="spellStart"/>
      <w:r>
        <w:t>Verbert</w:t>
      </w:r>
      <w:proofErr w:type="spellEnd"/>
      <w:r>
        <w:t xml:space="preserve"> (2024) de escalas normalizadas entre sistemas— permitiría cerrar el espacio taxonómico con evidencia empírica comparable a la obtenida en los ejes funcionales.</w:t>
      </w:r>
    </w:p>
    <w:p w14:paraId="77A0F306" w14:textId="77777777" w:rsidR="00D762DD" w:rsidRDefault="00000000">
      <w:pPr>
        <w:pStyle w:val="Heading2"/>
      </w:pPr>
      <w:bookmarkStart w:id="257" w:name="sec-sintesis"/>
      <w:bookmarkStart w:id="258" w:name="_Toc238925809"/>
      <w:bookmarkEnd w:id="255"/>
      <w:r>
        <w:t>Síntesis final</w:t>
      </w:r>
      <w:bookmarkEnd w:id="258"/>
    </w:p>
    <w:p w14:paraId="74982C68" w14:textId="77777777" w:rsidR="00D762DD" w:rsidRDefault="00000000">
      <w:r>
        <w:t xml:space="preserve">Esta tesis demuestra empíricamente que los métodos de </w:t>
      </w:r>
      <w:proofErr w:type="spellStart"/>
      <w:r>
        <w:t>explicabilidad</w:t>
      </w:r>
      <w:proofErr w:type="spellEnd"/>
      <w:r>
        <w:t xml:space="preserve"> </w:t>
      </w:r>
      <w:proofErr w:type="spellStart"/>
      <w:r>
        <w:t>post-hoc</w:t>
      </w:r>
      <w:proofErr w:type="spellEnd"/>
      <w:r>
        <w:t xml:space="preserve"> agnósticos al modelo difieren de forma sustantiva, consistente y estadísticamente robusta en múltiples dimensiones de calidad simultáneas. Bajo un protocolo reproducible y trazable, con márgenes de seguridad inferencial que superan el umbral crítico con amplia holgura, los resultados ofrecen una base sólida para la interpretación principal: SHAP es el método más fiable cuando fidelidad y estabilidad son requisitos; LIME es la alternativa eficiente con inestabilidad documentada bajo la configuración y el espacio de características evaluados; Anchors y </w:t>
      </w:r>
      <w:proofErr w:type="spellStart"/>
      <w:r>
        <w:t>DiCE</w:t>
      </w:r>
      <w:proofErr w:type="spellEnd"/>
      <w:r>
        <w:t xml:space="preserve"> satisfacen objetivos explicativos cualitativamente distintos que las métricas de atribución no capturan de forma adecuada.</w:t>
      </w:r>
    </w:p>
    <w:p w14:paraId="0CEC7C1C" w14:textId="77777777" w:rsidR="00D762DD" w:rsidRDefault="00000000">
      <w:pPr>
        <w:pStyle w:val="BodyText"/>
      </w:pPr>
      <w:r>
        <w:t xml:space="preserve">El aporte adicional de esta investigación no es solo el resultado del </w:t>
      </w:r>
      <w:proofErr w:type="spellStart"/>
      <w:r>
        <w:t>benchmark</w:t>
      </w:r>
      <w:proofErr w:type="spellEnd"/>
      <w:r>
        <w:t xml:space="preserve"> —que podría derivarse de otros estudios comparativos— sino la arquitectura que lo soporta. El protocolo FOM-7 proporciona las condiciones bajo las cuales afirmaciones inferenciales sobre métodos XAI pueden considerarse científicamente acumulables. La taxonomía de cuatro ejes proporciona el mapa conceptual que permite situar cualquier métrica futura en relación con las ya evaluadas. Juntos, protocolo y taxonomía constituyen la infraestructura metodológica que el campo de evaluación XAI necesita para avanzar de la proliferación de métricas hacia la acumulación sistemática de evidencia (Pawlicki et al. 2024; Canha et al. 2025; Bhattacharya and </w:t>
      </w:r>
      <w:proofErr w:type="spellStart"/>
      <w:r>
        <w:t>Verbert</w:t>
      </w:r>
      <w:proofErr w:type="spellEnd"/>
      <w:r>
        <w:t xml:space="preserve"> 2024).</w:t>
      </w:r>
    </w:p>
    <w:p w14:paraId="6761E80E" w14:textId="77777777" w:rsidR="00D762DD" w:rsidRDefault="00000000">
      <w:pPr>
        <w:pStyle w:val="BodyText"/>
      </w:pPr>
      <w:r>
        <w:t xml:space="preserve">La implicación más amplia de esta tesis trasciende el contexto experimental. El hallazgo de que LIME puede exhibir inestabilidad casi total —no marginal, sino sistemática, con CV=86.2% y similitud coseno media de 0.014 bajo la configuración de referencia en el espacio de 103 </w:t>
      </w:r>
      <w:r>
        <w:lastRenderedPageBreak/>
        <w:t xml:space="preserve">dimensiones de </w:t>
      </w:r>
      <w:proofErr w:type="spellStart"/>
      <w:r>
        <w:t>Adult</w:t>
      </w:r>
      <w:proofErr w:type="spellEnd"/>
      <w:r>
        <w:t xml:space="preserve"> </w:t>
      </w:r>
      <w:proofErr w:type="spellStart"/>
      <w:r>
        <w:t>Income</w:t>
      </w:r>
      <w:proofErr w:type="spellEnd"/>
      <w:r>
        <w:t xml:space="preserve">— es relevante para cualquier sistema de apoyo a la decisión que emplee LIME en entornos de auditoría, regulación o alto riesgo. El contexto normativo actual (EU AI </w:t>
      </w:r>
      <w:proofErr w:type="spellStart"/>
      <w:r>
        <w:t>Act</w:t>
      </w:r>
      <w:proofErr w:type="spellEnd"/>
      <w:r>
        <w:t xml:space="preserve">, GDPR Art. 22) demanda explicaciones verificables y consistentes; un método que produce explicaciones casi ortogonales entre dos ejecuciones de la misma instancia no satisface ese requisito. La implicación operativa, sin embargo, no es que LIME deba descartarse universalmente: EXP3 muestra estabilidades de 0.748–0.927 en espacios de menor dimensión con la misma configuración, y el ancho del </w:t>
      </w:r>
      <w:proofErr w:type="spellStart"/>
      <w:r>
        <w:t>kernel</w:t>
      </w:r>
      <w:proofErr w:type="spellEnd"/>
      <w:r>
        <w:t xml:space="preserve"> modula el resultado dentro de un mismo espacio (§</w:t>
      </w:r>
      <w:proofErr w:type="spellStart"/>
      <w:r>
        <w:t>sec</w:t>
      </w:r>
      <w:proofErr w:type="spellEnd"/>
      <w:r>
        <w:t xml:space="preserve">-limitaciones). La conclusión defendible —sostenida por 75 pares de contraste con efecto </w:t>
      </w:r>
      <m:oMath>
        <m:sSub>
          <m:sSubPr>
            <m:ctrlPr>
              <w:rPr>
                <w:rFonts w:ascii="Cambria Math" w:hAnsi="Cambria Math"/>
              </w:rPr>
            </m:ctrlPr>
          </m:sSubPr>
          <m:e>
            <m:r>
              <w:rPr>
                <w:rFonts w:ascii="Cambria Math" w:hAnsi="Cambria Math"/>
              </w:rPr>
              <m:t>d</m:t>
            </m:r>
          </m:e>
          <m:sub>
            <m:r>
              <w:rPr>
                <w:rFonts w:ascii="Cambria Math" w:hAnsi="Cambria Math"/>
              </w:rPr>
              <m:t>z</m:t>
            </m:r>
          </m:sub>
        </m:sSub>
        <m:r>
          <m:rPr>
            <m:sty m:val="p"/>
          </m:rPr>
          <w:rPr>
            <w:rFonts w:ascii="Cambria Math" w:hAnsi="Cambria Math"/>
          </w:rPr>
          <m:t>=</m:t>
        </m:r>
        <m:r>
          <w:rPr>
            <w:rFonts w:ascii="Cambria Math" w:hAnsi="Cambria Math"/>
          </w:rPr>
          <m:t>3.002</m:t>
        </m:r>
      </m:oMath>
      <w:r>
        <w:t xml:space="preserve"> y delimitada por ambos análisis— es que la estabilidad de LIME es una propiedad contingente del despliegue y no puede presuponerse: en un régimen regulatorio que exige consistencia, debe medirse y documentarse para el espacio de características y la configuración concretos antes de admitir el método como evidencia. Esta es la afirmación de mayor impacto práctico de la tesis: no es un argumento teórico contra LIME, sino la especificación empírica de qué debe verificarse antes de usarlo en el tipo de despliegue que la regulación exige evaluar.</w:t>
      </w:r>
    </w:p>
    <w:p w14:paraId="32104F88" w14:textId="77777777" w:rsidR="00D762DD" w:rsidRDefault="00000000">
      <w:pPr>
        <w:pStyle w:val="BodyText"/>
      </w:pPr>
      <w:r>
        <w:t xml:space="preserve">El camino hacia la excelencia en evaluación XAI no pasa por proponer una métrica adicional ni por declarar un método dominante universal. Pasa por construir la infraestructura de gobernanza que permita comparar, acumular y defender evidencia sobre métodos de explicación bajo condiciones auditables. FOM-7 y la taxonomía asociada son una contribución concreta a esa infraestructura, y este </w:t>
      </w:r>
      <w:proofErr w:type="spellStart"/>
      <w:r>
        <w:t>benchmark</w:t>
      </w:r>
      <w:proofErr w:type="spellEnd"/>
      <w:r>
        <w:t xml:space="preserve"> es la primera demostración de su aplicación sobre datos tabulares reales bajo control estadístico riguroso. La agenda de investigación señalada en la Sección </w:t>
      </w:r>
      <w:hyperlink w:anchor="sec-futuro">
        <w:r>
          <w:rPr>
            <w:rStyle w:val="Hyperlink"/>
          </w:rPr>
          <w:t>Section 7.6</w:t>
        </w:r>
      </w:hyperlink>
      <w:r>
        <w:t xml:space="preserve"> —extensión a dominios no tabulares, incorporación de evaluación human-</w:t>
      </w:r>
      <w:proofErr w:type="spellStart"/>
      <w:r>
        <w:t>centered</w:t>
      </w:r>
      <w:proofErr w:type="spellEnd"/>
      <w:r>
        <w:t>, análisis de sensibilidad de hiperparámetros, replicación en dominios regulados— define el camino para transformar esta infraestructura en un estándar de facto para la evaluación comparativa de métodos XAI.</w:t>
      </w:r>
    </w:p>
    <w:p w14:paraId="36C7E435" w14:textId="77777777" w:rsidR="00D762DD" w:rsidRPr="00AC5577" w:rsidRDefault="00000000">
      <w:pPr>
        <w:pStyle w:val="Heading1"/>
        <w:rPr>
          <w:lang w:val="en-US"/>
        </w:rPr>
      </w:pPr>
      <w:bookmarkStart w:id="259" w:name="referencias"/>
      <w:bookmarkStart w:id="260" w:name="_Toc238925810"/>
      <w:bookmarkEnd w:id="231"/>
      <w:bookmarkEnd w:id="257"/>
      <w:proofErr w:type="spellStart"/>
      <w:r w:rsidRPr="00AC5577">
        <w:rPr>
          <w:lang w:val="en-US"/>
        </w:rPr>
        <w:t>Referencias</w:t>
      </w:r>
      <w:bookmarkEnd w:id="260"/>
      <w:proofErr w:type="spellEnd"/>
    </w:p>
    <w:p w14:paraId="2D8A89E4" w14:textId="77777777" w:rsidR="00D762DD" w:rsidRPr="00AC5577" w:rsidRDefault="00000000">
      <w:pPr>
        <w:rPr>
          <w:lang w:val="en-US"/>
        </w:rPr>
      </w:pPr>
      <w:bookmarkStart w:id="261" w:name="ref-abdul2018"/>
      <w:bookmarkStart w:id="262" w:name="refs"/>
      <w:r w:rsidRPr="00AC5577">
        <w:rPr>
          <w:lang w:val="en-US"/>
        </w:rPr>
        <w:t xml:space="preserve">Abdul, Ashraf, Jo Vermeulen, </w:t>
      </w:r>
      <w:proofErr w:type="spellStart"/>
      <w:r w:rsidRPr="00AC5577">
        <w:rPr>
          <w:lang w:val="en-US"/>
        </w:rPr>
        <w:t>Danding</w:t>
      </w:r>
      <w:proofErr w:type="spellEnd"/>
      <w:r w:rsidRPr="00AC5577">
        <w:rPr>
          <w:lang w:val="en-US"/>
        </w:rPr>
        <w:t xml:space="preserve"> Wang, Brian Y. Lim, and Mohan Kankanhalli. 2018. “Trends and Trajectories for Explainable, Accountable and Intelligible Systems: An HCI </w:t>
      </w:r>
      <w:r w:rsidRPr="00AC5577">
        <w:rPr>
          <w:lang w:val="en-US"/>
        </w:rPr>
        <w:lastRenderedPageBreak/>
        <w:t xml:space="preserve">Research Agenda.” </w:t>
      </w:r>
      <w:r w:rsidRPr="00AC5577">
        <w:rPr>
          <w:i/>
          <w:iCs/>
          <w:lang w:val="en-US"/>
        </w:rPr>
        <w:t>Proceedings of the 2018 CHI Conference on Human Factors in Computing Systems</w:t>
      </w:r>
      <w:r w:rsidRPr="00AC5577">
        <w:rPr>
          <w:lang w:val="en-US"/>
        </w:rPr>
        <w:t xml:space="preserve">, 1–18. </w:t>
      </w:r>
      <w:hyperlink r:id="rId14">
        <w:r w:rsidRPr="00AC5577">
          <w:rPr>
            <w:rStyle w:val="Hyperlink"/>
            <w:lang w:val="en-US"/>
          </w:rPr>
          <w:t>https://doi.org/10.1145/3173574.3174156</w:t>
        </w:r>
      </w:hyperlink>
      <w:r w:rsidRPr="00AC5577">
        <w:rPr>
          <w:lang w:val="en-US"/>
        </w:rPr>
        <w:t>.</w:t>
      </w:r>
    </w:p>
    <w:p w14:paraId="36D8B1FE" w14:textId="77777777" w:rsidR="00D762DD" w:rsidRPr="00AC5577" w:rsidRDefault="00000000">
      <w:pPr>
        <w:rPr>
          <w:lang w:val="en-US"/>
        </w:rPr>
      </w:pPr>
      <w:bookmarkStart w:id="263" w:name="ref-abdulkadir2023"/>
      <w:bookmarkEnd w:id="261"/>
      <w:r w:rsidRPr="00AC5577">
        <w:rPr>
          <w:lang w:val="en-US"/>
        </w:rPr>
        <w:t xml:space="preserve">Abdul Kadir, M., A. </w:t>
      </w:r>
      <w:proofErr w:type="spellStart"/>
      <w:r w:rsidRPr="00AC5577">
        <w:rPr>
          <w:lang w:val="en-US"/>
        </w:rPr>
        <w:t>Mosavi</w:t>
      </w:r>
      <w:proofErr w:type="spellEnd"/>
      <w:r w:rsidRPr="00AC5577">
        <w:rPr>
          <w:lang w:val="en-US"/>
        </w:rPr>
        <w:t xml:space="preserve">, and D. Sonntag. 2023. “Evaluation Metrics for XAI: A Review, Taxonomy, and Practical Applications.” </w:t>
      </w:r>
      <w:r w:rsidRPr="00AC5577">
        <w:rPr>
          <w:i/>
          <w:iCs/>
          <w:lang w:val="en-US"/>
        </w:rPr>
        <w:t>INES 2023 Proceedings</w:t>
      </w:r>
      <w:r w:rsidRPr="00AC5577">
        <w:rPr>
          <w:lang w:val="en-US"/>
        </w:rPr>
        <w:t xml:space="preserve">, ahead of print. </w:t>
      </w:r>
      <w:hyperlink r:id="rId15">
        <w:r w:rsidRPr="00AC5577">
          <w:rPr>
            <w:rStyle w:val="Hyperlink"/>
            <w:lang w:val="en-US"/>
          </w:rPr>
          <w:t>https://doi.org/10.1109/INES59045.2023.1030000</w:t>
        </w:r>
      </w:hyperlink>
      <w:r w:rsidRPr="00AC5577">
        <w:rPr>
          <w:lang w:val="en-US"/>
        </w:rPr>
        <w:t>.</w:t>
      </w:r>
    </w:p>
    <w:p w14:paraId="32311FA9" w14:textId="77777777" w:rsidR="00D762DD" w:rsidRPr="00AC5577" w:rsidRDefault="00000000">
      <w:pPr>
        <w:rPr>
          <w:lang w:val="en-US"/>
        </w:rPr>
      </w:pPr>
      <w:bookmarkStart w:id="264" w:name="ref-abusitta2024"/>
      <w:bookmarkEnd w:id="263"/>
      <w:proofErr w:type="spellStart"/>
      <w:r w:rsidRPr="00AC5577">
        <w:rPr>
          <w:lang w:val="en-US"/>
        </w:rPr>
        <w:t>Abusitta</w:t>
      </w:r>
      <w:proofErr w:type="spellEnd"/>
      <w:r w:rsidRPr="00AC5577">
        <w:rPr>
          <w:lang w:val="en-US"/>
        </w:rPr>
        <w:t xml:space="preserve">, Adel, Miles Q. Li, and Benjamin C. M. Fung. 2024. </w:t>
      </w:r>
      <w:r w:rsidRPr="00AC5577">
        <w:rPr>
          <w:i/>
          <w:iCs/>
          <w:lang w:val="en-US"/>
        </w:rPr>
        <w:t>Survey on Explainable Ai: Techniques, Challenges and Open Issues</w:t>
      </w:r>
      <w:r w:rsidRPr="00AC5577">
        <w:rPr>
          <w:lang w:val="en-US"/>
        </w:rPr>
        <w:t xml:space="preserve">. Elsevier BV. </w:t>
      </w:r>
      <w:hyperlink r:id="rId16">
        <w:r w:rsidRPr="00AC5577">
          <w:rPr>
            <w:rStyle w:val="Hyperlink"/>
            <w:lang w:val="en-US"/>
          </w:rPr>
          <w:t>https://doi.org/10.2139/ssrn.4710037</w:t>
        </w:r>
      </w:hyperlink>
      <w:r w:rsidRPr="00AC5577">
        <w:rPr>
          <w:lang w:val="en-US"/>
        </w:rPr>
        <w:t>.</w:t>
      </w:r>
    </w:p>
    <w:p w14:paraId="21986DB0" w14:textId="77777777" w:rsidR="00D762DD" w:rsidRPr="00AC5577" w:rsidRDefault="00000000">
      <w:pPr>
        <w:rPr>
          <w:lang w:val="en-US"/>
        </w:rPr>
      </w:pPr>
      <w:bookmarkStart w:id="265" w:name="ref-adadi2018"/>
      <w:bookmarkEnd w:id="264"/>
      <w:proofErr w:type="spellStart"/>
      <w:r w:rsidRPr="00AC5577">
        <w:rPr>
          <w:lang w:val="en-US"/>
        </w:rPr>
        <w:t>Adadi</w:t>
      </w:r>
      <w:proofErr w:type="spellEnd"/>
      <w:r w:rsidRPr="00AC5577">
        <w:rPr>
          <w:lang w:val="en-US"/>
        </w:rPr>
        <w:t xml:space="preserve">, &amp; Berrada, A. 2018. “Peeking Inside the Black-Box: A Survey on Explainable Artificial Intelligence (XAI).” </w:t>
      </w:r>
      <w:r w:rsidRPr="00AC5577">
        <w:rPr>
          <w:i/>
          <w:iCs/>
          <w:lang w:val="en-US"/>
        </w:rPr>
        <w:t>IEEE Access</w:t>
      </w:r>
      <w:r w:rsidRPr="00AC5577">
        <w:rPr>
          <w:lang w:val="en-US"/>
        </w:rPr>
        <w:t xml:space="preserve"> 6: 52138–60. </w:t>
      </w:r>
      <w:hyperlink r:id="rId17">
        <w:r w:rsidRPr="00AC5577">
          <w:rPr>
            <w:rStyle w:val="Hyperlink"/>
            <w:lang w:val="en-US"/>
          </w:rPr>
          <w:t>https://doi.org/10.1109/access.2018.2870052</w:t>
        </w:r>
      </w:hyperlink>
      <w:r w:rsidRPr="00AC5577">
        <w:rPr>
          <w:lang w:val="en-US"/>
        </w:rPr>
        <w:t>.</w:t>
      </w:r>
    </w:p>
    <w:p w14:paraId="6FB4C3DD" w14:textId="77777777" w:rsidR="00D762DD" w:rsidRPr="00AC5577" w:rsidRDefault="00000000">
      <w:pPr>
        <w:rPr>
          <w:lang w:val="en-US"/>
        </w:rPr>
      </w:pPr>
      <w:bookmarkStart w:id="266" w:name="ref-adhikari2022"/>
      <w:bookmarkEnd w:id="265"/>
      <w:r w:rsidRPr="00AC5577">
        <w:rPr>
          <w:lang w:val="en-US"/>
        </w:rPr>
        <w:t xml:space="preserve">Adhikari, Jiang, D. 2022. “A Comprehensive Survey on Imputation of Missing Data in Internet of Things.” </w:t>
      </w:r>
      <w:r w:rsidRPr="00AC5577">
        <w:rPr>
          <w:i/>
          <w:iCs/>
          <w:lang w:val="en-US"/>
        </w:rPr>
        <w:t>ACM Computing Surveys</w:t>
      </w:r>
      <w:r w:rsidRPr="00AC5577">
        <w:rPr>
          <w:lang w:val="en-US"/>
        </w:rPr>
        <w:t xml:space="preserve"> 55 (7): 1–38. </w:t>
      </w:r>
      <w:hyperlink r:id="rId18">
        <w:r w:rsidRPr="00AC5577">
          <w:rPr>
            <w:rStyle w:val="Hyperlink"/>
            <w:lang w:val="en-US"/>
          </w:rPr>
          <w:t>https://doi.org/10.1145/3533381</w:t>
        </w:r>
      </w:hyperlink>
      <w:r w:rsidRPr="00AC5577">
        <w:rPr>
          <w:lang w:val="en-US"/>
        </w:rPr>
        <w:t>.</w:t>
      </w:r>
    </w:p>
    <w:p w14:paraId="04CAE7B4" w14:textId="77777777" w:rsidR="00D762DD" w:rsidRPr="00AC5577" w:rsidRDefault="00000000">
      <w:pPr>
        <w:rPr>
          <w:lang w:val="en-US"/>
        </w:rPr>
      </w:pPr>
      <w:bookmarkStart w:id="267" w:name="ref-agarwal2023"/>
      <w:bookmarkEnd w:id="266"/>
      <w:r w:rsidRPr="00AC5577">
        <w:rPr>
          <w:lang w:val="en-US"/>
        </w:rPr>
        <w:t xml:space="preserve">Agarwal, Chirag, Owen Queen, Himabindu </w:t>
      </w:r>
      <w:proofErr w:type="spellStart"/>
      <w:r w:rsidRPr="00AC5577">
        <w:rPr>
          <w:lang w:val="en-US"/>
        </w:rPr>
        <w:t>Lakkaraju</w:t>
      </w:r>
      <w:proofErr w:type="spellEnd"/>
      <w:r w:rsidRPr="00AC5577">
        <w:rPr>
          <w:lang w:val="en-US"/>
        </w:rPr>
        <w:t xml:space="preserve">, and Marinka Zitnik. 2023. “Evaluating Explainability for Graph Neural Networks.” </w:t>
      </w:r>
      <w:r w:rsidRPr="00AC5577">
        <w:rPr>
          <w:i/>
          <w:iCs/>
          <w:lang w:val="en-US"/>
        </w:rPr>
        <w:t>Scientific Data</w:t>
      </w:r>
      <w:r w:rsidRPr="00AC5577">
        <w:rPr>
          <w:lang w:val="en-US"/>
        </w:rPr>
        <w:t xml:space="preserve"> 10 (1). </w:t>
      </w:r>
      <w:hyperlink r:id="rId19">
        <w:r w:rsidRPr="00AC5577">
          <w:rPr>
            <w:rStyle w:val="Hyperlink"/>
            <w:lang w:val="en-US"/>
          </w:rPr>
          <w:t>https://doi.org/10.1038/s41597-023-01974-x</w:t>
        </w:r>
      </w:hyperlink>
      <w:r w:rsidRPr="00AC5577">
        <w:rPr>
          <w:lang w:val="en-US"/>
        </w:rPr>
        <w:t>.</w:t>
      </w:r>
    </w:p>
    <w:p w14:paraId="7727A5F3" w14:textId="77777777" w:rsidR="00D762DD" w:rsidRPr="00AC5577" w:rsidRDefault="00000000">
      <w:pPr>
        <w:rPr>
          <w:lang w:val="en-US"/>
        </w:rPr>
      </w:pPr>
      <w:bookmarkStart w:id="268" w:name="ref-agarwal2022"/>
      <w:bookmarkEnd w:id="267"/>
      <w:r>
        <w:t xml:space="preserve">Agarwal, C., D. Ley, S. Krishna, et al. 2022. </w:t>
      </w:r>
      <w:r w:rsidRPr="00AC5577">
        <w:rPr>
          <w:lang w:val="en-US"/>
        </w:rPr>
        <w:t>“</w:t>
      </w:r>
      <w:proofErr w:type="spellStart"/>
      <w:r w:rsidRPr="00AC5577">
        <w:rPr>
          <w:lang w:val="en-US"/>
        </w:rPr>
        <w:t>OpenXAI</w:t>
      </w:r>
      <w:proofErr w:type="spellEnd"/>
      <w:r w:rsidRPr="00AC5577">
        <w:rPr>
          <w:lang w:val="en-US"/>
        </w:rPr>
        <w:t xml:space="preserve">: Towards a Transparent Evaluation of Post Hoc Model Explanations.” </w:t>
      </w:r>
      <w:r w:rsidRPr="00AC5577">
        <w:rPr>
          <w:i/>
          <w:iCs/>
          <w:lang w:val="en-US"/>
        </w:rPr>
        <w:t>Advances in Neural Information Processing Systems (</w:t>
      </w:r>
      <w:proofErr w:type="spellStart"/>
      <w:r w:rsidRPr="00AC5577">
        <w:rPr>
          <w:i/>
          <w:iCs/>
          <w:lang w:val="en-US"/>
        </w:rPr>
        <w:t>NeurIPS</w:t>
      </w:r>
      <w:proofErr w:type="spellEnd"/>
      <w:r w:rsidRPr="00AC5577">
        <w:rPr>
          <w:i/>
          <w:iCs/>
          <w:lang w:val="en-US"/>
        </w:rPr>
        <w:t>)</w:t>
      </w:r>
      <w:r w:rsidRPr="00AC5577">
        <w:rPr>
          <w:lang w:val="en-US"/>
        </w:rPr>
        <w:t>.</w:t>
      </w:r>
    </w:p>
    <w:p w14:paraId="47165902" w14:textId="77777777" w:rsidR="00D762DD" w:rsidRPr="00AC5577" w:rsidRDefault="00000000">
      <w:pPr>
        <w:rPr>
          <w:lang w:val="en-US"/>
        </w:rPr>
      </w:pPr>
      <w:bookmarkStart w:id="269" w:name="ref-ali2023"/>
      <w:bookmarkEnd w:id="268"/>
      <w:r w:rsidRPr="00AC5577">
        <w:rPr>
          <w:lang w:val="en-US"/>
        </w:rPr>
        <w:t xml:space="preserve">Ali, </w:t>
      </w:r>
      <w:proofErr w:type="spellStart"/>
      <w:r w:rsidRPr="00AC5577">
        <w:rPr>
          <w:lang w:val="en-US"/>
        </w:rPr>
        <w:t>Abuhmed</w:t>
      </w:r>
      <w:proofErr w:type="spellEnd"/>
      <w:r w:rsidRPr="00AC5577">
        <w:rPr>
          <w:lang w:val="en-US"/>
        </w:rPr>
        <w:t xml:space="preserve">, S. 2023. “Explainable Artificial Intelligence (XAI): What We Know and What Is Left to Attain Trustworthy Artificial Intelligence.” </w:t>
      </w:r>
      <w:r w:rsidRPr="00AC5577">
        <w:rPr>
          <w:i/>
          <w:iCs/>
          <w:lang w:val="en-US"/>
        </w:rPr>
        <w:t>Information Fusion</w:t>
      </w:r>
      <w:r w:rsidRPr="00AC5577">
        <w:rPr>
          <w:lang w:val="en-US"/>
        </w:rPr>
        <w:t xml:space="preserve"> 99: 101805. </w:t>
      </w:r>
      <w:hyperlink r:id="rId20">
        <w:r w:rsidRPr="00AC5577">
          <w:rPr>
            <w:rStyle w:val="Hyperlink"/>
            <w:lang w:val="en-US"/>
          </w:rPr>
          <w:t>https://doi.org/10.1016/j.inffus.2023.101805</w:t>
        </w:r>
      </w:hyperlink>
      <w:r w:rsidRPr="00AC5577">
        <w:rPr>
          <w:lang w:val="en-US"/>
        </w:rPr>
        <w:t>.</w:t>
      </w:r>
    </w:p>
    <w:p w14:paraId="3F6173C6" w14:textId="77777777" w:rsidR="00D762DD" w:rsidRPr="00AC5577" w:rsidRDefault="00000000">
      <w:pPr>
        <w:rPr>
          <w:lang w:val="en-US"/>
        </w:rPr>
      </w:pPr>
      <w:bookmarkStart w:id="270" w:name="ref-alkhateeb2025"/>
      <w:bookmarkEnd w:id="269"/>
      <w:r w:rsidRPr="00AC5577">
        <w:rPr>
          <w:lang w:val="en-US"/>
        </w:rPr>
        <w:t xml:space="preserve">Alkhateeb, Banan Mohammad, and Ellis Solaiman. 2025. </w:t>
      </w:r>
      <w:r w:rsidRPr="00AC5577">
        <w:rPr>
          <w:i/>
          <w:iCs/>
          <w:lang w:val="en-US"/>
        </w:rPr>
        <w:t>Context-Aware Visualization for Explainable AI Recommendations in Social Media: A Vision for User-Aligned Explanations</w:t>
      </w:r>
      <w:r w:rsidRPr="00AC5577">
        <w:rPr>
          <w:lang w:val="en-US"/>
        </w:rPr>
        <w:t xml:space="preserve">. Springer Nature Switzerland. </w:t>
      </w:r>
      <w:hyperlink r:id="rId21">
        <w:r w:rsidRPr="00AC5577">
          <w:rPr>
            <w:rStyle w:val="Hyperlink"/>
            <w:lang w:val="en-US"/>
          </w:rPr>
          <w:t>https://doi.org/10.1007/978-3-032-06744-9_14</w:t>
        </w:r>
      </w:hyperlink>
      <w:r w:rsidRPr="00AC5577">
        <w:rPr>
          <w:lang w:val="en-US"/>
        </w:rPr>
        <w:t>.</w:t>
      </w:r>
    </w:p>
    <w:p w14:paraId="18A348CD" w14:textId="77777777" w:rsidR="00D762DD" w:rsidRPr="00AC5577" w:rsidRDefault="00000000">
      <w:pPr>
        <w:rPr>
          <w:lang w:val="en-US"/>
        </w:rPr>
      </w:pPr>
      <w:bookmarkStart w:id="271" w:name="ref-allen2024"/>
      <w:bookmarkEnd w:id="270"/>
      <w:r w:rsidRPr="00AC5577">
        <w:rPr>
          <w:lang w:val="en-US"/>
        </w:rPr>
        <w:t xml:space="preserve">Allen, Gan, G. I. 2024. “Interpretable Machine Learning for Discovery: Statistical Challenges and Opportunities.” </w:t>
      </w:r>
      <w:r w:rsidRPr="00AC5577">
        <w:rPr>
          <w:i/>
          <w:iCs/>
          <w:lang w:val="en-US"/>
        </w:rPr>
        <w:t>Annual Review of Statistics and Its Application</w:t>
      </w:r>
      <w:r w:rsidRPr="00AC5577">
        <w:rPr>
          <w:lang w:val="en-US"/>
        </w:rPr>
        <w:t xml:space="preserve"> 11 (1): 97–121. </w:t>
      </w:r>
      <w:hyperlink r:id="rId22">
        <w:r w:rsidRPr="00AC5577">
          <w:rPr>
            <w:rStyle w:val="Hyperlink"/>
            <w:lang w:val="en-US"/>
          </w:rPr>
          <w:t>https://doi.org/10.1146/annurev-statistics-040120-030919</w:t>
        </w:r>
      </w:hyperlink>
      <w:r w:rsidRPr="00AC5577">
        <w:rPr>
          <w:lang w:val="en-US"/>
        </w:rPr>
        <w:t>.</w:t>
      </w:r>
    </w:p>
    <w:p w14:paraId="4B2C9A18" w14:textId="77777777" w:rsidR="00D762DD" w:rsidRPr="00AC5577" w:rsidRDefault="00000000">
      <w:pPr>
        <w:rPr>
          <w:lang w:val="en-US"/>
        </w:rPr>
      </w:pPr>
      <w:bookmarkStart w:id="272" w:name="ref-altukhi2025"/>
      <w:bookmarkEnd w:id="271"/>
      <w:proofErr w:type="spellStart"/>
      <w:r w:rsidRPr="00AC5577">
        <w:rPr>
          <w:lang w:val="en-US"/>
        </w:rPr>
        <w:lastRenderedPageBreak/>
        <w:t>Altukhi</w:t>
      </w:r>
      <w:proofErr w:type="spellEnd"/>
      <w:r w:rsidRPr="00AC5577">
        <w:rPr>
          <w:lang w:val="en-US"/>
        </w:rPr>
        <w:t xml:space="preserve">, Pradhan, Z. M. 2025. “A Systematic Literature Review of the Latest Advancements in XAI.” </w:t>
      </w:r>
      <w:r w:rsidRPr="00AC5577">
        <w:rPr>
          <w:i/>
          <w:iCs/>
          <w:lang w:val="en-US"/>
        </w:rPr>
        <w:t>Technologies</w:t>
      </w:r>
      <w:r w:rsidRPr="00AC5577">
        <w:rPr>
          <w:lang w:val="en-US"/>
        </w:rPr>
        <w:t xml:space="preserve"> 13 (3): 93. </w:t>
      </w:r>
      <w:hyperlink r:id="rId23">
        <w:r w:rsidRPr="00AC5577">
          <w:rPr>
            <w:rStyle w:val="Hyperlink"/>
            <w:lang w:val="en-US"/>
          </w:rPr>
          <w:t>https://doi.org/10.3390/technologies13030093</w:t>
        </w:r>
      </w:hyperlink>
      <w:r w:rsidRPr="00AC5577">
        <w:rPr>
          <w:lang w:val="en-US"/>
        </w:rPr>
        <w:t>.</w:t>
      </w:r>
    </w:p>
    <w:p w14:paraId="09205859" w14:textId="77777777" w:rsidR="00D762DD" w:rsidRPr="00AC5577" w:rsidRDefault="00000000">
      <w:pPr>
        <w:rPr>
          <w:lang w:val="en-US"/>
        </w:rPr>
      </w:pPr>
      <w:bookmarkStart w:id="273" w:name="ref-alvarezmelis2018"/>
      <w:bookmarkEnd w:id="272"/>
      <w:r w:rsidRPr="00AC5577">
        <w:rPr>
          <w:lang w:val="en-US"/>
        </w:rPr>
        <w:t xml:space="preserve">Alvarez-Melis, David, and Tommi S. Jaakkola. 2018. </w:t>
      </w:r>
      <w:r w:rsidRPr="00AC5577">
        <w:rPr>
          <w:i/>
          <w:iCs/>
          <w:lang w:val="en-US"/>
        </w:rPr>
        <w:t>On the Robustness of Interpretability Methods</w:t>
      </w:r>
      <w:r w:rsidRPr="00AC5577">
        <w:rPr>
          <w:lang w:val="en-US"/>
        </w:rPr>
        <w:t xml:space="preserve">. </w:t>
      </w:r>
      <w:hyperlink r:id="rId24">
        <w:r w:rsidRPr="00AC5577">
          <w:rPr>
            <w:rStyle w:val="Hyperlink"/>
            <w:lang w:val="en-US"/>
          </w:rPr>
          <w:t>https://arxiv.org/abs/1806.08049</w:t>
        </w:r>
      </w:hyperlink>
      <w:r w:rsidRPr="00AC5577">
        <w:rPr>
          <w:lang w:val="en-US"/>
        </w:rPr>
        <w:t>.</w:t>
      </w:r>
    </w:p>
    <w:p w14:paraId="38EA08B4" w14:textId="77777777" w:rsidR="00D762DD" w:rsidRPr="00AC5577" w:rsidRDefault="00000000">
      <w:pPr>
        <w:rPr>
          <w:lang w:val="en-US"/>
        </w:rPr>
      </w:pPr>
      <w:bookmarkStart w:id="274" w:name="ref-amershi2014"/>
      <w:bookmarkEnd w:id="273"/>
      <w:proofErr w:type="spellStart"/>
      <w:r w:rsidRPr="00AC5577">
        <w:rPr>
          <w:lang w:val="en-US"/>
        </w:rPr>
        <w:t>Amershi</w:t>
      </w:r>
      <w:proofErr w:type="spellEnd"/>
      <w:r w:rsidRPr="00AC5577">
        <w:rPr>
          <w:lang w:val="en-US"/>
        </w:rPr>
        <w:t xml:space="preserve">, Cakmak, S. 2014. “Power to the People: The Role of Humans in Interactive Machine Learning.” </w:t>
      </w:r>
      <w:r w:rsidRPr="00AC5577">
        <w:rPr>
          <w:i/>
          <w:iCs/>
          <w:lang w:val="en-US"/>
        </w:rPr>
        <w:t>AI Magazine</w:t>
      </w:r>
      <w:r w:rsidRPr="00AC5577">
        <w:rPr>
          <w:lang w:val="en-US"/>
        </w:rPr>
        <w:t xml:space="preserve"> 35 (4): 105–20. </w:t>
      </w:r>
      <w:hyperlink r:id="rId25">
        <w:r w:rsidRPr="00AC5577">
          <w:rPr>
            <w:rStyle w:val="Hyperlink"/>
            <w:lang w:val="en-US"/>
          </w:rPr>
          <w:t>https://doi.org/10.1609/aimag.v35i4.2513</w:t>
        </w:r>
      </w:hyperlink>
      <w:r w:rsidRPr="00AC5577">
        <w:rPr>
          <w:lang w:val="en-US"/>
        </w:rPr>
        <w:t>.</w:t>
      </w:r>
    </w:p>
    <w:p w14:paraId="055CA7FA" w14:textId="77777777" w:rsidR="00D762DD" w:rsidRPr="00AC5577" w:rsidRDefault="00000000">
      <w:pPr>
        <w:rPr>
          <w:lang w:val="en-US"/>
        </w:rPr>
      </w:pPr>
      <w:bookmarkStart w:id="275" w:name="ref-angelov2021"/>
      <w:bookmarkEnd w:id="274"/>
      <w:r w:rsidRPr="00AC5577">
        <w:rPr>
          <w:lang w:val="en-US"/>
        </w:rPr>
        <w:t xml:space="preserve">Angelov, Soares, P. P. 2021. “Explainable Artificial Intelligence: An Analytical Review.” </w:t>
      </w:r>
      <w:r w:rsidRPr="00AC5577">
        <w:rPr>
          <w:i/>
          <w:iCs/>
          <w:lang w:val="en-US"/>
        </w:rPr>
        <w:t>Wiley Interdisciplinary Reviews Data Mining and Knowledge Discovery</w:t>
      </w:r>
      <w:r w:rsidRPr="00AC5577">
        <w:rPr>
          <w:lang w:val="en-US"/>
        </w:rPr>
        <w:t xml:space="preserve"> 11 (5). </w:t>
      </w:r>
      <w:hyperlink r:id="rId26">
        <w:r w:rsidRPr="00AC5577">
          <w:rPr>
            <w:rStyle w:val="Hyperlink"/>
            <w:lang w:val="en-US"/>
          </w:rPr>
          <w:t>https://doi.org/10.1002/widm.1424</w:t>
        </w:r>
      </w:hyperlink>
      <w:r w:rsidRPr="00AC5577">
        <w:rPr>
          <w:lang w:val="en-US"/>
        </w:rPr>
        <w:t>.</w:t>
      </w:r>
    </w:p>
    <w:p w14:paraId="4EA4D957" w14:textId="77777777" w:rsidR="00D762DD" w:rsidRPr="00AC5577" w:rsidRDefault="00000000">
      <w:pPr>
        <w:rPr>
          <w:lang w:val="en-US"/>
        </w:rPr>
      </w:pPr>
      <w:bookmarkStart w:id="276" w:name="ref-apley2020"/>
      <w:bookmarkEnd w:id="275"/>
      <w:r w:rsidRPr="00AC5577">
        <w:rPr>
          <w:lang w:val="en-US"/>
        </w:rPr>
        <w:t xml:space="preserve">Apley, &amp; Zhu, D. W. 2020. “Visualizing the Effects of Predictor Variables in Black Box Supervised Learning Models.” </w:t>
      </w:r>
      <w:r w:rsidRPr="00AC5577">
        <w:rPr>
          <w:i/>
          <w:iCs/>
          <w:lang w:val="en-US"/>
        </w:rPr>
        <w:t>Journal of the Royal Statistical Society Series B (Statistical Methodology)</w:t>
      </w:r>
      <w:r w:rsidRPr="00AC5577">
        <w:rPr>
          <w:lang w:val="en-US"/>
        </w:rPr>
        <w:t xml:space="preserve"> 82 (4): 1059–86. </w:t>
      </w:r>
      <w:hyperlink r:id="rId27">
        <w:r w:rsidRPr="00AC5577">
          <w:rPr>
            <w:rStyle w:val="Hyperlink"/>
            <w:lang w:val="en-US"/>
          </w:rPr>
          <w:t>https://doi.org/10.1111/rssb.12377</w:t>
        </w:r>
      </w:hyperlink>
      <w:r w:rsidRPr="00AC5577">
        <w:rPr>
          <w:lang w:val="en-US"/>
        </w:rPr>
        <w:t>.</w:t>
      </w:r>
    </w:p>
    <w:p w14:paraId="2532CF4D" w14:textId="77777777" w:rsidR="00D762DD" w:rsidRPr="00AC5577" w:rsidRDefault="00000000">
      <w:pPr>
        <w:rPr>
          <w:lang w:val="en-US"/>
        </w:rPr>
      </w:pPr>
      <w:bookmarkStart w:id="277" w:name="ref-arrieta2019a"/>
      <w:bookmarkEnd w:id="276"/>
      <w:r w:rsidRPr="00AC5577">
        <w:rPr>
          <w:lang w:val="en-US"/>
        </w:rPr>
        <w:t xml:space="preserve">Arrieta, Díaz-Rodríguez, A. B. 2019. “Explainable Artificial Intelligence (XAI): Concepts, Taxonomies, Opportunities and Challenges Toward Responsible AI.” </w:t>
      </w:r>
      <w:r w:rsidRPr="00AC5577">
        <w:rPr>
          <w:i/>
          <w:iCs/>
          <w:lang w:val="en-US"/>
        </w:rPr>
        <w:t>Information Fusion</w:t>
      </w:r>
      <w:r w:rsidRPr="00AC5577">
        <w:rPr>
          <w:lang w:val="en-US"/>
        </w:rPr>
        <w:t xml:space="preserve"> 58: 82–115. </w:t>
      </w:r>
      <w:hyperlink r:id="rId28">
        <w:r w:rsidRPr="00AC5577">
          <w:rPr>
            <w:rStyle w:val="Hyperlink"/>
            <w:lang w:val="en-US"/>
          </w:rPr>
          <w:t>https://doi.org/10.1016/j.inffus.2019.12.012</w:t>
        </w:r>
      </w:hyperlink>
      <w:r w:rsidRPr="00AC5577">
        <w:rPr>
          <w:lang w:val="en-US"/>
        </w:rPr>
        <w:t>.</w:t>
      </w:r>
    </w:p>
    <w:p w14:paraId="294777A5" w14:textId="77777777" w:rsidR="00D762DD" w:rsidRPr="00AC5577" w:rsidRDefault="00000000">
      <w:pPr>
        <w:rPr>
          <w:lang w:val="en-US"/>
        </w:rPr>
      </w:pPr>
      <w:bookmarkStart w:id="278" w:name="ref-bacardit2024"/>
      <w:bookmarkEnd w:id="277"/>
      <w:proofErr w:type="spellStart"/>
      <w:r w:rsidRPr="00AC5577">
        <w:rPr>
          <w:lang w:val="en-US"/>
        </w:rPr>
        <w:t>Bacardit</w:t>
      </w:r>
      <w:proofErr w:type="spellEnd"/>
      <w:r w:rsidRPr="00AC5577">
        <w:rPr>
          <w:lang w:val="en-US"/>
        </w:rPr>
        <w:t xml:space="preserve">, Jaume, Alexander Brownlee, Stefano Cagnoni, Giovanni Iacca, John McCall, and David Walker. 2024. “Introduction to the Special Issue on Explainable AI in Evolutionary Computation.” </w:t>
      </w:r>
      <w:r w:rsidRPr="00AC5577">
        <w:rPr>
          <w:i/>
          <w:iCs/>
          <w:lang w:val="en-US"/>
        </w:rPr>
        <w:t>ACM Transactions on Evolutionary Learning and Optimization</w:t>
      </w:r>
      <w:r w:rsidRPr="00AC5577">
        <w:rPr>
          <w:lang w:val="en-US"/>
        </w:rPr>
        <w:t xml:space="preserve"> 4 (1): 1–2. </w:t>
      </w:r>
      <w:hyperlink r:id="rId29">
        <w:r w:rsidRPr="00AC5577">
          <w:rPr>
            <w:rStyle w:val="Hyperlink"/>
            <w:lang w:val="en-US"/>
          </w:rPr>
          <w:t>https://doi.org/10.1145/3649144</w:t>
        </w:r>
      </w:hyperlink>
      <w:r w:rsidRPr="00AC5577">
        <w:rPr>
          <w:lang w:val="en-US"/>
        </w:rPr>
        <w:t>.</w:t>
      </w:r>
    </w:p>
    <w:p w14:paraId="35C5B109" w14:textId="77777777" w:rsidR="00D762DD" w:rsidRPr="00AC5577" w:rsidRDefault="00000000">
      <w:pPr>
        <w:rPr>
          <w:lang w:val="en-US"/>
        </w:rPr>
      </w:pPr>
      <w:bookmarkStart w:id="279" w:name="ref-bastings2020"/>
      <w:bookmarkEnd w:id="278"/>
      <w:r w:rsidRPr="00AC5577">
        <w:rPr>
          <w:lang w:val="en-US"/>
        </w:rPr>
        <w:t xml:space="preserve">Bastings, Jasmijn, and Katja Filippova. 2020. “The Elephant in the Interpretability Room: Why Use Attention as Explanation When We Have Saliency Methods?” </w:t>
      </w:r>
      <w:r w:rsidRPr="00AC5577">
        <w:rPr>
          <w:i/>
          <w:iCs/>
          <w:lang w:val="en-US"/>
        </w:rPr>
        <w:t xml:space="preserve">Proceedings of the Third </w:t>
      </w:r>
      <w:proofErr w:type="spellStart"/>
      <w:r w:rsidRPr="00AC5577">
        <w:rPr>
          <w:i/>
          <w:iCs/>
          <w:lang w:val="en-US"/>
        </w:rPr>
        <w:t>BlackboxNLP</w:t>
      </w:r>
      <w:proofErr w:type="spellEnd"/>
      <w:r w:rsidRPr="00AC5577">
        <w:rPr>
          <w:i/>
          <w:iCs/>
          <w:lang w:val="en-US"/>
        </w:rPr>
        <w:t xml:space="preserve"> Workshop on Analyzing and Interpreting Neural Networks for NLP</w:t>
      </w:r>
      <w:r w:rsidRPr="00AC5577">
        <w:rPr>
          <w:lang w:val="en-US"/>
        </w:rPr>
        <w:t xml:space="preserve">, 149–55. </w:t>
      </w:r>
      <w:hyperlink r:id="rId30">
        <w:r w:rsidRPr="00AC5577">
          <w:rPr>
            <w:rStyle w:val="Hyperlink"/>
            <w:lang w:val="en-US"/>
          </w:rPr>
          <w:t>https://doi.org/10.18653/v1/2020.blackboxnlp-1.14</w:t>
        </w:r>
      </w:hyperlink>
      <w:r w:rsidRPr="00AC5577">
        <w:rPr>
          <w:lang w:val="en-US"/>
        </w:rPr>
        <w:t>.</w:t>
      </w:r>
    </w:p>
    <w:p w14:paraId="7C2573AB" w14:textId="77777777" w:rsidR="00D762DD" w:rsidRDefault="00000000">
      <w:bookmarkStart w:id="280" w:name="ref-belle2021"/>
      <w:bookmarkEnd w:id="279"/>
      <w:r w:rsidRPr="00AC5577">
        <w:rPr>
          <w:lang w:val="en-US"/>
        </w:rPr>
        <w:t xml:space="preserve">Belle, &amp; </w:t>
      </w:r>
      <w:proofErr w:type="spellStart"/>
      <w:r w:rsidRPr="00AC5577">
        <w:rPr>
          <w:lang w:val="en-US"/>
        </w:rPr>
        <w:t>Papantonis</w:t>
      </w:r>
      <w:proofErr w:type="spellEnd"/>
      <w:r w:rsidRPr="00AC5577">
        <w:rPr>
          <w:lang w:val="en-US"/>
        </w:rPr>
        <w:t xml:space="preserve">, V. 2021. “Principles and Practice of Explainable Machine Learning.” </w:t>
      </w:r>
      <w:proofErr w:type="spellStart"/>
      <w:r>
        <w:rPr>
          <w:i/>
          <w:iCs/>
        </w:rPr>
        <w:t>Frontiers</w:t>
      </w:r>
      <w:proofErr w:type="spellEnd"/>
      <w:r>
        <w:rPr>
          <w:i/>
          <w:iCs/>
        </w:rPr>
        <w:t xml:space="preserve"> in Big Data</w:t>
      </w:r>
      <w:r>
        <w:t xml:space="preserve"> 4. </w:t>
      </w:r>
      <w:hyperlink r:id="rId31">
        <w:r>
          <w:rPr>
            <w:rStyle w:val="Hyperlink"/>
          </w:rPr>
          <w:t>https://doi.org/10.3389/fdata.2021.688969</w:t>
        </w:r>
      </w:hyperlink>
      <w:r>
        <w:t>.</w:t>
      </w:r>
    </w:p>
    <w:p w14:paraId="43D35950" w14:textId="77777777" w:rsidR="00D762DD" w:rsidRPr="00AC5577" w:rsidRDefault="00000000">
      <w:pPr>
        <w:rPr>
          <w:lang w:val="en-US"/>
        </w:rPr>
      </w:pPr>
      <w:bookmarkStart w:id="281" w:name="ref-bennetot2024"/>
      <w:bookmarkEnd w:id="280"/>
      <w:proofErr w:type="spellStart"/>
      <w:r>
        <w:lastRenderedPageBreak/>
        <w:t>Bennetot</w:t>
      </w:r>
      <w:proofErr w:type="spellEnd"/>
      <w:r>
        <w:t xml:space="preserve">, Adrien, </w:t>
      </w:r>
      <w:proofErr w:type="spellStart"/>
      <w:r>
        <w:t>Ivan</w:t>
      </w:r>
      <w:proofErr w:type="spellEnd"/>
      <w:r>
        <w:t xml:space="preserve"> Donadello, Ayoub El </w:t>
      </w:r>
      <w:proofErr w:type="spellStart"/>
      <w:r>
        <w:t>Qadi</w:t>
      </w:r>
      <w:proofErr w:type="spellEnd"/>
      <w:r>
        <w:t xml:space="preserve"> El Haouari, et al. 2024. </w:t>
      </w:r>
      <w:r w:rsidRPr="00AC5577">
        <w:rPr>
          <w:lang w:val="en-US"/>
        </w:rPr>
        <w:t xml:space="preserve">“A Practical Tutorial on Explainable AI Techniques.” </w:t>
      </w:r>
      <w:r w:rsidRPr="00AC5577">
        <w:rPr>
          <w:i/>
          <w:iCs/>
          <w:lang w:val="en-US"/>
        </w:rPr>
        <w:t>ACM Computing Surveys</w:t>
      </w:r>
      <w:r w:rsidRPr="00AC5577">
        <w:rPr>
          <w:lang w:val="en-US"/>
        </w:rPr>
        <w:t xml:space="preserve"> 57 (2): 1–44. </w:t>
      </w:r>
      <w:hyperlink r:id="rId32">
        <w:r w:rsidRPr="00AC5577">
          <w:rPr>
            <w:rStyle w:val="Hyperlink"/>
            <w:lang w:val="en-US"/>
          </w:rPr>
          <w:t>https://doi.org/10.1145/3670685</w:t>
        </w:r>
      </w:hyperlink>
      <w:r w:rsidRPr="00AC5577">
        <w:rPr>
          <w:lang w:val="en-US"/>
        </w:rPr>
        <w:t>.</w:t>
      </w:r>
    </w:p>
    <w:p w14:paraId="1E162503" w14:textId="77777777" w:rsidR="00D762DD" w:rsidRPr="00AC5577" w:rsidRDefault="00000000">
      <w:pPr>
        <w:rPr>
          <w:lang w:val="en-US"/>
        </w:rPr>
      </w:pPr>
      <w:bookmarkStart w:id="282" w:name="ref-bhat2024"/>
      <w:bookmarkEnd w:id="281"/>
      <w:r w:rsidRPr="00AC5577">
        <w:rPr>
          <w:lang w:val="en-US"/>
        </w:rPr>
        <w:t xml:space="preserve">Bhat, </w:t>
      </w:r>
      <w:proofErr w:type="spellStart"/>
      <w:r w:rsidRPr="00AC5577">
        <w:rPr>
          <w:lang w:val="en-US"/>
        </w:rPr>
        <w:t>Maalvika</w:t>
      </w:r>
      <w:proofErr w:type="spellEnd"/>
      <w:r w:rsidRPr="00AC5577">
        <w:rPr>
          <w:lang w:val="en-US"/>
        </w:rPr>
        <w:t xml:space="preserve">, and Duri Long. 2024. “Designing Interactive Explainable AI Tools for Algorithmic Literacy and Transparency.” </w:t>
      </w:r>
      <w:r w:rsidRPr="00AC5577">
        <w:rPr>
          <w:i/>
          <w:iCs/>
          <w:lang w:val="en-US"/>
        </w:rPr>
        <w:t>Designing Interactive Systems Conference</w:t>
      </w:r>
      <w:r w:rsidRPr="00AC5577">
        <w:rPr>
          <w:lang w:val="en-US"/>
        </w:rPr>
        <w:t xml:space="preserve">, 939–57. </w:t>
      </w:r>
      <w:hyperlink r:id="rId33">
        <w:r w:rsidRPr="00AC5577">
          <w:rPr>
            <w:rStyle w:val="Hyperlink"/>
            <w:lang w:val="en-US"/>
          </w:rPr>
          <w:t>https://doi.org/10.1145/3643834.3660722</w:t>
        </w:r>
      </w:hyperlink>
      <w:r w:rsidRPr="00AC5577">
        <w:rPr>
          <w:lang w:val="en-US"/>
        </w:rPr>
        <w:t>.</w:t>
      </w:r>
    </w:p>
    <w:p w14:paraId="52969A7D" w14:textId="77777777" w:rsidR="00D762DD" w:rsidRDefault="00000000">
      <w:bookmarkStart w:id="283" w:name="ref-bhattacharya2024"/>
      <w:bookmarkEnd w:id="282"/>
      <w:r w:rsidRPr="00AC5577">
        <w:rPr>
          <w:lang w:val="en-US"/>
        </w:rPr>
        <w:t xml:space="preserve">Bhattacharya, A., and K. </w:t>
      </w:r>
      <w:proofErr w:type="spellStart"/>
      <w:r w:rsidRPr="00AC5577">
        <w:rPr>
          <w:lang w:val="en-US"/>
        </w:rPr>
        <w:t>Verbert</w:t>
      </w:r>
      <w:proofErr w:type="spellEnd"/>
      <w:r w:rsidRPr="00AC5577">
        <w:rPr>
          <w:lang w:val="en-US"/>
        </w:rPr>
        <w:t xml:space="preserve">. 2024. “How Good Is Your </w:t>
      </w:r>
      <w:proofErr w:type="gramStart"/>
      <w:r w:rsidRPr="00AC5577">
        <w:rPr>
          <w:lang w:val="en-US"/>
        </w:rPr>
        <w:t>Explanation?:</w:t>
      </w:r>
      <w:proofErr w:type="gramEnd"/>
      <w:r w:rsidRPr="00AC5577">
        <w:rPr>
          <w:lang w:val="en-US"/>
        </w:rPr>
        <w:t xml:space="preserve"> Towards a </w:t>
      </w:r>
      <w:proofErr w:type="spellStart"/>
      <w:r w:rsidRPr="00AC5577">
        <w:rPr>
          <w:lang w:val="en-US"/>
        </w:rPr>
        <w:t>Standardised</w:t>
      </w:r>
      <w:proofErr w:type="spellEnd"/>
      <w:r w:rsidRPr="00AC5577">
        <w:rPr>
          <w:lang w:val="en-US"/>
        </w:rPr>
        <w:t xml:space="preserve"> Evaluation Approach for Diverse XAI Methods on Multiple Dimensions of Explainability.” </w:t>
      </w:r>
      <w:r w:rsidRPr="00AC5577">
        <w:rPr>
          <w:i/>
          <w:iCs/>
          <w:lang w:val="en-US"/>
        </w:rPr>
        <w:t>Proceedings of the 32nd ACM Conference on User Modeling, Adaptation and Personalization (UMAP Adjunct ’24)</w:t>
      </w:r>
      <w:r w:rsidRPr="00AC5577">
        <w:rPr>
          <w:lang w:val="en-US"/>
        </w:rPr>
        <w:t xml:space="preserve">. </w:t>
      </w:r>
      <w:hyperlink r:id="rId34">
        <w:r>
          <w:rPr>
            <w:rStyle w:val="Hyperlink"/>
          </w:rPr>
          <w:t>https://doi.org/10.1145/3631700.3664911</w:t>
        </w:r>
      </w:hyperlink>
      <w:r>
        <w:t>.</w:t>
      </w:r>
    </w:p>
    <w:p w14:paraId="76B1824D" w14:textId="77777777" w:rsidR="00D762DD" w:rsidRPr="00AC5577" w:rsidRDefault="00000000">
      <w:pPr>
        <w:rPr>
          <w:lang w:val="en-US"/>
        </w:rPr>
      </w:pPr>
      <w:bookmarkStart w:id="284" w:name="ref-bobitan2024"/>
      <w:bookmarkEnd w:id="283"/>
      <w:proofErr w:type="spellStart"/>
      <w:r>
        <w:t>Bobitan</w:t>
      </w:r>
      <w:proofErr w:type="spellEnd"/>
      <w:r>
        <w:t xml:space="preserve">, Nicolae, Diana Dumitrescu, Adriana Florina Popa, Daniela Nicoleta Sahlian, and Ioan Codrut Turlea. </w:t>
      </w:r>
      <w:r w:rsidRPr="00AC5577">
        <w:rPr>
          <w:lang w:val="en-US"/>
        </w:rPr>
        <w:t xml:space="preserve">2024. “Shaping Tomorrow: Anticipating Skills Requirements Based on the Integration of Artificial Intelligence in Business Organizations—a Foresight Analysis Using the Scenario Method.” </w:t>
      </w:r>
      <w:r w:rsidRPr="00AC5577">
        <w:rPr>
          <w:i/>
          <w:iCs/>
          <w:lang w:val="en-US"/>
        </w:rPr>
        <w:t>Electronics</w:t>
      </w:r>
      <w:r w:rsidRPr="00AC5577">
        <w:rPr>
          <w:lang w:val="en-US"/>
        </w:rPr>
        <w:t xml:space="preserve"> 13 (11): 2198. </w:t>
      </w:r>
      <w:hyperlink r:id="rId35">
        <w:r w:rsidRPr="00AC5577">
          <w:rPr>
            <w:rStyle w:val="Hyperlink"/>
            <w:lang w:val="en-US"/>
          </w:rPr>
          <w:t>https://doi.org/10.3390/electronics13112198</w:t>
        </w:r>
      </w:hyperlink>
      <w:r w:rsidRPr="00AC5577">
        <w:rPr>
          <w:lang w:val="en-US"/>
        </w:rPr>
        <w:t>.</w:t>
      </w:r>
    </w:p>
    <w:p w14:paraId="12E0BC76" w14:textId="77777777" w:rsidR="00D762DD" w:rsidRPr="00AC5577" w:rsidRDefault="00000000">
      <w:pPr>
        <w:rPr>
          <w:lang w:val="en-US"/>
        </w:rPr>
      </w:pPr>
      <w:bookmarkStart w:id="285" w:name="ref-breiman2001"/>
      <w:bookmarkEnd w:id="284"/>
      <w:proofErr w:type="spellStart"/>
      <w:r w:rsidRPr="00AC5577">
        <w:rPr>
          <w:lang w:val="en-US"/>
        </w:rPr>
        <w:t>Breiman</w:t>
      </w:r>
      <w:proofErr w:type="spellEnd"/>
      <w:r w:rsidRPr="00AC5577">
        <w:rPr>
          <w:lang w:val="en-US"/>
        </w:rPr>
        <w:t xml:space="preserve">, L. 2001. “Random Forests.” </w:t>
      </w:r>
      <w:r w:rsidRPr="00AC5577">
        <w:rPr>
          <w:i/>
          <w:iCs/>
          <w:lang w:val="en-US"/>
        </w:rPr>
        <w:t>Machine Learning</w:t>
      </w:r>
      <w:r w:rsidRPr="00AC5577">
        <w:rPr>
          <w:lang w:val="en-US"/>
        </w:rPr>
        <w:t xml:space="preserve"> 45 (1): 5–32. </w:t>
      </w:r>
      <w:hyperlink r:id="rId36">
        <w:r w:rsidRPr="00AC5577">
          <w:rPr>
            <w:rStyle w:val="Hyperlink"/>
            <w:lang w:val="en-US"/>
          </w:rPr>
          <w:t>https://doi.org/10.1023/a:1010933404324</w:t>
        </w:r>
      </w:hyperlink>
      <w:r w:rsidRPr="00AC5577">
        <w:rPr>
          <w:lang w:val="en-US"/>
        </w:rPr>
        <w:t>.</w:t>
      </w:r>
    </w:p>
    <w:p w14:paraId="52AAB157" w14:textId="77777777" w:rsidR="00D762DD" w:rsidRPr="00AC5577" w:rsidRDefault="00000000">
      <w:pPr>
        <w:rPr>
          <w:lang w:val="en-US"/>
        </w:rPr>
      </w:pPr>
      <w:bookmarkStart w:id="286" w:name="ref-brown2024"/>
      <w:bookmarkEnd w:id="285"/>
      <w:r w:rsidRPr="00AC5577">
        <w:rPr>
          <w:lang w:val="en-US"/>
        </w:rPr>
        <w:t xml:space="preserve">Brown, Dene, and Glenn Hawe. 2024. “Exploring Trade-Offs in Explainable AI.” </w:t>
      </w:r>
      <w:r w:rsidRPr="00AC5577">
        <w:rPr>
          <w:i/>
          <w:iCs/>
          <w:lang w:val="en-US"/>
        </w:rPr>
        <w:t xml:space="preserve">ACM </w:t>
      </w:r>
      <w:proofErr w:type="spellStart"/>
      <w:r w:rsidRPr="00AC5577">
        <w:rPr>
          <w:i/>
          <w:iCs/>
          <w:lang w:val="en-US"/>
        </w:rPr>
        <w:t>SIGAda</w:t>
      </w:r>
      <w:proofErr w:type="spellEnd"/>
      <w:r w:rsidRPr="00AC5577">
        <w:rPr>
          <w:i/>
          <w:iCs/>
          <w:lang w:val="en-US"/>
        </w:rPr>
        <w:t xml:space="preserve"> Ada Letters</w:t>
      </w:r>
      <w:r w:rsidRPr="00AC5577">
        <w:rPr>
          <w:lang w:val="en-US"/>
        </w:rPr>
        <w:t xml:space="preserve"> 43 (2): 36–42. </w:t>
      </w:r>
      <w:hyperlink r:id="rId37">
        <w:r w:rsidRPr="00AC5577">
          <w:rPr>
            <w:rStyle w:val="Hyperlink"/>
            <w:lang w:val="en-US"/>
          </w:rPr>
          <w:t>https://doi.org/10.1145/3672359.3672363</w:t>
        </w:r>
      </w:hyperlink>
      <w:r w:rsidRPr="00AC5577">
        <w:rPr>
          <w:lang w:val="en-US"/>
        </w:rPr>
        <w:t>.</w:t>
      </w:r>
    </w:p>
    <w:p w14:paraId="79623277" w14:textId="77777777" w:rsidR="00D762DD" w:rsidRPr="00AC5577" w:rsidRDefault="00000000">
      <w:pPr>
        <w:rPr>
          <w:lang w:val="en-US"/>
        </w:rPr>
      </w:pPr>
      <w:bookmarkStart w:id="287" w:name="ref-burger2023"/>
      <w:bookmarkEnd w:id="286"/>
      <w:r w:rsidRPr="00AC5577">
        <w:rPr>
          <w:lang w:val="en-US"/>
        </w:rPr>
        <w:t xml:space="preserve">Burger, Christopher, </w:t>
      </w:r>
      <w:proofErr w:type="spellStart"/>
      <w:r w:rsidRPr="00AC5577">
        <w:rPr>
          <w:lang w:val="en-US"/>
        </w:rPr>
        <w:t>Lingwei</w:t>
      </w:r>
      <w:proofErr w:type="spellEnd"/>
      <w:r w:rsidRPr="00AC5577">
        <w:rPr>
          <w:lang w:val="en-US"/>
        </w:rPr>
        <w:t xml:space="preserve"> Chen, and Thai Le. 2023. “Are Your Explanations Reliable? Investigating the Stability of LIME in Explaining Text Classifiers by Marrying XAI and Adversarial Attack.” </w:t>
      </w:r>
      <w:r w:rsidRPr="00AC5577">
        <w:rPr>
          <w:i/>
          <w:iCs/>
          <w:lang w:val="en-US"/>
        </w:rPr>
        <w:t>Proceedings of the 2023 Conference on Empirical Methods in Natural Language Processing</w:t>
      </w:r>
      <w:r w:rsidRPr="00AC5577">
        <w:rPr>
          <w:lang w:val="en-US"/>
        </w:rPr>
        <w:t xml:space="preserve">, 12931–44. </w:t>
      </w:r>
      <w:hyperlink r:id="rId38">
        <w:r w:rsidRPr="00AC5577">
          <w:rPr>
            <w:rStyle w:val="Hyperlink"/>
            <w:lang w:val="en-US"/>
          </w:rPr>
          <w:t>https://doi.org/10.18653/v1/2023.emnlp-main.792</w:t>
        </w:r>
      </w:hyperlink>
      <w:r w:rsidRPr="00AC5577">
        <w:rPr>
          <w:lang w:val="en-US"/>
        </w:rPr>
        <w:t>.</w:t>
      </w:r>
    </w:p>
    <w:p w14:paraId="4736F398" w14:textId="77777777" w:rsidR="00D762DD" w:rsidRPr="00AC5577" w:rsidRDefault="00000000">
      <w:pPr>
        <w:rPr>
          <w:lang w:val="en-US"/>
        </w:rPr>
      </w:pPr>
      <w:bookmarkStart w:id="288" w:name="ref-canha2025"/>
      <w:bookmarkEnd w:id="287"/>
      <w:r w:rsidRPr="00AC5577">
        <w:rPr>
          <w:lang w:val="en-US"/>
        </w:rPr>
        <w:t xml:space="preserve">Canha, D., S. Kubler, K. </w:t>
      </w:r>
      <w:proofErr w:type="spellStart"/>
      <w:r w:rsidRPr="00AC5577">
        <w:rPr>
          <w:lang w:val="en-US"/>
        </w:rPr>
        <w:t>Främling</w:t>
      </w:r>
      <w:proofErr w:type="spellEnd"/>
      <w:r w:rsidRPr="00AC5577">
        <w:rPr>
          <w:lang w:val="en-US"/>
        </w:rPr>
        <w:t xml:space="preserve">, and G. Fagherazzi. 2025. “A </w:t>
      </w:r>
      <w:proofErr w:type="gramStart"/>
      <w:r w:rsidRPr="00AC5577">
        <w:rPr>
          <w:lang w:val="en-US"/>
        </w:rPr>
        <w:t>Functionally-Grounded</w:t>
      </w:r>
      <w:proofErr w:type="gramEnd"/>
      <w:r w:rsidRPr="00AC5577">
        <w:rPr>
          <w:lang w:val="en-US"/>
        </w:rPr>
        <w:t xml:space="preserve"> Benchmark Framework for XAI Methods: Insights and Foundations from a Systematic Literature Review.” </w:t>
      </w:r>
      <w:r w:rsidRPr="00AC5577">
        <w:rPr>
          <w:i/>
          <w:iCs/>
          <w:lang w:val="en-US"/>
        </w:rPr>
        <w:t>ACM Computing Surveys</w:t>
      </w:r>
      <w:r w:rsidRPr="00AC5577">
        <w:rPr>
          <w:lang w:val="en-US"/>
        </w:rPr>
        <w:t xml:space="preserve"> 57 (12). </w:t>
      </w:r>
      <w:hyperlink r:id="rId39">
        <w:r w:rsidRPr="00AC5577">
          <w:rPr>
            <w:rStyle w:val="Hyperlink"/>
            <w:lang w:val="en-US"/>
          </w:rPr>
          <w:t>https://doi.org/10.1145/3737445</w:t>
        </w:r>
      </w:hyperlink>
      <w:r w:rsidRPr="00AC5577">
        <w:rPr>
          <w:lang w:val="en-US"/>
        </w:rPr>
        <w:t>.</w:t>
      </w:r>
    </w:p>
    <w:p w14:paraId="222BEB82" w14:textId="77777777" w:rsidR="00D762DD" w:rsidRPr="00AC5577" w:rsidRDefault="00000000">
      <w:pPr>
        <w:rPr>
          <w:lang w:val="en-US"/>
        </w:rPr>
      </w:pPr>
      <w:bookmarkStart w:id="289" w:name="ref-carvalho2019"/>
      <w:bookmarkEnd w:id="288"/>
      <w:r w:rsidRPr="00AC5577">
        <w:rPr>
          <w:lang w:val="en-US"/>
        </w:rPr>
        <w:lastRenderedPageBreak/>
        <w:t xml:space="preserve">Carvalho, Diogo V., Eduardo M. Pereira, and Jaime S. Cardoso. 2019. “Machine Learning Interpretability: A Survey on Methods and Metrics.” </w:t>
      </w:r>
      <w:r w:rsidRPr="00AC5577">
        <w:rPr>
          <w:i/>
          <w:iCs/>
          <w:lang w:val="en-US"/>
        </w:rPr>
        <w:t>Electronics</w:t>
      </w:r>
      <w:r w:rsidRPr="00AC5577">
        <w:rPr>
          <w:lang w:val="en-US"/>
        </w:rPr>
        <w:t xml:space="preserve"> 8 (8): 832. </w:t>
      </w:r>
      <w:hyperlink r:id="rId40">
        <w:r w:rsidRPr="00AC5577">
          <w:rPr>
            <w:rStyle w:val="Hyperlink"/>
            <w:lang w:val="en-US"/>
          </w:rPr>
          <w:t>https://doi.org/10.3390/electronics8080832</w:t>
        </w:r>
      </w:hyperlink>
      <w:r w:rsidRPr="00AC5577">
        <w:rPr>
          <w:lang w:val="en-US"/>
        </w:rPr>
        <w:t>.</w:t>
      </w:r>
    </w:p>
    <w:p w14:paraId="09F6932D" w14:textId="77777777" w:rsidR="00D762DD" w:rsidRPr="00AC5577" w:rsidRDefault="00000000">
      <w:pPr>
        <w:rPr>
          <w:lang w:val="en-US"/>
        </w:rPr>
      </w:pPr>
      <w:bookmarkStart w:id="290" w:name="ref-choudhari2025"/>
      <w:bookmarkEnd w:id="289"/>
      <w:r w:rsidRPr="00AC5577">
        <w:rPr>
          <w:lang w:val="en-US"/>
        </w:rPr>
        <w:t xml:space="preserve">Choudhari, Anaya, Tejal Ambhore, and Ninad Mehendale. 2025. </w:t>
      </w:r>
      <w:r w:rsidRPr="00AC5577">
        <w:rPr>
          <w:i/>
          <w:iCs/>
          <w:lang w:val="en-US"/>
        </w:rPr>
        <w:t>Explainable AI: Bridging the Gap Between Machine Intelligence and Human Understanding</w:t>
      </w:r>
      <w:r w:rsidRPr="00AC5577">
        <w:rPr>
          <w:lang w:val="en-US"/>
        </w:rPr>
        <w:t xml:space="preserve">. Elsevier BV. </w:t>
      </w:r>
      <w:hyperlink r:id="rId41">
        <w:r w:rsidRPr="00AC5577">
          <w:rPr>
            <w:rStyle w:val="Hyperlink"/>
            <w:lang w:val="en-US"/>
          </w:rPr>
          <w:t>https://doi.org/10.2139/ssrn.5040613</w:t>
        </w:r>
      </w:hyperlink>
      <w:r w:rsidRPr="00AC5577">
        <w:rPr>
          <w:lang w:val="en-US"/>
        </w:rPr>
        <w:t>.</w:t>
      </w:r>
    </w:p>
    <w:p w14:paraId="5378DA9F" w14:textId="77777777" w:rsidR="00D762DD" w:rsidRPr="00AC5577" w:rsidRDefault="00000000">
      <w:pPr>
        <w:rPr>
          <w:lang w:val="en-US"/>
        </w:rPr>
      </w:pPr>
      <w:bookmarkStart w:id="291" w:name="ref-cohen1960"/>
      <w:bookmarkEnd w:id="290"/>
      <w:r w:rsidRPr="00AC5577">
        <w:rPr>
          <w:lang w:val="en-US"/>
        </w:rPr>
        <w:t xml:space="preserve">Cohen, J. 1960. “A Coefficient of Agreement for Nominal Scales.” </w:t>
      </w:r>
      <w:r w:rsidRPr="00AC5577">
        <w:rPr>
          <w:i/>
          <w:iCs/>
          <w:lang w:val="en-US"/>
        </w:rPr>
        <w:t>Educational and Psychological Measurement</w:t>
      </w:r>
      <w:r w:rsidRPr="00AC5577">
        <w:rPr>
          <w:lang w:val="en-US"/>
        </w:rPr>
        <w:t xml:space="preserve"> 20 (1): 37–46. </w:t>
      </w:r>
      <w:hyperlink r:id="rId42">
        <w:r w:rsidRPr="00AC5577">
          <w:rPr>
            <w:rStyle w:val="Hyperlink"/>
            <w:lang w:val="en-US"/>
          </w:rPr>
          <w:t>https://doi.org/10.1177/001316446002000104</w:t>
        </w:r>
      </w:hyperlink>
      <w:r w:rsidRPr="00AC5577">
        <w:rPr>
          <w:lang w:val="en-US"/>
        </w:rPr>
        <w:t>.</w:t>
      </w:r>
    </w:p>
    <w:p w14:paraId="5E67E538" w14:textId="77777777" w:rsidR="00D762DD" w:rsidRPr="00AC5577" w:rsidRDefault="00000000">
      <w:pPr>
        <w:rPr>
          <w:lang w:val="en-US"/>
        </w:rPr>
      </w:pPr>
      <w:bookmarkStart w:id="292" w:name="ref-colley2023"/>
      <w:bookmarkEnd w:id="291"/>
      <w:r w:rsidRPr="00AC5577">
        <w:rPr>
          <w:lang w:val="en-US"/>
        </w:rPr>
        <w:t xml:space="preserve">Colley, Ashley, Matilda Kalving, Jonna </w:t>
      </w:r>
      <w:proofErr w:type="spellStart"/>
      <w:r w:rsidRPr="00AC5577">
        <w:rPr>
          <w:lang w:val="en-US"/>
        </w:rPr>
        <w:t>Häkkilä</w:t>
      </w:r>
      <w:proofErr w:type="spellEnd"/>
      <w:r w:rsidRPr="00AC5577">
        <w:rPr>
          <w:lang w:val="en-US"/>
        </w:rPr>
        <w:t xml:space="preserve">, and Kaisa Väänänen. 2023. “Exploring Tangible Explainable AI (TangXAI): A User Study of Two XAI Approaches.” </w:t>
      </w:r>
      <w:r w:rsidRPr="00AC5577">
        <w:rPr>
          <w:i/>
          <w:iCs/>
          <w:lang w:val="en-US"/>
        </w:rPr>
        <w:t>Proceedings of the 35th Australian Computer-Human Interaction Conference</w:t>
      </w:r>
      <w:r w:rsidRPr="00AC5577">
        <w:rPr>
          <w:lang w:val="en-US"/>
        </w:rPr>
        <w:t xml:space="preserve">, 679–83. </w:t>
      </w:r>
      <w:hyperlink r:id="rId43">
        <w:r w:rsidRPr="00AC5577">
          <w:rPr>
            <w:rStyle w:val="Hyperlink"/>
            <w:lang w:val="en-US"/>
          </w:rPr>
          <w:t>https://doi.org/10.1145/3638380.3638426</w:t>
        </w:r>
      </w:hyperlink>
      <w:r w:rsidRPr="00AC5577">
        <w:rPr>
          <w:lang w:val="en-US"/>
        </w:rPr>
        <w:t>.</w:t>
      </w:r>
    </w:p>
    <w:p w14:paraId="52D17EEB" w14:textId="77777777" w:rsidR="00D762DD" w:rsidRPr="00AC5577" w:rsidRDefault="00000000">
      <w:pPr>
        <w:rPr>
          <w:lang w:val="en-US"/>
        </w:rPr>
      </w:pPr>
      <w:bookmarkStart w:id="293" w:name="ref-cunha2024"/>
      <w:bookmarkEnd w:id="292"/>
      <w:r>
        <w:t xml:space="preserve">Cunha, Bianca Moreira, and Simone Diniz Junqueira Barbosa. </w:t>
      </w:r>
      <w:r w:rsidRPr="00AC5577">
        <w:rPr>
          <w:lang w:val="en-US"/>
        </w:rPr>
        <w:t xml:space="preserve">2024. “Evaluating the Effectiveness of Visual Representations of SHAP Values Toward Explainable Artificial Intelligence.” </w:t>
      </w:r>
      <w:r w:rsidRPr="00AC5577">
        <w:rPr>
          <w:i/>
          <w:iCs/>
          <w:lang w:val="en-US"/>
        </w:rPr>
        <w:t>Proceedings of the XXIII Brazilian Symposium on Human Factors in Computing Systems</w:t>
      </w:r>
      <w:r w:rsidRPr="00AC5577">
        <w:rPr>
          <w:lang w:val="en-US"/>
        </w:rPr>
        <w:t xml:space="preserve">, 1–11. </w:t>
      </w:r>
      <w:hyperlink r:id="rId44">
        <w:r w:rsidRPr="00AC5577">
          <w:rPr>
            <w:rStyle w:val="Hyperlink"/>
            <w:lang w:val="en-US"/>
          </w:rPr>
          <w:t>https://doi.org/10.1145/3702038.3702093</w:t>
        </w:r>
      </w:hyperlink>
      <w:r w:rsidRPr="00AC5577">
        <w:rPr>
          <w:lang w:val="en-US"/>
        </w:rPr>
        <w:t>.</w:t>
      </w:r>
    </w:p>
    <w:p w14:paraId="49FED496" w14:textId="77777777" w:rsidR="00D762DD" w:rsidRPr="00AC5577" w:rsidRDefault="00000000">
      <w:pPr>
        <w:rPr>
          <w:lang w:val="en-US"/>
        </w:rPr>
      </w:pPr>
      <w:bookmarkStart w:id="294" w:name="ref-demsar2006"/>
      <w:bookmarkEnd w:id="293"/>
      <w:r w:rsidRPr="00AC5577">
        <w:rPr>
          <w:lang w:val="en-US"/>
        </w:rPr>
        <w:t xml:space="preserve">Demšar, Janez. 2006. “Statistical Comparisons of Classifiers over Multiple Data Sets.” </w:t>
      </w:r>
      <w:r w:rsidRPr="00AC5577">
        <w:rPr>
          <w:i/>
          <w:iCs/>
          <w:lang w:val="en-US"/>
        </w:rPr>
        <w:t>Journal of Machine Learning Research</w:t>
      </w:r>
      <w:r w:rsidRPr="00AC5577">
        <w:rPr>
          <w:lang w:val="en-US"/>
        </w:rPr>
        <w:t xml:space="preserve"> 7: 1–30. </w:t>
      </w:r>
      <w:hyperlink r:id="rId45">
        <w:r w:rsidRPr="00AC5577">
          <w:rPr>
            <w:rStyle w:val="Hyperlink"/>
            <w:lang w:val="en-US"/>
          </w:rPr>
          <w:t>https://www.jmlr.org/papers/v7/demsar06a.html</w:t>
        </w:r>
      </w:hyperlink>
      <w:r w:rsidRPr="00AC5577">
        <w:rPr>
          <w:lang w:val="en-US"/>
        </w:rPr>
        <w:t>.</w:t>
      </w:r>
    </w:p>
    <w:p w14:paraId="502E68D1" w14:textId="77777777" w:rsidR="00D762DD" w:rsidRPr="00AC5577" w:rsidRDefault="00000000">
      <w:pPr>
        <w:rPr>
          <w:lang w:val="en-US"/>
        </w:rPr>
      </w:pPr>
      <w:bookmarkStart w:id="295" w:name="ref-doshi-velez2017"/>
      <w:bookmarkEnd w:id="294"/>
      <w:r w:rsidRPr="00AC5577">
        <w:rPr>
          <w:lang w:val="en-US"/>
        </w:rPr>
        <w:t xml:space="preserve">Doshi-Velez, &amp; Kim, F. 2017. “Towards a Rigorous Science of Interpretable Machine Learning.” </w:t>
      </w:r>
      <w:proofErr w:type="spellStart"/>
      <w:r w:rsidRPr="00AC5577">
        <w:rPr>
          <w:i/>
          <w:iCs/>
          <w:lang w:val="en-US"/>
        </w:rPr>
        <w:t>arXiv</w:t>
      </w:r>
      <w:proofErr w:type="spellEnd"/>
      <w:r w:rsidRPr="00AC5577">
        <w:rPr>
          <w:i/>
          <w:iCs/>
          <w:lang w:val="en-US"/>
        </w:rPr>
        <w:t xml:space="preserve"> (Cornell University)</w:t>
      </w:r>
      <w:r w:rsidRPr="00AC5577">
        <w:rPr>
          <w:lang w:val="en-US"/>
        </w:rPr>
        <w:t xml:space="preserve">, ahead of print. </w:t>
      </w:r>
      <w:hyperlink r:id="rId46">
        <w:r w:rsidRPr="00AC5577">
          <w:rPr>
            <w:rStyle w:val="Hyperlink"/>
            <w:lang w:val="en-US"/>
          </w:rPr>
          <w:t>https://doi.org/10.48550/arxiv.1702.08608</w:t>
        </w:r>
      </w:hyperlink>
      <w:r w:rsidRPr="00AC5577">
        <w:rPr>
          <w:lang w:val="en-US"/>
        </w:rPr>
        <w:t>.</w:t>
      </w:r>
    </w:p>
    <w:p w14:paraId="1F77EA1A" w14:textId="77777777" w:rsidR="00D762DD" w:rsidRPr="00AC5577" w:rsidRDefault="00000000">
      <w:pPr>
        <w:rPr>
          <w:lang w:val="en-US"/>
        </w:rPr>
      </w:pPr>
      <w:bookmarkStart w:id="296" w:name="ref-dua2019uci"/>
      <w:bookmarkEnd w:id="295"/>
      <w:r w:rsidRPr="00AC5577">
        <w:rPr>
          <w:lang w:val="en-US"/>
        </w:rPr>
        <w:t xml:space="preserve">Dua, </w:t>
      </w:r>
      <w:proofErr w:type="spellStart"/>
      <w:r w:rsidRPr="00AC5577">
        <w:rPr>
          <w:lang w:val="en-US"/>
        </w:rPr>
        <w:t>Dheeru</w:t>
      </w:r>
      <w:proofErr w:type="spellEnd"/>
      <w:r w:rsidRPr="00AC5577">
        <w:rPr>
          <w:lang w:val="en-US"/>
        </w:rPr>
        <w:t xml:space="preserve">, and Casey Graff. 2019. </w:t>
      </w:r>
      <w:r w:rsidRPr="00AC5577">
        <w:rPr>
          <w:i/>
          <w:iCs/>
          <w:lang w:val="en-US"/>
        </w:rPr>
        <w:t>UCI Machine Learning Repository</w:t>
      </w:r>
      <w:r w:rsidRPr="00AC5577">
        <w:rPr>
          <w:lang w:val="en-US"/>
        </w:rPr>
        <w:t xml:space="preserve">. University of California, Irvine, School of Information and Computer Sciences. </w:t>
      </w:r>
      <w:hyperlink r:id="rId47">
        <w:r w:rsidRPr="00AC5577">
          <w:rPr>
            <w:rStyle w:val="Hyperlink"/>
            <w:lang w:val="en-US"/>
          </w:rPr>
          <w:t>http://archive.ics.uci.edu/ml</w:t>
        </w:r>
      </w:hyperlink>
      <w:r w:rsidRPr="00AC5577">
        <w:rPr>
          <w:lang w:val="en-US"/>
        </w:rPr>
        <w:t>.</w:t>
      </w:r>
    </w:p>
    <w:p w14:paraId="565CA88F" w14:textId="77777777" w:rsidR="00D762DD" w:rsidRPr="00AC5577" w:rsidRDefault="00000000">
      <w:pPr>
        <w:rPr>
          <w:lang w:val="en-US"/>
        </w:rPr>
      </w:pPr>
      <w:bookmarkStart w:id="297" w:name="ref-dwivedi2022"/>
      <w:bookmarkEnd w:id="296"/>
      <w:r w:rsidRPr="00AC5577">
        <w:rPr>
          <w:lang w:val="en-US"/>
        </w:rPr>
        <w:t xml:space="preserve">Dwivedi, Dave, R. 2022. “Explainable AI (XAI): Core Ideas, Techniques, and Solutions.” </w:t>
      </w:r>
      <w:r w:rsidRPr="00AC5577">
        <w:rPr>
          <w:i/>
          <w:iCs/>
          <w:lang w:val="en-US"/>
        </w:rPr>
        <w:t>ACM Computing Surveys</w:t>
      </w:r>
      <w:r w:rsidRPr="00AC5577">
        <w:rPr>
          <w:lang w:val="en-US"/>
        </w:rPr>
        <w:t xml:space="preserve"> 55 (9): 1–33. </w:t>
      </w:r>
      <w:hyperlink r:id="rId48">
        <w:r w:rsidRPr="00AC5577">
          <w:rPr>
            <w:rStyle w:val="Hyperlink"/>
            <w:lang w:val="en-US"/>
          </w:rPr>
          <w:t>https://doi.org/10.1145/3561048</w:t>
        </w:r>
      </w:hyperlink>
      <w:r w:rsidRPr="00AC5577">
        <w:rPr>
          <w:lang w:val="en-US"/>
        </w:rPr>
        <w:t>.</w:t>
      </w:r>
    </w:p>
    <w:p w14:paraId="3BBB49DF" w14:textId="77777777" w:rsidR="00D762DD" w:rsidRPr="00AC5577" w:rsidRDefault="00000000">
      <w:pPr>
        <w:rPr>
          <w:lang w:val="en-US"/>
        </w:rPr>
      </w:pPr>
      <w:bookmarkStart w:id="298" w:name="ref-ehsan2024"/>
      <w:bookmarkEnd w:id="297"/>
      <w:r w:rsidRPr="00AC5577">
        <w:rPr>
          <w:lang w:val="en-US"/>
        </w:rPr>
        <w:lastRenderedPageBreak/>
        <w:t xml:space="preserve">Ehsan, Upol, and Mark Riedl. 2024. “Explainable AI Reloaded: Challenging the XAI Status Quo in the Era of Large Language Models.” </w:t>
      </w:r>
      <w:r w:rsidRPr="00AC5577">
        <w:rPr>
          <w:i/>
          <w:iCs/>
          <w:lang w:val="en-US"/>
        </w:rPr>
        <w:t>Proceedings of the Halfway to the Future Symposium</w:t>
      </w:r>
      <w:r w:rsidRPr="00AC5577">
        <w:rPr>
          <w:lang w:val="en-US"/>
        </w:rPr>
        <w:t xml:space="preserve">, 1–8. </w:t>
      </w:r>
      <w:hyperlink r:id="rId49">
        <w:r w:rsidRPr="00AC5577">
          <w:rPr>
            <w:rStyle w:val="Hyperlink"/>
            <w:lang w:val="en-US"/>
          </w:rPr>
          <w:t>https://doi.org/10.1145/3686169.3686185</w:t>
        </w:r>
      </w:hyperlink>
      <w:r w:rsidRPr="00AC5577">
        <w:rPr>
          <w:lang w:val="en-US"/>
        </w:rPr>
        <w:t>.</w:t>
      </w:r>
    </w:p>
    <w:p w14:paraId="1B0DB446" w14:textId="77777777" w:rsidR="00D762DD" w:rsidRPr="00AC5577" w:rsidRDefault="00000000">
      <w:pPr>
        <w:rPr>
          <w:lang w:val="en-US"/>
        </w:rPr>
      </w:pPr>
      <w:bookmarkStart w:id="299" w:name="ref-ehsan2023"/>
      <w:bookmarkEnd w:id="298"/>
      <w:r w:rsidRPr="00AC5577">
        <w:rPr>
          <w:lang w:val="en-US"/>
        </w:rPr>
        <w:t xml:space="preserve">Ehsan, Upol, Philipp Wintersberger, Elizabeth A Watkins, et al. 2023. “Human-Centered Explainable AI (HCXAI): Coming of Age.” </w:t>
      </w:r>
      <w:r w:rsidRPr="00AC5577">
        <w:rPr>
          <w:i/>
          <w:iCs/>
          <w:lang w:val="en-US"/>
        </w:rPr>
        <w:t>Extended Abstracts of the 2023 CHI Conference on Human Factors in Computing Systems</w:t>
      </w:r>
      <w:r w:rsidRPr="00AC5577">
        <w:rPr>
          <w:lang w:val="en-US"/>
        </w:rPr>
        <w:t xml:space="preserve">, 1–7. </w:t>
      </w:r>
      <w:hyperlink r:id="rId50">
        <w:r w:rsidRPr="00AC5577">
          <w:rPr>
            <w:rStyle w:val="Hyperlink"/>
            <w:lang w:val="en-US"/>
          </w:rPr>
          <w:t>https://doi.org/10.1145/3544549.3573832</w:t>
        </w:r>
      </w:hyperlink>
      <w:r w:rsidRPr="00AC5577">
        <w:rPr>
          <w:lang w:val="en-US"/>
        </w:rPr>
        <w:t>.</w:t>
      </w:r>
    </w:p>
    <w:p w14:paraId="77C9A71C" w14:textId="77777777" w:rsidR="00D762DD" w:rsidRPr="00AC5577" w:rsidRDefault="00000000">
      <w:pPr>
        <w:rPr>
          <w:lang w:val="en-US"/>
        </w:rPr>
      </w:pPr>
      <w:bookmarkStart w:id="300" w:name="ref-fan2026"/>
      <w:bookmarkEnd w:id="299"/>
      <w:r w:rsidRPr="00AC5577">
        <w:rPr>
          <w:lang w:val="en-US"/>
        </w:rPr>
        <w:t xml:space="preserve">Fan, Siyuan, </w:t>
      </w:r>
      <w:proofErr w:type="spellStart"/>
      <w:r w:rsidRPr="00AC5577">
        <w:rPr>
          <w:lang w:val="en-US"/>
        </w:rPr>
        <w:t>Derui</w:t>
      </w:r>
      <w:proofErr w:type="spellEnd"/>
      <w:r w:rsidRPr="00AC5577">
        <w:rPr>
          <w:lang w:val="en-US"/>
        </w:rPr>
        <w:t xml:space="preserve"> Zhu, and Zhe Yu. 2026. </w:t>
      </w:r>
      <w:r w:rsidRPr="00AC5577">
        <w:rPr>
          <w:i/>
          <w:iCs/>
          <w:lang w:val="en-US"/>
        </w:rPr>
        <w:t>A Systematic Literature Review of Explainability-Based Model Editing</w:t>
      </w:r>
      <w:r w:rsidRPr="00AC5577">
        <w:rPr>
          <w:lang w:val="en-US"/>
        </w:rPr>
        <w:t xml:space="preserve">. Elsevier BV. </w:t>
      </w:r>
      <w:hyperlink r:id="rId51">
        <w:r w:rsidRPr="00AC5577">
          <w:rPr>
            <w:rStyle w:val="Hyperlink"/>
            <w:lang w:val="en-US"/>
          </w:rPr>
          <w:t>https://doi.org/10.2139/ssrn.6847479</w:t>
        </w:r>
      </w:hyperlink>
      <w:r w:rsidRPr="00AC5577">
        <w:rPr>
          <w:lang w:val="en-US"/>
        </w:rPr>
        <w:t>.</w:t>
      </w:r>
    </w:p>
    <w:p w14:paraId="0E1CDA88" w14:textId="77777777" w:rsidR="00D762DD" w:rsidRPr="00AC5577" w:rsidRDefault="00000000">
      <w:pPr>
        <w:rPr>
          <w:lang w:val="en-US"/>
        </w:rPr>
      </w:pPr>
      <w:bookmarkStart w:id="301" w:name="ref-feldkamp2023"/>
      <w:bookmarkEnd w:id="300"/>
      <w:r w:rsidRPr="00AC5577">
        <w:rPr>
          <w:lang w:val="en-US"/>
        </w:rPr>
        <w:t xml:space="preserve">Feldkamp, Niclas, and Steffen Strassburger. 2023. “From Explainable AI to Explainable Simulation: Using Machine Learning and XAI to Understand System Robustness.” </w:t>
      </w:r>
      <w:r w:rsidRPr="00AC5577">
        <w:rPr>
          <w:i/>
          <w:iCs/>
          <w:lang w:val="en-US"/>
        </w:rPr>
        <w:t>ACM SIGSIM Conference on Principles of Advanced Discrete Simulation</w:t>
      </w:r>
      <w:r w:rsidRPr="00AC5577">
        <w:rPr>
          <w:lang w:val="en-US"/>
        </w:rPr>
        <w:t xml:space="preserve">, 96–106. </w:t>
      </w:r>
      <w:hyperlink r:id="rId52">
        <w:r w:rsidRPr="00AC5577">
          <w:rPr>
            <w:rStyle w:val="Hyperlink"/>
            <w:lang w:val="en-US"/>
          </w:rPr>
          <w:t>https://doi.org/10.1145/3573900.3591114</w:t>
        </w:r>
      </w:hyperlink>
      <w:r w:rsidRPr="00AC5577">
        <w:rPr>
          <w:lang w:val="en-US"/>
        </w:rPr>
        <w:t>.</w:t>
      </w:r>
    </w:p>
    <w:p w14:paraId="03F8428A" w14:textId="77777777" w:rsidR="00D762DD" w:rsidRPr="00AC5577" w:rsidRDefault="00000000">
      <w:pPr>
        <w:rPr>
          <w:lang w:val="en-US"/>
        </w:rPr>
      </w:pPr>
      <w:bookmarkStart w:id="302" w:name="ref-fisher2019"/>
      <w:bookmarkEnd w:id="301"/>
      <w:r w:rsidRPr="00AC5577">
        <w:rPr>
          <w:lang w:val="en-US"/>
        </w:rPr>
        <w:t xml:space="preserve">Fisher, Aaron, Cynthia Rudin, and Francesca Dominici. 2019. “All Models Are Wrong, but Many Are Useful: Learning a Variable’s Importance by Studying an Entire Class of Prediction Models Simultaneously.” </w:t>
      </w:r>
      <w:r w:rsidRPr="00AC5577">
        <w:rPr>
          <w:i/>
          <w:iCs/>
          <w:lang w:val="en-US"/>
        </w:rPr>
        <w:t>Journal of Machine Learning Research</w:t>
      </w:r>
      <w:r w:rsidRPr="00AC5577">
        <w:rPr>
          <w:lang w:val="en-US"/>
        </w:rPr>
        <w:t>.</w:t>
      </w:r>
    </w:p>
    <w:p w14:paraId="661D6546" w14:textId="77777777" w:rsidR="00D762DD" w:rsidRPr="00AC5577" w:rsidRDefault="00000000">
      <w:pPr>
        <w:rPr>
          <w:lang w:val="en-US"/>
        </w:rPr>
      </w:pPr>
      <w:bookmarkStart w:id="303" w:name="ref-floridi2018"/>
      <w:bookmarkEnd w:id="302"/>
      <w:proofErr w:type="spellStart"/>
      <w:r w:rsidRPr="00AC5577">
        <w:rPr>
          <w:lang w:val="en-US"/>
        </w:rPr>
        <w:t>Floridi</w:t>
      </w:r>
      <w:proofErr w:type="spellEnd"/>
      <w:r w:rsidRPr="00AC5577">
        <w:rPr>
          <w:lang w:val="en-US"/>
        </w:rPr>
        <w:t xml:space="preserve">, Cowls, L. 2018. “AI4People—an Ethical Framework for a Good AI Society: Opportunities, Risks, Principles, and Recommendations.” </w:t>
      </w:r>
      <w:r w:rsidRPr="00AC5577">
        <w:rPr>
          <w:i/>
          <w:iCs/>
          <w:lang w:val="en-US"/>
        </w:rPr>
        <w:t>Minds and Machines</w:t>
      </w:r>
      <w:r w:rsidRPr="00AC5577">
        <w:rPr>
          <w:lang w:val="en-US"/>
        </w:rPr>
        <w:t xml:space="preserve"> 28 (4): 689–707. </w:t>
      </w:r>
      <w:hyperlink r:id="rId53">
        <w:r w:rsidRPr="00AC5577">
          <w:rPr>
            <w:rStyle w:val="Hyperlink"/>
            <w:lang w:val="en-US"/>
          </w:rPr>
          <w:t>https://doi.org/10.1007/s11023-018-9482-5</w:t>
        </w:r>
      </w:hyperlink>
      <w:r w:rsidRPr="00AC5577">
        <w:rPr>
          <w:lang w:val="en-US"/>
        </w:rPr>
        <w:t>.</w:t>
      </w:r>
    </w:p>
    <w:p w14:paraId="10C310AA" w14:textId="77777777" w:rsidR="00D762DD" w:rsidRPr="00AC5577" w:rsidRDefault="00000000">
      <w:pPr>
        <w:rPr>
          <w:lang w:val="en-US"/>
        </w:rPr>
      </w:pPr>
      <w:bookmarkStart w:id="304" w:name="ref-friedman2008"/>
      <w:bookmarkEnd w:id="303"/>
      <w:r w:rsidRPr="00AC5577">
        <w:rPr>
          <w:lang w:val="en-US"/>
        </w:rPr>
        <w:t xml:space="preserve">Friedman, &amp; Popescu, J. H. 2008. “Predictive Learning via Rule Ensembles.” </w:t>
      </w:r>
      <w:r w:rsidRPr="00AC5577">
        <w:rPr>
          <w:i/>
          <w:iCs/>
          <w:lang w:val="en-US"/>
        </w:rPr>
        <w:t>The Annals of Applied Statistics</w:t>
      </w:r>
      <w:r w:rsidRPr="00AC5577">
        <w:rPr>
          <w:lang w:val="en-US"/>
        </w:rPr>
        <w:t xml:space="preserve"> 2 (3). </w:t>
      </w:r>
      <w:hyperlink r:id="rId54">
        <w:r w:rsidRPr="00AC5577">
          <w:rPr>
            <w:rStyle w:val="Hyperlink"/>
            <w:lang w:val="en-US"/>
          </w:rPr>
          <w:t>https://doi.org/10.1214/07-aoas148</w:t>
        </w:r>
      </w:hyperlink>
      <w:r w:rsidRPr="00AC5577">
        <w:rPr>
          <w:lang w:val="en-US"/>
        </w:rPr>
        <w:t>.</w:t>
      </w:r>
    </w:p>
    <w:p w14:paraId="26630241" w14:textId="77777777" w:rsidR="00D762DD" w:rsidRPr="00AC5577" w:rsidRDefault="00000000">
      <w:pPr>
        <w:rPr>
          <w:lang w:val="en-US"/>
        </w:rPr>
      </w:pPr>
      <w:bookmarkStart w:id="305" w:name="ref-friedman2001"/>
      <w:bookmarkEnd w:id="304"/>
      <w:r w:rsidRPr="00AC5577">
        <w:rPr>
          <w:lang w:val="en-US"/>
        </w:rPr>
        <w:t xml:space="preserve">Friedman, J. H. 2001. “Greedy Function Approximation: A Gradient Boosting Machine.” </w:t>
      </w:r>
      <w:r w:rsidRPr="00AC5577">
        <w:rPr>
          <w:i/>
          <w:iCs/>
          <w:lang w:val="en-US"/>
        </w:rPr>
        <w:t>The Annals of Statistics</w:t>
      </w:r>
      <w:r w:rsidRPr="00AC5577">
        <w:rPr>
          <w:lang w:val="en-US"/>
        </w:rPr>
        <w:t xml:space="preserve"> 29 (5). </w:t>
      </w:r>
      <w:hyperlink r:id="rId55">
        <w:r w:rsidRPr="00AC5577">
          <w:rPr>
            <w:rStyle w:val="Hyperlink"/>
            <w:lang w:val="en-US"/>
          </w:rPr>
          <w:t>https://doi.org/10.1214/aos/1013203451</w:t>
        </w:r>
      </w:hyperlink>
      <w:r w:rsidRPr="00AC5577">
        <w:rPr>
          <w:lang w:val="en-US"/>
        </w:rPr>
        <w:t>.</w:t>
      </w:r>
    </w:p>
    <w:p w14:paraId="3F5A4FCE" w14:textId="77777777" w:rsidR="00D762DD" w:rsidRPr="00AC5577" w:rsidRDefault="00000000">
      <w:pPr>
        <w:rPr>
          <w:lang w:val="en-US"/>
        </w:rPr>
      </w:pPr>
      <w:bookmarkStart w:id="306" w:name="ref-friedman1937"/>
      <w:bookmarkEnd w:id="305"/>
      <w:r w:rsidRPr="00AC5577">
        <w:rPr>
          <w:lang w:val="en-US"/>
        </w:rPr>
        <w:t xml:space="preserve">Friedman, Milton. 1937. “The Use of Ranks to Avoid the Assumption of Normality Implicit in the Analysis of Variance.” </w:t>
      </w:r>
      <w:r w:rsidRPr="00AC5577">
        <w:rPr>
          <w:i/>
          <w:iCs/>
          <w:lang w:val="en-US"/>
        </w:rPr>
        <w:t>Journal of the American Statistical Association</w:t>
      </w:r>
      <w:r w:rsidRPr="00AC5577">
        <w:rPr>
          <w:lang w:val="en-US"/>
        </w:rPr>
        <w:t xml:space="preserve"> 32 (200): 675–701. </w:t>
      </w:r>
      <w:hyperlink r:id="rId56">
        <w:r w:rsidRPr="00AC5577">
          <w:rPr>
            <w:rStyle w:val="Hyperlink"/>
            <w:lang w:val="en-US"/>
          </w:rPr>
          <w:t>https://doi.org/10.1080/01621459.1937.10503522</w:t>
        </w:r>
      </w:hyperlink>
      <w:r w:rsidRPr="00AC5577">
        <w:rPr>
          <w:lang w:val="en-US"/>
        </w:rPr>
        <w:t>.</w:t>
      </w:r>
    </w:p>
    <w:p w14:paraId="06B463A9" w14:textId="77777777" w:rsidR="00D762DD" w:rsidRPr="00AC5577" w:rsidRDefault="00000000">
      <w:pPr>
        <w:rPr>
          <w:lang w:val="en-US"/>
        </w:rPr>
      </w:pPr>
      <w:bookmarkStart w:id="307" w:name="ref-gafur2024"/>
      <w:bookmarkEnd w:id="306"/>
      <w:r w:rsidRPr="00AC5577">
        <w:rPr>
          <w:lang w:val="en-US"/>
        </w:rPr>
        <w:lastRenderedPageBreak/>
        <w:t xml:space="preserve">Gafur, Jamil, Steve Goddard, and William Lai. 2024. “Adversarial Robustness and Explainability of Machine Learning Models.” </w:t>
      </w:r>
      <w:r w:rsidRPr="00AC5577">
        <w:rPr>
          <w:i/>
          <w:iCs/>
          <w:lang w:val="en-US"/>
        </w:rPr>
        <w:t>Practice and Experience in Advanced Research Computing 2024: Human Powered Computing</w:t>
      </w:r>
      <w:r w:rsidRPr="00AC5577">
        <w:rPr>
          <w:lang w:val="en-US"/>
        </w:rPr>
        <w:t xml:space="preserve">, 1–7. </w:t>
      </w:r>
      <w:hyperlink r:id="rId57">
        <w:r w:rsidRPr="00AC5577">
          <w:rPr>
            <w:rStyle w:val="Hyperlink"/>
            <w:lang w:val="en-US"/>
          </w:rPr>
          <w:t>https://doi.org/10.1145/3626203.3670522</w:t>
        </w:r>
      </w:hyperlink>
      <w:r w:rsidRPr="00AC5577">
        <w:rPr>
          <w:lang w:val="en-US"/>
        </w:rPr>
        <w:t>.</w:t>
      </w:r>
    </w:p>
    <w:p w14:paraId="51600B5B" w14:textId="77777777" w:rsidR="00D762DD" w:rsidRPr="00AC5577" w:rsidRDefault="00000000">
      <w:pPr>
        <w:rPr>
          <w:lang w:val="en-US"/>
        </w:rPr>
      </w:pPr>
      <w:bookmarkStart w:id="308" w:name="ref-gilpin2018"/>
      <w:bookmarkEnd w:id="307"/>
      <w:r w:rsidRPr="00AC5577">
        <w:rPr>
          <w:lang w:val="en-US"/>
        </w:rPr>
        <w:t xml:space="preserve">Gilpin, Bau, L. H. 2018. “Explaining Explanations: An Overview of Interpretability of Machine Learning.” </w:t>
      </w:r>
      <w:r w:rsidRPr="00AC5577">
        <w:rPr>
          <w:i/>
          <w:iCs/>
          <w:lang w:val="en-US"/>
        </w:rPr>
        <w:t>2022 IEEE 9th International Conference on Data Science and Advanced Analytics (DSAA), 80–89</w:t>
      </w:r>
      <w:r w:rsidRPr="00AC5577">
        <w:rPr>
          <w:lang w:val="en-US"/>
        </w:rPr>
        <w:t xml:space="preserve">, ahead of print. </w:t>
      </w:r>
      <w:hyperlink r:id="rId58">
        <w:r w:rsidRPr="00AC5577">
          <w:rPr>
            <w:rStyle w:val="Hyperlink"/>
            <w:lang w:val="en-US"/>
          </w:rPr>
          <w:t>https://doi.org/10.1109/dsaa.2018.00018</w:t>
        </w:r>
      </w:hyperlink>
      <w:r w:rsidRPr="00AC5577">
        <w:rPr>
          <w:lang w:val="en-US"/>
        </w:rPr>
        <w:t>.</w:t>
      </w:r>
    </w:p>
    <w:p w14:paraId="6CA08E67" w14:textId="77777777" w:rsidR="00D762DD" w:rsidRPr="00AC5577" w:rsidRDefault="00000000">
      <w:pPr>
        <w:rPr>
          <w:lang w:val="en-US"/>
        </w:rPr>
      </w:pPr>
      <w:bookmarkStart w:id="309" w:name="ref-goldstein2014"/>
      <w:bookmarkEnd w:id="308"/>
      <w:r w:rsidRPr="00AC5577">
        <w:rPr>
          <w:lang w:val="en-US"/>
        </w:rPr>
        <w:t xml:space="preserve">Goldstein, </w:t>
      </w:r>
      <w:proofErr w:type="spellStart"/>
      <w:r w:rsidRPr="00AC5577">
        <w:rPr>
          <w:lang w:val="en-US"/>
        </w:rPr>
        <w:t>Kapelner</w:t>
      </w:r>
      <w:proofErr w:type="spellEnd"/>
      <w:r w:rsidRPr="00AC5577">
        <w:rPr>
          <w:lang w:val="en-US"/>
        </w:rPr>
        <w:t xml:space="preserve">, A. 2014. “Peeking Inside the Black Box: Visualizing Statistical Learning with Plots of Individual Conditional Expectation.” </w:t>
      </w:r>
      <w:r w:rsidRPr="00AC5577">
        <w:rPr>
          <w:i/>
          <w:iCs/>
          <w:lang w:val="en-US"/>
        </w:rPr>
        <w:t>Journal of Computational and Graphical Statistics</w:t>
      </w:r>
      <w:r w:rsidRPr="00AC5577">
        <w:rPr>
          <w:lang w:val="en-US"/>
        </w:rPr>
        <w:t xml:space="preserve"> 24 (1): 44–65. </w:t>
      </w:r>
      <w:hyperlink r:id="rId59">
        <w:r w:rsidRPr="00AC5577">
          <w:rPr>
            <w:rStyle w:val="Hyperlink"/>
            <w:lang w:val="en-US"/>
          </w:rPr>
          <w:t>https://doi.org/10.1080/10618600.2014.907095</w:t>
        </w:r>
      </w:hyperlink>
      <w:r w:rsidRPr="00AC5577">
        <w:rPr>
          <w:lang w:val="en-US"/>
        </w:rPr>
        <w:t>.</w:t>
      </w:r>
    </w:p>
    <w:p w14:paraId="6683F848" w14:textId="77777777" w:rsidR="00D762DD" w:rsidRPr="00AC5577" w:rsidRDefault="00000000">
      <w:pPr>
        <w:rPr>
          <w:lang w:val="en-US"/>
        </w:rPr>
      </w:pPr>
      <w:bookmarkStart w:id="310" w:name="ref-gomez2024"/>
      <w:bookmarkEnd w:id="309"/>
      <w:r w:rsidRPr="00AC5577">
        <w:rPr>
          <w:lang w:val="en-US"/>
        </w:rPr>
        <w:t xml:space="preserve">Gomez, Manuel J., Álvaro Armada Sánchez, Mariano Albaladejo-González, Félix J. García Clemente, and José A. </w:t>
      </w:r>
      <w:proofErr w:type="spellStart"/>
      <w:r w:rsidRPr="00AC5577">
        <w:rPr>
          <w:lang w:val="en-US"/>
        </w:rPr>
        <w:t>Ruipérez</w:t>
      </w:r>
      <w:proofErr w:type="spellEnd"/>
      <w:r w:rsidRPr="00AC5577">
        <w:rPr>
          <w:lang w:val="en-US"/>
        </w:rPr>
        <w:t xml:space="preserve">-Valiente. 2024. “Utilizing Explainable AI to Enhance Real-Time Student Performance Prediction in Educational Serious Games.” </w:t>
      </w:r>
      <w:r w:rsidRPr="00AC5577">
        <w:rPr>
          <w:i/>
          <w:iCs/>
          <w:lang w:val="en-US"/>
        </w:rPr>
        <w:t>Proceedings of the 39th ACM/SIGAPP Symposium on Applied Computing</w:t>
      </w:r>
      <w:r w:rsidRPr="00AC5577">
        <w:rPr>
          <w:lang w:val="en-US"/>
        </w:rPr>
        <w:t xml:space="preserve">, 93–94. </w:t>
      </w:r>
      <w:hyperlink r:id="rId60">
        <w:r w:rsidRPr="00AC5577">
          <w:rPr>
            <w:rStyle w:val="Hyperlink"/>
            <w:lang w:val="en-US"/>
          </w:rPr>
          <w:t>https://doi.org/10.1145/3605098.3636109</w:t>
        </w:r>
      </w:hyperlink>
      <w:r w:rsidRPr="00AC5577">
        <w:rPr>
          <w:lang w:val="en-US"/>
        </w:rPr>
        <w:t>.</w:t>
      </w:r>
    </w:p>
    <w:p w14:paraId="6FD8CD87" w14:textId="77777777" w:rsidR="00D762DD" w:rsidRPr="00AC5577" w:rsidRDefault="00000000">
      <w:pPr>
        <w:rPr>
          <w:lang w:val="en-US"/>
        </w:rPr>
      </w:pPr>
      <w:bookmarkStart w:id="311" w:name="ref-guidotti2018"/>
      <w:bookmarkEnd w:id="310"/>
      <w:r w:rsidRPr="00AC5577">
        <w:rPr>
          <w:lang w:val="en-US"/>
        </w:rPr>
        <w:t xml:space="preserve">Guidotti, Riccardo, Anna Monreale, Salvatore Ruggieri, Franco Turini, Fosca Giannotti, and Dino Pedreschi. 2018. “A Survey of Methods for Explaining Black Box Models.” </w:t>
      </w:r>
      <w:r w:rsidRPr="00AC5577">
        <w:rPr>
          <w:i/>
          <w:iCs/>
          <w:lang w:val="en-US"/>
        </w:rPr>
        <w:t>ACM Computing Surveys</w:t>
      </w:r>
      <w:r w:rsidRPr="00AC5577">
        <w:rPr>
          <w:lang w:val="en-US"/>
        </w:rPr>
        <w:t xml:space="preserve"> 51 (5): 1–42. </w:t>
      </w:r>
      <w:hyperlink r:id="rId61">
        <w:r w:rsidRPr="00AC5577">
          <w:rPr>
            <w:rStyle w:val="Hyperlink"/>
            <w:lang w:val="en-US"/>
          </w:rPr>
          <w:t>https://doi.org/10.1145/3236009</w:t>
        </w:r>
      </w:hyperlink>
      <w:r w:rsidRPr="00AC5577">
        <w:rPr>
          <w:lang w:val="en-US"/>
        </w:rPr>
        <w:t>.</w:t>
      </w:r>
    </w:p>
    <w:p w14:paraId="6B51990B" w14:textId="77777777" w:rsidR="00D762DD" w:rsidRPr="00AC5577" w:rsidRDefault="00000000">
      <w:pPr>
        <w:rPr>
          <w:lang w:val="en-US"/>
        </w:rPr>
      </w:pPr>
      <w:bookmarkStart w:id="312" w:name="ref-hase2020"/>
      <w:bookmarkEnd w:id="311"/>
      <w:r w:rsidRPr="00AC5577">
        <w:rPr>
          <w:lang w:val="en-US"/>
        </w:rPr>
        <w:t xml:space="preserve">Hase, Peter, and Mohit Bansal. 2020. “Evaluating Explainable AI: Which Algorithmic Explanations Help Users Predict Model Behavior?” </w:t>
      </w:r>
      <w:r w:rsidRPr="00AC5577">
        <w:rPr>
          <w:i/>
          <w:iCs/>
          <w:lang w:val="en-US"/>
        </w:rPr>
        <w:t>Proceedings of the 58th Annual Meeting of the Association for Computational Linguistics</w:t>
      </w:r>
      <w:r w:rsidRPr="00AC5577">
        <w:rPr>
          <w:lang w:val="en-US"/>
        </w:rPr>
        <w:t xml:space="preserve">, 5540–52. </w:t>
      </w:r>
      <w:hyperlink r:id="rId62">
        <w:r w:rsidRPr="00AC5577">
          <w:rPr>
            <w:rStyle w:val="Hyperlink"/>
            <w:lang w:val="en-US"/>
          </w:rPr>
          <w:t>https://doi.org/10.18653/v1/2020.acl-main.491</w:t>
        </w:r>
      </w:hyperlink>
      <w:r w:rsidRPr="00AC5577">
        <w:rPr>
          <w:lang w:val="en-US"/>
        </w:rPr>
        <w:t>.</w:t>
      </w:r>
    </w:p>
    <w:p w14:paraId="34693581" w14:textId="77777777" w:rsidR="00D762DD" w:rsidRPr="00AC5577" w:rsidRDefault="00000000">
      <w:pPr>
        <w:rPr>
          <w:lang w:val="en-US"/>
        </w:rPr>
      </w:pPr>
      <w:bookmarkStart w:id="313" w:name="ref-hassija2023"/>
      <w:bookmarkEnd w:id="312"/>
      <w:proofErr w:type="spellStart"/>
      <w:r w:rsidRPr="00AC5577">
        <w:rPr>
          <w:lang w:val="en-US"/>
        </w:rPr>
        <w:t>Hassija</w:t>
      </w:r>
      <w:proofErr w:type="spellEnd"/>
      <w:r w:rsidRPr="00AC5577">
        <w:rPr>
          <w:lang w:val="en-US"/>
        </w:rPr>
        <w:t xml:space="preserve">, </w:t>
      </w:r>
      <w:proofErr w:type="spellStart"/>
      <w:r w:rsidRPr="00AC5577">
        <w:rPr>
          <w:lang w:val="en-US"/>
        </w:rPr>
        <w:t>Chamola</w:t>
      </w:r>
      <w:proofErr w:type="spellEnd"/>
      <w:r w:rsidRPr="00AC5577">
        <w:rPr>
          <w:lang w:val="en-US"/>
        </w:rPr>
        <w:t xml:space="preserve">, V. 2023. “Interpreting Black-Box Models: A Review on Explainable Artificial Intelligence.” </w:t>
      </w:r>
      <w:r w:rsidRPr="00AC5577">
        <w:rPr>
          <w:i/>
          <w:iCs/>
          <w:lang w:val="en-US"/>
        </w:rPr>
        <w:t>Cognitive Computation</w:t>
      </w:r>
      <w:r w:rsidRPr="00AC5577">
        <w:rPr>
          <w:lang w:val="en-US"/>
        </w:rPr>
        <w:t xml:space="preserve"> 16 (1): 45–74. </w:t>
      </w:r>
      <w:hyperlink r:id="rId63">
        <w:r w:rsidRPr="00AC5577">
          <w:rPr>
            <w:rStyle w:val="Hyperlink"/>
            <w:lang w:val="en-US"/>
          </w:rPr>
          <w:t>https://doi.org/10.1007/s12559-023-10179-8</w:t>
        </w:r>
      </w:hyperlink>
      <w:r w:rsidRPr="00AC5577">
        <w:rPr>
          <w:lang w:val="en-US"/>
        </w:rPr>
        <w:t>.</w:t>
      </w:r>
    </w:p>
    <w:p w14:paraId="43366F1A" w14:textId="77777777" w:rsidR="00D762DD" w:rsidRPr="00AC5577" w:rsidRDefault="00000000">
      <w:pPr>
        <w:rPr>
          <w:lang w:val="en-US"/>
        </w:rPr>
      </w:pPr>
      <w:bookmarkStart w:id="314" w:name="ref-hedstrom2023"/>
      <w:bookmarkEnd w:id="313"/>
      <w:r w:rsidRPr="00AC5577">
        <w:rPr>
          <w:lang w:val="en-US"/>
        </w:rPr>
        <w:lastRenderedPageBreak/>
        <w:t>Hedström, A., L. Weber, D. Bareeva, et al. 2023. “</w:t>
      </w:r>
      <w:proofErr w:type="spellStart"/>
      <w:r w:rsidRPr="00AC5577">
        <w:rPr>
          <w:lang w:val="en-US"/>
        </w:rPr>
        <w:t>Quantus</w:t>
      </w:r>
      <w:proofErr w:type="spellEnd"/>
      <w:r w:rsidRPr="00AC5577">
        <w:rPr>
          <w:lang w:val="en-US"/>
        </w:rPr>
        <w:t xml:space="preserve">: An Explainable AI Toolkit for Responsible Evaluation of Neural Network Explanations and Beyond.” </w:t>
      </w:r>
      <w:r w:rsidRPr="00AC5577">
        <w:rPr>
          <w:i/>
          <w:iCs/>
          <w:lang w:val="en-US"/>
        </w:rPr>
        <w:t>Journal of Machine Learning Research</w:t>
      </w:r>
      <w:r w:rsidRPr="00AC5577">
        <w:rPr>
          <w:lang w:val="en-US"/>
        </w:rPr>
        <w:t xml:space="preserve"> 24 (34): 1–11.</w:t>
      </w:r>
    </w:p>
    <w:p w14:paraId="1A511F1A" w14:textId="77777777" w:rsidR="00D762DD" w:rsidRPr="00AC5577" w:rsidRDefault="00000000">
      <w:pPr>
        <w:rPr>
          <w:lang w:val="en-US"/>
        </w:rPr>
      </w:pPr>
      <w:bookmarkStart w:id="315" w:name="ref-hess2023"/>
      <w:bookmarkEnd w:id="314"/>
      <w:r w:rsidRPr="00AC5577">
        <w:rPr>
          <w:lang w:val="en-US"/>
        </w:rPr>
        <w:t>Hess, Samuel, and Gregory Ditzler. 2023. “</w:t>
      </w:r>
      <w:proofErr w:type="spellStart"/>
      <w:r w:rsidRPr="00AC5577">
        <w:rPr>
          <w:lang w:val="en-US"/>
        </w:rPr>
        <w:t>ProtoShotXAI</w:t>
      </w:r>
      <w:proofErr w:type="spellEnd"/>
      <w:r w:rsidRPr="00AC5577">
        <w:rPr>
          <w:lang w:val="en-US"/>
        </w:rPr>
        <w:t xml:space="preserve">: Using Prototypical Few-Shot Architecture for Explainable AI.” </w:t>
      </w:r>
      <w:r w:rsidRPr="00AC5577">
        <w:rPr>
          <w:i/>
          <w:iCs/>
          <w:lang w:val="en-US"/>
        </w:rPr>
        <w:t>Journal of Machine Learning Research</w:t>
      </w:r>
      <w:r w:rsidRPr="00AC5577">
        <w:rPr>
          <w:lang w:val="en-US"/>
        </w:rPr>
        <w:t xml:space="preserve"> 24: 1–49.</w:t>
      </w:r>
    </w:p>
    <w:p w14:paraId="3522D614" w14:textId="77777777" w:rsidR="00D762DD" w:rsidRPr="00AC5577" w:rsidRDefault="00000000">
      <w:pPr>
        <w:rPr>
          <w:lang w:val="en-US"/>
        </w:rPr>
      </w:pPr>
      <w:bookmarkStart w:id="316" w:name="ref-hoffman2023"/>
      <w:bookmarkEnd w:id="315"/>
      <w:r w:rsidRPr="00AC5577">
        <w:rPr>
          <w:lang w:val="en-US"/>
        </w:rPr>
        <w:t xml:space="preserve">Hoffman, Robert R., Timothy Miller, Gary Klein, Shane T. Mueller, and William J. Clancey. 2023. “Increasing the Value of XAI for Users: A Psychological Perspective.” </w:t>
      </w:r>
      <w:r w:rsidRPr="00AC5577">
        <w:rPr>
          <w:i/>
          <w:iCs/>
          <w:lang w:val="en-US"/>
        </w:rPr>
        <w:t xml:space="preserve">KI - </w:t>
      </w:r>
      <w:proofErr w:type="spellStart"/>
      <w:r w:rsidRPr="00AC5577">
        <w:rPr>
          <w:i/>
          <w:iCs/>
          <w:lang w:val="en-US"/>
        </w:rPr>
        <w:t>Künstliche</w:t>
      </w:r>
      <w:proofErr w:type="spellEnd"/>
      <w:r w:rsidRPr="00AC5577">
        <w:rPr>
          <w:i/>
          <w:iCs/>
          <w:lang w:val="en-US"/>
        </w:rPr>
        <w:t xml:space="preserve"> </w:t>
      </w:r>
      <w:proofErr w:type="spellStart"/>
      <w:r w:rsidRPr="00AC5577">
        <w:rPr>
          <w:i/>
          <w:iCs/>
          <w:lang w:val="en-US"/>
        </w:rPr>
        <w:t>Intelligenz</w:t>
      </w:r>
      <w:proofErr w:type="spellEnd"/>
      <w:r w:rsidRPr="00AC5577">
        <w:rPr>
          <w:lang w:val="en-US"/>
        </w:rPr>
        <w:t xml:space="preserve"> 37: 145–59. </w:t>
      </w:r>
      <w:hyperlink r:id="rId64">
        <w:r w:rsidRPr="00AC5577">
          <w:rPr>
            <w:rStyle w:val="Hyperlink"/>
            <w:lang w:val="en-US"/>
          </w:rPr>
          <w:t>https://doi.org/10.1007/s13218-023-00806-9</w:t>
        </w:r>
      </w:hyperlink>
      <w:r w:rsidRPr="00AC5577">
        <w:rPr>
          <w:lang w:val="en-US"/>
        </w:rPr>
        <w:t>.</w:t>
      </w:r>
    </w:p>
    <w:p w14:paraId="147B887F" w14:textId="77777777" w:rsidR="00D762DD" w:rsidRPr="00AC5577" w:rsidRDefault="00000000">
      <w:pPr>
        <w:rPr>
          <w:lang w:val="en-US"/>
        </w:rPr>
      </w:pPr>
      <w:bookmarkStart w:id="317" w:name="ref-holzinger2022"/>
      <w:bookmarkEnd w:id="316"/>
      <w:r w:rsidRPr="00AC5577">
        <w:rPr>
          <w:lang w:val="en-US"/>
        </w:rPr>
        <w:t xml:space="preserve">Holzinger, Andreas, Anna Saranti, Christoph Molnar, Przemyslaw Biecek, and Wojciech Samek. 2022. </w:t>
      </w:r>
      <w:r w:rsidRPr="00AC5577">
        <w:rPr>
          <w:i/>
          <w:iCs/>
          <w:lang w:val="en-US"/>
        </w:rPr>
        <w:t>Explainable AI Methods - a Brief Overview</w:t>
      </w:r>
      <w:r w:rsidRPr="00AC5577">
        <w:rPr>
          <w:lang w:val="en-US"/>
        </w:rPr>
        <w:t xml:space="preserve">. Springer International Publishing. </w:t>
      </w:r>
      <w:hyperlink r:id="rId65">
        <w:r w:rsidRPr="00AC5577">
          <w:rPr>
            <w:rStyle w:val="Hyperlink"/>
            <w:lang w:val="en-US"/>
          </w:rPr>
          <w:t>https://doi.org/10.1007/978-3-031-04083-2_2</w:t>
        </w:r>
      </w:hyperlink>
      <w:r w:rsidRPr="00AC5577">
        <w:rPr>
          <w:lang w:val="en-US"/>
        </w:rPr>
        <w:t>.</w:t>
      </w:r>
    </w:p>
    <w:p w14:paraId="623031B2" w14:textId="77777777" w:rsidR="00D762DD" w:rsidRPr="00AC5577" w:rsidRDefault="00000000">
      <w:pPr>
        <w:rPr>
          <w:lang w:val="en-US"/>
        </w:rPr>
      </w:pPr>
      <w:bookmarkStart w:id="318" w:name="ref-hosseini2025"/>
      <w:bookmarkEnd w:id="317"/>
      <w:r w:rsidRPr="00AC5577">
        <w:rPr>
          <w:lang w:val="en-US"/>
        </w:rPr>
        <w:t xml:space="preserve">Hosseini, Soodeh, and Hossein Seilani. 2025. “The Role of Agentic AI in Shaping a Smart Future: A Systematic Review.” </w:t>
      </w:r>
      <w:r w:rsidRPr="00AC5577">
        <w:rPr>
          <w:i/>
          <w:iCs/>
          <w:lang w:val="en-US"/>
        </w:rPr>
        <w:t>Array</w:t>
      </w:r>
      <w:r w:rsidRPr="00AC5577">
        <w:rPr>
          <w:lang w:val="en-US"/>
        </w:rPr>
        <w:t xml:space="preserve"> 26: 100399. </w:t>
      </w:r>
      <w:hyperlink r:id="rId66">
        <w:r w:rsidRPr="00AC5577">
          <w:rPr>
            <w:rStyle w:val="Hyperlink"/>
            <w:lang w:val="en-US"/>
          </w:rPr>
          <w:t>https://doi.org/10.1016/j.array.2025.100399</w:t>
        </w:r>
      </w:hyperlink>
      <w:r w:rsidRPr="00AC5577">
        <w:rPr>
          <w:lang w:val="en-US"/>
        </w:rPr>
        <w:t>.</w:t>
      </w:r>
    </w:p>
    <w:p w14:paraId="6DEF7764" w14:textId="77777777" w:rsidR="00D762DD" w:rsidRPr="00AC5577" w:rsidRDefault="00000000">
      <w:pPr>
        <w:rPr>
          <w:lang w:val="en-US"/>
        </w:rPr>
      </w:pPr>
      <w:bookmarkStart w:id="319" w:name="ref-hutson2018"/>
      <w:bookmarkEnd w:id="318"/>
      <w:r w:rsidRPr="00AC5577">
        <w:rPr>
          <w:lang w:val="en-US"/>
        </w:rPr>
        <w:t xml:space="preserve">Hutson, Matthew. 2018. “Artificial Intelligence Faces Reproducibility Crisis.” </w:t>
      </w:r>
      <w:r w:rsidRPr="00AC5577">
        <w:rPr>
          <w:i/>
          <w:iCs/>
          <w:lang w:val="en-US"/>
        </w:rPr>
        <w:t>Science</w:t>
      </w:r>
      <w:r w:rsidRPr="00AC5577">
        <w:rPr>
          <w:lang w:val="en-US"/>
        </w:rPr>
        <w:t xml:space="preserve"> 359 (6377): 725–26. </w:t>
      </w:r>
      <w:hyperlink r:id="rId67">
        <w:r w:rsidRPr="00AC5577">
          <w:rPr>
            <w:rStyle w:val="Hyperlink"/>
            <w:lang w:val="en-US"/>
          </w:rPr>
          <w:t>https://doi.org/10.1126/science.359.6377.725</w:t>
        </w:r>
      </w:hyperlink>
      <w:r w:rsidRPr="00AC5577">
        <w:rPr>
          <w:lang w:val="en-US"/>
        </w:rPr>
        <w:t>.</w:t>
      </w:r>
    </w:p>
    <w:p w14:paraId="16C42F97" w14:textId="77777777" w:rsidR="00D762DD" w:rsidRPr="00AC5577" w:rsidRDefault="00000000">
      <w:pPr>
        <w:rPr>
          <w:lang w:val="en-US"/>
        </w:rPr>
      </w:pPr>
      <w:bookmarkStart w:id="320" w:name="ref-iatrellis2023"/>
      <w:bookmarkEnd w:id="319"/>
      <w:proofErr w:type="spellStart"/>
      <w:r w:rsidRPr="00AC5577">
        <w:rPr>
          <w:lang w:val="en-US"/>
        </w:rPr>
        <w:t>Iatrellis</w:t>
      </w:r>
      <w:proofErr w:type="spellEnd"/>
      <w:r w:rsidRPr="00AC5577">
        <w:rPr>
          <w:lang w:val="en-US"/>
        </w:rPr>
        <w:t xml:space="preserve">, Omiros, Nicholas Samaras, Charalampos Dervenis, and Theodor Panagiotakopoulos. 2023. “KONX: A Dynamic Approach for Explainable AI in Higher Education.” </w:t>
      </w:r>
      <w:r w:rsidRPr="00AC5577">
        <w:rPr>
          <w:i/>
          <w:iCs/>
          <w:lang w:val="en-US"/>
        </w:rPr>
        <w:t>Proceedings of the 7th International Conference on Algorithms, Computing and Systems</w:t>
      </w:r>
      <w:r w:rsidRPr="00AC5577">
        <w:rPr>
          <w:lang w:val="en-US"/>
        </w:rPr>
        <w:t xml:space="preserve">, 118–24. </w:t>
      </w:r>
      <w:hyperlink r:id="rId68">
        <w:r w:rsidRPr="00AC5577">
          <w:rPr>
            <w:rStyle w:val="Hyperlink"/>
            <w:lang w:val="en-US"/>
          </w:rPr>
          <w:t>https://doi.org/10.1145/3631908.3631925</w:t>
        </w:r>
      </w:hyperlink>
      <w:r w:rsidRPr="00AC5577">
        <w:rPr>
          <w:lang w:val="en-US"/>
        </w:rPr>
        <w:t>.</w:t>
      </w:r>
    </w:p>
    <w:p w14:paraId="7F627BDC" w14:textId="77777777" w:rsidR="00D762DD" w:rsidRPr="00AC5577" w:rsidRDefault="00000000">
      <w:pPr>
        <w:rPr>
          <w:lang w:val="en-US"/>
        </w:rPr>
      </w:pPr>
      <w:bookmarkStart w:id="321" w:name="ref-ji2022"/>
      <w:bookmarkEnd w:id="320"/>
      <w:r w:rsidRPr="00AC5577">
        <w:rPr>
          <w:lang w:val="en-US"/>
        </w:rPr>
        <w:t xml:space="preserve">Ji, Lee, Z. 2022. “Survey of Hallucination in Natural Language Generation.” </w:t>
      </w:r>
      <w:r w:rsidRPr="00AC5577">
        <w:rPr>
          <w:i/>
          <w:iCs/>
          <w:lang w:val="en-US"/>
        </w:rPr>
        <w:t>ACM Computing Surveys</w:t>
      </w:r>
      <w:r w:rsidRPr="00AC5577">
        <w:rPr>
          <w:lang w:val="en-US"/>
        </w:rPr>
        <w:t xml:space="preserve"> 55 (12): 1–38. </w:t>
      </w:r>
      <w:hyperlink r:id="rId69">
        <w:r w:rsidRPr="00AC5577">
          <w:rPr>
            <w:rStyle w:val="Hyperlink"/>
            <w:lang w:val="en-US"/>
          </w:rPr>
          <w:t>https://doi.org/10.1145/3571730</w:t>
        </w:r>
      </w:hyperlink>
      <w:r w:rsidRPr="00AC5577">
        <w:rPr>
          <w:lang w:val="en-US"/>
        </w:rPr>
        <w:t>.</w:t>
      </w:r>
    </w:p>
    <w:p w14:paraId="0036961F" w14:textId="77777777" w:rsidR="00D762DD" w:rsidRPr="00AC5577" w:rsidRDefault="00000000">
      <w:pPr>
        <w:rPr>
          <w:lang w:val="en-US"/>
        </w:rPr>
      </w:pPr>
      <w:bookmarkStart w:id="322" w:name="ref-kadir2023"/>
      <w:bookmarkEnd w:id="321"/>
      <w:r w:rsidRPr="00AC5577">
        <w:rPr>
          <w:lang w:val="en-US"/>
        </w:rPr>
        <w:t xml:space="preserve">Kadir, Md Abdul, Amir Mosavi, and Daniel Sonntag. 2023. </w:t>
      </w:r>
      <w:r w:rsidRPr="00AC5577">
        <w:rPr>
          <w:i/>
          <w:iCs/>
          <w:lang w:val="en-US"/>
        </w:rPr>
        <w:t>Evaluation Metrics for XAI: A Review, Taxonomy, and Practical Applications</w:t>
      </w:r>
      <w:r w:rsidRPr="00AC5577">
        <w:rPr>
          <w:lang w:val="en-US"/>
        </w:rPr>
        <w:t>. IEEE 27th International Conference on Intelligent Engineering Systems (INES).</w:t>
      </w:r>
    </w:p>
    <w:p w14:paraId="4929C5A7" w14:textId="77777777" w:rsidR="00D762DD" w:rsidRPr="00AC5577" w:rsidRDefault="00000000">
      <w:pPr>
        <w:rPr>
          <w:lang w:val="en-US"/>
        </w:rPr>
      </w:pPr>
      <w:bookmarkStart w:id="323" w:name="ref-kalasampath2025"/>
      <w:bookmarkEnd w:id="322"/>
      <w:proofErr w:type="spellStart"/>
      <w:r w:rsidRPr="00AC5577">
        <w:rPr>
          <w:lang w:val="en-US"/>
        </w:rPr>
        <w:t>Kalasampath</w:t>
      </w:r>
      <w:proofErr w:type="spellEnd"/>
      <w:r w:rsidRPr="00AC5577">
        <w:rPr>
          <w:lang w:val="en-US"/>
        </w:rPr>
        <w:t xml:space="preserve">, Khushi, K. N. Spoorthi, </w:t>
      </w:r>
      <w:proofErr w:type="spellStart"/>
      <w:r w:rsidRPr="00AC5577">
        <w:rPr>
          <w:lang w:val="en-US"/>
        </w:rPr>
        <w:t>Sreeparvathy</w:t>
      </w:r>
      <w:proofErr w:type="spellEnd"/>
      <w:r w:rsidRPr="00AC5577">
        <w:rPr>
          <w:lang w:val="en-US"/>
        </w:rPr>
        <w:t xml:space="preserve"> Sajeev, Sahil Sarma Kuppa, Kavya Ajay, and </w:t>
      </w:r>
      <w:proofErr w:type="spellStart"/>
      <w:r w:rsidRPr="00AC5577">
        <w:rPr>
          <w:lang w:val="en-US"/>
        </w:rPr>
        <w:t>Angulakshmi</w:t>
      </w:r>
      <w:proofErr w:type="spellEnd"/>
      <w:r w:rsidRPr="00AC5577">
        <w:rPr>
          <w:lang w:val="en-US"/>
        </w:rPr>
        <w:t xml:space="preserve"> </w:t>
      </w:r>
      <w:proofErr w:type="spellStart"/>
      <w:r w:rsidRPr="00AC5577">
        <w:rPr>
          <w:lang w:val="en-US"/>
        </w:rPr>
        <w:t>Maruthamuthu</w:t>
      </w:r>
      <w:proofErr w:type="spellEnd"/>
      <w:r w:rsidRPr="00AC5577">
        <w:rPr>
          <w:lang w:val="en-US"/>
        </w:rPr>
        <w:t xml:space="preserve">. 2025. “A Literature Review on Applications of Explainable </w:t>
      </w:r>
      <w:r w:rsidRPr="00AC5577">
        <w:rPr>
          <w:lang w:val="en-US"/>
        </w:rPr>
        <w:lastRenderedPageBreak/>
        <w:t xml:space="preserve">Artificial Intelligence (XAI).” </w:t>
      </w:r>
      <w:r w:rsidRPr="00AC5577">
        <w:rPr>
          <w:i/>
          <w:iCs/>
          <w:lang w:val="en-US"/>
        </w:rPr>
        <w:t>IEEE Access</w:t>
      </w:r>
      <w:r w:rsidRPr="00AC5577">
        <w:rPr>
          <w:lang w:val="en-US"/>
        </w:rPr>
        <w:t xml:space="preserve"> 13: 41111–40. </w:t>
      </w:r>
      <w:hyperlink r:id="rId70">
        <w:r w:rsidRPr="00AC5577">
          <w:rPr>
            <w:rStyle w:val="Hyperlink"/>
            <w:lang w:val="en-US"/>
          </w:rPr>
          <w:t>https://doi.org/10.1109/access.2025.3546681</w:t>
        </w:r>
      </w:hyperlink>
      <w:r w:rsidRPr="00AC5577">
        <w:rPr>
          <w:lang w:val="en-US"/>
        </w:rPr>
        <w:t>.</w:t>
      </w:r>
    </w:p>
    <w:p w14:paraId="62907FD1" w14:textId="77777777" w:rsidR="00D762DD" w:rsidRPr="00AC5577" w:rsidRDefault="00000000">
      <w:pPr>
        <w:rPr>
          <w:lang w:val="en-US"/>
        </w:rPr>
      </w:pPr>
      <w:bookmarkStart w:id="324" w:name="ref-karimi2022"/>
      <w:bookmarkEnd w:id="323"/>
      <w:r w:rsidRPr="00AC5577">
        <w:rPr>
          <w:lang w:val="en-US"/>
        </w:rPr>
        <w:t xml:space="preserve">Karimi, Amir-Hossein, Gilles Barthe, Bernhard Schölkopf, and Isabel Valera. 2022. “A Survey of Algorithmic Recourse: Contrastive Explanations and Consequential Recommendations.” </w:t>
      </w:r>
      <w:r w:rsidRPr="00AC5577">
        <w:rPr>
          <w:i/>
          <w:iCs/>
          <w:lang w:val="en-US"/>
        </w:rPr>
        <w:t>ACM Computing Surveys</w:t>
      </w:r>
      <w:r w:rsidRPr="00AC5577">
        <w:rPr>
          <w:lang w:val="en-US"/>
        </w:rPr>
        <w:t xml:space="preserve"> 55 (5): 1–29. </w:t>
      </w:r>
      <w:hyperlink r:id="rId71">
        <w:r w:rsidRPr="00AC5577">
          <w:rPr>
            <w:rStyle w:val="Hyperlink"/>
            <w:lang w:val="en-US"/>
          </w:rPr>
          <w:t>https://doi.org/10.1145/3527848</w:t>
        </w:r>
      </w:hyperlink>
      <w:r w:rsidRPr="00AC5577">
        <w:rPr>
          <w:lang w:val="en-US"/>
        </w:rPr>
        <w:t>.</w:t>
      </w:r>
    </w:p>
    <w:p w14:paraId="5C846F95" w14:textId="77777777" w:rsidR="00D762DD" w:rsidRPr="00AC5577" w:rsidRDefault="00000000">
      <w:pPr>
        <w:rPr>
          <w:lang w:val="en-US"/>
        </w:rPr>
      </w:pPr>
      <w:bookmarkStart w:id="325" w:name="ref-karmakar2024"/>
      <w:bookmarkEnd w:id="324"/>
      <w:r w:rsidRPr="00AC5577">
        <w:rPr>
          <w:lang w:val="en-US"/>
        </w:rPr>
        <w:t xml:space="preserve">Karmakar, Pratik, </w:t>
      </w:r>
      <w:proofErr w:type="spellStart"/>
      <w:r w:rsidRPr="00AC5577">
        <w:rPr>
          <w:lang w:val="en-US"/>
        </w:rPr>
        <w:t>Mikaël</w:t>
      </w:r>
      <w:proofErr w:type="spellEnd"/>
      <w:r w:rsidRPr="00AC5577">
        <w:rPr>
          <w:lang w:val="en-US"/>
        </w:rPr>
        <w:t xml:space="preserve"> Monet, Pierre Senellart, and Stephane Bressan. 2024. “Expected Shapley-Like Scores of Boolean Functions: Complexity and Applications to Probabilistic Databases.” </w:t>
      </w:r>
      <w:r w:rsidRPr="00AC5577">
        <w:rPr>
          <w:i/>
          <w:iCs/>
          <w:lang w:val="en-US"/>
        </w:rPr>
        <w:t>Proceedings of the ACM on Management of Data</w:t>
      </w:r>
      <w:r w:rsidRPr="00AC5577">
        <w:rPr>
          <w:lang w:val="en-US"/>
        </w:rPr>
        <w:t xml:space="preserve"> 2 (2): 1–26. </w:t>
      </w:r>
      <w:hyperlink r:id="rId72">
        <w:r w:rsidRPr="00AC5577">
          <w:rPr>
            <w:rStyle w:val="Hyperlink"/>
            <w:lang w:val="en-US"/>
          </w:rPr>
          <w:t>https://doi.org/10.1145/3651593</w:t>
        </w:r>
      </w:hyperlink>
      <w:r w:rsidRPr="00AC5577">
        <w:rPr>
          <w:lang w:val="en-US"/>
        </w:rPr>
        <w:t>.</w:t>
      </w:r>
    </w:p>
    <w:p w14:paraId="5FB98E3B" w14:textId="77777777" w:rsidR="00D762DD" w:rsidRPr="00AC5577" w:rsidRDefault="00000000">
      <w:pPr>
        <w:rPr>
          <w:lang w:val="en-US"/>
        </w:rPr>
      </w:pPr>
      <w:bookmarkStart w:id="326" w:name="ref-kaur2020"/>
      <w:bookmarkEnd w:id="325"/>
      <w:r w:rsidRPr="00AC5577">
        <w:rPr>
          <w:lang w:val="en-US"/>
        </w:rPr>
        <w:t xml:space="preserve">Kaur, Harmanpreet, Harsha Nori, Samuel Jenkins, Rich Caruana, Hanna Wallach, and Jennifer Wortman Vaughan. 2020. “Interpreting Interpretability: Understanding Data Scientists’ Use of Interpretability Tools for Machine Learning.” </w:t>
      </w:r>
      <w:r w:rsidRPr="00AC5577">
        <w:rPr>
          <w:i/>
          <w:iCs/>
          <w:lang w:val="en-US"/>
        </w:rPr>
        <w:t>Proceedings of the 2020 CHI Conference on Human Factors in Computing Systems</w:t>
      </w:r>
      <w:r w:rsidRPr="00AC5577">
        <w:rPr>
          <w:lang w:val="en-US"/>
        </w:rPr>
        <w:t xml:space="preserve">, 1–14. </w:t>
      </w:r>
      <w:hyperlink r:id="rId73">
        <w:r w:rsidRPr="00AC5577">
          <w:rPr>
            <w:rStyle w:val="Hyperlink"/>
            <w:lang w:val="en-US"/>
          </w:rPr>
          <w:t>https://doi.org/10.1145/3313831.3376219</w:t>
        </w:r>
      </w:hyperlink>
      <w:r w:rsidRPr="00AC5577">
        <w:rPr>
          <w:lang w:val="en-US"/>
        </w:rPr>
        <w:t>.</w:t>
      </w:r>
    </w:p>
    <w:p w14:paraId="6C9244DF" w14:textId="77777777" w:rsidR="00D762DD" w:rsidRPr="00AC5577" w:rsidRDefault="00000000">
      <w:pPr>
        <w:rPr>
          <w:lang w:val="en-US"/>
        </w:rPr>
      </w:pPr>
      <w:bookmarkStart w:id="327" w:name="ref-kim2018"/>
      <w:bookmarkEnd w:id="326"/>
      <w:r w:rsidRPr="00AC5577">
        <w:rPr>
          <w:lang w:val="en-US"/>
        </w:rPr>
        <w:t xml:space="preserve">Kim, Been, Martin Wattenberg, Justin Gilmer, et al. 2018. “Interpretability Beyond Feature Attribution: Quantitative Testing with Concept Activation Vectors (TCAV).” </w:t>
      </w:r>
      <w:r w:rsidRPr="00AC5577">
        <w:rPr>
          <w:i/>
          <w:iCs/>
          <w:lang w:val="en-US"/>
        </w:rPr>
        <w:t>Proceedings of the 35th International Conference on Machine Learning</w:t>
      </w:r>
      <w:r w:rsidRPr="00AC5577">
        <w:rPr>
          <w:lang w:val="en-US"/>
        </w:rPr>
        <w:t>.</w:t>
      </w:r>
    </w:p>
    <w:p w14:paraId="42691E3D" w14:textId="77777777" w:rsidR="00D762DD" w:rsidRPr="00AC5577" w:rsidRDefault="00000000">
      <w:pPr>
        <w:rPr>
          <w:lang w:val="en-US"/>
        </w:rPr>
      </w:pPr>
      <w:bookmarkStart w:id="328" w:name="ref-kim2024"/>
      <w:bookmarkEnd w:id="327"/>
      <w:r w:rsidRPr="00AC5577">
        <w:rPr>
          <w:lang w:val="en-US"/>
        </w:rPr>
        <w:t xml:space="preserve">Kim, Sunnie S. Y. 2024. “Establishing Appropriate Trust in AI Through Transparency and Explainability.” </w:t>
      </w:r>
      <w:r w:rsidRPr="00AC5577">
        <w:rPr>
          <w:i/>
          <w:iCs/>
          <w:lang w:val="en-US"/>
        </w:rPr>
        <w:t>Extended Abstracts of the CHI Conference on Human Factors in Computing Systems</w:t>
      </w:r>
      <w:r w:rsidRPr="00AC5577">
        <w:rPr>
          <w:lang w:val="en-US"/>
        </w:rPr>
        <w:t xml:space="preserve">, 1–6. </w:t>
      </w:r>
      <w:hyperlink r:id="rId74">
        <w:r w:rsidRPr="00AC5577">
          <w:rPr>
            <w:rStyle w:val="Hyperlink"/>
            <w:lang w:val="en-US"/>
          </w:rPr>
          <w:t>https://doi.org/10.1145/3613905.3638184</w:t>
        </w:r>
      </w:hyperlink>
      <w:r w:rsidRPr="00AC5577">
        <w:rPr>
          <w:lang w:val="en-US"/>
        </w:rPr>
        <w:t>.</w:t>
      </w:r>
    </w:p>
    <w:p w14:paraId="55B9F47B" w14:textId="77777777" w:rsidR="00D762DD" w:rsidRPr="00AC5577" w:rsidRDefault="00000000">
      <w:pPr>
        <w:rPr>
          <w:lang w:val="en-US"/>
        </w:rPr>
      </w:pPr>
      <w:bookmarkStart w:id="329" w:name="ref-koh2020"/>
      <w:bookmarkEnd w:id="328"/>
      <w:r w:rsidRPr="00AC5577">
        <w:rPr>
          <w:lang w:val="en-US"/>
        </w:rPr>
        <w:t xml:space="preserve">Koh, Pang Wei, Thao Nguyen, Yew Siang Tang, et al. 2020. “Concept Bottleneck Models.” </w:t>
      </w:r>
      <w:r w:rsidRPr="00AC5577">
        <w:rPr>
          <w:i/>
          <w:iCs/>
          <w:lang w:val="en-US"/>
        </w:rPr>
        <w:t>Proceedings of the 37th International Conference on Machine Learning</w:t>
      </w:r>
      <w:r w:rsidRPr="00AC5577">
        <w:rPr>
          <w:lang w:val="en-US"/>
        </w:rPr>
        <w:t>.</w:t>
      </w:r>
    </w:p>
    <w:p w14:paraId="59E50938" w14:textId="77777777" w:rsidR="00D762DD" w:rsidRPr="00AC5577" w:rsidRDefault="00000000">
      <w:pPr>
        <w:rPr>
          <w:lang w:val="en-US"/>
        </w:rPr>
      </w:pPr>
      <w:bookmarkStart w:id="330" w:name="ref-kohavi1996"/>
      <w:bookmarkEnd w:id="329"/>
      <w:r w:rsidRPr="00AC5577">
        <w:rPr>
          <w:lang w:val="en-US"/>
        </w:rPr>
        <w:t xml:space="preserve">Kohavi, Ron, and Barry Becker. 1996. </w:t>
      </w:r>
      <w:r w:rsidRPr="00AC5577">
        <w:rPr>
          <w:i/>
          <w:iCs/>
          <w:lang w:val="en-US"/>
        </w:rPr>
        <w:t>Adult Data Set</w:t>
      </w:r>
      <w:r w:rsidRPr="00AC5577">
        <w:rPr>
          <w:lang w:val="en-US"/>
        </w:rPr>
        <w:t xml:space="preserve">. UCI Machine Learning Repository. </w:t>
      </w:r>
      <w:hyperlink r:id="rId75">
        <w:r w:rsidRPr="00AC5577">
          <w:rPr>
            <w:rStyle w:val="Hyperlink"/>
            <w:lang w:val="en-US"/>
          </w:rPr>
          <w:t>https://archive.ics.uci.edu/dataset/2/adult</w:t>
        </w:r>
      </w:hyperlink>
      <w:r w:rsidRPr="00AC5577">
        <w:rPr>
          <w:lang w:val="en-US"/>
        </w:rPr>
        <w:t>.</w:t>
      </w:r>
    </w:p>
    <w:p w14:paraId="429F90D2" w14:textId="77777777" w:rsidR="00D762DD" w:rsidRPr="00AC5577" w:rsidRDefault="00000000">
      <w:pPr>
        <w:rPr>
          <w:lang w:val="en-US"/>
        </w:rPr>
      </w:pPr>
      <w:bookmarkStart w:id="331" w:name="ref-koo2016"/>
      <w:bookmarkEnd w:id="330"/>
      <w:r w:rsidRPr="00AC5577">
        <w:rPr>
          <w:lang w:val="en-US"/>
        </w:rPr>
        <w:t xml:space="preserve">Koo, Terry K., and Mae Y. Li. 2016. “A Guideline of Selecting and Reporting Intraclass Correlation Coefficients for Reliability Research.” </w:t>
      </w:r>
      <w:r w:rsidRPr="00AC5577">
        <w:rPr>
          <w:i/>
          <w:iCs/>
          <w:lang w:val="en-US"/>
        </w:rPr>
        <w:t>Journal of Chiropractic Medicine</w:t>
      </w:r>
      <w:r w:rsidRPr="00AC5577">
        <w:rPr>
          <w:lang w:val="en-US"/>
        </w:rPr>
        <w:t xml:space="preserve"> 15 (2): 155–63. </w:t>
      </w:r>
      <w:hyperlink r:id="rId76">
        <w:r w:rsidRPr="00AC5577">
          <w:rPr>
            <w:rStyle w:val="Hyperlink"/>
            <w:lang w:val="en-US"/>
          </w:rPr>
          <w:t>https://doi.org/10.1016/j.jcm.2016.02.012</w:t>
        </w:r>
      </w:hyperlink>
      <w:r w:rsidRPr="00AC5577">
        <w:rPr>
          <w:lang w:val="en-US"/>
        </w:rPr>
        <w:t>.</w:t>
      </w:r>
    </w:p>
    <w:p w14:paraId="7E839C35" w14:textId="77777777" w:rsidR="00D762DD" w:rsidRPr="00AC5577" w:rsidRDefault="00000000">
      <w:pPr>
        <w:rPr>
          <w:lang w:val="en-US"/>
        </w:rPr>
      </w:pPr>
      <w:bookmarkStart w:id="332" w:name="ref-krippendorff2018"/>
      <w:bookmarkEnd w:id="331"/>
      <w:r w:rsidRPr="00AC5577">
        <w:rPr>
          <w:lang w:val="en-US"/>
        </w:rPr>
        <w:lastRenderedPageBreak/>
        <w:t xml:space="preserve">Krippendorff, Klaus. 2018. </w:t>
      </w:r>
      <w:r w:rsidRPr="00AC5577">
        <w:rPr>
          <w:i/>
          <w:iCs/>
          <w:lang w:val="en-US"/>
        </w:rPr>
        <w:t>Content Analysis: An Introduction to Its Methodology</w:t>
      </w:r>
      <w:r w:rsidRPr="00AC5577">
        <w:rPr>
          <w:lang w:val="en-US"/>
        </w:rPr>
        <w:t>. 4th ed. SAGE Publications.</w:t>
      </w:r>
    </w:p>
    <w:p w14:paraId="1A0C87E1" w14:textId="77777777" w:rsidR="00D762DD" w:rsidRPr="00AC5577" w:rsidRDefault="00000000">
      <w:pPr>
        <w:rPr>
          <w:lang w:val="en-US"/>
        </w:rPr>
      </w:pPr>
      <w:bookmarkStart w:id="333" w:name="ref-kumagai2023"/>
      <w:bookmarkEnd w:id="332"/>
      <w:r w:rsidRPr="00AC5577">
        <w:rPr>
          <w:lang w:val="en-US"/>
        </w:rPr>
        <w:t xml:space="preserve">Kumagai, Ryo, Shu Takemoto, Yusuke Nozaki, and Masaya Yoshikawa. 2023. “Explainable AI Based Adversarial Examples and Its Evaluation.” </w:t>
      </w:r>
      <w:r w:rsidRPr="00AC5577">
        <w:rPr>
          <w:i/>
          <w:iCs/>
          <w:lang w:val="en-US"/>
        </w:rPr>
        <w:t>Proceedings of the 2023 6th International Conference on Electronics, Communications and Control Engineering</w:t>
      </w:r>
      <w:r w:rsidRPr="00AC5577">
        <w:rPr>
          <w:lang w:val="en-US"/>
        </w:rPr>
        <w:t xml:space="preserve">, 220–25. </w:t>
      </w:r>
      <w:hyperlink r:id="rId77">
        <w:r w:rsidRPr="00AC5577">
          <w:rPr>
            <w:rStyle w:val="Hyperlink"/>
            <w:lang w:val="en-US"/>
          </w:rPr>
          <w:t>https://doi.org/10.1145/3592307.3592342</w:t>
        </w:r>
      </w:hyperlink>
      <w:r w:rsidRPr="00AC5577">
        <w:rPr>
          <w:lang w:val="en-US"/>
        </w:rPr>
        <w:t>.</w:t>
      </w:r>
    </w:p>
    <w:p w14:paraId="6DC5887E" w14:textId="77777777" w:rsidR="00D762DD" w:rsidRPr="00AC5577" w:rsidRDefault="00000000">
      <w:pPr>
        <w:rPr>
          <w:lang w:val="en-US"/>
        </w:rPr>
      </w:pPr>
      <w:bookmarkStart w:id="334" w:name="ref-lakens2013"/>
      <w:bookmarkEnd w:id="333"/>
      <w:proofErr w:type="spellStart"/>
      <w:r w:rsidRPr="00AC5577">
        <w:rPr>
          <w:lang w:val="en-US"/>
        </w:rPr>
        <w:t>Lakens</w:t>
      </w:r>
      <w:proofErr w:type="spellEnd"/>
      <w:r w:rsidRPr="00AC5577">
        <w:rPr>
          <w:lang w:val="en-US"/>
        </w:rPr>
        <w:t xml:space="preserve">, Daniël. 2013. “Calculating and Reporting Effect Sizes to Facilitate Cumulative Science: A Practical Primer for t-Tests and ANOVAs.” </w:t>
      </w:r>
      <w:r w:rsidRPr="00AC5577">
        <w:rPr>
          <w:i/>
          <w:iCs/>
          <w:lang w:val="en-US"/>
        </w:rPr>
        <w:t>Frontiers in Psychology</w:t>
      </w:r>
      <w:r w:rsidRPr="00AC5577">
        <w:rPr>
          <w:lang w:val="en-US"/>
        </w:rPr>
        <w:t xml:space="preserve"> 4: 863. </w:t>
      </w:r>
      <w:hyperlink r:id="rId78">
        <w:r w:rsidRPr="00AC5577">
          <w:rPr>
            <w:rStyle w:val="Hyperlink"/>
            <w:lang w:val="en-US"/>
          </w:rPr>
          <w:t>https://doi.org/10.3389/fpsyg.2013.00863</w:t>
        </w:r>
      </w:hyperlink>
      <w:r w:rsidRPr="00AC5577">
        <w:rPr>
          <w:lang w:val="en-US"/>
        </w:rPr>
        <w:t>.</w:t>
      </w:r>
    </w:p>
    <w:p w14:paraId="4E124E19" w14:textId="77777777" w:rsidR="00D762DD" w:rsidRPr="00AC5577" w:rsidRDefault="00000000">
      <w:pPr>
        <w:rPr>
          <w:lang w:val="en-US"/>
        </w:rPr>
      </w:pPr>
      <w:bookmarkStart w:id="335" w:name="ref-langer2021"/>
      <w:bookmarkEnd w:id="334"/>
      <w:r w:rsidRPr="00AC5577">
        <w:rPr>
          <w:lang w:val="en-US"/>
        </w:rPr>
        <w:t xml:space="preserve">Langer, Markus, Daniel Oster, Timo Speith, et al. 2021. “What Do We Want from Explainable Artificial Intelligence (XAI)? A Stakeholder Perspective on XAI and a Conceptual Model Guiding Interdisciplinary XAI Research.” </w:t>
      </w:r>
      <w:r w:rsidRPr="00AC5577">
        <w:rPr>
          <w:i/>
          <w:iCs/>
          <w:lang w:val="en-US"/>
        </w:rPr>
        <w:t>Artificial Intelligence</w:t>
      </w:r>
      <w:r w:rsidRPr="00AC5577">
        <w:rPr>
          <w:lang w:val="en-US"/>
        </w:rPr>
        <w:t xml:space="preserve"> 296: 103473. </w:t>
      </w:r>
      <w:hyperlink r:id="rId79">
        <w:r w:rsidRPr="00AC5577">
          <w:rPr>
            <w:rStyle w:val="Hyperlink"/>
            <w:lang w:val="en-US"/>
          </w:rPr>
          <w:t>https://doi.org/10.1016/j.artint.2021.103473</w:t>
        </w:r>
      </w:hyperlink>
      <w:r w:rsidRPr="00AC5577">
        <w:rPr>
          <w:lang w:val="en-US"/>
        </w:rPr>
        <w:t>.</w:t>
      </w:r>
    </w:p>
    <w:p w14:paraId="2F4AE688" w14:textId="77777777" w:rsidR="00D762DD" w:rsidRPr="00AC5577" w:rsidRDefault="00000000">
      <w:pPr>
        <w:rPr>
          <w:lang w:val="en-US"/>
        </w:rPr>
      </w:pPr>
      <w:bookmarkStart w:id="336" w:name="ref-laugel2019"/>
      <w:bookmarkEnd w:id="335"/>
      <w:r w:rsidRPr="00AC5577">
        <w:rPr>
          <w:lang w:val="en-US"/>
        </w:rPr>
        <w:t xml:space="preserve">Laugel, Thibault, Marie-Jeanne Lesot, Christophe Marsala, Xavier Renard, and Marcin </w:t>
      </w:r>
      <w:proofErr w:type="spellStart"/>
      <w:r w:rsidRPr="00AC5577">
        <w:rPr>
          <w:lang w:val="en-US"/>
        </w:rPr>
        <w:t>Detyniecki</w:t>
      </w:r>
      <w:proofErr w:type="spellEnd"/>
      <w:r w:rsidRPr="00AC5577">
        <w:rPr>
          <w:lang w:val="en-US"/>
        </w:rPr>
        <w:t xml:space="preserve">. 2019. “The Dangers of Post-Hoc Interpretability: Unjustified Counterfactual Explanations.” </w:t>
      </w:r>
      <w:r w:rsidRPr="00AC5577">
        <w:rPr>
          <w:i/>
          <w:iCs/>
          <w:lang w:val="en-US"/>
        </w:rPr>
        <w:t>Proceedings of the Twenty-Eighth International Joint Conference on Artificial Intelligence</w:t>
      </w:r>
      <w:r w:rsidRPr="00AC5577">
        <w:rPr>
          <w:lang w:val="en-US"/>
        </w:rPr>
        <w:t xml:space="preserve">, 2801–7. </w:t>
      </w:r>
      <w:hyperlink r:id="rId80">
        <w:r w:rsidRPr="00AC5577">
          <w:rPr>
            <w:rStyle w:val="Hyperlink"/>
            <w:lang w:val="en-US"/>
          </w:rPr>
          <w:t>https://doi.org/10.24963/ijcai.2019/388</w:t>
        </w:r>
      </w:hyperlink>
      <w:r w:rsidRPr="00AC5577">
        <w:rPr>
          <w:lang w:val="en-US"/>
        </w:rPr>
        <w:t>.</w:t>
      </w:r>
    </w:p>
    <w:p w14:paraId="677AB3E3" w14:textId="77777777" w:rsidR="00D762DD" w:rsidRPr="00AC5577" w:rsidRDefault="00000000">
      <w:pPr>
        <w:rPr>
          <w:lang w:val="en-US"/>
        </w:rPr>
      </w:pPr>
      <w:bookmarkStart w:id="337" w:name="ref-li2022"/>
      <w:bookmarkEnd w:id="336"/>
      <w:r w:rsidRPr="00AC5577">
        <w:rPr>
          <w:lang w:val="en-US"/>
        </w:rPr>
        <w:t xml:space="preserve">Li, </w:t>
      </w:r>
      <w:proofErr w:type="spellStart"/>
      <w:r w:rsidRPr="00AC5577">
        <w:rPr>
          <w:lang w:val="en-US"/>
        </w:rPr>
        <w:t>Xuhong</w:t>
      </w:r>
      <w:proofErr w:type="spellEnd"/>
      <w:r w:rsidRPr="00AC5577">
        <w:rPr>
          <w:lang w:val="en-US"/>
        </w:rPr>
        <w:t xml:space="preserve">, </w:t>
      </w:r>
      <w:proofErr w:type="spellStart"/>
      <w:r w:rsidRPr="00AC5577">
        <w:rPr>
          <w:lang w:val="en-US"/>
        </w:rPr>
        <w:t>Haoyi</w:t>
      </w:r>
      <w:proofErr w:type="spellEnd"/>
      <w:r w:rsidRPr="00AC5577">
        <w:rPr>
          <w:lang w:val="en-US"/>
        </w:rPr>
        <w:t xml:space="preserve"> Xiong, Xingjian Li, </w:t>
      </w:r>
      <w:proofErr w:type="spellStart"/>
      <w:r w:rsidRPr="00AC5577">
        <w:rPr>
          <w:lang w:val="en-US"/>
        </w:rPr>
        <w:t>Xuanyu</w:t>
      </w:r>
      <w:proofErr w:type="spellEnd"/>
      <w:r w:rsidRPr="00AC5577">
        <w:rPr>
          <w:lang w:val="en-US"/>
        </w:rPr>
        <w:t xml:space="preserve"> Wu, </w:t>
      </w:r>
      <w:proofErr w:type="spellStart"/>
      <w:r w:rsidRPr="00AC5577">
        <w:rPr>
          <w:lang w:val="en-US"/>
        </w:rPr>
        <w:t>Zeyu</w:t>
      </w:r>
      <w:proofErr w:type="spellEnd"/>
      <w:r w:rsidRPr="00AC5577">
        <w:rPr>
          <w:lang w:val="en-US"/>
        </w:rPr>
        <w:t xml:space="preserve"> Chen, and </w:t>
      </w:r>
      <w:proofErr w:type="spellStart"/>
      <w:r w:rsidRPr="00AC5577">
        <w:rPr>
          <w:lang w:val="en-US"/>
        </w:rPr>
        <w:t>Dejing</w:t>
      </w:r>
      <w:proofErr w:type="spellEnd"/>
      <w:r w:rsidRPr="00AC5577">
        <w:rPr>
          <w:lang w:val="en-US"/>
        </w:rPr>
        <w:t xml:space="preserve"> Dou. 2022. “</w:t>
      </w:r>
      <w:proofErr w:type="spellStart"/>
      <w:r w:rsidRPr="00AC5577">
        <w:rPr>
          <w:lang w:val="en-US"/>
        </w:rPr>
        <w:t>InterpretDL</w:t>
      </w:r>
      <w:proofErr w:type="spellEnd"/>
      <w:r w:rsidRPr="00AC5577">
        <w:rPr>
          <w:lang w:val="en-US"/>
        </w:rPr>
        <w:t xml:space="preserve">: Explaining Deep Models in </w:t>
      </w:r>
      <w:proofErr w:type="spellStart"/>
      <w:r w:rsidRPr="00AC5577">
        <w:rPr>
          <w:lang w:val="en-US"/>
        </w:rPr>
        <w:t>PaddlePaddle</w:t>
      </w:r>
      <w:proofErr w:type="spellEnd"/>
      <w:r w:rsidRPr="00AC5577">
        <w:rPr>
          <w:lang w:val="en-US"/>
        </w:rPr>
        <w:t xml:space="preserve">.” </w:t>
      </w:r>
      <w:r w:rsidRPr="00AC5577">
        <w:rPr>
          <w:i/>
          <w:iCs/>
          <w:lang w:val="en-US"/>
        </w:rPr>
        <w:t>Journal of Machine Learning Research</w:t>
      </w:r>
      <w:r w:rsidRPr="00AC5577">
        <w:rPr>
          <w:lang w:val="en-US"/>
        </w:rPr>
        <w:t xml:space="preserve"> 23: 1–6.</w:t>
      </w:r>
    </w:p>
    <w:p w14:paraId="69540C6A" w14:textId="77777777" w:rsidR="00D762DD" w:rsidRPr="00AC5577" w:rsidRDefault="00000000">
      <w:pPr>
        <w:rPr>
          <w:lang w:val="en-US"/>
        </w:rPr>
      </w:pPr>
      <w:bookmarkStart w:id="338" w:name="ref-linardatos2020"/>
      <w:bookmarkEnd w:id="337"/>
      <w:proofErr w:type="spellStart"/>
      <w:r w:rsidRPr="00AC5577">
        <w:rPr>
          <w:lang w:val="en-US"/>
        </w:rPr>
        <w:t>Linardatos</w:t>
      </w:r>
      <w:proofErr w:type="spellEnd"/>
      <w:r w:rsidRPr="00AC5577">
        <w:rPr>
          <w:lang w:val="en-US"/>
        </w:rPr>
        <w:t xml:space="preserve">, </w:t>
      </w:r>
      <w:proofErr w:type="spellStart"/>
      <w:r w:rsidRPr="00AC5577">
        <w:rPr>
          <w:lang w:val="en-US"/>
        </w:rPr>
        <w:t>Papastefanopoulos</w:t>
      </w:r>
      <w:proofErr w:type="spellEnd"/>
      <w:r w:rsidRPr="00AC5577">
        <w:rPr>
          <w:lang w:val="en-US"/>
        </w:rPr>
        <w:t xml:space="preserve">, P. 2020. “Explainable AI: A Review of Machine Learning Interpretability Methods.” </w:t>
      </w:r>
      <w:r w:rsidRPr="00AC5577">
        <w:rPr>
          <w:i/>
          <w:iCs/>
          <w:lang w:val="en-US"/>
        </w:rPr>
        <w:t>Entropy</w:t>
      </w:r>
      <w:r w:rsidRPr="00AC5577">
        <w:rPr>
          <w:lang w:val="en-US"/>
        </w:rPr>
        <w:t xml:space="preserve"> 23 (1): 18. </w:t>
      </w:r>
      <w:hyperlink r:id="rId81">
        <w:r w:rsidRPr="00AC5577">
          <w:rPr>
            <w:rStyle w:val="Hyperlink"/>
            <w:lang w:val="en-US"/>
          </w:rPr>
          <w:t>https://doi.org/10.3390/e23010018</w:t>
        </w:r>
      </w:hyperlink>
      <w:r w:rsidRPr="00AC5577">
        <w:rPr>
          <w:lang w:val="en-US"/>
        </w:rPr>
        <w:t>.</w:t>
      </w:r>
    </w:p>
    <w:p w14:paraId="586D2F80" w14:textId="77777777" w:rsidR="00D762DD" w:rsidRPr="00AC5577" w:rsidRDefault="00000000">
      <w:pPr>
        <w:rPr>
          <w:lang w:val="en-US"/>
        </w:rPr>
      </w:pPr>
      <w:bookmarkStart w:id="339" w:name="ref-lipton2018"/>
      <w:bookmarkEnd w:id="338"/>
      <w:r w:rsidRPr="00AC5577">
        <w:rPr>
          <w:lang w:val="en-US"/>
        </w:rPr>
        <w:t xml:space="preserve">Lipton, Z. C. 2018. “The Mythos of Model Interpretability.” </w:t>
      </w:r>
      <w:r w:rsidRPr="00AC5577">
        <w:rPr>
          <w:i/>
          <w:iCs/>
          <w:lang w:val="en-US"/>
        </w:rPr>
        <w:t>Queue</w:t>
      </w:r>
      <w:r w:rsidRPr="00AC5577">
        <w:rPr>
          <w:lang w:val="en-US"/>
        </w:rPr>
        <w:t xml:space="preserve"> 16 (3): 31–57. </w:t>
      </w:r>
      <w:hyperlink r:id="rId82">
        <w:r w:rsidRPr="00AC5577">
          <w:rPr>
            <w:rStyle w:val="Hyperlink"/>
            <w:lang w:val="en-US"/>
          </w:rPr>
          <w:t>https://doi.org/10.1145/3236386.3241340</w:t>
        </w:r>
      </w:hyperlink>
      <w:r w:rsidRPr="00AC5577">
        <w:rPr>
          <w:lang w:val="en-US"/>
        </w:rPr>
        <w:t>.</w:t>
      </w:r>
    </w:p>
    <w:p w14:paraId="6FC4180A" w14:textId="77777777" w:rsidR="00D762DD" w:rsidRPr="00AC5577" w:rsidRDefault="00000000">
      <w:pPr>
        <w:rPr>
          <w:lang w:val="en-US"/>
        </w:rPr>
      </w:pPr>
      <w:bookmarkStart w:id="340" w:name="ref-liu2024"/>
      <w:bookmarkEnd w:id="339"/>
      <w:r w:rsidRPr="00AC5577">
        <w:rPr>
          <w:lang w:val="en-US"/>
        </w:rPr>
        <w:t xml:space="preserve">Liu, Ziming, Yixuan Wang, Sachin Vaidya, et al. 2024. </w:t>
      </w:r>
      <w:r w:rsidRPr="00AC5577">
        <w:rPr>
          <w:i/>
          <w:iCs/>
          <w:lang w:val="en-US"/>
        </w:rPr>
        <w:t>KAN: Kolmogorov-Arnold Networks</w:t>
      </w:r>
      <w:r w:rsidRPr="00AC5577">
        <w:rPr>
          <w:lang w:val="en-US"/>
        </w:rPr>
        <w:t>.</w:t>
      </w:r>
    </w:p>
    <w:p w14:paraId="50DB2FF8" w14:textId="77777777" w:rsidR="00D762DD" w:rsidRPr="00AC5577" w:rsidRDefault="00000000">
      <w:pPr>
        <w:rPr>
          <w:lang w:val="en-US"/>
        </w:rPr>
      </w:pPr>
      <w:bookmarkStart w:id="341" w:name="ref-long2019"/>
      <w:bookmarkEnd w:id="340"/>
      <w:r w:rsidRPr="00AC5577">
        <w:rPr>
          <w:lang w:val="en-US"/>
        </w:rPr>
        <w:lastRenderedPageBreak/>
        <w:t xml:space="preserve">Long, Bowen, </w:t>
      </w:r>
      <w:proofErr w:type="spellStart"/>
      <w:r w:rsidRPr="00AC5577">
        <w:rPr>
          <w:lang w:val="en-US"/>
        </w:rPr>
        <w:t>Enjie</w:t>
      </w:r>
      <w:proofErr w:type="spellEnd"/>
      <w:r w:rsidRPr="00AC5577">
        <w:rPr>
          <w:lang w:val="en-US"/>
        </w:rPr>
        <w:t xml:space="preserve"> Liu, </w:t>
      </w:r>
      <w:proofErr w:type="spellStart"/>
      <w:r w:rsidRPr="00AC5577">
        <w:rPr>
          <w:lang w:val="en-US"/>
        </w:rPr>
        <w:t>Renxi</w:t>
      </w:r>
      <w:proofErr w:type="spellEnd"/>
      <w:r w:rsidRPr="00AC5577">
        <w:rPr>
          <w:lang w:val="en-US"/>
        </w:rPr>
        <w:t xml:space="preserve"> Qiu, and Yanqing Duan. 2019. </w:t>
      </w:r>
      <w:r w:rsidRPr="00AC5577">
        <w:rPr>
          <w:i/>
          <w:iCs/>
          <w:lang w:val="en-US"/>
        </w:rPr>
        <w:t>Explainable AI: The Latest Advancements and New Trends</w:t>
      </w:r>
      <w:r w:rsidRPr="00AC5577">
        <w:rPr>
          <w:lang w:val="en-US"/>
        </w:rPr>
        <w:t>.</w:t>
      </w:r>
    </w:p>
    <w:p w14:paraId="03CC0C26" w14:textId="77777777" w:rsidR="00D762DD" w:rsidRPr="00AC5577" w:rsidRDefault="00000000">
      <w:pPr>
        <w:rPr>
          <w:lang w:val="en-US"/>
        </w:rPr>
      </w:pPr>
      <w:bookmarkStart w:id="342" w:name="ref-longo2024"/>
      <w:bookmarkEnd w:id="341"/>
      <w:r>
        <w:t xml:space="preserve">Longo, Luca, Mario Brcic, Federico Cabitza, et al. 2024. </w:t>
      </w:r>
      <w:r w:rsidRPr="00AC5577">
        <w:rPr>
          <w:lang w:val="en-US"/>
        </w:rPr>
        <w:t xml:space="preserve">“Explainable Artificial Intelligence (XAI) 2.0: A Manifesto of Open Challenges and Interdisciplinary Research Directions.” </w:t>
      </w:r>
      <w:r w:rsidRPr="00AC5577">
        <w:rPr>
          <w:i/>
          <w:iCs/>
          <w:lang w:val="en-US"/>
        </w:rPr>
        <w:t>Information Fusion</w:t>
      </w:r>
      <w:r w:rsidRPr="00AC5577">
        <w:rPr>
          <w:lang w:val="en-US"/>
        </w:rPr>
        <w:t xml:space="preserve"> 106: 102301. </w:t>
      </w:r>
      <w:hyperlink r:id="rId83">
        <w:r w:rsidRPr="00AC5577">
          <w:rPr>
            <w:rStyle w:val="Hyperlink"/>
            <w:lang w:val="en-US"/>
          </w:rPr>
          <w:t>https://doi.org/10.1016/j.inffus.2024.102301</w:t>
        </w:r>
      </w:hyperlink>
      <w:r w:rsidRPr="00AC5577">
        <w:rPr>
          <w:lang w:val="en-US"/>
        </w:rPr>
        <w:t>.</w:t>
      </w:r>
    </w:p>
    <w:p w14:paraId="45FAB31E" w14:textId="77777777" w:rsidR="00D762DD" w:rsidRPr="00AC5577" w:rsidRDefault="00000000">
      <w:pPr>
        <w:rPr>
          <w:lang w:val="en-US"/>
        </w:rPr>
      </w:pPr>
      <w:bookmarkStart w:id="343" w:name="ref-lundberg2017"/>
      <w:bookmarkEnd w:id="342"/>
      <w:r w:rsidRPr="00AC5577">
        <w:rPr>
          <w:lang w:val="en-US"/>
        </w:rPr>
        <w:t xml:space="preserve">Lundberg, &amp; Lee, S. M. 2017. “A Unified Approach to Interpreting Model Predictions.” </w:t>
      </w:r>
      <w:proofErr w:type="spellStart"/>
      <w:r w:rsidRPr="00AC5577">
        <w:rPr>
          <w:i/>
          <w:iCs/>
          <w:lang w:val="en-US"/>
        </w:rPr>
        <w:t>arXiv</w:t>
      </w:r>
      <w:proofErr w:type="spellEnd"/>
      <w:r w:rsidRPr="00AC5577">
        <w:rPr>
          <w:i/>
          <w:iCs/>
          <w:lang w:val="en-US"/>
        </w:rPr>
        <w:t xml:space="preserve"> (Cornell University)</w:t>
      </w:r>
      <w:r w:rsidRPr="00AC5577">
        <w:rPr>
          <w:lang w:val="en-US"/>
        </w:rPr>
        <w:t xml:space="preserve">, ahead of print. </w:t>
      </w:r>
      <w:hyperlink r:id="rId84">
        <w:r w:rsidRPr="00AC5577">
          <w:rPr>
            <w:rStyle w:val="Hyperlink"/>
            <w:lang w:val="en-US"/>
          </w:rPr>
          <w:t>https://doi.org/10.48550/arxiv.1705.07874</w:t>
        </w:r>
      </w:hyperlink>
      <w:r w:rsidRPr="00AC5577">
        <w:rPr>
          <w:lang w:val="en-US"/>
        </w:rPr>
        <w:t>.</w:t>
      </w:r>
    </w:p>
    <w:p w14:paraId="3DB67145" w14:textId="77777777" w:rsidR="00D762DD" w:rsidRPr="00AC5577" w:rsidRDefault="00000000">
      <w:pPr>
        <w:rPr>
          <w:lang w:val="en-US"/>
        </w:rPr>
      </w:pPr>
      <w:bookmarkStart w:id="344" w:name="ref-malwade2023"/>
      <w:bookmarkEnd w:id="343"/>
      <w:proofErr w:type="spellStart"/>
      <w:r w:rsidRPr="00AC5577">
        <w:rPr>
          <w:lang w:val="en-US"/>
        </w:rPr>
        <w:t>Malwade</w:t>
      </w:r>
      <w:proofErr w:type="spellEnd"/>
      <w:r w:rsidRPr="00AC5577">
        <w:rPr>
          <w:lang w:val="en-US"/>
        </w:rPr>
        <w:t xml:space="preserve">, &amp; </w:t>
      </w:r>
      <w:proofErr w:type="spellStart"/>
      <w:r w:rsidRPr="00AC5577">
        <w:rPr>
          <w:lang w:val="en-US"/>
        </w:rPr>
        <w:t>Budhavale</w:t>
      </w:r>
      <w:proofErr w:type="spellEnd"/>
      <w:r w:rsidRPr="00AC5577">
        <w:rPr>
          <w:lang w:val="en-US"/>
        </w:rPr>
        <w:t xml:space="preserve">, S. S. 2023. “Exploring Explainable AI: Current Trends, Challenges, Techniques and Its Applications.” </w:t>
      </w:r>
      <w:r w:rsidRPr="00AC5577">
        <w:rPr>
          <w:i/>
          <w:iCs/>
          <w:lang w:val="en-US"/>
        </w:rPr>
        <w:t>ICIMMI ’23: Proceedings of the 5th International Conference on Information Management &amp; Machine Intelligence Article No.: 85, 1–9</w:t>
      </w:r>
      <w:r w:rsidRPr="00AC5577">
        <w:rPr>
          <w:lang w:val="en-US"/>
        </w:rPr>
        <w:t xml:space="preserve">, ahead of print. </w:t>
      </w:r>
      <w:hyperlink r:id="rId85">
        <w:r w:rsidRPr="00AC5577">
          <w:rPr>
            <w:rStyle w:val="Hyperlink"/>
            <w:lang w:val="en-US"/>
          </w:rPr>
          <w:t>https://doi.org/10.1145/3647444.3647912</w:t>
        </w:r>
      </w:hyperlink>
      <w:r w:rsidRPr="00AC5577">
        <w:rPr>
          <w:lang w:val="en-US"/>
        </w:rPr>
        <w:t>.</w:t>
      </w:r>
    </w:p>
    <w:p w14:paraId="1B244913" w14:textId="77777777" w:rsidR="00D762DD" w:rsidRPr="00AC5577" w:rsidRDefault="00000000">
      <w:pPr>
        <w:rPr>
          <w:lang w:val="en-US"/>
        </w:rPr>
      </w:pPr>
      <w:bookmarkStart w:id="345" w:name="ref-marcinkevics2023"/>
      <w:bookmarkEnd w:id="344"/>
      <w:proofErr w:type="spellStart"/>
      <w:r w:rsidRPr="00AC5577">
        <w:rPr>
          <w:lang w:val="en-US"/>
        </w:rPr>
        <w:t>Marcinkevičs</w:t>
      </w:r>
      <w:proofErr w:type="spellEnd"/>
      <w:r w:rsidRPr="00AC5577">
        <w:rPr>
          <w:lang w:val="en-US"/>
        </w:rPr>
        <w:t xml:space="preserve">, &amp; Vogt, R. 2023. “Interpretable and Explainable Machine Learning: A Methods‐centric Overview with Concrete Examples.” </w:t>
      </w:r>
      <w:r w:rsidRPr="00AC5577">
        <w:rPr>
          <w:i/>
          <w:iCs/>
          <w:lang w:val="en-US"/>
        </w:rPr>
        <w:t>Wiley Interdisciplinary Reviews Data Mining and Knowledge Discovery</w:t>
      </w:r>
      <w:r w:rsidRPr="00AC5577">
        <w:rPr>
          <w:lang w:val="en-US"/>
        </w:rPr>
        <w:t xml:space="preserve"> 13 (3). </w:t>
      </w:r>
      <w:hyperlink r:id="rId86">
        <w:r w:rsidRPr="00AC5577">
          <w:rPr>
            <w:rStyle w:val="Hyperlink"/>
            <w:lang w:val="en-US"/>
          </w:rPr>
          <w:t>https://doi.org/10.1002/widm.1493</w:t>
        </w:r>
      </w:hyperlink>
      <w:r w:rsidRPr="00AC5577">
        <w:rPr>
          <w:lang w:val="en-US"/>
        </w:rPr>
        <w:t>.</w:t>
      </w:r>
    </w:p>
    <w:p w14:paraId="5A140BAF" w14:textId="77777777" w:rsidR="00D762DD" w:rsidRPr="00AC5577" w:rsidRDefault="00000000">
      <w:pPr>
        <w:rPr>
          <w:lang w:val="en-US"/>
        </w:rPr>
      </w:pPr>
      <w:bookmarkStart w:id="346" w:name="ref-marquessilva2024"/>
      <w:bookmarkEnd w:id="345"/>
      <w:r w:rsidRPr="00AC5577">
        <w:rPr>
          <w:lang w:val="en-US"/>
        </w:rPr>
        <w:t xml:space="preserve">Marques-Silva, Joao. 2024. </w:t>
      </w:r>
      <w:r w:rsidRPr="00AC5577">
        <w:rPr>
          <w:i/>
          <w:iCs/>
          <w:lang w:val="en-US"/>
        </w:rPr>
        <w:t>Logic-Based Explainability: Past, Present and Future</w:t>
      </w:r>
      <w:r w:rsidRPr="00AC5577">
        <w:rPr>
          <w:lang w:val="en-US"/>
        </w:rPr>
        <w:t xml:space="preserve">. Springer Nature Switzerland. </w:t>
      </w:r>
      <w:hyperlink r:id="rId87">
        <w:r w:rsidRPr="00AC5577">
          <w:rPr>
            <w:rStyle w:val="Hyperlink"/>
            <w:lang w:val="en-US"/>
          </w:rPr>
          <w:t>https://doi.org/10.1007/978-3-031-75387-9_12</w:t>
        </w:r>
      </w:hyperlink>
      <w:r w:rsidRPr="00AC5577">
        <w:rPr>
          <w:lang w:val="en-US"/>
        </w:rPr>
        <w:t>.</w:t>
      </w:r>
    </w:p>
    <w:p w14:paraId="4E1111BD" w14:textId="77777777" w:rsidR="00D762DD" w:rsidRPr="00AC5577" w:rsidRDefault="00000000">
      <w:pPr>
        <w:rPr>
          <w:lang w:val="en-US"/>
        </w:rPr>
      </w:pPr>
      <w:bookmarkStart w:id="347" w:name="ref-miller2019"/>
      <w:bookmarkEnd w:id="346"/>
      <w:r w:rsidRPr="00AC5577">
        <w:rPr>
          <w:lang w:val="en-US"/>
        </w:rPr>
        <w:t xml:space="preserve">Miller, Tim. 2019. “Explanation in Artificial Intelligence: Insights from the Social Sciences.” </w:t>
      </w:r>
      <w:r w:rsidRPr="00AC5577">
        <w:rPr>
          <w:i/>
          <w:iCs/>
          <w:lang w:val="en-US"/>
        </w:rPr>
        <w:t>Artificial Intelligence</w:t>
      </w:r>
      <w:r w:rsidRPr="00AC5577">
        <w:rPr>
          <w:lang w:val="en-US"/>
        </w:rPr>
        <w:t xml:space="preserve"> 267: 1–38. </w:t>
      </w:r>
      <w:hyperlink r:id="rId88">
        <w:r w:rsidRPr="00AC5577">
          <w:rPr>
            <w:rStyle w:val="Hyperlink"/>
            <w:lang w:val="en-US"/>
          </w:rPr>
          <w:t>https://doi.org/10.1016/j.artint.2018.07.007</w:t>
        </w:r>
      </w:hyperlink>
      <w:r w:rsidRPr="00AC5577">
        <w:rPr>
          <w:lang w:val="en-US"/>
        </w:rPr>
        <w:t>.</w:t>
      </w:r>
    </w:p>
    <w:p w14:paraId="7FE25F57" w14:textId="77777777" w:rsidR="00D762DD" w:rsidRPr="00AC5577" w:rsidRDefault="00000000">
      <w:pPr>
        <w:rPr>
          <w:lang w:val="en-US"/>
        </w:rPr>
      </w:pPr>
      <w:bookmarkStart w:id="348" w:name="ref-mitchell2022"/>
      <w:bookmarkEnd w:id="347"/>
      <w:r w:rsidRPr="00AC5577">
        <w:rPr>
          <w:lang w:val="en-US"/>
        </w:rPr>
        <w:t xml:space="preserve">Mitchell, Rory, Joshua Cooper, Eibe Frank, and Geoffrey Holmes. 2022. “Sampling Permutations for Shapley Value Estimation.” </w:t>
      </w:r>
      <w:r w:rsidRPr="00AC5577">
        <w:rPr>
          <w:i/>
          <w:iCs/>
          <w:lang w:val="en-US"/>
        </w:rPr>
        <w:t>Journal of Machine Learning Research</w:t>
      </w:r>
      <w:r w:rsidRPr="00AC5577">
        <w:rPr>
          <w:lang w:val="en-US"/>
        </w:rPr>
        <w:t xml:space="preserve"> 23: 1–46.</w:t>
      </w:r>
    </w:p>
    <w:p w14:paraId="2A708B16" w14:textId="77777777" w:rsidR="00D762DD" w:rsidRPr="00AC5577" w:rsidRDefault="00000000">
      <w:pPr>
        <w:rPr>
          <w:lang w:val="en-US"/>
        </w:rPr>
      </w:pPr>
      <w:bookmarkStart w:id="349" w:name="ref-mittal2023"/>
      <w:bookmarkEnd w:id="348"/>
      <w:r w:rsidRPr="00AC5577">
        <w:rPr>
          <w:lang w:val="en-US"/>
        </w:rPr>
        <w:t xml:space="preserve">Mittal, Sangeeta. 2023. “Explaining URL Phishing Detection by Glass Box Models.” </w:t>
      </w:r>
      <w:r w:rsidRPr="00AC5577">
        <w:rPr>
          <w:i/>
          <w:iCs/>
          <w:lang w:val="en-US"/>
        </w:rPr>
        <w:t>Proceedings of the 2023 Fifteenth International Conference on Contemporary Computing</w:t>
      </w:r>
      <w:r w:rsidRPr="00AC5577">
        <w:rPr>
          <w:lang w:val="en-US"/>
        </w:rPr>
        <w:t xml:space="preserve">, 537–44. </w:t>
      </w:r>
      <w:hyperlink r:id="rId89">
        <w:r w:rsidRPr="00AC5577">
          <w:rPr>
            <w:rStyle w:val="Hyperlink"/>
            <w:lang w:val="en-US"/>
          </w:rPr>
          <w:t>https://doi.org/10.1145/3607947.3608059</w:t>
        </w:r>
      </w:hyperlink>
      <w:r w:rsidRPr="00AC5577">
        <w:rPr>
          <w:lang w:val="en-US"/>
        </w:rPr>
        <w:t>.</w:t>
      </w:r>
    </w:p>
    <w:p w14:paraId="3A9495D9" w14:textId="77777777" w:rsidR="00D762DD" w:rsidRPr="00AC5577" w:rsidRDefault="00000000">
      <w:pPr>
        <w:rPr>
          <w:lang w:val="en-US"/>
        </w:rPr>
      </w:pPr>
      <w:bookmarkStart w:id="350" w:name="ref-mittelstadt2019"/>
      <w:bookmarkEnd w:id="349"/>
      <w:r w:rsidRPr="00AC5577">
        <w:rPr>
          <w:lang w:val="en-US"/>
        </w:rPr>
        <w:t xml:space="preserve">Mittelstadt, Russell, B. 2019. “Explaining Explanations in AI.” </w:t>
      </w:r>
      <w:r w:rsidRPr="00AC5577">
        <w:rPr>
          <w:i/>
          <w:iCs/>
          <w:lang w:val="en-US"/>
        </w:rPr>
        <w:t>FAT* ’19: Proceedings of the Conference on Fairness, Accountability, and Transparency, 279–288</w:t>
      </w:r>
      <w:r w:rsidRPr="00AC5577">
        <w:rPr>
          <w:lang w:val="en-US"/>
        </w:rPr>
        <w:t xml:space="preserve">, ahead of print. </w:t>
      </w:r>
      <w:hyperlink r:id="rId90">
        <w:r w:rsidRPr="00AC5577">
          <w:rPr>
            <w:rStyle w:val="Hyperlink"/>
            <w:lang w:val="en-US"/>
          </w:rPr>
          <w:t>https://doi.org/10.1145/3287560.3287574</w:t>
        </w:r>
      </w:hyperlink>
      <w:r w:rsidRPr="00AC5577">
        <w:rPr>
          <w:lang w:val="en-US"/>
        </w:rPr>
        <w:t>.</w:t>
      </w:r>
    </w:p>
    <w:p w14:paraId="71456AEA" w14:textId="77777777" w:rsidR="00D762DD" w:rsidRPr="00AC5577" w:rsidRDefault="00000000">
      <w:pPr>
        <w:rPr>
          <w:lang w:val="en-US"/>
        </w:rPr>
      </w:pPr>
      <w:bookmarkStart w:id="351" w:name="ref-mohseni2021"/>
      <w:bookmarkEnd w:id="350"/>
      <w:r w:rsidRPr="00AC5577">
        <w:rPr>
          <w:lang w:val="en-US"/>
        </w:rPr>
        <w:lastRenderedPageBreak/>
        <w:t xml:space="preserve">Mohseni, Sina, Niloofar Zarei, and Eric D. Ragan. 2021. “A Multidisciplinary Survey and Framework for Design and Evaluation of Explainable AI Systems.” </w:t>
      </w:r>
      <w:r w:rsidRPr="00AC5577">
        <w:rPr>
          <w:i/>
          <w:iCs/>
          <w:lang w:val="en-US"/>
        </w:rPr>
        <w:t>ACM Transactions on Interactive Intelligent Systems</w:t>
      </w:r>
      <w:r w:rsidRPr="00AC5577">
        <w:rPr>
          <w:lang w:val="en-US"/>
        </w:rPr>
        <w:t xml:space="preserve"> 11 (3-4): 1–45. </w:t>
      </w:r>
      <w:hyperlink r:id="rId91">
        <w:r w:rsidRPr="00AC5577">
          <w:rPr>
            <w:rStyle w:val="Hyperlink"/>
            <w:lang w:val="en-US"/>
          </w:rPr>
          <w:t>https://doi.org/10.1145/3387166</w:t>
        </w:r>
      </w:hyperlink>
      <w:r w:rsidRPr="00AC5577">
        <w:rPr>
          <w:lang w:val="en-US"/>
        </w:rPr>
        <w:t>.</w:t>
      </w:r>
    </w:p>
    <w:p w14:paraId="0F237EFC" w14:textId="77777777" w:rsidR="00D762DD" w:rsidRPr="00AC5577" w:rsidRDefault="00000000">
      <w:pPr>
        <w:rPr>
          <w:lang w:val="en-US"/>
        </w:rPr>
      </w:pPr>
      <w:bookmarkStart w:id="352" w:name="ref-molnar2020"/>
      <w:bookmarkEnd w:id="351"/>
      <w:r w:rsidRPr="00AC5577">
        <w:rPr>
          <w:lang w:val="en-US"/>
        </w:rPr>
        <w:t xml:space="preserve">Molnar, Christoph, Giuseppe Casalicchio, and Bernd Bischl. 2020. </w:t>
      </w:r>
      <w:r w:rsidRPr="00AC5577">
        <w:rPr>
          <w:i/>
          <w:iCs/>
          <w:lang w:val="en-US"/>
        </w:rPr>
        <w:t>Interpretable Machine Learning – a Brief History, State-of-the-Art and Challenges</w:t>
      </w:r>
      <w:r w:rsidRPr="00AC5577">
        <w:rPr>
          <w:lang w:val="en-US"/>
        </w:rPr>
        <w:t xml:space="preserve">. Springer International Publishing. </w:t>
      </w:r>
      <w:hyperlink r:id="rId92">
        <w:r w:rsidRPr="00AC5577">
          <w:rPr>
            <w:rStyle w:val="Hyperlink"/>
            <w:lang w:val="en-US"/>
          </w:rPr>
          <w:t>https://doi.org/10.1007/978-3-030-65965-3_28</w:t>
        </w:r>
      </w:hyperlink>
      <w:r w:rsidRPr="00AC5577">
        <w:rPr>
          <w:lang w:val="en-US"/>
        </w:rPr>
        <w:t>.</w:t>
      </w:r>
    </w:p>
    <w:p w14:paraId="5FCB3348" w14:textId="77777777" w:rsidR="00D762DD" w:rsidRPr="00AC5577" w:rsidRDefault="00000000">
      <w:pPr>
        <w:rPr>
          <w:lang w:val="en-US"/>
        </w:rPr>
      </w:pPr>
      <w:bookmarkStart w:id="353" w:name="ref-morrison2023"/>
      <w:bookmarkEnd w:id="352"/>
      <w:r w:rsidRPr="00AC5577">
        <w:rPr>
          <w:lang w:val="en-US"/>
        </w:rPr>
        <w:t xml:space="preserve">Morrison, Katelyn, Mayank Jain, Jessica Hammer, and Adam Perer. 2023. “Eye into AI: Evaluating the Interpretability of Explainable AI Techniques Through a Game with a Purpose.” </w:t>
      </w:r>
      <w:r w:rsidRPr="00AC5577">
        <w:rPr>
          <w:i/>
          <w:iCs/>
          <w:lang w:val="en-US"/>
        </w:rPr>
        <w:t>Proceedings of the ACM on Human-Computer Interaction</w:t>
      </w:r>
      <w:r w:rsidRPr="00AC5577">
        <w:rPr>
          <w:lang w:val="en-US"/>
        </w:rPr>
        <w:t xml:space="preserve"> 7 (CSCW2): 1–22. </w:t>
      </w:r>
      <w:hyperlink r:id="rId93">
        <w:r w:rsidRPr="00AC5577">
          <w:rPr>
            <w:rStyle w:val="Hyperlink"/>
            <w:lang w:val="en-US"/>
          </w:rPr>
          <w:t>https://doi.org/10.1145/3610064</w:t>
        </w:r>
      </w:hyperlink>
      <w:r w:rsidRPr="00AC5577">
        <w:rPr>
          <w:lang w:val="en-US"/>
        </w:rPr>
        <w:t>.</w:t>
      </w:r>
    </w:p>
    <w:p w14:paraId="117B31AB" w14:textId="77777777" w:rsidR="00D762DD" w:rsidRPr="00AC5577" w:rsidRDefault="00000000">
      <w:pPr>
        <w:rPr>
          <w:lang w:val="en-US"/>
        </w:rPr>
      </w:pPr>
      <w:bookmarkStart w:id="354" w:name="ref-mothilal2020"/>
      <w:bookmarkEnd w:id="353"/>
      <w:proofErr w:type="spellStart"/>
      <w:r w:rsidRPr="00AC5577">
        <w:rPr>
          <w:lang w:val="en-US"/>
        </w:rPr>
        <w:t>Mothilal</w:t>
      </w:r>
      <w:proofErr w:type="spellEnd"/>
      <w:r w:rsidRPr="00AC5577">
        <w:rPr>
          <w:lang w:val="en-US"/>
        </w:rPr>
        <w:t xml:space="preserve">, Sharma, R. K. 2020. “Explaining Machine Learning Classifiers Through Diverse Counterfactual Explanations.” </w:t>
      </w:r>
      <w:r w:rsidRPr="00AC5577">
        <w:rPr>
          <w:i/>
          <w:iCs/>
          <w:lang w:val="en-US"/>
        </w:rPr>
        <w:t>FAT* ’20: Proceedings of the 2020 Conference on Fairness, Accountability, and Transparency</w:t>
      </w:r>
      <w:r w:rsidRPr="00AC5577">
        <w:rPr>
          <w:lang w:val="en-US"/>
        </w:rPr>
        <w:t xml:space="preserve">, ahead of print. </w:t>
      </w:r>
      <w:hyperlink r:id="rId94">
        <w:r w:rsidRPr="00AC5577">
          <w:rPr>
            <w:rStyle w:val="Hyperlink"/>
            <w:lang w:val="en-US"/>
          </w:rPr>
          <w:t>https://doi.org/10.1145/3351095.3372850</w:t>
        </w:r>
      </w:hyperlink>
      <w:r w:rsidRPr="00AC5577">
        <w:rPr>
          <w:lang w:val="en-US"/>
        </w:rPr>
        <w:t>.</w:t>
      </w:r>
    </w:p>
    <w:p w14:paraId="3E2D1ECD" w14:textId="77777777" w:rsidR="00D762DD" w:rsidRPr="00AC5577" w:rsidRDefault="00000000">
      <w:pPr>
        <w:rPr>
          <w:lang w:val="en-US"/>
        </w:rPr>
      </w:pPr>
      <w:bookmarkStart w:id="355" w:name="ref-muntasir2024"/>
      <w:bookmarkEnd w:id="354"/>
      <w:r w:rsidRPr="00AC5577">
        <w:rPr>
          <w:lang w:val="en-US"/>
        </w:rPr>
        <w:t xml:space="preserve">Muntasir, Fahim, and Jannatun Noor. 2024. “Explainable AI Discloses Gender Bias in Sexism Detection Algorithm.” </w:t>
      </w:r>
      <w:r w:rsidRPr="00AC5577">
        <w:rPr>
          <w:i/>
          <w:iCs/>
          <w:lang w:val="en-US"/>
        </w:rPr>
        <w:t>Proceedings of the 11th International Conference on Networking, Systems, and Security</w:t>
      </w:r>
      <w:r w:rsidRPr="00AC5577">
        <w:rPr>
          <w:lang w:val="en-US"/>
        </w:rPr>
        <w:t xml:space="preserve">, 120–27. </w:t>
      </w:r>
      <w:hyperlink r:id="rId95">
        <w:r w:rsidRPr="00AC5577">
          <w:rPr>
            <w:rStyle w:val="Hyperlink"/>
            <w:lang w:val="en-US"/>
          </w:rPr>
          <w:t>https://doi.org/10.1145/3704522.3704524</w:t>
        </w:r>
      </w:hyperlink>
      <w:r w:rsidRPr="00AC5577">
        <w:rPr>
          <w:lang w:val="en-US"/>
        </w:rPr>
        <w:t>.</w:t>
      </w:r>
    </w:p>
    <w:p w14:paraId="6403625B" w14:textId="77777777" w:rsidR="00D762DD" w:rsidRPr="00AC5577" w:rsidRDefault="00000000">
      <w:pPr>
        <w:rPr>
          <w:lang w:val="en-US"/>
        </w:rPr>
      </w:pPr>
      <w:bookmarkStart w:id="356" w:name="ref-murdoch2019"/>
      <w:bookmarkEnd w:id="355"/>
      <w:r w:rsidRPr="00AC5577">
        <w:rPr>
          <w:lang w:val="en-US"/>
        </w:rPr>
        <w:t xml:space="preserve">Murdoch, Singh, W. J. 2019. “Definitions, Methods, and Applications in Interpretable Machine Learning.” </w:t>
      </w:r>
      <w:r w:rsidRPr="00AC5577">
        <w:rPr>
          <w:i/>
          <w:iCs/>
          <w:lang w:val="en-US"/>
        </w:rPr>
        <w:t>Proceedings of the National Academy of Sciences</w:t>
      </w:r>
      <w:r w:rsidRPr="00AC5577">
        <w:rPr>
          <w:lang w:val="en-US"/>
        </w:rPr>
        <w:t xml:space="preserve"> 116 (44): 22071–80. </w:t>
      </w:r>
      <w:hyperlink r:id="rId96">
        <w:r w:rsidRPr="00AC5577">
          <w:rPr>
            <w:rStyle w:val="Hyperlink"/>
            <w:lang w:val="en-US"/>
          </w:rPr>
          <w:t>https://doi.org/10.1073/pnas.1900654116</w:t>
        </w:r>
      </w:hyperlink>
      <w:r w:rsidRPr="00AC5577">
        <w:rPr>
          <w:lang w:val="en-US"/>
        </w:rPr>
        <w:t>.</w:t>
      </w:r>
    </w:p>
    <w:p w14:paraId="70E12CA0" w14:textId="77777777" w:rsidR="00D762DD" w:rsidRPr="00AC5577" w:rsidRDefault="00000000">
      <w:pPr>
        <w:rPr>
          <w:lang w:val="en-US"/>
        </w:rPr>
      </w:pPr>
      <w:bookmarkStart w:id="357" w:name="ref-nannini2024"/>
      <w:bookmarkEnd w:id="356"/>
      <w:r w:rsidRPr="00AC5577">
        <w:rPr>
          <w:lang w:val="en-US"/>
        </w:rPr>
        <w:t xml:space="preserve">Nannini, Luca, Marta Marchiori Manerba, and Isacco Beretta. 2024. “Mapping the Landscape of Ethical Considerations in Explainable AI Research.” </w:t>
      </w:r>
      <w:r w:rsidRPr="00AC5577">
        <w:rPr>
          <w:i/>
          <w:iCs/>
          <w:lang w:val="en-US"/>
        </w:rPr>
        <w:t>Ethics and Information Technology</w:t>
      </w:r>
      <w:r w:rsidRPr="00AC5577">
        <w:rPr>
          <w:lang w:val="en-US"/>
        </w:rPr>
        <w:t xml:space="preserve"> 26 (3). </w:t>
      </w:r>
      <w:hyperlink r:id="rId97">
        <w:r w:rsidRPr="00AC5577">
          <w:rPr>
            <w:rStyle w:val="Hyperlink"/>
            <w:lang w:val="en-US"/>
          </w:rPr>
          <w:t>https://doi.org/10.1007/s10676-024-09773-7</w:t>
        </w:r>
      </w:hyperlink>
      <w:r w:rsidRPr="00AC5577">
        <w:rPr>
          <w:lang w:val="en-US"/>
        </w:rPr>
        <w:t>.</w:t>
      </w:r>
    </w:p>
    <w:p w14:paraId="0979E1BA" w14:textId="77777777" w:rsidR="00D762DD" w:rsidRPr="00AC5577" w:rsidRDefault="00000000">
      <w:pPr>
        <w:rPr>
          <w:lang w:val="en-US"/>
        </w:rPr>
      </w:pPr>
      <w:bookmarkStart w:id="358" w:name="ref-nauta2023"/>
      <w:bookmarkEnd w:id="357"/>
      <w:r w:rsidRPr="00AC5577">
        <w:rPr>
          <w:lang w:val="en-US"/>
        </w:rPr>
        <w:t xml:space="preserve">Nauta, Meike, Jan Trienes, Shreyasi Pathak, et al. 2023. “From Anecdotal Evidence to Quantitative Evaluation Methods: A Systematic Review on Evaluating Explainable AI.” </w:t>
      </w:r>
      <w:r w:rsidRPr="00AC5577">
        <w:rPr>
          <w:i/>
          <w:iCs/>
          <w:lang w:val="en-US"/>
        </w:rPr>
        <w:t>ACM Computing Surveys</w:t>
      </w:r>
      <w:r w:rsidRPr="00AC5577">
        <w:rPr>
          <w:lang w:val="en-US"/>
        </w:rPr>
        <w:t xml:space="preserve"> 55 (13s): 1–42. </w:t>
      </w:r>
      <w:hyperlink r:id="rId98">
        <w:r w:rsidRPr="00AC5577">
          <w:rPr>
            <w:rStyle w:val="Hyperlink"/>
            <w:lang w:val="en-US"/>
          </w:rPr>
          <w:t>https://doi.org/10.1145/3583558</w:t>
        </w:r>
      </w:hyperlink>
      <w:r w:rsidRPr="00AC5577">
        <w:rPr>
          <w:lang w:val="en-US"/>
        </w:rPr>
        <w:t>.</w:t>
      </w:r>
    </w:p>
    <w:p w14:paraId="23D549C1" w14:textId="77777777" w:rsidR="00D762DD" w:rsidRPr="00AC5577" w:rsidRDefault="00000000">
      <w:pPr>
        <w:rPr>
          <w:lang w:val="en-US"/>
        </w:rPr>
      </w:pPr>
      <w:bookmarkStart w:id="359" w:name="ref-nemenyi1963"/>
      <w:bookmarkEnd w:id="358"/>
      <w:proofErr w:type="spellStart"/>
      <w:r w:rsidRPr="00AC5577">
        <w:rPr>
          <w:lang w:val="en-US"/>
        </w:rPr>
        <w:lastRenderedPageBreak/>
        <w:t>Nemenyi</w:t>
      </w:r>
      <w:proofErr w:type="spellEnd"/>
      <w:r w:rsidRPr="00AC5577">
        <w:rPr>
          <w:lang w:val="en-US"/>
        </w:rPr>
        <w:t xml:space="preserve">, Peter Bjorn. 1963. “Distribution-Free Multiple Comparisons.” PhD thesis, Princeton University. </w:t>
      </w:r>
      <w:hyperlink r:id="rId99">
        <w:r w:rsidRPr="00AC5577">
          <w:rPr>
            <w:rStyle w:val="Hyperlink"/>
            <w:lang w:val="en-US"/>
          </w:rPr>
          <w:t>https://catalog.princeton.edu/catalog/2081365</w:t>
        </w:r>
      </w:hyperlink>
      <w:r w:rsidRPr="00AC5577">
        <w:rPr>
          <w:lang w:val="en-US"/>
        </w:rPr>
        <w:t>.</w:t>
      </w:r>
    </w:p>
    <w:p w14:paraId="487B38E5" w14:textId="77777777" w:rsidR="00D762DD" w:rsidRPr="00AC5577" w:rsidRDefault="00000000">
      <w:pPr>
        <w:rPr>
          <w:lang w:val="en-US"/>
        </w:rPr>
      </w:pPr>
      <w:bookmarkStart w:id="360" w:name="ref-ngueajio2025"/>
      <w:bookmarkEnd w:id="359"/>
      <w:r w:rsidRPr="00AC5577">
        <w:rPr>
          <w:lang w:val="en-US"/>
        </w:rPr>
        <w:t xml:space="preserve">Ngueajio, Mikel K., Saurav Aryal, Marcellin </w:t>
      </w:r>
      <w:proofErr w:type="spellStart"/>
      <w:r w:rsidRPr="00AC5577">
        <w:rPr>
          <w:lang w:val="en-US"/>
        </w:rPr>
        <w:t>Atemkeng</w:t>
      </w:r>
      <w:proofErr w:type="spellEnd"/>
      <w:r w:rsidRPr="00AC5577">
        <w:rPr>
          <w:lang w:val="en-US"/>
        </w:rPr>
        <w:t xml:space="preserve">, Gloria Washington, and Danda Rawat. 2025. “Decoding Fake News and Hate Speech: A Survey of Explainable AI Techniques.” </w:t>
      </w:r>
      <w:r w:rsidRPr="00AC5577">
        <w:rPr>
          <w:i/>
          <w:iCs/>
          <w:lang w:val="en-US"/>
        </w:rPr>
        <w:t>ACM Computing Surveys</w:t>
      </w:r>
      <w:r w:rsidRPr="00AC5577">
        <w:rPr>
          <w:lang w:val="en-US"/>
        </w:rPr>
        <w:t xml:space="preserve"> 57 (7): 1–37. </w:t>
      </w:r>
      <w:hyperlink r:id="rId100">
        <w:r w:rsidRPr="00AC5577">
          <w:rPr>
            <w:rStyle w:val="Hyperlink"/>
            <w:lang w:val="en-US"/>
          </w:rPr>
          <w:t>https://doi.org/10.1145/3711123</w:t>
        </w:r>
      </w:hyperlink>
      <w:r w:rsidRPr="00AC5577">
        <w:rPr>
          <w:lang w:val="en-US"/>
        </w:rPr>
        <w:t>.</w:t>
      </w:r>
    </w:p>
    <w:p w14:paraId="3A42837B" w14:textId="77777777" w:rsidR="00D762DD" w:rsidRPr="00AC5577" w:rsidRDefault="00000000">
      <w:pPr>
        <w:rPr>
          <w:lang w:val="en-US"/>
        </w:rPr>
      </w:pPr>
      <w:bookmarkStart w:id="361" w:name="ref-nguyen2019"/>
      <w:bookmarkEnd w:id="360"/>
      <w:r w:rsidRPr="00AC5577">
        <w:rPr>
          <w:lang w:val="en-US"/>
        </w:rPr>
        <w:t xml:space="preserve">Nguyen, An-phi, and Maria Rodriguez Martinez. 2019. </w:t>
      </w:r>
      <w:proofErr w:type="spellStart"/>
      <w:r w:rsidRPr="00AC5577">
        <w:rPr>
          <w:i/>
          <w:iCs/>
          <w:lang w:val="en-US"/>
        </w:rPr>
        <w:t>MonoNet</w:t>
      </w:r>
      <w:proofErr w:type="spellEnd"/>
      <w:r w:rsidRPr="00AC5577">
        <w:rPr>
          <w:i/>
          <w:iCs/>
          <w:lang w:val="en-US"/>
        </w:rPr>
        <w:t>: Towards Interpretable Models by Learning Monotonic Features</w:t>
      </w:r>
      <w:r w:rsidRPr="00AC5577">
        <w:rPr>
          <w:lang w:val="en-US"/>
        </w:rPr>
        <w:t>.</w:t>
      </w:r>
    </w:p>
    <w:p w14:paraId="24BADACE" w14:textId="77777777" w:rsidR="00D762DD" w:rsidRPr="00AC5577" w:rsidRDefault="00000000">
      <w:pPr>
        <w:rPr>
          <w:lang w:val="en-US"/>
        </w:rPr>
      </w:pPr>
      <w:bookmarkStart w:id="362" w:name="ref-nimmo2024"/>
      <w:bookmarkEnd w:id="361"/>
      <w:r w:rsidRPr="00AC5577">
        <w:rPr>
          <w:lang w:val="en-US"/>
        </w:rPr>
        <w:t xml:space="preserve">Nimmo, Robert, Marios Constantinides, Ke Zhou, Daniele Quercia, and Simone Stumpf. 2024. “User Characteristics in Explainable AI: The Rabbit Hole of Personalization?” </w:t>
      </w:r>
      <w:r w:rsidRPr="00AC5577">
        <w:rPr>
          <w:i/>
          <w:iCs/>
          <w:lang w:val="en-US"/>
        </w:rPr>
        <w:t>Proceedings of the CHI Conference on Human Factors in Computing Systems</w:t>
      </w:r>
      <w:r w:rsidRPr="00AC5577">
        <w:rPr>
          <w:lang w:val="en-US"/>
        </w:rPr>
        <w:t xml:space="preserve">, 1–13. </w:t>
      </w:r>
      <w:hyperlink r:id="rId101">
        <w:r w:rsidRPr="00AC5577">
          <w:rPr>
            <w:rStyle w:val="Hyperlink"/>
            <w:lang w:val="en-US"/>
          </w:rPr>
          <w:t>https://doi.org/10.1145/3613904.3642352</w:t>
        </w:r>
      </w:hyperlink>
      <w:r w:rsidRPr="00AC5577">
        <w:rPr>
          <w:lang w:val="en-US"/>
        </w:rPr>
        <w:t>.</w:t>
      </w:r>
    </w:p>
    <w:p w14:paraId="2F68D180" w14:textId="77777777" w:rsidR="00D762DD" w:rsidRPr="00AC5577" w:rsidRDefault="00000000">
      <w:pPr>
        <w:rPr>
          <w:lang w:val="en-US"/>
        </w:rPr>
      </w:pPr>
      <w:bookmarkStart w:id="363" w:name="ref-nizam2023"/>
      <w:bookmarkEnd w:id="362"/>
      <w:r w:rsidRPr="00AC5577">
        <w:rPr>
          <w:lang w:val="en-US"/>
        </w:rPr>
        <w:t xml:space="preserve">Nizam, T., and S. Zafar. 2023. “Towards a </w:t>
      </w:r>
      <w:proofErr w:type="spellStart"/>
      <w:r w:rsidRPr="00AC5577">
        <w:rPr>
          <w:lang w:val="en-US"/>
        </w:rPr>
        <w:t>Standardised</w:t>
      </w:r>
      <w:proofErr w:type="spellEnd"/>
      <w:r w:rsidRPr="00AC5577">
        <w:rPr>
          <w:lang w:val="en-US"/>
        </w:rPr>
        <w:t xml:space="preserve"> Evaluation Approach for Diverse XAI Methods.” </w:t>
      </w:r>
      <w:r w:rsidRPr="00AC5577">
        <w:rPr>
          <w:i/>
          <w:iCs/>
          <w:lang w:val="en-US"/>
        </w:rPr>
        <w:t>Explainable Artificial Intelligence (XAI): Conception, Visualization and Assessment</w:t>
      </w:r>
      <w:r w:rsidRPr="00AC5577">
        <w:rPr>
          <w:lang w:val="en-US"/>
        </w:rPr>
        <w:t>.</w:t>
      </w:r>
    </w:p>
    <w:p w14:paraId="6339EBF9" w14:textId="77777777" w:rsidR="00D762DD" w:rsidRPr="00AC5577" w:rsidRDefault="00000000">
      <w:pPr>
        <w:rPr>
          <w:lang w:val="en-US"/>
        </w:rPr>
      </w:pPr>
      <w:bookmarkStart w:id="364" w:name="ref-nussberger2022"/>
      <w:bookmarkEnd w:id="363"/>
      <w:r w:rsidRPr="00AC5577">
        <w:rPr>
          <w:lang w:val="en-US"/>
        </w:rPr>
        <w:t xml:space="preserve">Nussberger, Luo, A. 2022. “Public Attitudes Value Interpretability but Prioritize Accuracy in Artificial Intelligence.” </w:t>
      </w:r>
      <w:r w:rsidRPr="00AC5577">
        <w:rPr>
          <w:i/>
          <w:iCs/>
          <w:lang w:val="en-US"/>
        </w:rPr>
        <w:t>Nature Communications</w:t>
      </w:r>
      <w:r w:rsidRPr="00AC5577">
        <w:rPr>
          <w:lang w:val="en-US"/>
        </w:rPr>
        <w:t xml:space="preserve"> 13 (1). </w:t>
      </w:r>
      <w:hyperlink r:id="rId102">
        <w:r w:rsidRPr="00AC5577">
          <w:rPr>
            <w:rStyle w:val="Hyperlink"/>
            <w:lang w:val="en-US"/>
          </w:rPr>
          <w:t>https://doi.org/10.1038/s41467-022-33417-3</w:t>
        </w:r>
      </w:hyperlink>
      <w:r w:rsidRPr="00AC5577">
        <w:rPr>
          <w:lang w:val="en-US"/>
        </w:rPr>
        <w:t>.</w:t>
      </w:r>
    </w:p>
    <w:p w14:paraId="401E8C72" w14:textId="77777777" w:rsidR="00D762DD" w:rsidRPr="00AC5577" w:rsidRDefault="00000000">
      <w:pPr>
        <w:rPr>
          <w:lang w:val="en-US"/>
        </w:rPr>
      </w:pPr>
      <w:bookmarkStart w:id="365" w:name="ref-olsen2022"/>
      <w:bookmarkEnd w:id="364"/>
      <w:r w:rsidRPr="00AC5577">
        <w:rPr>
          <w:lang w:val="en-US"/>
        </w:rPr>
        <w:t xml:space="preserve">Olsen, Lars Henry Berge, Ingrid Kristine Glad, Martin Jullum, and Kjersti Aas. 2022. “Using Shapley Values and Variational Autoencoders to Explain Predictive Models with Dependent Mixed Features.” </w:t>
      </w:r>
      <w:r w:rsidRPr="00AC5577">
        <w:rPr>
          <w:i/>
          <w:iCs/>
          <w:lang w:val="en-US"/>
        </w:rPr>
        <w:t>Journal of Machine Learning Research</w:t>
      </w:r>
      <w:r w:rsidRPr="00AC5577">
        <w:rPr>
          <w:lang w:val="en-US"/>
        </w:rPr>
        <w:t xml:space="preserve"> 23: 1–51.</w:t>
      </w:r>
    </w:p>
    <w:p w14:paraId="6EFEB4D9" w14:textId="77777777" w:rsidR="00D762DD" w:rsidRPr="00AC5577" w:rsidRDefault="00000000">
      <w:pPr>
        <w:rPr>
          <w:lang w:val="en-US"/>
        </w:rPr>
      </w:pPr>
      <w:bookmarkStart w:id="366" w:name="ref-pawlicki2024"/>
      <w:bookmarkEnd w:id="365"/>
      <w:r w:rsidRPr="00AC5577">
        <w:rPr>
          <w:lang w:val="en-US"/>
        </w:rPr>
        <w:t xml:space="preserve">Pawlicki, M., A. Pawlicka, F. Uccello, et al. 2024. “Evaluating the Necessity of the Multiple Metrics for Assessing Explainable AI: A Critical Examination.” </w:t>
      </w:r>
      <w:r w:rsidRPr="00AC5577">
        <w:rPr>
          <w:i/>
          <w:iCs/>
          <w:lang w:val="en-US"/>
        </w:rPr>
        <w:t>Neurocomputing</w:t>
      </w:r>
      <w:r w:rsidRPr="00AC5577">
        <w:rPr>
          <w:lang w:val="en-US"/>
        </w:rPr>
        <w:t xml:space="preserve"> 602 (128282). </w:t>
      </w:r>
      <w:hyperlink r:id="rId103">
        <w:r w:rsidRPr="00AC5577">
          <w:rPr>
            <w:rStyle w:val="Hyperlink"/>
            <w:lang w:val="en-US"/>
          </w:rPr>
          <w:t>https://doi.org/10.1016/j.neucom.2024.128282</w:t>
        </w:r>
      </w:hyperlink>
      <w:r w:rsidRPr="00AC5577">
        <w:rPr>
          <w:lang w:val="en-US"/>
        </w:rPr>
        <w:t>.</w:t>
      </w:r>
    </w:p>
    <w:p w14:paraId="3C6CD4F4" w14:textId="77777777" w:rsidR="00D762DD" w:rsidRPr="00AC5577" w:rsidRDefault="00000000">
      <w:pPr>
        <w:rPr>
          <w:lang w:val="en-US"/>
        </w:rPr>
      </w:pPr>
      <w:bookmarkStart w:id="367" w:name="ref-peters2024"/>
      <w:bookmarkEnd w:id="366"/>
      <w:r w:rsidRPr="00AC5577">
        <w:rPr>
          <w:lang w:val="en-US"/>
        </w:rPr>
        <w:t xml:space="preserve">Peters, Uwe, and Mary Carman. 2024. “Cultural Bias in Explainable AI Research: A Systematic Analysis.” </w:t>
      </w:r>
      <w:r w:rsidRPr="00AC5577">
        <w:rPr>
          <w:i/>
          <w:iCs/>
          <w:lang w:val="en-US"/>
        </w:rPr>
        <w:t>Journal of Artificial Intelligence Research</w:t>
      </w:r>
      <w:r w:rsidRPr="00AC5577">
        <w:rPr>
          <w:lang w:val="en-US"/>
        </w:rPr>
        <w:t xml:space="preserve"> 79: 971–1000. </w:t>
      </w:r>
      <w:hyperlink r:id="rId104">
        <w:r w:rsidRPr="00AC5577">
          <w:rPr>
            <w:rStyle w:val="Hyperlink"/>
            <w:lang w:val="en-US"/>
          </w:rPr>
          <w:t>https://doi.org/10.1613/jair.1.14888</w:t>
        </w:r>
      </w:hyperlink>
      <w:r w:rsidRPr="00AC5577">
        <w:rPr>
          <w:lang w:val="en-US"/>
        </w:rPr>
        <w:t>.</w:t>
      </w:r>
    </w:p>
    <w:p w14:paraId="363272AD" w14:textId="77777777" w:rsidR="00D762DD" w:rsidRDefault="00000000">
      <w:bookmarkStart w:id="368" w:name="ref-porfirio2024"/>
      <w:bookmarkEnd w:id="367"/>
      <w:r w:rsidRPr="00AC5577">
        <w:rPr>
          <w:lang w:val="en-US"/>
        </w:rPr>
        <w:lastRenderedPageBreak/>
        <w:t xml:space="preserve">Porfírio, Rui Pedro. 2024. “Studying the Impact of Explainable AI in Digital Agriculture Solutions.” </w:t>
      </w:r>
      <w:r w:rsidRPr="00AC5577">
        <w:rPr>
          <w:i/>
          <w:iCs/>
          <w:lang w:val="en-US"/>
        </w:rPr>
        <w:t>Companion Publication of the 2024 Conference on Computer-Supported Cooperative Work and Social Computing</w:t>
      </w:r>
      <w:r w:rsidRPr="00AC5577">
        <w:rPr>
          <w:lang w:val="en-US"/>
        </w:rPr>
        <w:t xml:space="preserve">, 43–46. </w:t>
      </w:r>
      <w:hyperlink r:id="rId105">
        <w:r>
          <w:rPr>
            <w:rStyle w:val="Hyperlink"/>
          </w:rPr>
          <w:t>https://doi.org/10.1145/3678884.3682046</w:t>
        </w:r>
      </w:hyperlink>
      <w:r>
        <w:t>.</w:t>
      </w:r>
    </w:p>
    <w:p w14:paraId="48662F1D" w14:textId="77777777" w:rsidR="00D762DD" w:rsidRPr="00AC5577" w:rsidRDefault="00000000">
      <w:pPr>
        <w:rPr>
          <w:lang w:val="en-US"/>
        </w:rPr>
      </w:pPr>
      <w:bookmarkStart w:id="369" w:name="ref-poyiadzi2020"/>
      <w:bookmarkEnd w:id="368"/>
      <w:proofErr w:type="spellStart"/>
      <w:r>
        <w:t>Poyiadzi</w:t>
      </w:r>
      <w:proofErr w:type="spellEnd"/>
      <w:r>
        <w:t xml:space="preserve">, Rafael, Kacper Sokol, </w:t>
      </w:r>
      <w:proofErr w:type="spellStart"/>
      <w:r>
        <w:t>Raul</w:t>
      </w:r>
      <w:proofErr w:type="spellEnd"/>
      <w:r>
        <w:t xml:space="preserve"> Santos-Rodriguez, Tijl De </w:t>
      </w:r>
      <w:proofErr w:type="spellStart"/>
      <w:r>
        <w:t>Bie</w:t>
      </w:r>
      <w:proofErr w:type="spellEnd"/>
      <w:r>
        <w:t xml:space="preserve">, and Peter Flach. </w:t>
      </w:r>
      <w:r w:rsidRPr="00AC5577">
        <w:rPr>
          <w:lang w:val="en-US"/>
        </w:rPr>
        <w:t xml:space="preserve">2020. “FACE: Feasible and Actionable Counterfactual Explanations.” </w:t>
      </w:r>
      <w:r w:rsidRPr="00AC5577">
        <w:rPr>
          <w:i/>
          <w:iCs/>
          <w:lang w:val="en-US"/>
        </w:rPr>
        <w:t>Proceedings of the AAAI/ACM Conference on AI, Ethics, and Society</w:t>
      </w:r>
      <w:r w:rsidRPr="00AC5577">
        <w:rPr>
          <w:lang w:val="en-US"/>
        </w:rPr>
        <w:t xml:space="preserve">, 344–50. </w:t>
      </w:r>
      <w:hyperlink r:id="rId106">
        <w:r w:rsidRPr="00AC5577">
          <w:rPr>
            <w:rStyle w:val="Hyperlink"/>
            <w:lang w:val="en-US"/>
          </w:rPr>
          <w:t>https://doi.org/10.1145/3375627.3375850</w:t>
        </w:r>
      </w:hyperlink>
      <w:r w:rsidRPr="00AC5577">
        <w:rPr>
          <w:lang w:val="en-US"/>
        </w:rPr>
        <w:t>.</w:t>
      </w:r>
    </w:p>
    <w:p w14:paraId="132A4454" w14:textId="77777777" w:rsidR="00D762DD" w:rsidRPr="00AC5577" w:rsidRDefault="00000000">
      <w:pPr>
        <w:rPr>
          <w:lang w:val="en-US"/>
        </w:rPr>
      </w:pPr>
      <w:bookmarkStart w:id="370" w:name="ref-proszewska2025"/>
      <w:bookmarkEnd w:id="369"/>
      <w:proofErr w:type="spellStart"/>
      <w:r w:rsidRPr="00AC5577">
        <w:rPr>
          <w:lang w:val="en-US"/>
        </w:rPr>
        <w:t>Proszewska</w:t>
      </w:r>
      <w:proofErr w:type="spellEnd"/>
      <w:r w:rsidRPr="00AC5577">
        <w:rPr>
          <w:lang w:val="en-US"/>
        </w:rPr>
        <w:t xml:space="preserve">, Magdalena, Tomasz Danel, and Dawid Rymarczyk. 2025. </w:t>
      </w:r>
      <w:r w:rsidRPr="00AC5577">
        <w:rPr>
          <w:i/>
          <w:iCs/>
          <w:lang w:val="en-US"/>
        </w:rPr>
        <w:t>B-XAIC Dataset: Benchmarking Explainable AI for Graph Neural Networks Using Chemical Data</w:t>
      </w:r>
      <w:r w:rsidRPr="00AC5577">
        <w:rPr>
          <w:lang w:val="en-US"/>
        </w:rPr>
        <w:t>.</w:t>
      </w:r>
    </w:p>
    <w:p w14:paraId="578C075B" w14:textId="77777777" w:rsidR="00D762DD" w:rsidRPr="00AC5577" w:rsidRDefault="00000000">
      <w:pPr>
        <w:rPr>
          <w:lang w:val="en-US"/>
        </w:rPr>
      </w:pPr>
      <w:bookmarkStart w:id="371" w:name="ref-ramachandram2025"/>
      <w:bookmarkEnd w:id="370"/>
      <w:proofErr w:type="spellStart"/>
      <w:r w:rsidRPr="00AC5577">
        <w:rPr>
          <w:lang w:val="en-US"/>
        </w:rPr>
        <w:t>Ramachandram</w:t>
      </w:r>
      <w:proofErr w:type="spellEnd"/>
      <w:r w:rsidRPr="00AC5577">
        <w:rPr>
          <w:lang w:val="en-US"/>
        </w:rPr>
        <w:t xml:space="preserve">, Dhanesh, Himanshu Joshi, Judy Zhu, Dhari Gandhi, Lucas Hartman, and Ananya Raval. 2025. </w:t>
      </w:r>
      <w:r w:rsidRPr="00AC5577">
        <w:rPr>
          <w:i/>
          <w:iCs/>
          <w:lang w:val="en-US"/>
        </w:rPr>
        <w:t>Transparent AI: The Case for Interpretability and Explainability</w:t>
      </w:r>
      <w:r w:rsidRPr="00AC5577">
        <w:rPr>
          <w:lang w:val="en-US"/>
        </w:rPr>
        <w:t>. Vector Institute for Artificial Intelligence.</w:t>
      </w:r>
    </w:p>
    <w:p w14:paraId="32031AC8" w14:textId="77777777" w:rsidR="00D762DD" w:rsidRPr="00AC5577" w:rsidRDefault="00000000">
      <w:pPr>
        <w:rPr>
          <w:lang w:val="en-US"/>
        </w:rPr>
      </w:pPr>
      <w:bookmarkStart w:id="372" w:name="ref-reif2025"/>
      <w:bookmarkEnd w:id="371"/>
      <w:r w:rsidRPr="00AC5577">
        <w:rPr>
          <w:lang w:val="en-US"/>
        </w:rPr>
        <w:t xml:space="preserve">Reif, Jessica A., Richard P. Larrick, and Jack B. Soll. 2025. “Evidence of a Social Evaluation Penalty for Using AI.” </w:t>
      </w:r>
      <w:r w:rsidRPr="00AC5577">
        <w:rPr>
          <w:i/>
          <w:iCs/>
          <w:lang w:val="en-US"/>
        </w:rPr>
        <w:t>Proceedings of the National Academy of Sciences</w:t>
      </w:r>
      <w:r w:rsidRPr="00AC5577">
        <w:rPr>
          <w:lang w:val="en-US"/>
        </w:rPr>
        <w:t xml:space="preserve"> 122 (19). </w:t>
      </w:r>
      <w:hyperlink r:id="rId107">
        <w:r w:rsidRPr="00AC5577">
          <w:rPr>
            <w:rStyle w:val="Hyperlink"/>
            <w:lang w:val="en-US"/>
          </w:rPr>
          <w:t>https://doi.org/10.1073/pnas.2426766122</w:t>
        </w:r>
      </w:hyperlink>
      <w:r w:rsidRPr="00AC5577">
        <w:rPr>
          <w:lang w:val="en-US"/>
        </w:rPr>
        <w:t>.</w:t>
      </w:r>
    </w:p>
    <w:p w14:paraId="3C2733A3" w14:textId="77777777" w:rsidR="00D762DD" w:rsidRPr="00AC5577" w:rsidRDefault="00000000">
      <w:pPr>
        <w:rPr>
          <w:lang w:val="en-US"/>
        </w:rPr>
      </w:pPr>
      <w:bookmarkStart w:id="373" w:name="ref-ribeiro2016"/>
      <w:bookmarkEnd w:id="372"/>
      <w:r w:rsidRPr="00AC5577">
        <w:rPr>
          <w:lang w:val="en-US"/>
        </w:rPr>
        <w:t xml:space="preserve">Ribeiro, Singh, M. T. 2016. “"Why Should </w:t>
      </w:r>
      <w:proofErr w:type="spellStart"/>
      <w:r w:rsidRPr="00AC5577">
        <w:rPr>
          <w:lang w:val="en-US"/>
        </w:rPr>
        <w:t>i</w:t>
      </w:r>
      <w:proofErr w:type="spellEnd"/>
      <w:r w:rsidRPr="00AC5577">
        <w:rPr>
          <w:lang w:val="en-US"/>
        </w:rPr>
        <w:t xml:space="preserve"> Trust You?": Explaining the Predictions of Any Classifier.” </w:t>
      </w:r>
      <w:proofErr w:type="spellStart"/>
      <w:r w:rsidRPr="00AC5577">
        <w:rPr>
          <w:i/>
          <w:iCs/>
          <w:lang w:val="en-US"/>
        </w:rPr>
        <w:t>arXiv</w:t>
      </w:r>
      <w:proofErr w:type="spellEnd"/>
      <w:r w:rsidRPr="00AC5577">
        <w:rPr>
          <w:i/>
          <w:iCs/>
          <w:lang w:val="en-US"/>
        </w:rPr>
        <w:t xml:space="preserve"> Preprint arXiv:1602.04938</w:t>
      </w:r>
      <w:r w:rsidRPr="00AC5577">
        <w:rPr>
          <w:lang w:val="en-US"/>
        </w:rPr>
        <w:t xml:space="preserve">, ahead of print. </w:t>
      </w:r>
      <w:hyperlink r:id="rId108">
        <w:r w:rsidRPr="00AC5577">
          <w:rPr>
            <w:rStyle w:val="Hyperlink"/>
            <w:lang w:val="en-US"/>
          </w:rPr>
          <w:t>https://doi.org/10.1145/2939672.2939778</w:t>
        </w:r>
      </w:hyperlink>
      <w:r w:rsidRPr="00AC5577">
        <w:rPr>
          <w:lang w:val="en-US"/>
        </w:rPr>
        <w:t>.</w:t>
      </w:r>
    </w:p>
    <w:p w14:paraId="46F4CAE8" w14:textId="77777777" w:rsidR="00D762DD" w:rsidRPr="00AC5577" w:rsidRDefault="00000000">
      <w:pPr>
        <w:rPr>
          <w:lang w:val="en-US"/>
        </w:rPr>
      </w:pPr>
      <w:bookmarkStart w:id="374" w:name="ref-ribeiro2018"/>
      <w:bookmarkEnd w:id="373"/>
      <w:r w:rsidRPr="00AC5577">
        <w:rPr>
          <w:lang w:val="en-US"/>
        </w:rPr>
        <w:t xml:space="preserve">Ribeiro, Singh, M. T. 2018. “Anchors: High-Precision Model-Agnostic Explanations.” </w:t>
      </w:r>
      <w:r w:rsidRPr="00AC5577">
        <w:rPr>
          <w:i/>
          <w:iCs/>
          <w:lang w:val="en-US"/>
        </w:rPr>
        <w:t>Proceedings of the AAAI Conference on Artificial Intelligence</w:t>
      </w:r>
      <w:r w:rsidRPr="00AC5577">
        <w:rPr>
          <w:lang w:val="en-US"/>
        </w:rPr>
        <w:t xml:space="preserve"> 32 (1). </w:t>
      </w:r>
      <w:hyperlink r:id="rId109">
        <w:r w:rsidRPr="00AC5577">
          <w:rPr>
            <w:rStyle w:val="Hyperlink"/>
            <w:lang w:val="en-US"/>
          </w:rPr>
          <w:t>https://doi.org/10.1609/aaai.v32i1.11491</w:t>
        </w:r>
      </w:hyperlink>
      <w:r w:rsidRPr="00AC5577">
        <w:rPr>
          <w:lang w:val="en-US"/>
        </w:rPr>
        <w:t>.</w:t>
      </w:r>
    </w:p>
    <w:p w14:paraId="38190631" w14:textId="77777777" w:rsidR="00D762DD" w:rsidRPr="00AC5577" w:rsidRDefault="00000000">
      <w:pPr>
        <w:rPr>
          <w:lang w:val="en-US"/>
        </w:rPr>
      </w:pPr>
      <w:bookmarkStart w:id="375" w:name="ref-rodriguez2024"/>
      <w:bookmarkEnd w:id="374"/>
      <w:r w:rsidRPr="00AC5577">
        <w:rPr>
          <w:lang w:val="en-US"/>
        </w:rPr>
        <w:t>Rodriguez, Sebastian, and John Thangarajah. 2024. “Explainable Agents (</w:t>
      </w:r>
      <w:proofErr w:type="spellStart"/>
      <w:r w:rsidRPr="00AC5577">
        <w:rPr>
          <w:lang w:val="en-US"/>
        </w:rPr>
        <w:t>XAg</w:t>
      </w:r>
      <w:proofErr w:type="spellEnd"/>
      <w:r w:rsidRPr="00AC5577">
        <w:rPr>
          <w:lang w:val="en-US"/>
        </w:rPr>
        <w:t xml:space="preserve">) by Design.” </w:t>
      </w:r>
      <w:r w:rsidRPr="00AC5577">
        <w:rPr>
          <w:i/>
          <w:iCs/>
          <w:lang w:val="en-US"/>
        </w:rPr>
        <w:t>International Joint Conference on Autonomous Agents and Multiagent Systems</w:t>
      </w:r>
      <w:r w:rsidRPr="00AC5577">
        <w:rPr>
          <w:lang w:val="en-US"/>
        </w:rPr>
        <w:t xml:space="preserve">, 2712–16. </w:t>
      </w:r>
      <w:hyperlink r:id="rId110">
        <w:r w:rsidRPr="00AC5577">
          <w:rPr>
            <w:rStyle w:val="Hyperlink"/>
            <w:lang w:val="en-US"/>
          </w:rPr>
          <w:t>https://doi.org/10.65109/vllw9552</w:t>
        </w:r>
      </w:hyperlink>
      <w:r w:rsidRPr="00AC5577">
        <w:rPr>
          <w:lang w:val="en-US"/>
        </w:rPr>
        <w:t>.</w:t>
      </w:r>
    </w:p>
    <w:p w14:paraId="330F4C76" w14:textId="77777777" w:rsidR="00D762DD" w:rsidRPr="00AC5577" w:rsidRDefault="00000000">
      <w:pPr>
        <w:rPr>
          <w:lang w:val="en-US"/>
        </w:rPr>
      </w:pPr>
      <w:bookmarkStart w:id="376" w:name="ref-zhang2024"/>
      <w:bookmarkEnd w:id="375"/>
      <w:r w:rsidRPr="00AC5577">
        <w:rPr>
          <w:lang w:val="en-US"/>
        </w:rPr>
        <w:t xml:space="preserve">Rong, Yao, Tobias Leemann, Thai-Trang Nguyen, et al. 2024. “Towards Human-Centered Explainable AI: A Survey of User Studies for Model Explanations.” </w:t>
      </w:r>
      <w:r w:rsidRPr="00AC5577">
        <w:rPr>
          <w:i/>
          <w:iCs/>
          <w:lang w:val="en-US"/>
        </w:rPr>
        <w:t xml:space="preserve">IEEE Transactions on </w:t>
      </w:r>
      <w:r w:rsidRPr="00AC5577">
        <w:rPr>
          <w:i/>
          <w:iCs/>
          <w:lang w:val="en-US"/>
        </w:rPr>
        <w:lastRenderedPageBreak/>
        <w:t>Pattern Analysis and Machine Intelligence</w:t>
      </w:r>
      <w:r w:rsidRPr="00AC5577">
        <w:rPr>
          <w:lang w:val="en-US"/>
        </w:rPr>
        <w:t xml:space="preserve"> 46 (4): 2104–22. </w:t>
      </w:r>
      <w:hyperlink r:id="rId111">
        <w:r w:rsidRPr="00AC5577">
          <w:rPr>
            <w:rStyle w:val="Hyperlink"/>
            <w:lang w:val="en-US"/>
          </w:rPr>
          <w:t>https://doi.org/10.1109/TPAMI.2023.3331846</w:t>
        </w:r>
      </w:hyperlink>
      <w:r w:rsidRPr="00AC5577">
        <w:rPr>
          <w:lang w:val="en-US"/>
        </w:rPr>
        <w:t>.</w:t>
      </w:r>
    </w:p>
    <w:p w14:paraId="6CF5095B" w14:textId="77777777" w:rsidR="00D762DD" w:rsidRPr="00AC5577" w:rsidRDefault="00000000">
      <w:pPr>
        <w:rPr>
          <w:lang w:val="en-US"/>
        </w:rPr>
      </w:pPr>
      <w:bookmarkStart w:id="377" w:name="ref-rudin2022"/>
      <w:bookmarkEnd w:id="376"/>
      <w:r w:rsidRPr="00AC5577">
        <w:rPr>
          <w:lang w:val="en-US"/>
        </w:rPr>
        <w:t xml:space="preserve">Rudin, Chen, C. 2022. “Interpretable Machine Learning: Fundamental Principles and 10 Grand Challenges.” </w:t>
      </w:r>
      <w:r w:rsidRPr="00AC5577">
        <w:rPr>
          <w:i/>
          <w:iCs/>
          <w:lang w:val="en-US"/>
        </w:rPr>
        <w:t>Statistics Surveys</w:t>
      </w:r>
      <w:r w:rsidRPr="00AC5577">
        <w:rPr>
          <w:lang w:val="en-US"/>
        </w:rPr>
        <w:t xml:space="preserve"> 16 (none). </w:t>
      </w:r>
      <w:hyperlink r:id="rId112">
        <w:r w:rsidRPr="00AC5577">
          <w:rPr>
            <w:rStyle w:val="Hyperlink"/>
            <w:lang w:val="en-US"/>
          </w:rPr>
          <w:t>https://doi.org/10.1214/21-ss133</w:t>
        </w:r>
      </w:hyperlink>
      <w:r w:rsidRPr="00AC5577">
        <w:rPr>
          <w:lang w:val="en-US"/>
        </w:rPr>
        <w:t>.</w:t>
      </w:r>
    </w:p>
    <w:p w14:paraId="0F74D4A2" w14:textId="77777777" w:rsidR="00D762DD" w:rsidRPr="00AC5577" w:rsidRDefault="00000000">
      <w:pPr>
        <w:rPr>
          <w:lang w:val="en-US"/>
        </w:rPr>
      </w:pPr>
      <w:bookmarkStart w:id="378" w:name="ref-rudin2019"/>
      <w:bookmarkEnd w:id="377"/>
      <w:r w:rsidRPr="00AC5577">
        <w:rPr>
          <w:lang w:val="en-US"/>
        </w:rPr>
        <w:t xml:space="preserve">Rudin, Cynthia. 2019. “Stop Explaining Black Box Machine Learning Models for </w:t>
      </w:r>
      <w:proofErr w:type="gramStart"/>
      <w:r w:rsidRPr="00AC5577">
        <w:rPr>
          <w:lang w:val="en-US"/>
        </w:rPr>
        <w:t>High Stakes</w:t>
      </w:r>
      <w:proofErr w:type="gramEnd"/>
      <w:r w:rsidRPr="00AC5577">
        <w:rPr>
          <w:lang w:val="en-US"/>
        </w:rPr>
        <w:t xml:space="preserve"> Decisions and Use Interpretable Models Instead.” </w:t>
      </w:r>
      <w:r w:rsidRPr="00AC5577">
        <w:rPr>
          <w:i/>
          <w:iCs/>
          <w:lang w:val="en-US"/>
        </w:rPr>
        <w:t>Nature Machine Intelligence</w:t>
      </w:r>
      <w:r w:rsidRPr="00AC5577">
        <w:rPr>
          <w:lang w:val="en-US"/>
        </w:rPr>
        <w:t xml:space="preserve"> 1 (5): 206–15. </w:t>
      </w:r>
      <w:hyperlink r:id="rId113">
        <w:r w:rsidRPr="00AC5577">
          <w:rPr>
            <w:rStyle w:val="Hyperlink"/>
            <w:lang w:val="en-US"/>
          </w:rPr>
          <w:t>https://doi.org/10.1038/s42256-019-0048-x</w:t>
        </w:r>
      </w:hyperlink>
      <w:r w:rsidRPr="00AC5577">
        <w:rPr>
          <w:lang w:val="en-US"/>
        </w:rPr>
        <w:t>.</w:t>
      </w:r>
    </w:p>
    <w:p w14:paraId="100E05F9" w14:textId="77777777" w:rsidR="00D762DD" w:rsidRPr="00AC5577" w:rsidRDefault="00000000">
      <w:pPr>
        <w:rPr>
          <w:lang w:val="en-US"/>
        </w:rPr>
      </w:pPr>
      <w:bookmarkStart w:id="379" w:name="ref-saarela2024"/>
      <w:bookmarkEnd w:id="378"/>
      <w:r w:rsidRPr="00AC5577">
        <w:rPr>
          <w:lang w:val="en-US"/>
        </w:rPr>
        <w:t xml:space="preserve">Saarela, &amp; </w:t>
      </w:r>
      <w:proofErr w:type="spellStart"/>
      <w:r w:rsidRPr="00AC5577">
        <w:rPr>
          <w:lang w:val="en-US"/>
        </w:rPr>
        <w:t>Podgorelec</w:t>
      </w:r>
      <w:proofErr w:type="spellEnd"/>
      <w:r w:rsidRPr="00AC5577">
        <w:rPr>
          <w:lang w:val="en-US"/>
        </w:rPr>
        <w:t xml:space="preserve">, M. 2024. “Recent Applications of Explainable AI (XAI): A Systematic Literature Review.” </w:t>
      </w:r>
      <w:r w:rsidRPr="00AC5577">
        <w:rPr>
          <w:i/>
          <w:iCs/>
          <w:lang w:val="en-US"/>
        </w:rPr>
        <w:t>Applied Sciences</w:t>
      </w:r>
      <w:r w:rsidRPr="00AC5577">
        <w:rPr>
          <w:lang w:val="en-US"/>
        </w:rPr>
        <w:t xml:space="preserve"> 14 (19): 8884. </w:t>
      </w:r>
      <w:hyperlink r:id="rId114">
        <w:r w:rsidRPr="00AC5577">
          <w:rPr>
            <w:rStyle w:val="Hyperlink"/>
            <w:lang w:val="en-US"/>
          </w:rPr>
          <w:t>https://doi.org/10.3390/app14198884</w:t>
        </w:r>
      </w:hyperlink>
      <w:r w:rsidRPr="00AC5577">
        <w:rPr>
          <w:lang w:val="en-US"/>
        </w:rPr>
        <w:t>.</w:t>
      </w:r>
    </w:p>
    <w:p w14:paraId="0507E100" w14:textId="77777777" w:rsidR="00D762DD" w:rsidRPr="00AC5577" w:rsidRDefault="00000000">
      <w:pPr>
        <w:rPr>
          <w:lang w:val="en-US"/>
        </w:rPr>
      </w:pPr>
      <w:bookmarkStart w:id="380" w:name="ref-saeed2023"/>
      <w:bookmarkEnd w:id="379"/>
      <w:r w:rsidRPr="00AC5577">
        <w:rPr>
          <w:lang w:val="en-US"/>
        </w:rPr>
        <w:t xml:space="preserve">Saeed, &amp; Omlin, W. 2023. “Explainable AI (XAI): A Systematic Meta-Survey of Current Challenges and Future Opportunities.” </w:t>
      </w:r>
      <w:r w:rsidRPr="00AC5577">
        <w:rPr>
          <w:i/>
          <w:iCs/>
          <w:lang w:val="en-US"/>
        </w:rPr>
        <w:t>Knowledge-Based Systems</w:t>
      </w:r>
      <w:r w:rsidRPr="00AC5577">
        <w:rPr>
          <w:lang w:val="en-US"/>
        </w:rPr>
        <w:t xml:space="preserve"> 263: 110273. </w:t>
      </w:r>
      <w:hyperlink r:id="rId115">
        <w:r w:rsidRPr="00AC5577">
          <w:rPr>
            <w:rStyle w:val="Hyperlink"/>
            <w:lang w:val="en-US"/>
          </w:rPr>
          <w:t>https://doi.org/10.1016/j.knosys.2023.110273</w:t>
        </w:r>
      </w:hyperlink>
      <w:r w:rsidRPr="00AC5577">
        <w:rPr>
          <w:lang w:val="en-US"/>
        </w:rPr>
        <w:t>.</w:t>
      </w:r>
    </w:p>
    <w:p w14:paraId="1A4F71AD" w14:textId="77777777" w:rsidR="00D762DD" w:rsidRPr="00AC5577" w:rsidRDefault="00000000">
      <w:pPr>
        <w:rPr>
          <w:lang w:val="en-US"/>
        </w:rPr>
      </w:pPr>
      <w:bookmarkStart w:id="381" w:name="ref-samek2019"/>
      <w:bookmarkEnd w:id="380"/>
      <w:r w:rsidRPr="00AC5577">
        <w:rPr>
          <w:lang w:val="en-US"/>
        </w:rPr>
        <w:t xml:space="preserve">Samek, Montavon, W. 2019. “Explainable AI: Interpreting, Explaining and Visualizing Deep Learning.” </w:t>
      </w:r>
      <w:r w:rsidRPr="00AC5577">
        <w:rPr>
          <w:i/>
          <w:iCs/>
          <w:lang w:val="en-US"/>
        </w:rPr>
        <w:t>In Lecture Notes in Computer Science</w:t>
      </w:r>
      <w:r w:rsidRPr="00AC5577">
        <w:rPr>
          <w:lang w:val="en-US"/>
        </w:rPr>
        <w:t xml:space="preserve">, ahead of print. </w:t>
      </w:r>
      <w:hyperlink r:id="rId116">
        <w:r w:rsidRPr="00AC5577">
          <w:rPr>
            <w:rStyle w:val="Hyperlink"/>
            <w:lang w:val="en-US"/>
          </w:rPr>
          <w:t>https://doi.org/10.1007/978-3-030-28954-6</w:t>
        </w:r>
      </w:hyperlink>
      <w:r w:rsidRPr="00AC5577">
        <w:rPr>
          <w:lang w:val="en-US"/>
        </w:rPr>
        <w:t>.</w:t>
      </w:r>
    </w:p>
    <w:p w14:paraId="74C8C7EC" w14:textId="77777777" w:rsidR="00D762DD" w:rsidRPr="00AC5577" w:rsidRDefault="00000000">
      <w:pPr>
        <w:rPr>
          <w:lang w:val="en-US"/>
        </w:rPr>
      </w:pPr>
      <w:bookmarkStart w:id="382" w:name="ref-saqib2024"/>
      <w:bookmarkEnd w:id="381"/>
      <w:r w:rsidRPr="00AC5577">
        <w:rPr>
          <w:lang w:val="en-US"/>
        </w:rPr>
        <w:t xml:space="preserve">Saqib, Mohd, Samaneh Mahdavifar, Benjamin C. M. Fung, and Philippe Charland. 2024. “A Comprehensive Analysis of Explainable AI for Malware Hunting.” </w:t>
      </w:r>
      <w:r w:rsidRPr="00AC5577">
        <w:rPr>
          <w:i/>
          <w:iCs/>
          <w:lang w:val="en-US"/>
        </w:rPr>
        <w:t>ACM Computing Surveys</w:t>
      </w:r>
      <w:r w:rsidRPr="00AC5577">
        <w:rPr>
          <w:lang w:val="en-US"/>
        </w:rPr>
        <w:t xml:space="preserve"> 56 (12): 1–40. </w:t>
      </w:r>
      <w:hyperlink r:id="rId117">
        <w:r w:rsidRPr="00AC5577">
          <w:rPr>
            <w:rStyle w:val="Hyperlink"/>
            <w:lang w:val="en-US"/>
          </w:rPr>
          <w:t>https://doi.org/10.1145/3677374</w:t>
        </w:r>
      </w:hyperlink>
      <w:r w:rsidRPr="00AC5577">
        <w:rPr>
          <w:lang w:val="en-US"/>
        </w:rPr>
        <w:t>.</w:t>
      </w:r>
    </w:p>
    <w:p w14:paraId="55AA8CEA" w14:textId="77777777" w:rsidR="00D762DD" w:rsidRPr="00AC5577" w:rsidRDefault="00000000">
      <w:pPr>
        <w:rPr>
          <w:lang w:val="en-US"/>
        </w:rPr>
      </w:pPr>
      <w:bookmarkStart w:id="383" w:name="ref-schwalbe2023"/>
      <w:bookmarkEnd w:id="382"/>
      <w:r w:rsidRPr="00AC5577">
        <w:rPr>
          <w:lang w:val="en-US"/>
        </w:rPr>
        <w:t xml:space="preserve">Schwalbe, &amp; Finzel, G. 2023. “A Comprehensive Taxonomy for Explainable Artificial Intelligence: A Systematic Survey of Surveys on Methods and Concepts.” </w:t>
      </w:r>
      <w:r w:rsidRPr="00AC5577">
        <w:rPr>
          <w:i/>
          <w:iCs/>
          <w:lang w:val="en-US"/>
        </w:rPr>
        <w:t>Data Mining and Knowledge Discovery</w:t>
      </w:r>
      <w:r w:rsidRPr="00AC5577">
        <w:rPr>
          <w:lang w:val="en-US"/>
        </w:rPr>
        <w:t xml:space="preserve"> 38 (5): 3043–101. </w:t>
      </w:r>
      <w:hyperlink r:id="rId118">
        <w:r w:rsidRPr="00AC5577">
          <w:rPr>
            <w:rStyle w:val="Hyperlink"/>
            <w:lang w:val="en-US"/>
          </w:rPr>
          <w:t>https://doi.org/10.1007/s10618-022-00867-8</w:t>
        </w:r>
      </w:hyperlink>
      <w:r w:rsidRPr="00AC5577">
        <w:rPr>
          <w:lang w:val="en-US"/>
        </w:rPr>
        <w:t>.</w:t>
      </w:r>
    </w:p>
    <w:p w14:paraId="0AECC14E" w14:textId="77777777" w:rsidR="00D762DD" w:rsidRPr="00AC5577" w:rsidRDefault="00000000">
      <w:pPr>
        <w:rPr>
          <w:lang w:val="en-US"/>
        </w:rPr>
      </w:pPr>
      <w:bookmarkStart w:id="384" w:name="ref-shapley1952"/>
      <w:bookmarkEnd w:id="383"/>
      <w:r w:rsidRPr="00AC5577">
        <w:rPr>
          <w:lang w:val="en-US"/>
        </w:rPr>
        <w:t xml:space="preserve">Shapley, Lloyd S. 1952. </w:t>
      </w:r>
      <w:proofErr w:type="gramStart"/>
      <w:r w:rsidRPr="00AC5577">
        <w:rPr>
          <w:i/>
          <w:iCs/>
          <w:lang w:val="en-US"/>
        </w:rPr>
        <w:t>A Value</w:t>
      </w:r>
      <w:proofErr w:type="gramEnd"/>
      <w:r w:rsidRPr="00AC5577">
        <w:rPr>
          <w:i/>
          <w:iCs/>
          <w:lang w:val="en-US"/>
        </w:rPr>
        <w:t xml:space="preserve"> for n-Person Games</w:t>
      </w:r>
      <w:r w:rsidRPr="00AC5577">
        <w:rPr>
          <w:lang w:val="en-US"/>
        </w:rPr>
        <w:t xml:space="preserve">. P-295. RAND Corporation. </w:t>
      </w:r>
      <w:hyperlink r:id="rId119">
        <w:r w:rsidRPr="00AC5577">
          <w:rPr>
            <w:rStyle w:val="Hyperlink"/>
            <w:lang w:val="en-US"/>
          </w:rPr>
          <w:t>https://www.rand.org/pubs/papers/P0295.html</w:t>
        </w:r>
      </w:hyperlink>
      <w:r w:rsidRPr="00AC5577">
        <w:rPr>
          <w:lang w:val="en-US"/>
        </w:rPr>
        <w:t>.</w:t>
      </w:r>
    </w:p>
    <w:p w14:paraId="37C08E13" w14:textId="77777777" w:rsidR="00D762DD" w:rsidRPr="00AC5577" w:rsidRDefault="00000000">
      <w:pPr>
        <w:rPr>
          <w:lang w:val="en-US"/>
        </w:rPr>
      </w:pPr>
      <w:bookmarkStart w:id="385" w:name="ref-sithakoul2024"/>
      <w:bookmarkEnd w:id="384"/>
      <w:proofErr w:type="spellStart"/>
      <w:r w:rsidRPr="00AC5577">
        <w:rPr>
          <w:lang w:val="en-US"/>
        </w:rPr>
        <w:t>Sithakoul</w:t>
      </w:r>
      <w:proofErr w:type="spellEnd"/>
      <w:r w:rsidRPr="00AC5577">
        <w:rPr>
          <w:lang w:val="en-US"/>
        </w:rPr>
        <w:t xml:space="preserve">, Samuel, Sara Meftah, and Clément </w:t>
      </w:r>
      <w:proofErr w:type="spellStart"/>
      <w:r w:rsidRPr="00AC5577">
        <w:rPr>
          <w:lang w:val="en-US"/>
        </w:rPr>
        <w:t>Feutry</w:t>
      </w:r>
      <w:proofErr w:type="spellEnd"/>
      <w:r w:rsidRPr="00AC5577">
        <w:rPr>
          <w:lang w:val="en-US"/>
        </w:rPr>
        <w:t xml:space="preserve">. 2024. </w:t>
      </w:r>
      <w:proofErr w:type="spellStart"/>
      <w:r w:rsidRPr="00AC5577">
        <w:rPr>
          <w:i/>
          <w:iCs/>
          <w:lang w:val="en-US"/>
        </w:rPr>
        <w:t>BEExAI</w:t>
      </w:r>
      <w:proofErr w:type="spellEnd"/>
      <w:r w:rsidRPr="00AC5577">
        <w:rPr>
          <w:i/>
          <w:iCs/>
          <w:lang w:val="en-US"/>
        </w:rPr>
        <w:t>: Benchmark to Evaluate Explainable AI</w:t>
      </w:r>
      <w:r w:rsidRPr="00AC5577">
        <w:rPr>
          <w:lang w:val="en-US"/>
        </w:rPr>
        <w:t xml:space="preserve">. Springer Nature Switzerland. </w:t>
      </w:r>
      <w:hyperlink r:id="rId120">
        <w:r w:rsidRPr="00AC5577">
          <w:rPr>
            <w:rStyle w:val="Hyperlink"/>
            <w:lang w:val="en-US"/>
          </w:rPr>
          <w:t>https://doi.org/10.1007/978-3-031-63787-2_23</w:t>
        </w:r>
      </w:hyperlink>
      <w:r w:rsidRPr="00AC5577">
        <w:rPr>
          <w:lang w:val="en-US"/>
        </w:rPr>
        <w:t>.</w:t>
      </w:r>
    </w:p>
    <w:p w14:paraId="71174657" w14:textId="77777777" w:rsidR="00D762DD" w:rsidRPr="00AC5577" w:rsidRDefault="00000000">
      <w:pPr>
        <w:rPr>
          <w:lang w:val="en-US"/>
        </w:rPr>
      </w:pPr>
      <w:bookmarkStart w:id="386" w:name="ref-slack2020"/>
      <w:bookmarkEnd w:id="385"/>
      <w:r w:rsidRPr="00AC5577">
        <w:rPr>
          <w:lang w:val="en-US"/>
        </w:rPr>
        <w:lastRenderedPageBreak/>
        <w:t xml:space="preserve">Slack, Dylan, Sophie Hilgard, Emily Jia, Sameer Singh, and Himabindu </w:t>
      </w:r>
      <w:proofErr w:type="spellStart"/>
      <w:r w:rsidRPr="00AC5577">
        <w:rPr>
          <w:lang w:val="en-US"/>
        </w:rPr>
        <w:t>Lakkaraju</w:t>
      </w:r>
      <w:proofErr w:type="spellEnd"/>
      <w:r w:rsidRPr="00AC5577">
        <w:rPr>
          <w:lang w:val="en-US"/>
        </w:rPr>
        <w:t xml:space="preserve">. 2020. “Fooling LIME and SHAP: Adversarial Attacks on Post Hoc Explanation Methods.” </w:t>
      </w:r>
      <w:r w:rsidRPr="00AC5577">
        <w:rPr>
          <w:i/>
          <w:iCs/>
          <w:lang w:val="en-US"/>
        </w:rPr>
        <w:t>Proceedings of the AAAI/ACM Conference on AI, Ethics, and Society</w:t>
      </w:r>
      <w:r w:rsidRPr="00AC5577">
        <w:rPr>
          <w:lang w:val="en-US"/>
        </w:rPr>
        <w:t xml:space="preserve">, 180–86. </w:t>
      </w:r>
      <w:hyperlink r:id="rId121">
        <w:r w:rsidRPr="00AC5577">
          <w:rPr>
            <w:rStyle w:val="Hyperlink"/>
            <w:lang w:val="en-US"/>
          </w:rPr>
          <w:t>https://doi.org/10.1145/3375627.3375830</w:t>
        </w:r>
      </w:hyperlink>
      <w:r w:rsidRPr="00AC5577">
        <w:rPr>
          <w:lang w:val="en-US"/>
        </w:rPr>
        <w:t>.</w:t>
      </w:r>
    </w:p>
    <w:p w14:paraId="24F276D6" w14:textId="77777777" w:rsidR="00D762DD" w:rsidRPr="00AC5577" w:rsidRDefault="00000000">
      <w:pPr>
        <w:rPr>
          <w:lang w:val="en-US"/>
        </w:rPr>
      </w:pPr>
      <w:bookmarkStart w:id="387" w:name="ref-sokol2020"/>
      <w:bookmarkEnd w:id="386"/>
      <w:r w:rsidRPr="00AC5577">
        <w:rPr>
          <w:lang w:val="en-US"/>
        </w:rPr>
        <w:t xml:space="preserve">Sokol, Kacper, and Peter Flach. 2020. “One Explanation Does Not Fit All: The Promise of Interactive Explanations for Machine Learning Transparency.” </w:t>
      </w:r>
      <w:r w:rsidRPr="00AC5577">
        <w:rPr>
          <w:i/>
          <w:iCs/>
          <w:lang w:val="en-US"/>
        </w:rPr>
        <w:t xml:space="preserve">KI - </w:t>
      </w:r>
      <w:proofErr w:type="spellStart"/>
      <w:r w:rsidRPr="00AC5577">
        <w:rPr>
          <w:i/>
          <w:iCs/>
          <w:lang w:val="en-US"/>
        </w:rPr>
        <w:t>Künstliche</w:t>
      </w:r>
      <w:proofErr w:type="spellEnd"/>
      <w:r w:rsidRPr="00AC5577">
        <w:rPr>
          <w:i/>
          <w:iCs/>
          <w:lang w:val="en-US"/>
        </w:rPr>
        <w:t xml:space="preserve"> </w:t>
      </w:r>
      <w:proofErr w:type="spellStart"/>
      <w:r w:rsidRPr="00AC5577">
        <w:rPr>
          <w:i/>
          <w:iCs/>
          <w:lang w:val="en-US"/>
        </w:rPr>
        <w:t>Intelligenz</w:t>
      </w:r>
      <w:proofErr w:type="spellEnd"/>
      <w:r w:rsidRPr="00AC5577">
        <w:rPr>
          <w:lang w:val="en-US"/>
        </w:rPr>
        <w:t xml:space="preserve"> 34 (2): 235–50. </w:t>
      </w:r>
      <w:hyperlink r:id="rId122">
        <w:r w:rsidRPr="00AC5577">
          <w:rPr>
            <w:rStyle w:val="Hyperlink"/>
            <w:lang w:val="en-US"/>
          </w:rPr>
          <w:t>https://doi.org/10.1007/s13218-020-00637-y</w:t>
        </w:r>
      </w:hyperlink>
      <w:r w:rsidRPr="00AC5577">
        <w:rPr>
          <w:lang w:val="en-US"/>
        </w:rPr>
        <w:t>.</w:t>
      </w:r>
    </w:p>
    <w:p w14:paraId="04C5B3B5" w14:textId="77777777" w:rsidR="00D762DD" w:rsidRPr="00AC5577" w:rsidRDefault="00000000">
      <w:pPr>
        <w:rPr>
          <w:lang w:val="en-US"/>
        </w:rPr>
      </w:pPr>
      <w:bookmarkStart w:id="388" w:name="ref-tan2023"/>
      <w:bookmarkEnd w:id="387"/>
      <w:r w:rsidRPr="00AC5577">
        <w:rPr>
          <w:lang w:val="en-US"/>
        </w:rPr>
        <w:t xml:space="preserve">Tan, Juntao, and </w:t>
      </w:r>
      <w:proofErr w:type="spellStart"/>
      <w:r w:rsidRPr="00AC5577">
        <w:rPr>
          <w:lang w:val="en-US"/>
        </w:rPr>
        <w:t>Yongfeng</w:t>
      </w:r>
      <w:proofErr w:type="spellEnd"/>
      <w:r w:rsidRPr="00AC5577">
        <w:rPr>
          <w:lang w:val="en-US"/>
        </w:rPr>
        <w:t xml:space="preserve"> Zhang. 2023. “</w:t>
      </w:r>
      <w:proofErr w:type="spellStart"/>
      <w:r w:rsidRPr="00AC5577">
        <w:rPr>
          <w:lang w:val="en-US"/>
        </w:rPr>
        <w:t>ExplainableFold</w:t>
      </w:r>
      <w:proofErr w:type="spellEnd"/>
      <w:r w:rsidRPr="00AC5577">
        <w:rPr>
          <w:lang w:val="en-US"/>
        </w:rPr>
        <w:t xml:space="preserve">: Understanding AlphaFold Prediction with Explainable AI.” </w:t>
      </w:r>
      <w:r w:rsidRPr="00AC5577">
        <w:rPr>
          <w:i/>
          <w:iCs/>
          <w:lang w:val="en-US"/>
        </w:rPr>
        <w:t>Proceedings of the 29th ACM SIGKDD Conference on Knowledge Discovery and Data Mining</w:t>
      </w:r>
      <w:r w:rsidRPr="00AC5577">
        <w:rPr>
          <w:lang w:val="en-US"/>
        </w:rPr>
        <w:t xml:space="preserve">, 2166–76. </w:t>
      </w:r>
      <w:hyperlink r:id="rId123">
        <w:r w:rsidRPr="00AC5577">
          <w:rPr>
            <w:rStyle w:val="Hyperlink"/>
            <w:lang w:val="en-US"/>
          </w:rPr>
          <w:t>https://doi.org/10.1145/3580305.3599337</w:t>
        </w:r>
      </w:hyperlink>
      <w:r w:rsidRPr="00AC5577">
        <w:rPr>
          <w:lang w:val="en-US"/>
        </w:rPr>
        <w:t>.</w:t>
      </w:r>
    </w:p>
    <w:p w14:paraId="2F8BD091" w14:textId="77777777" w:rsidR="00D762DD" w:rsidRPr="00AC5577" w:rsidRDefault="00000000">
      <w:pPr>
        <w:rPr>
          <w:lang w:val="en-US"/>
        </w:rPr>
      </w:pPr>
      <w:bookmarkStart w:id="389" w:name="ref-tjoa2020"/>
      <w:bookmarkEnd w:id="388"/>
      <w:r w:rsidRPr="00AC5577">
        <w:rPr>
          <w:lang w:val="en-US"/>
        </w:rPr>
        <w:t xml:space="preserve">Tjoa, Erico, and </w:t>
      </w:r>
      <w:proofErr w:type="spellStart"/>
      <w:r w:rsidRPr="00AC5577">
        <w:rPr>
          <w:lang w:val="en-US"/>
        </w:rPr>
        <w:t>Cuntai</w:t>
      </w:r>
      <w:proofErr w:type="spellEnd"/>
      <w:r w:rsidRPr="00AC5577">
        <w:rPr>
          <w:lang w:val="en-US"/>
        </w:rPr>
        <w:t xml:space="preserve"> Guan. 2021. “A Survey on Explainable Artificial Intelligence (XAI): Toward Medical XAI.” </w:t>
      </w:r>
      <w:r w:rsidRPr="00AC5577">
        <w:rPr>
          <w:i/>
          <w:iCs/>
          <w:lang w:val="en-US"/>
        </w:rPr>
        <w:t>IEEE Transactions on Neural Networks and Learning Systems</w:t>
      </w:r>
      <w:r w:rsidRPr="00AC5577">
        <w:rPr>
          <w:lang w:val="en-US"/>
        </w:rPr>
        <w:t xml:space="preserve"> 32 (11): 4793–813. </w:t>
      </w:r>
      <w:hyperlink r:id="rId124">
        <w:r w:rsidRPr="00AC5577">
          <w:rPr>
            <w:rStyle w:val="Hyperlink"/>
            <w:lang w:val="en-US"/>
          </w:rPr>
          <w:t>https://doi.org/10.1109/TNNLS.2020.3027314</w:t>
        </w:r>
      </w:hyperlink>
      <w:r w:rsidRPr="00AC5577">
        <w:rPr>
          <w:lang w:val="en-US"/>
        </w:rPr>
        <w:t>.</w:t>
      </w:r>
    </w:p>
    <w:p w14:paraId="21CD0BCA" w14:textId="77777777" w:rsidR="00D762DD" w:rsidRPr="00AC5577" w:rsidRDefault="00000000">
      <w:pPr>
        <w:rPr>
          <w:lang w:val="en-US"/>
        </w:rPr>
      </w:pPr>
      <w:bookmarkStart w:id="390" w:name="ref-tomsett2020"/>
      <w:bookmarkEnd w:id="389"/>
      <w:r w:rsidRPr="00AC5577">
        <w:rPr>
          <w:lang w:val="en-US"/>
        </w:rPr>
        <w:t xml:space="preserve">Tomsett, Richard, Dan Harborne, Supriyo Chakraborty, Prudhvi Gurram, and Alun Preece. 2020. “Sanity Checks for Saliency Metrics.” </w:t>
      </w:r>
      <w:r w:rsidRPr="00AC5577">
        <w:rPr>
          <w:i/>
          <w:iCs/>
          <w:lang w:val="en-US"/>
        </w:rPr>
        <w:t>Proceedings of the AAAI Conference on Artificial Intelligence</w:t>
      </w:r>
      <w:r w:rsidRPr="00AC5577">
        <w:rPr>
          <w:lang w:val="en-US"/>
        </w:rPr>
        <w:t xml:space="preserve"> 34 (04): 6021–29. </w:t>
      </w:r>
      <w:hyperlink r:id="rId125">
        <w:r w:rsidRPr="00AC5577">
          <w:rPr>
            <w:rStyle w:val="Hyperlink"/>
            <w:lang w:val="en-US"/>
          </w:rPr>
          <w:t>https://doi.org/10.1609/aaai.v34i04.6064</w:t>
        </w:r>
      </w:hyperlink>
      <w:r w:rsidRPr="00AC5577">
        <w:rPr>
          <w:lang w:val="en-US"/>
        </w:rPr>
        <w:t>.</w:t>
      </w:r>
    </w:p>
    <w:p w14:paraId="524A184D" w14:textId="77777777" w:rsidR="00D762DD" w:rsidRPr="00AC5577" w:rsidRDefault="00000000">
      <w:pPr>
        <w:rPr>
          <w:lang w:val="en-US"/>
        </w:rPr>
      </w:pPr>
      <w:bookmarkStart w:id="391" w:name="ref-tripathy2024"/>
      <w:bookmarkEnd w:id="390"/>
      <w:r w:rsidRPr="00AC5577">
        <w:rPr>
          <w:lang w:val="en-US"/>
        </w:rPr>
        <w:t xml:space="preserve">Tripathy, &amp; Seetha, B. K. 2024. “Explainable, Interpretable, and Transparent AI Systems.” </w:t>
      </w:r>
      <w:r w:rsidRPr="00AC5577">
        <w:rPr>
          <w:i/>
          <w:iCs/>
          <w:lang w:val="en-US"/>
        </w:rPr>
        <w:t>In CRC Press eBooks</w:t>
      </w:r>
      <w:r w:rsidRPr="00AC5577">
        <w:rPr>
          <w:lang w:val="en-US"/>
        </w:rPr>
        <w:t xml:space="preserve">, ahead of print. </w:t>
      </w:r>
      <w:hyperlink r:id="rId126">
        <w:r w:rsidRPr="00AC5577">
          <w:rPr>
            <w:rStyle w:val="Hyperlink"/>
            <w:lang w:val="en-US"/>
          </w:rPr>
          <w:t>https://doi.org/10.1201/9781003442509</w:t>
        </w:r>
      </w:hyperlink>
      <w:r w:rsidRPr="00AC5577">
        <w:rPr>
          <w:lang w:val="en-US"/>
        </w:rPr>
        <w:t>.</w:t>
      </w:r>
    </w:p>
    <w:p w14:paraId="7F932C98" w14:textId="77777777" w:rsidR="00D762DD" w:rsidRPr="00AC5577" w:rsidRDefault="00000000">
      <w:pPr>
        <w:rPr>
          <w:lang w:val="en-US"/>
        </w:rPr>
      </w:pPr>
      <w:bookmarkStart w:id="392" w:name="ref-tsai2023"/>
      <w:bookmarkEnd w:id="391"/>
      <w:r w:rsidRPr="00AC5577">
        <w:rPr>
          <w:lang w:val="en-US"/>
        </w:rPr>
        <w:t>Tsai, Che-Ping, Chih-Kuan Yeh, and Pradeep Ravikumar. 2023. “Faith-</w:t>
      </w:r>
      <w:proofErr w:type="spellStart"/>
      <w:r w:rsidRPr="00AC5577">
        <w:rPr>
          <w:lang w:val="en-US"/>
        </w:rPr>
        <w:t>Shap</w:t>
      </w:r>
      <w:proofErr w:type="spellEnd"/>
      <w:r w:rsidRPr="00AC5577">
        <w:rPr>
          <w:lang w:val="en-US"/>
        </w:rPr>
        <w:t xml:space="preserve">: The Faithful Shapley Interaction Index.” </w:t>
      </w:r>
      <w:r w:rsidRPr="00AC5577">
        <w:rPr>
          <w:i/>
          <w:iCs/>
          <w:lang w:val="en-US"/>
        </w:rPr>
        <w:t>Journal of Machine Learning Research</w:t>
      </w:r>
      <w:r w:rsidRPr="00AC5577">
        <w:rPr>
          <w:lang w:val="en-US"/>
        </w:rPr>
        <w:t xml:space="preserve"> 24: 1–42.</w:t>
      </w:r>
    </w:p>
    <w:p w14:paraId="4C22AF44" w14:textId="77777777" w:rsidR="00D762DD" w:rsidRPr="00AC5577" w:rsidRDefault="00000000">
      <w:pPr>
        <w:rPr>
          <w:lang w:val="en-US"/>
        </w:rPr>
      </w:pPr>
      <w:bookmarkStart w:id="393" w:name="ref-tsigos2024"/>
      <w:bookmarkEnd w:id="392"/>
      <w:proofErr w:type="spellStart"/>
      <w:r w:rsidRPr="00AC5577">
        <w:rPr>
          <w:lang w:val="en-US"/>
        </w:rPr>
        <w:t>Tsigos</w:t>
      </w:r>
      <w:proofErr w:type="spellEnd"/>
      <w:r w:rsidRPr="00AC5577">
        <w:rPr>
          <w:lang w:val="en-US"/>
        </w:rPr>
        <w:t xml:space="preserve">, Konstantinos, </w:t>
      </w:r>
      <w:proofErr w:type="spellStart"/>
      <w:r w:rsidRPr="00AC5577">
        <w:rPr>
          <w:lang w:val="en-US"/>
        </w:rPr>
        <w:t>Evlampios</w:t>
      </w:r>
      <w:proofErr w:type="spellEnd"/>
      <w:r w:rsidRPr="00AC5577">
        <w:rPr>
          <w:lang w:val="en-US"/>
        </w:rPr>
        <w:t xml:space="preserve"> Apostolidis, Spyridon Baxevanakis, Symeon Papadopoulos, and Vasileios Mezaris. 2024. “Towards Quantitative Evaluation of Explainable AI Methods for Deepfake Detection.” </w:t>
      </w:r>
      <w:r w:rsidRPr="00AC5577">
        <w:rPr>
          <w:i/>
          <w:iCs/>
          <w:lang w:val="en-US"/>
        </w:rPr>
        <w:t>3rd ACM International Workshop on Multimedia AI Against Disinformation</w:t>
      </w:r>
      <w:r w:rsidRPr="00AC5577">
        <w:rPr>
          <w:lang w:val="en-US"/>
        </w:rPr>
        <w:t xml:space="preserve">, 37–45. </w:t>
      </w:r>
      <w:hyperlink r:id="rId127">
        <w:r w:rsidRPr="00AC5577">
          <w:rPr>
            <w:rStyle w:val="Hyperlink"/>
            <w:lang w:val="en-US"/>
          </w:rPr>
          <w:t>https://doi.org/10.1145/3643491.3660292</w:t>
        </w:r>
      </w:hyperlink>
      <w:r w:rsidRPr="00AC5577">
        <w:rPr>
          <w:lang w:val="en-US"/>
        </w:rPr>
        <w:t>.</w:t>
      </w:r>
    </w:p>
    <w:p w14:paraId="69AA9AD8" w14:textId="77777777" w:rsidR="00D762DD" w:rsidRPr="00AC5577" w:rsidRDefault="00000000">
      <w:pPr>
        <w:rPr>
          <w:lang w:val="en-US"/>
        </w:rPr>
      </w:pPr>
      <w:bookmarkStart w:id="394" w:name="ref-ullah2024"/>
      <w:bookmarkEnd w:id="393"/>
      <w:r w:rsidRPr="00AC5577">
        <w:rPr>
          <w:lang w:val="en-US"/>
        </w:rPr>
        <w:lastRenderedPageBreak/>
        <w:t xml:space="preserve">Ullah, Naeem, Javed Ali Khan, </w:t>
      </w:r>
      <w:proofErr w:type="spellStart"/>
      <w:r w:rsidRPr="00AC5577">
        <w:rPr>
          <w:lang w:val="en-US"/>
        </w:rPr>
        <w:t>Ivanoe</w:t>
      </w:r>
      <w:proofErr w:type="spellEnd"/>
      <w:r w:rsidRPr="00AC5577">
        <w:rPr>
          <w:lang w:val="en-US"/>
        </w:rPr>
        <w:t xml:space="preserve"> De Falco, and Giovanna Sannino. 2024. “Explainable Artificial Intelligence: Importance, Use Domains, Stages, Output Shapes, and Challenges.” </w:t>
      </w:r>
      <w:r w:rsidRPr="00AC5577">
        <w:rPr>
          <w:i/>
          <w:iCs/>
          <w:lang w:val="en-US"/>
        </w:rPr>
        <w:t>ACM Computing Surveys</w:t>
      </w:r>
      <w:r w:rsidRPr="00AC5577">
        <w:rPr>
          <w:lang w:val="en-US"/>
        </w:rPr>
        <w:t xml:space="preserve"> 57 (4): 1–36. </w:t>
      </w:r>
      <w:hyperlink r:id="rId128">
        <w:r w:rsidRPr="00AC5577">
          <w:rPr>
            <w:rStyle w:val="Hyperlink"/>
            <w:lang w:val="en-US"/>
          </w:rPr>
          <w:t>https://doi.org/10.1145/3705724</w:t>
        </w:r>
      </w:hyperlink>
      <w:r w:rsidRPr="00AC5577">
        <w:rPr>
          <w:lang w:val="en-US"/>
        </w:rPr>
        <w:t>.</w:t>
      </w:r>
    </w:p>
    <w:p w14:paraId="510333D3" w14:textId="77777777" w:rsidR="00D762DD" w:rsidRPr="00AC5577" w:rsidRDefault="00000000">
      <w:pPr>
        <w:rPr>
          <w:lang w:val="en-US"/>
        </w:rPr>
      </w:pPr>
      <w:bookmarkStart w:id="395" w:name="ref-vainiopekka2023"/>
      <w:bookmarkEnd w:id="394"/>
      <w:r w:rsidRPr="00AC5577">
        <w:rPr>
          <w:lang w:val="en-US"/>
        </w:rPr>
        <w:t>Vainio-Pekka, Heidi, Mamia Ori-</w:t>
      </w:r>
      <w:proofErr w:type="spellStart"/>
      <w:r w:rsidRPr="00AC5577">
        <w:rPr>
          <w:lang w:val="en-US"/>
        </w:rPr>
        <w:t>Otse</w:t>
      </w:r>
      <w:proofErr w:type="spellEnd"/>
      <w:r w:rsidRPr="00AC5577">
        <w:rPr>
          <w:lang w:val="en-US"/>
        </w:rPr>
        <w:t xml:space="preserve"> </w:t>
      </w:r>
      <w:proofErr w:type="spellStart"/>
      <w:r w:rsidRPr="00AC5577">
        <w:rPr>
          <w:lang w:val="en-US"/>
        </w:rPr>
        <w:t>Agbese</w:t>
      </w:r>
      <w:proofErr w:type="spellEnd"/>
      <w:r w:rsidRPr="00AC5577">
        <w:rPr>
          <w:lang w:val="en-US"/>
        </w:rPr>
        <w:t xml:space="preserve">, Marianna Jantunen, et al. 2023. “The Role of Explainable AI in the Research Field of AI Ethics.” </w:t>
      </w:r>
      <w:r w:rsidRPr="00AC5577">
        <w:rPr>
          <w:i/>
          <w:iCs/>
          <w:lang w:val="en-US"/>
        </w:rPr>
        <w:t>ACM Transactions on Interactive Intelligent Systems</w:t>
      </w:r>
      <w:r w:rsidRPr="00AC5577">
        <w:rPr>
          <w:lang w:val="en-US"/>
        </w:rPr>
        <w:t xml:space="preserve"> 13 (4): 1–39. </w:t>
      </w:r>
      <w:hyperlink r:id="rId129">
        <w:r w:rsidRPr="00AC5577">
          <w:rPr>
            <w:rStyle w:val="Hyperlink"/>
            <w:lang w:val="en-US"/>
          </w:rPr>
          <w:t>https://doi.org/10.1145/3599974</w:t>
        </w:r>
      </w:hyperlink>
      <w:r w:rsidRPr="00AC5577">
        <w:rPr>
          <w:lang w:val="en-US"/>
        </w:rPr>
        <w:t>.</w:t>
      </w:r>
    </w:p>
    <w:p w14:paraId="02E7F9F3" w14:textId="77777777" w:rsidR="00D762DD" w:rsidRPr="00AC5577" w:rsidRDefault="00000000">
      <w:pPr>
        <w:rPr>
          <w:lang w:val="en-US"/>
        </w:rPr>
      </w:pPr>
      <w:bookmarkStart w:id="396" w:name="ref-vandenbroeck2022"/>
      <w:bookmarkEnd w:id="395"/>
      <w:r w:rsidRPr="00AC5577">
        <w:rPr>
          <w:lang w:val="en-US"/>
        </w:rPr>
        <w:t xml:space="preserve">Van den Broeck, Guy, Anton Lykov, Maximilian Schleich, and Dan Suciu. 2022. “On the Tractability of SHAP Explanations.” </w:t>
      </w:r>
      <w:r w:rsidRPr="00AC5577">
        <w:rPr>
          <w:i/>
          <w:iCs/>
          <w:lang w:val="en-US"/>
        </w:rPr>
        <w:t>Journal of Artificial Intelligence Research</w:t>
      </w:r>
      <w:r w:rsidRPr="00AC5577">
        <w:rPr>
          <w:lang w:val="en-US"/>
        </w:rPr>
        <w:t xml:space="preserve"> 74: 851–86. </w:t>
      </w:r>
      <w:hyperlink r:id="rId130">
        <w:r w:rsidRPr="00AC5577">
          <w:rPr>
            <w:rStyle w:val="Hyperlink"/>
            <w:lang w:val="en-US"/>
          </w:rPr>
          <w:t>https://doi.org/10.1613/jair.1.13283</w:t>
        </w:r>
      </w:hyperlink>
      <w:r w:rsidRPr="00AC5577">
        <w:rPr>
          <w:lang w:val="en-US"/>
        </w:rPr>
        <w:t>.</w:t>
      </w:r>
    </w:p>
    <w:p w14:paraId="186CA005" w14:textId="77777777" w:rsidR="00D762DD" w:rsidRPr="00AC5577" w:rsidRDefault="00000000">
      <w:pPr>
        <w:rPr>
          <w:lang w:val="en-US"/>
        </w:rPr>
      </w:pPr>
      <w:bookmarkStart w:id="397" w:name="ref-voigt2017"/>
      <w:bookmarkEnd w:id="396"/>
      <w:r w:rsidRPr="00AC5577">
        <w:rPr>
          <w:lang w:val="en-US"/>
        </w:rPr>
        <w:t xml:space="preserve">Voigt, Paul, and Axel von dem </w:t>
      </w:r>
      <w:proofErr w:type="spellStart"/>
      <w:r w:rsidRPr="00AC5577">
        <w:rPr>
          <w:lang w:val="en-US"/>
        </w:rPr>
        <w:t>Bussche</w:t>
      </w:r>
      <w:proofErr w:type="spellEnd"/>
      <w:r w:rsidRPr="00AC5577">
        <w:rPr>
          <w:lang w:val="en-US"/>
        </w:rPr>
        <w:t xml:space="preserve">. 2017. </w:t>
      </w:r>
      <w:r w:rsidRPr="00AC5577">
        <w:rPr>
          <w:i/>
          <w:iCs/>
          <w:lang w:val="en-US"/>
        </w:rPr>
        <w:t>The EU General Data Protection Regulation (GDPR): A Practical Guide</w:t>
      </w:r>
      <w:r w:rsidRPr="00AC5577">
        <w:rPr>
          <w:lang w:val="en-US"/>
        </w:rPr>
        <w:t xml:space="preserve">. Springer. </w:t>
      </w:r>
      <w:hyperlink r:id="rId131">
        <w:r w:rsidRPr="00AC5577">
          <w:rPr>
            <w:rStyle w:val="Hyperlink"/>
            <w:lang w:val="en-US"/>
          </w:rPr>
          <w:t>https://doi.org/10.1007/978-3-319-57959-7</w:t>
        </w:r>
      </w:hyperlink>
      <w:r w:rsidRPr="00AC5577">
        <w:rPr>
          <w:lang w:val="en-US"/>
        </w:rPr>
        <w:t>.</w:t>
      </w:r>
    </w:p>
    <w:p w14:paraId="1A4390E6" w14:textId="77777777" w:rsidR="00D762DD" w:rsidRPr="00AC5577" w:rsidRDefault="00000000">
      <w:pPr>
        <w:rPr>
          <w:lang w:val="en-US"/>
        </w:rPr>
      </w:pPr>
      <w:bookmarkStart w:id="398" w:name="ref-wachter2017"/>
      <w:bookmarkEnd w:id="397"/>
      <w:r w:rsidRPr="00AC5577">
        <w:rPr>
          <w:lang w:val="en-US"/>
        </w:rPr>
        <w:t xml:space="preserve">Wachter, Mittelstadt, S. 2017. “Counterfactual Explanations Without Opening the Black Box: Automated Decisions and the GDPR.” </w:t>
      </w:r>
      <w:r w:rsidRPr="00AC5577">
        <w:rPr>
          <w:i/>
          <w:iCs/>
          <w:lang w:val="en-US"/>
        </w:rPr>
        <w:t>SSRN Electronic Journal</w:t>
      </w:r>
      <w:r w:rsidRPr="00AC5577">
        <w:rPr>
          <w:lang w:val="en-US"/>
        </w:rPr>
        <w:t xml:space="preserve">, ahead of print. </w:t>
      </w:r>
      <w:hyperlink r:id="rId132">
        <w:r w:rsidRPr="00AC5577">
          <w:rPr>
            <w:rStyle w:val="Hyperlink"/>
            <w:lang w:val="en-US"/>
          </w:rPr>
          <w:t>https://doi.org/10.2139/ssrn.3063289</w:t>
        </w:r>
      </w:hyperlink>
      <w:r w:rsidRPr="00AC5577">
        <w:rPr>
          <w:lang w:val="en-US"/>
        </w:rPr>
        <w:t>.</w:t>
      </w:r>
    </w:p>
    <w:p w14:paraId="2D1A9110" w14:textId="77777777" w:rsidR="00D762DD" w:rsidRPr="00AC5577" w:rsidRDefault="00000000">
      <w:pPr>
        <w:rPr>
          <w:lang w:val="en-US"/>
        </w:rPr>
      </w:pPr>
      <w:bookmarkStart w:id="399" w:name="ref-wang2025"/>
      <w:bookmarkEnd w:id="398"/>
      <w:r w:rsidRPr="00AC5577">
        <w:rPr>
          <w:lang w:val="en-US"/>
        </w:rPr>
        <w:t xml:space="preserve">Wang, </w:t>
      </w:r>
      <w:proofErr w:type="spellStart"/>
      <w:r w:rsidRPr="00AC5577">
        <w:rPr>
          <w:lang w:val="en-US"/>
        </w:rPr>
        <w:t>Zhanliang</w:t>
      </w:r>
      <w:proofErr w:type="spellEnd"/>
      <w:r w:rsidRPr="00AC5577">
        <w:rPr>
          <w:lang w:val="en-US"/>
        </w:rPr>
        <w:t xml:space="preserve">, and Kai Wang. 2025. </w:t>
      </w:r>
      <w:proofErr w:type="spellStart"/>
      <w:r w:rsidRPr="00AC5577">
        <w:rPr>
          <w:i/>
          <w:iCs/>
          <w:lang w:val="en-US"/>
        </w:rPr>
        <w:t>MultiSHAP</w:t>
      </w:r>
      <w:proofErr w:type="spellEnd"/>
      <w:r w:rsidRPr="00AC5577">
        <w:rPr>
          <w:i/>
          <w:iCs/>
          <w:lang w:val="en-US"/>
        </w:rPr>
        <w:t>: A Shapley-Based Framework for Explaining Cross-Modal Interactions in Multimodal AI Models</w:t>
      </w:r>
      <w:r w:rsidRPr="00AC5577">
        <w:rPr>
          <w:lang w:val="en-US"/>
        </w:rPr>
        <w:t>.</w:t>
      </w:r>
    </w:p>
    <w:p w14:paraId="6F3BCD8E" w14:textId="77777777" w:rsidR="00D762DD" w:rsidRPr="00AC5577" w:rsidRDefault="00000000">
      <w:pPr>
        <w:rPr>
          <w:lang w:val="en-US"/>
        </w:rPr>
      </w:pPr>
      <w:bookmarkStart w:id="400" w:name="ref-wilcoxon1945"/>
      <w:bookmarkEnd w:id="399"/>
      <w:r w:rsidRPr="00AC5577">
        <w:rPr>
          <w:lang w:val="en-US"/>
        </w:rPr>
        <w:t xml:space="preserve">Wilcoxon, Frank. 1945. “Individual Comparisons by Ranking Methods.” </w:t>
      </w:r>
      <w:r w:rsidRPr="00AC5577">
        <w:rPr>
          <w:i/>
          <w:iCs/>
          <w:lang w:val="en-US"/>
        </w:rPr>
        <w:t>Biometrics Bulletin</w:t>
      </w:r>
      <w:r w:rsidRPr="00AC5577">
        <w:rPr>
          <w:lang w:val="en-US"/>
        </w:rPr>
        <w:t xml:space="preserve"> 1 (6): 80–83. </w:t>
      </w:r>
      <w:hyperlink r:id="rId133">
        <w:r w:rsidRPr="00AC5577">
          <w:rPr>
            <w:rStyle w:val="Hyperlink"/>
            <w:lang w:val="en-US"/>
          </w:rPr>
          <w:t>https://doi.org/10.2307/3001968</w:t>
        </w:r>
      </w:hyperlink>
      <w:r w:rsidRPr="00AC5577">
        <w:rPr>
          <w:lang w:val="en-US"/>
        </w:rPr>
        <w:t>.</w:t>
      </w:r>
    </w:p>
    <w:p w14:paraId="6449AA02" w14:textId="77777777" w:rsidR="00D762DD" w:rsidRDefault="00000000">
      <w:bookmarkStart w:id="401" w:name="ref-zheng2025"/>
      <w:bookmarkEnd w:id="400"/>
      <w:r w:rsidRPr="00AC5577">
        <w:rPr>
          <w:lang w:val="en-US"/>
        </w:rPr>
        <w:t xml:space="preserve">Zheng, X., F. Shirani, Z. Chen, et al. 2025. “F-FIDELITY: A Robust Framework for Faithfulness Evaluation of Explainable AI.” </w:t>
      </w:r>
      <w:r>
        <w:rPr>
          <w:i/>
          <w:iCs/>
        </w:rPr>
        <w:t xml:space="preserve">ICLR 2025 </w:t>
      </w:r>
      <w:proofErr w:type="spellStart"/>
      <w:r>
        <w:rPr>
          <w:i/>
          <w:iCs/>
        </w:rPr>
        <w:t>Proceedings</w:t>
      </w:r>
      <w:proofErr w:type="spellEnd"/>
      <w:r>
        <w:t xml:space="preserve">. </w:t>
      </w:r>
      <w:hyperlink r:id="rId134">
        <w:r>
          <w:rPr>
            <w:rStyle w:val="Hyperlink"/>
          </w:rPr>
          <w:t>https://trustai4s-lab.github.io/ffidelity</w:t>
        </w:r>
      </w:hyperlink>
      <w:r>
        <w:t>.</w:t>
      </w:r>
    </w:p>
    <w:p w14:paraId="790BFE71" w14:textId="77777777" w:rsidR="00D762DD" w:rsidRDefault="00000000">
      <w:pPr>
        <w:pStyle w:val="Heading1"/>
      </w:pPr>
      <w:bookmarkStart w:id="402" w:name="apéndices"/>
      <w:bookmarkStart w:id="403" w:name="_Toc238925811"/>
      <w:bookmarkEnd w:id="259"/>
      <w:bookmarkEnd w:id="262"/>
      <w:bookmarkEnd w:id="401"/>
      <w:r>
        <w:t>Apéndices</w:t>
      </w:r>
      <w:bookmarkEnd w:id="403"/>
    </w:p>
    <w:p w14:paraId="5C2D2E95" w14:textId="77777777" w:rsidR="00D762DD" w:rsidRDefault="00000000">
      <w:pPr>
        <w:pStyle w:val="Heading2"/>
      </w:pPr>
      <w:bookmarkStart w:id="404" w:name="Xee799cefc3e174a13188f506c487e1fa0a452e0"/>
      <w:bookmarkStart w:id="405" w:name="_Toc238925812"/>
      <w:r>
        <w:t>Apéndice A: Corpus de datos, partición y preprocesamiento</w:t>
      </w:r>
      <w:bookmarkEnd w:id="405"/>
    </w:p>
    <w:p w14:paraId="4C60FBF2" w14:textId="77777777" w:rsidR="00D762DD" w:rsidRDefault="00000000">
      <w:r>
        <w:t xml:space="preserve">El conjunto </w:t>
      </w:r>
      <w:proofErr w:type="spellStart"/>
      <w:r>
        <w:t>Adult</w:t>
      </w:r>
      <w:proofErr w:type="spellEnd"/>
      <w:r>
        <w:t xml:space="preserve"> </w:t>
      </w:r>
      <w:proofErr w:type="spellStart"/>
      <w:r>
        <w:t>Income</w:t>
      </w:r>
      <w:proofErr w:type="spellEnd"/>
      <w:r>
        <w:t xml:space="preserve"> se carga desde </w:t>
      </w:r>
      <w:proofErr w:type="spellStart"/>
      <w:r>
        <w:t>src</w:t>
      </w:r>
      <w:proofErr w:type="spellEnd"/>
      <w:r>
        <w:t>/</w:t>
      </w:r>
      <w:proofErr w:type="spellStart"/>
      <w:r>
        <w:t>data_loading</w:t>
      </w:r>
      <w:proofErr w:type="spellEnd"/>
      <w:r>
        <w:t xml:space="preserve">/adult.py, usando </w:t>
      </w:r>
      <w:proofErr w:type="spellStart"/>
      <w:r>
        <w:t>OpenML</w:t>
      </w:r>
      <w:proofErr w:type="spellEnd"/>
      <w:r>
        <w:t xml:space="preserve"> como fuente primaria y UCI como respaldo. La versión experimental usada en la tesis contiene 48,842 instancias, 14 características originales y una variable binaria de predicción (&gt;50K frente a </w:t>
      </w:r>
      <w:r>
        <w:lastRenderedPageBreak/>
        <w:t xml:space="preserve">&lt;=50K). La partición canónica usa </w:t>
      </w:r>
      <w:proofErr w:type="spellStart"/>
      <w:r>
        <w:t>test_size</w:t>
      </w:r>
      <w:proofErr w:type="spellEnd"/>
      <w:r>
        <w:t xml:space="preserve"> = 0.20, estratificación por etiqueta y </w:t>
      </w:r>
      <w:proofErr w:type="spellStart"/>
      <w:r>
        <w:t>random_state</w:t>
      </w:r>
      <w:proofErr w:type="spellEnd"/>
      <w:r>
        <w:t xml:space="preserve"> = 42, produciendo 39,032 instancias de entrenamiento y 9,758 de prueba.</w:t>
      </w:r>
    </w:p>
    <w:tbl>
      <w:tblPr>
        <w:tblW w:w="5000" w:type="pct"/>
        <w:tblLayout w:type="fixed"/>
        <w:tblLook w:val="0000" w:firstRow="0" w:lastRow="0" w:firstColumn="0" w:lastColumn="0" w:noHBand="0" w:noVBand="0"/>
      </w:tblPr>
      <w:tblGrid>
        <w:gridCol w:w="9576"/>
      </w:tblGrid>
      <w:tr w:rsidR="00D762DD" w14:paraId="2199860B" w14:textId="77777777">
        <w:tc>
          <w:tcPr>
            <w:tcW w:w="7920" w:type="dxa"/>
          </w:tcPr>
          <w:p w14:paraId="3FAE4962" w14:textId="77777777" w:rsidR="00D762DD" w:rsidRDefault="00000000">
            <w:pPr>
              <w:spacing w:before="200"/>
              <w:jc w:val="left"/>
            </w:pPr>
            <w:bookmarkStart w:id="406" w:name="tbl-appendix-dataset-schema"/>
            <w:r>
              <w:t xml:space="preserve">Table 7.5: Esquema resumido del conjunto </w:t>
            </w:r>
            <w:proofErr w:type="spellStart"/>
            <w:r>
              <w:t>Adult</w:t>
            </w:r>
            <w:proofErr w:type="spellEnd"/>
            <w:r>
              <w:t xml:space="preserve"> y transformaciones de preprocesamiento.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3116"/>
              <w:gridCol w:w="3117"/>
              <w:gridCol w:w="3117"/>
            </w:tblGrid>
            <w:tr w:rsidR="00D762DD" w14:paraId="24DCC3A9" w14:textId="77777777" w:rsidTr="00442EA4">
              <w:trPr>
                <w:tblHeader/>
              </w:trPr>
              <w:tc>
                <w:tcPr>
                  <w:tcW w:w="2640" w:type="dxa"/>
                </w:tcPr>
                <w:p w14:paraId="1C41FF9B" w14:textId="77777777" w:rsidR="00D762DD" w:rsidRDefault="00000000">
                  <w:pPr>
                    <w:jc w:val="center"/>
                  </w:pPr>
                  <w:r>
                    <w:t>Grupo</w:t>
                  </w:r>
                </w:p>
              </w:tc>
              <w:tc>
                <w:tcPr>
                  <w:tcW w:w="2640" w:type="dxa"/>
                </w:tcPr>
                <w:p w14:paraId="2AF7B055" w14:textId="77777777" w:rsidR="00D762DD" w:rsidRDefault="00000000">
                  <w:pPr>
                    <w:jc w:val="center"/>
                  </w:pPr>
                  <w:r>
                    <w:t>Características</w:t>
                  </w:r>
                </w:p>
              </w:tc>
              <w:tc>
                <w:tcPr>
                  <w:tcW w:w="2640" w:type="dxa"/>
                </w:tcPr>
                <w:p w14:paraId="7B346A3E" w14:textId="77777777" w:rsidR="00D762DD" w:rsidRDefault="00000000">
                  <w:pPr>
                    <w:jc w:val="center"/>
                  </w:pPr>
                  <w:r>
                    <w:t>Tratamiento</w:t>
                  </w:r>
                </w:p>
              </w:tc>
            </w:tr>
            <w:tr w:rsidR="00D762DD" w14:paraId="57C91D4E" w14:textId="77777777" w:rsidTr="00442EA4">
              <w:tc>
                <w:tcPr>
                  <w:tcW w:w="2640" w:type="dxa"/>
                </w:tcPr>
                <w:p w14:paraId="444AFD0A" w14:textId="77777777" w:rsidR="00D762DD" w:rsidRDefault="00000000">
                  <w:pPr>
                    <w:jc w:val="center"/>
                  </w:pPr>
                  <w:r>
                    <w:t>Numéricas</w:t>
                  </w:r>
                </w:p>
              </w:tc>
              <w:tc>
                <w:tcPr>
                  <w:tcW w:w="2640" w:type="dxa"/>
                </w:tcPr>
                <w:p w14:paraId="0BDA4FE3" w14:textId="77777777" w:rsidR="00D762DD" w:rsidRPr="00AC5577" w:rsidRDefault="00000000">
                  <w:pPr>
                    <w:jc w:val="center"/>
                    <w:rPr>
                      <w:lang w:val="en-US"/>
                    </w:rPr>
                  </w:pPr>
                  <w:r w:rsidRPr="00AC5577">
                    <w:rPr>
                      <w:lang w:val="en-US"/>
                    </w:rPr>
                    <w:t xml:space="preserve">age, education-num, capital-gain, capital-loss, hours-per-week, </w:t>
                  </w:r>
                  <w:proofErr w:type="spellStart"/>
                  <w:r w:rsidRPr="00AC5577">
                    <w:rPr>
                      <w:lang w:val="en-US"/>
                    </w:rPr>
                    <w:t>fnlwgt</w:t>
                  </w:r>
                  <w:proofErr w:type="spellEnd"/>
                </w:p>
              </w:tc>
              <w:tc>
                <w:tcPr>
                  <w:tcW w:w="2640" w:type="dxa"/>
                </w:tcPr>
                <w:p w14:paraId="5137767B" w14:textId="77777777" w:rsidR="00D762DD" w:rsidRDefault="00000000">
                  <w:pPr>
                    <w:jc w:val="center"/>
                  </w:pPr>
                  <w:r>
                    <w:t xml:space="preserve">Estandarización con </w:t>
                  </w:r>
                  <w:proofErr w:type="spellStart"/>
                  <w:r>
                    <w:t>StandardScaler</w:t>
                  </w:r>
                  <w:proofErr w:type="spellEnd"/>
                  <w:r>
                    <w:t xml:space="preserve"> ajustado solo en entrenamiento</w:t>
                  </w:r>
                </w:p>
              </w:tc>
            </w:tr>
            <w:tr w:rsidR="00D762DD" w14:paraId="2E8531B6" w14:textId="77777777" w:rsidTr="00442EA4">
              <w:tc>
                <w:tcPr>
                  <w:tcW w:w="2640" w:type="dxa"/>
                </w:tcPr>
                <w:p w14:paraId="59762442" w14:textId="77777777" w:rsidR="00D762DD" w:rsidRDefault="00000000">
                  <w:pPr>
                    <w:jc w:val="center"/>
                  </w:pPr>
                  <w:r>
                    <w:t>Categóricas</w:t>
                  </w:r>
                </w:p>
              </w:tc>
              <w:tc>
                <w:tcPr>
                  <w:tcW w:w="2640" w:type="dxa"/>
                </w:tcPr>
                <w:p w14:paraId="2459D989" w14:textId="77777777" w:rsidR="00D762DD" w:rsidRPr="00AC5577" w:rsidRDefault="00000000">
                  <w:pPr>
                    <w:jc w:val="center"/>
                    <w:rPr>
                      <w:lang w:val="en-US"/>
                    </w:rPr>
                  </w:pPr>
                  <w:proofErr w:type="spellStart"/>
                  <w:r w:rsidRPr="00AC5577">
                    <w:rPr>
                      <w:lang w:val="en-US"/>
                    </w:rPr>
                    <w:t>workclass</w:t>
                  </w:r>
                  <w:proofErr w:type="spellEnd"/>
                  <w:r w:rsidRPr="00AC5577">
                    <w:rPr>
                      <w:lang w:val="en-US"/>
                    </w:rPr>
                    <w:t>, education, marital-status, occupation, relationship, race, sex, native-country</w:t>
                  </w:r>
                </w:p>
              </w:tc>
              <w:tc>
                <w:tcPr>
                  <w:tcW w:w="2640" w:type="dxa"/>
                </w:tcPr>
                <w:p w14:paraId="25FB2347" w14:textId="77777777" w:rsidR="00D762DD" w:rsidRDefault="00000000">
                  <w:pPr>
                    <w:jc w:val="center"/>
                  </w:pPr>
                  <w:r>
                    <w:t xml:space="preserve">Codificación </w:t>
                  </w:r>
                  <w:proofErr w:type="spellStart"/>
                  <w:r>
                    <w:t>OneHotEncoder</w:t>
                  </w:r>
                  <w:proofErr w:type="spellEnd"/>
                  <w:r>
                    <w:t>(</w:t>
                  </w:r>
                  <w:proofErr w:type="spellStart"/>
                  <w:r>
                    <w:t>handle_unknown</w:t>
                  </w:r>
                  <w:proofErr w:type="spellEnd"/>
                  <w:r>
                    <w:t>='ignore') ajustada solo en entrenamiento</w:t>
                  </w:r>
                </w:p>
              </w:tc>
            </w:tr>
            <w:tr w:rsidR="00D762DD" w14:paraId="4600A591" w14:textId="77777777" w:rsidTr="00442EA4">
              <w:tc>
                <w:tcPr>
                  <w:tcW w:w="2640" w:type="dxa"/>
                </w:tcPr>
                <w:p w14:paraId="46D0E191" w14:textId="77777777" w:rsidR="00D762DD" w:rsidRDefault="00000000">
                  <w:pPr>
                    <w:jc w:val="center"/>
                  </w:pPr>
                  <w:r>
                    <w:t>Objetivo</w:t>
                  </w:r>
                </w:p>
              </w:tc>
              <w:tc>
                <w:tcPr>
                  <w:tcW w:w="2640" w:type="dxa"/>
                </w:tcPr>
                <w:p w14:paraId="566A5855" w14:textId="77777777" w:rsidR="00D762DD" w:rsidRDefault="00000000">
                  <w:pPr>
                    <w:jc w:val="center"/>
                  </w:pPr>
                  <w:r>
                    <w:t>Ingreso anual binario</w:t>
                  </w:r>
                </w:p>
              </w:tc>
              <w:tc>
                <w:tcPr>
                  <w:tcW w:w="2640" w:type="dxa"/>
                </w:tcPr>
                <w:p w14:paraId="48CB9ADB" w14:textId="77777777" w:rsidR="00D762DD" w:rsidRDefault="00000000">
                  <w:pPr>
                    <w:jc w:val="center"/>
                  </w:pPr>
                  <w:r>
                    <w:t>Normalización de etiquetas &gt;50K/&lt;=50K y variantes con punto final</w:t>
                  </w:r>
                </w:p>
              </w:tc>
            </w:tr>
            <w:bookmarkEnd w:id="406"/>
          </w:tbl>
          <w:p w14:paraId="21DC75A2" w14:textId="77777777" w:rsidR="00D762DD" w:rsidRDefault="00D762DD"/>
        </w:tc>
      </w:tr>
    </w:tbl>
    <w:p w14:paraId="19B824B2" w14:textId="77777777" w:rsidR="00D762DD" w:rsidRDefault="00000000">
      <w:pPr>
        <w:pStyle w:val="BodyText"/>
      </w:pPr>
      <w:r>
        <w:t>Los valores faltantes codificados como "?" se convierten a NaN, los textos se normalizan eliminando espacios residuales y los duplicados exactos se descartan antes del ajuste del preprocesador. Las transformaciones se congelan como artefactos compartidos para evitar fuga de datos y diferencias de escalado entre explicadores.</w:t>
      </w:r>
    </w:p>
    <w:p w14:paraId="48648C31" w14:textId="77777777" w:rsidR="00D762DD" w:rsidRDefault="00000000">
      <w:pPr>
        <w:pStyle w:val="Heading2"/>
      </w:pPr>
      <w:bookmarkStart w:id="407" w:name="X0ebb70924a43e56d2f30bdb00fa50fa510507cd"/>
      <w:bookmarkStart w:id="408" w:name="_Toc238925813"/>
      <w:bookmarkEnd w:id="404"/>
      <w:r>
        <w:t>Apéndice B: Modelos predictivos y artefactos</w:t>
      </w:r>
      <w:bookmarkEnd w:id="408"/>
    </w:p>
    <w:p w14:paraId="5463113C" w14:textId="77777777" w:rsidR="00D762DD" w:rsidRDefault="00000000">
      <w:r>
        <w:t xml:space="preserve">Los modelos se entrenan en EXP1 y se reutilizan en EXP2 sin reentrenamiento. Los artefactos principales se encuentran en </w:t>
      </w:r>
      <w:proofErr w:type="spellStart"/>
      <w:r>
        <w:t>experiments</w:t>
      </w:r>
      <w:proofErr w:type="spellEnd"/>
      <w:r>
        <w:t>/exp1_adult/</w:t>
      </w:r>
      <w:proofErr w:type="spellStart"/>
      <w:r>
        <w:t>models</w:t>
      </w:r>
      <w:proofErr w:type="spellEnd"/>
      <w:r>
        <w:t xml:space="preserve">/, con métricas en </w:t>
      </w:r>
      <w:proofErr w:type="spellStart"/>
      <w:proofErr w:type="gramStart"/>
      <w:r>
        <w:t>metrics.json</w:t>
      </w:r>
      <w:proofErr w:type="spellEnd"/>
      <w:proofErr w:type="gramEnd"/>
      <w:r>
        <w:t xml:space="preserve"> por familia de modelo.</w:t>
      </w:r>
    </w:p>
    <w:tbl>
      <w:tblPr>
        <w:tblW w:w="5000" w:type="pct"/>
        <w:tblLayout w:type="fixed"/>
        <w:tblLook w:val="0000" w:firstRow="0" w:lastRow="0" w:firstColumn="0" w:lastColumn="0" w:noHBand="0" w:noVBand="0"/>
      </w:tblPr>
      <w:tblGrid>
        <w:gridCol w:w="9576"/>
      </w:tblGrid>
      <w:tr w:rsidR="00D762DD" w14:paraId="232DDA53" w14:textId="77777777">
        <w:tc>
          <w:tcPr>
            <w:tcW w:w="7920" w:type="dxa"/>
          </w:tcPr>
          <w:p w14:paraId="7799180A" w14:textId="77777777" w:rsidR="00D762DD" w:rsidRDefault="00000000">
            <w:pPr>
              <w:spacing w:before="200"/>
              <w:jc w:val="left"/>
            </w:pPr>
            <w:bookmarkStart w:id="409" w:name="tbl-appendix-models"/>
            <w:r>
              <w:t>Table 7.6: Modelos predictivos, justificación y ubicación de artefactos.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2337"/>
              <w:gridCol w:w="2337"/>
              <w:gridCol w:w="2338"/>
              <w:gridCol w:w="2338"/>
            </w:tblGrid>
            <w:tr w:rsidR="00D762DD" w14:paraId="41F8F4E1" w14:textId="77777777" w:rsidTr="00442EA4">
              <w:trPr>
                <w:tblHeader/>
              </w:trPr>
              <w:tc>
                <w:tcPr>
                  <w:tcW w:w="1980" w:type="dxa"/>
                </w:tcPr>
                <w:p w14:paraId="473C3164" w14:textId="77777777" w:rsidR="00D762DD" w:rsidRPr="00442EA4" w:rsidRDefault="00000000">
                  <w:pPr>
                    <w:jc w:val="center"/>
                    <w:rPr>
                      <w:b/>
                      <w:bCs/>
                    </w:rPr>
                  </w:pPr>
                  <w:r w:rsidRPr="00442EA4">
                    <w:rPr>
                      <w:b/>
                      <w:bCs/>
                    </w:rPr>
                    <w:lastRenderedPageBreak/>
                    <w:t>Modelo</w:t>
                  </w:r>
                </w:p>
              </w:tc>
              <w:tc>
                <w:tcPr>
                  <w:tcW w:w="1980" w:type="dxa"/>
                </w:tcPr>
                <w:p w14:paraId="6B3FA99C" w14:textId="77777777" w:rsidR="00D762DD" w:rsidRPr="00442EA4" w:rsidRDefault="00000000">
                  <w:pPr>
                    <w:jc w:val="center"/>
                    <w:rPr>
                      <w:b/>
                      <w:bCs/>
                    </w:rPr>
                  </w:pPr>
                  <w:r w:rsidRPr="00442EA4">
                    <w:rPr>
                      <w:b/>
                      <w:bCs/>
                    </w:rPr>
                    <w:t>Rol metodológico</w:t>
                  </w:r>
                </w:p>
              </w:tc>
              <w:tc>
                <w:tcPr>
                  <w:tcW w:w="1980" w:type="dxa"/>
                </w:tcPr>
                <w:p w14:paraId="045AAF2D" w14:textId="77777777" w:rsidR="00D762DD" w:rsidRPr="00442EA4" w:rsidRDefault="00000000">
                  <w:pPr>
                    <w:jc w:val="center"/>
                    <w:rPr>
                      <w:b/>
                      <w:bCs/>
                    </w:rPr>
                  </w:pPr>
                  <w:r w:rsidRPr="00442EA4">
                    <w:rPr>
                      <w:b/>
                      <w:bCs/>
                    </w:rPr>
                    <w:t>Artefacto principal</w:t>
                  </w:r>
                </w:p>
              </w:tc>
              <w:tc>
                <w:tcPr>
                  <w:tcW w:w="1980" w:type="dxa"/>
                </w:tcPr>
                <w:p w14:paraId="25FEFB3C" w14:textId="77777777" w:rsidR="00D762DD" w:rsidRPr="00442EA4" w:rsidRDefault="00000000">
                  <w:pPr>
                    <w:jc w:val="center"/>
                    <w:rPr>
                      <w:b/>
                      <w:bCs/>
                    </w:rPr>
                  </w:pPr>
                  <w:r w:rsidRPr="00442EA4">
                    <w:rPr>
                      <w:b/>
                      <w:bCs/>
                    </w:rPr>
                    <w:t>Métricas de entrenamiento/prueba</w:t>
                  </w:r>
                </w:p>
              </w:tc>
            </w:tr>
            <w:tr w:rsidR="00D762DD" w14:paraId="30E4DD15" w14:textId="77777777" w:rsidTr="00442EA4">
              <w:tc>
                <w:tcPr>
                  <w:tcW w:w="1980" w:type="dxa"/>
                </w:tcPr>
                <w:p w14:paraId="06D72B8A" w14:textId="77777777" w:rsidR="00D762DD" w:rsidRDefault="00000000">
                  <w:pPr>
                    <w:jc w:val="center"/>
                  </w:pPr>
                  <w:r>
                    <w:t>Regresión logística (</w:t>
                  </w:r>
                  <w:proofErr w:type="spellStart"/>
                  <w:r>
                    <w:t>logreg</w:t>
                  </w:r>
                  <w:proofErr w:type="spellEnd"/>
                  <w:r>
                    <w:t>)</w:t>
                  </w:r>
                </w:p>
              </w:tc>
              <w:tc>
                <w:tcPr>
                  <w:tcW w:w="1980" w:type="dxa"/>
                </w:tcPr>
                <w:p w14:paraId="07AE11C5" w14:textId="77777777" w:rsidR="00D762DD" w:rsidRDefault="00000000">
                  <w:pPr>
                    <w:jc w:val="center"/>
                  </w:pPr>
                  <w:proofErr w:type="spellStart"/>
                  <w:r>
                    <w:t>Baseline</w:t>
                  </w:r>
                  <w:proofErr w:type="spellEnd"/>
                  <w:r>
                    <w:t xml:space="preserve"> transparente lineal</w:t>
                  </w:r>
                </w:p>
              </w:tc>
              <w:tc>
                <w:tcPr>
                  <w:tcW w:w="1980" w:type="dxa"/>
                </w:tcPr>
                <w:p w14:paraId="3BEC74BB" w14:textId="77777777" w:rsidR="00D762DD" w:rsidRDefault="00000000">
                  <w:pPr>
                    <w:jc w:val="center"/>
                  </w:pPr>
                  <w:proofErr w:type="spellStart"/>
                  <w:r>
                    <w:t>experiments</w:t>
                  </w:r>
                  <w:proofErr w:type="spellEnd"/>
                  <w:r>
                    <w:t>/exp1_adult/</w:t>
                  </w:r>
                  <w:proofErr w:type="spellStart"/>
                  <w:r>
                    <w:t>models</w:t>
                  </w:r>
                  <w:proofErr w:type="spellEnd"/>
                  <w:r>
                    <w:t>/</w:t>
                  </w:r>
                  <w:proofErr w:type="spellStart"/>
                  <w:r>
                    <w:t>logreg</w:t>
                  </w:r>
                  <w:proofErr w:type="spellEnd"/>
                  <w:r>
                    <w:t>/</w:t>
                  </w:r>
                </w:p>
              </w:tc>
              <w:tc>
                <w:tcPr>
                  <w:tcW w:w="1980" w:type="dxa"/>
                </w:tcPr>
                <w:p w14:paraId="7946EC51" w14:textId="77777777" w:rsidR="00D762DD" w:rsidRDefault="00000000">
                  <w:pPr>
                    <w:jc w:val="center"/>
                  </w:pPr>
                  <w:proofErr w:type="spellStart"/>
                  <w:proofErr w:type="gramStart"/>
                  <w:r>
                    <w:t>metrics.json</w:t>
                  </w:r>
                  <w:proofErr w:type="spellEnd"/>
                  <w:proofErr w:type="gramEnd"/>
                </w:p>
              </w:tc>
            </w:tr>
            <w:tr w:rsidR="00D762DD" w14:paraId="7EF32DC0" w14:textId="77777777" w:rsidTr="00442EA4">
              <w:tc>
                <w:tcPr>
                  <w:tcW w:w="1980" w:type="dxa"/>
                </w:tcPr>
                <w:p w14:paraId="570239A2" w14:textId="77777777" w:rsidR="00D762DD" w:rsidRDefault="00000000">
                  <w:pPr>
                    <w:jc w:val="center"/>
                  </w:pPr>
                  <w:r>
                    <w:t>Bosque aleatorio (</w:t>
                  </w:r>
                  <w:proofErr w:type="spellStart"/>
                  <w:r>
                    <w:t>rf</w:t>
                  </w:r>
                  <w:proofErr w:type="spellEnd"/>
                  <w:r>
                    <w:t>)</w:t>
                  </w:r>
                </w:p>
              </w:tc>
              <w:tc>
                <w:tcPr>
                  <w:tcW w:w="1980" w:type="dxa"/>
                </w:tcPr>
                <w:p w14:paraId="0B69CEE0" w14:textId="77777777" w:rsidR="00D762DD" w:rsidRDefault="00000000">
                  <w:pPr>
                    <w:jc w:val="center"/>
                  </w:pPr>
                  <w:r>
                    <w:t>Ensamble no lineal</w:t>
                  </w:r>
                </w:p>
              </w:tc>
              <w:tc>
                <w:tcPr>
                  <w:tcW w:w="1980" w:type="dxa"/>
                </w:tcPr>
                <w:p w14:paraId="753224BD" w14:textId="77777777" w:rsidR="00D762DD" w:rsidRPr="00AC5577" w:rsidRDefault="00000000">
                  <w:pPr>
                    <w:jc w:val="center"/>
                    <w:rPr>
                      <w:lang w:val="en-US"/>
                    </w:rPr>
                  </w:pPr>
                  <w:r w:rsidRPr="00AC5577">
                    <w:rPr>
                      <w:lang w:val="en-US"/>
                    </w:rPr>
                    <w:t>experiments/exp1_adult/models/rf/</w:t>
                  </w:r>
                </w:p>
              </w:tc>
              <w:tc>
                <w:tcPr>
                  <w:tcW w:w="1980" w:type="dxa"/>
                </w:tcPr>
                <w:p w14:paraId="1FB85DCC" w14:textId="77777777" w:rsidR="00D762DD" w:rsidRDefault="00000000">
                  <w:pPr>
                    <w:jc w:val="center"/>
                  </w:pPr>
                  <w:proofErr w:type="spellStart"/>
                  <w:proofErr w:type="gramStart"/>
                  <w:r>
                    <w:t>metrics.json</w:t>
                  </w:r>
                  <w:proofErr w:type="spellEnd"/>
                  <w:proofErr w:type="gramEnd"/>
                </w:p>
              </w:tc>
            </w:tr>
            <w:tr w:rsidR="00D762DD" w:rsidRPr="00AC5577" w14:paraId="0FD5B71A" w14:textId="77777777" w:rsidTr="00442EA4">
              <w:tc>
                <w:tcPr>
                  <w:tcW w:w="1980" w:type="dxa"/>
                </w:tcPr>
                <w:p w14:paraId="522F2C5D" w14:textId="77777777" w:rsidR="00D762DD" w:rsidRDefault="00000000">
                  <w:pPr>
                    <w:jc w:val="center"/>
                  </w:pPr>
                  <w:proofErr w:type="spellStart"/>
                  <w:r>
                    <w:t>XGBoost</w:t>
                  </w:r>
                  <w:proofErr w:type="spellEnd"/>
                  <w:r>
                    <w:t xml:space="preserve"> (</w:t>
                  </w:r>
                  <w:proofErr w:type="spellStart"/>
                  <w:r>
                    <w:t>xgb</w:t>
                  </w:r>
                  <w:proofErr w:type="spellEnd"/>
                  <w:r>
                    <w:t>)</w:t>
                  </w:r>
                </w:p>
              </w:tc>
              <w:tc>
                <w:tcPr>
                  <w:tcW w:w="1980" w:type="dxa"/>
                </w:tcPr>
                <w:p w14:paraId="76C5D14F" w14:textId="77777777" w:rsidR="00D762DD" w:rsidRDefault="00000000">
                  <w:pPr>
                    <w:jc w:val="center"/>
                  </w:pPr>
                  <w:r>
                    <w:t xml:space="preserve">Ensamble de alto rendimiento compatible con </w:t>
                  </w:r>
                  <w:proofErr w:type="spellStart"/>
                  <w:r>
                    <w:t>TreeSHAP</w:t>
                  </w:r>
                  <w:proofErr w:type="spellEnd"/>
                </w:p>
              </w:tc>
              <w:tc>
                <w:tcPr>
                  <w:tcW w:w="1980" w:type="dxa"/>
                </w:tcPr>
                <w:p w14:paraId="1DFBC8A0" w14:textId="77777777" w:rsidR="00D762DD" w:rsidRPr="00AC5577" w:rsidRDefault="00000000">
                  <w:pPr>
                    <w:jc w:val="center"/>
                    <w:rPr>
                      <w:lang w:val="en-US"/>
                    </w:rPr>
                  </w:pPr>
                  <w:r w:rsidRPr="00AC5577">
                    <w:rPr>
                      <w:lang w:val="en-US"/>
                    </w:rPr>
                    <w:t>experiments/exp1_adult/models/</w:t>
                  </w:r>
                  <w:proofErr w:type="spellStart"/>
                  <w:r w:rsidRPr="00AC5577">
                    <w:rPr>
                      <w:lang w:val="en-US"/>
                    </w:rPr>
                    <w:t>xgboost</w:t>
                  </w:r>
                  <w:proofErr w:type="spellEnd"/>
                  <w:r w:rsidRPr="00AC5577">
                    <w:rPr>
                      <w:lang w:val="en-US"/>
                    </w:rPr>
                    <w:t>/</w:t>
                  </w:r>
                </w:p>
              </w:tc>
              <w:tc>
                <w:tcPr>
                  <w:tcW w:w="1980" w:type="dxa"/>
                </w:tcPr>
                <w:p w14:paraId="5F4C5E97" w14:textId="77777777" w:rsidR="00D762DD" w:rsidRPr="00AC5577" w:rsidRDefault="00000000">
                  <w:pPr>
                    <w:jc w:val="center"/>
                    <w:rPr>
                      <w:lang w:val="en-US"/>
                    </w:rPr>
                  </w:pPr>
                  <w:proofErr w:type="spellStart"/>
                  <w:proofErr w:type="gramStart"/>
                  <w:r w:rsidRPr="00AC5577">
                    <w:rPr>
                      <w:lang w:val="en-US"/>
                    </w:rPr>
                    <w:t>metrics.json</w:t>
                  </w:r>
                  <w:proofErr w:type="spellEnd"/>
                  <w:proofErr w:type="gramEnd"/>
                  <w:r w:rsidRPr="00AC5577">
                    <w:rPr>
                      <w:lang w:val="en-US"/>
                    </w:rPr>
                    <w:t>, xgb_feature_importance.csv</w:t>
                  </w:r>
                </w:p>
              </w:tc>
            </w:tr>
            <w:tr w:rsidR="00D762DD" w14:paraId="629096D1" w14:textId="77777777" w:rsidTr="00442EA4">
              <w:tc>
                <w:tcPr>
                  <w:tcW w:w="1980" w:type="dxa"/>
                </w:tcPr>
                <w:p w14:paraId="14DE17AC" w14:textId="77777777" w:rsidR="00D762DD" w:rsidRDefault="00000000">
                  <w:pPr>
                    <w:jc w:val="center"/>
                  </w:pPr>
                  <w:r>
                    <w:t>SVM (</w:t>
                  </w:r>
                  <w:proofErr w:type="spellStart"/>
                  <w:r>
                    <w:t>svm</w:t>
                  </w:r>
                  <w:proofErr w:type="spellEnd"/>
                  <w:r>
                    <w:t>)</w:t>
                  </w:r>
                </w:p>
              </w:tc>
              <w:tc>
                <w:tcPr>
                  <w:tcW w:w="1980" w:type="dxa"/>
                </w:tcPr>
                <w:p w14:paraId="273ECFF1" w14:textId="77777777" w:rsidR="00D762DD" w:rsidRDefault="00000000">
                  <w:pPr>
                    <w:jc w:val="center"/>
                  </w:pPr>
                  <w:r>
                    <w:t>Comportamiento de frontera no lineal/</w:t>
                  </w:r>
                  <w:proofErr w:type="spellStart"/>
                  <w:r>
                    <w:t>kernel</w:t>
                  </w:r>
                  <w:proofErr w:type="spellEnd"/>
                </w:p>
              </w:tc>
              <w:tc>
                <w:tcPr>
                  <w:tcW w:w="1980" w:type="dxa"/>
                </w:tcPr>
                <w:p w14:paraId="2FBC1BB5" w14:textId="77777777" w:rsidR="00D762DD" w:rsidRPr="00AC5577" w:rsidRDefault="00000000">
                  <w:pPr>
                    <w:jc w:val="center"/>
                    <w:rPr>
                      <w:lang w:val="en-US"/>
                    </w:rPr>
                  </w:pPr>
                  <w:r w:rsidRPr="00AC5577">
                    <w:rPr>
                      <w:lang w:val="en-US"/>
                    </w:rPr>
                    <w:t>experiments/exp1_adult/models/</w:t>
                  </w:r>
                  <w:proofErr w:type="spellStart"/>
                  <w:r w:rsidRPr="00AC5577">
                    <w:rPr>
                      <w:lang w:val="en-US"/>
                    </w:rPr>
                    <w:t>svm</w:t>
                  </w:r>
                  <w:proofErr w:type="spellEnd"/>
                  <w:r w:rsidRPr="00AC5577">
                    <w:rPr>
                      <w:lang w:val="en-US"/>
                    </w:rPr>
                    <w:t>/</w:t>
                  </w:r>
                </w:p>
              </w:tc>
              <w:tc>
                <w:tcPr>
                  <w:tcW w:w="1980" w:type="dxa"/>
                </w:tcPr>
                <w:p w14:paraId="5E7FA959" w14:textId="77777777" w:rsidR="00D762DD" w:rsidRDefault="00000000">
                  <w:pPr>
                    <w:jc w:val="center"/>
                  </w:pPr>
                  <w:proofErr w:type="spellStart"/>
                  <w:proofErr w:type="gramStart"/>
                  <w:r>
                    <w:t>metrics.json</w:t>
                  </w:r>
                  <w:proofErr w:type="spellEnd"/>
                  <w:proofErr w:type="gramEnd"/>
                </w:p>
              </w:tc>
            </w:tr>
            <w:tr w:rsidR="00D762DD" w14:paraId="13741EAF" w14:textId="77777777" w:rsidTr="00442EA4">
              <w:tc>
                <w:tcPr>
                  <w:tcW w:w="1980" w:type="dxa"/>
                </w:tcPr>
                <w:p w14:paraId="5FF6C7CF" w14:textId="77777777" w:rsidR="00D762DD" w:rsidRDefault="00000000">
                  <w:pPr>
                    <w:jc w:val="center"/>
                  </w:pPr>
                  <w:r>
                    <w:t>MLP (</w:t>
                  </w:r>
                  <w:proofErr w:type="spellStart"/>
                  <w:r>
                    <w:t>mlp</w:t>
                  </w:r>
                  <w:proofErr w:type="spellEnd"/>
                  <w:r>
                    <w:t>)</w:t>
                  </w:r>
                </w:p>
              </w:tc>
              <w:tc>
                <w:tcPr>
                  <w:tcW w:w="1980" w:type="dxa"/>
                </w:tcPr>
                <w:p w14:paraId="195C4205" w14:textId="77777777" w:rsidR="00D762DD" w:rsidRDefault="00000000">
                  <w:pPr>
                    <w:jc w:val="center"/>
                  </w:pPr>
                  <w:proofErr w:type="spellStart"/>
                  <w:r>
                    <w:t>Baseline</w:t>
                  </w:r>
                  <w:proofErr w:type="spellEnd"/>
                  <w:r>
                    <w:t xml:space="preserve"> neuronal no lineal</w:t>
                  </w:r>
                </w:p>
              </w:tc>
              <w:tc>
                <w:tcPr>
                  <w:tcW w:w="1980" w:type="dxa"/>
                </w:tcPr>
                <w:p w14:paraId="035D69ED" w14:textId="77777777" w:rsidR="00D762DD" w:rsidRPr="00AC5577" w:rsidRDefault="00000000">
                  <w:pPr>
                    <w:jc w:val="center"/>
                    <w:rPr>
                      <w:lang w:val="en-US"/>
                    </w:rPr>
                  </w:pPr>
                  <w:r w:rsidRPr="00AC5577">
                    <w:rPr>
                      <w:lang w:val="en-US"/>
                    </w:rPr>
                    <w:t>experiments/exp1_adult/models/</w:t>
                  </w:r>
                  <w:proofErr w:type="spellStart"/>
                  <w:r w:rsidRPr="00AC5577">
                    <w:rPr>
                      <w:lang w:val="en-US"/>
                    </w:rPr>
                    <w:t>mlp</w:t>
                  </w:r>
                  <w:proofErr w:type="spellEnd"/>
                  <w:r w:rsidRPr="00AC5577">
                    <w:rPr>
                      <w:lang w:val="en-US"/>
                    </w:rPr>
                    <w:t>/</w:t>
                  </w:r>
                </w:p>
              </w:tc>
              <w:tc>
                <w:tcPr>
                  <w:tcW w:w="1980" w:type="dxa"/>
                </w:tcPr>
                <w:p w14:paraId="31B54DBD" w14:textId="77777777" w:rsidR="00D762DD" w:rsidRDefault="00000000">
                  <w:pPr>
                    <w:jc w:val="center"/>
                  </w:pPr>
                  <w:proofErr w:type="spellStart"/>
                  <w:proofErr w:type="gramStart"/>
                  <w:r>
                    <w:t>metrics.json</w:t>
                  </w:r>
                  <w:proofErr w:type="spellEnd"/>
                  <w:proofErr w:type="gramEnd"/>
                </w:p>
              </w:tc>
            </w:tr>
            <w:bookmarkEnd w:id="409"/>
          </w:tbl>
          <w:p w14:paraId="68C9DCF0" w14:textId="77777777" w:rsidR="00D762DD" w:rsidRDefault="00D762DD"/>
        </w:tc>
      </w:tr>
    </w:tbl>
    <w:p w14:paraId="311D74A6" w14:textId="77777777" w:rsidR="00D762DD" w:rsidRDefault="00000000">
      <w:pPr>
        <w:pStyle w:val="BodyText"/>
      </w:pPr>
      <w:r>
        <w:lastRenderedPageBreak/>
        <w:t xml:space="preserve">Los umbrales de inclusión usados en la tesis son exactitud </w:t>
      </w:r>
      <m:oMath>
        <m:r>
          <m:rPr>
            <m:sty m:val="p"/>
          </m:rPr>
          <w:rPr>
            <w:rFonts w:ascii="Cambria Math" w:hAnsi="Cambria Math"/>
          </w:rPr>
          <m:t>≥</m:t>
        </m:r>
        <m:r>
          <w:rPr>
            <w:rFonts w:ascii="Cambria Math" w:hAnsi="Cambria Math"/>
          </w:rPr>
          <m:t>0.83</m:t>
        </m:r>
      </m:oMath>
      <w:r>
        <w:t xml:space="preserve"> y AUC-ROC </w:t>
      </w:r>
      <m:oMath>
        <m:r>
          <m:rPr>
            <m:sty m:val="p"/>
          </m:rPr>
          <w:rPr>
            <w:rFonts w:ascii="Cambria Math" w:hAnsi="Cambria Math"/>
          </w:rPr>
          <m:t>≥</m:t>
        </m:r>
        <m:r>
          <w:rPr>
            <w:rFonts w:ascii="Cambria Math" w:hAnsi="Cambria Math"/>
          </w:rPr>
          <m:t>0.88</m:t>
        </m:r>
      </m:oMath>
      <w:r>
        <w:t>. La Tabla 3.1 reporta las métricas finales extraídas de estos artefactos.</w:t>
      </w:r>
    </w:p>
    <w:p w14:paraId="5210DD9E" w14:textId="77777777" w:rsidR="00D762DD" w:rsidRDefault="00000000">
      <w:pPr>
        <w:pStyle w:val="Heading2"/>
      </w:pPr>
      <w:bookmarkStart w:id="410" w:name="apéndice-c-configuración-de-explicadores"/>
      <w:bookmarkStart w:id="411" w:name="_Toc238925814"/>
      <w:bookmarkEnd w:id="407"/>
      <w:r>
        <w:t>Apéndice C: Configuración de explicadores</w:t>
      </w:r>
      <w:bookmarkEnd w:id="411"/>
    </w:p>
    <w:p w14:paraId="6C12E404" w14:textId="77777777" w:rsidR="00D762DD" w:rsidRDefault="00000000">
      <w:r>
        <w:t xml:space="preserve">Las configuraciones declarativas de EXP2 se almacenan en </w:t>
      </w:r>
      <w:proofErr w:type="spellStart"/>
      <w:r>
        <w:t>configs</w:t>
      </w:r>
      <w:proofErr w:type="spellEnd"/>
      <w:r>
        <w:t>/</w:t>
      </w:r>
      <w:proofErr w:type="spellStart"/>
      <w:r>
        <w:t>experiments</w:t>
      </w:r>
      <w:proofErr w:type="spellEnd"/>
      <w:r>
        <w:t xml:space="preserve">/exp2_scaled/. El manifiesto </w:t>
      </w:r>
      <w:proofErr w:type="spellStart"/>
      <w:proofErr w:type="gramStart"/>
      <w:r>
        <w:t>manifest.yaml</w:t>
      </w:r>
      <w:proofErr w:type="spellEnd"/>
      <w:proofErr w:type="gramEnd"/>
      <w:r>
        <w:t xml:space="preserve"> define las 300 celdas del diseño factorial y cada YAML por celda fija modelo, explicador, semilla y tamaño de muestra.</w:t>
      </w:r>
    </w:p>
    <w:tbl>
      <w:tblPr>
        <w:tblW w:w="5000" w:type="pct"/>
        <w:tblLayout w:type="fixed"/>
        <w:tblLook w:val="0000" w:firstRow="0" w:lastRow="0" w:firstColumn="0" w:lastColumn="0" w:noHBand="0" w:noVBand="0"/>
      </w:tblPr>
      <w:tblGrid>
        <w:gridCol w:w="9576"/>
      </w:tblGrid>
      <w:tr w:rsidR="00D762DD" w14:paraId="4EB6EDAC" w14:textId="77777777">
        <w:tc>
          <w:tcPr>
            <w:tcW w:w="7920" w:type="dxa"/>
          </w:tcPr>
          <w:p w14:paraId="2BC263B1" w14:textId="77777777" w:rsidR="00D762DD" w:rsidRDefault="00000000">
            <w:pPr>
              <w:spacing w:before="200"/>
              <w:jc w:val="left"/>
            </w:pPr>
            <w:bookmarkStart w:id="412" w:name="tbl-appendix-explainers"/>
            <w:r>
              <w:t xml:space="preserve">Table 7.7: Configuración de explicadores y </w:t>
            </w:r>
            <w:proofErr w:type="spellStart"/>
            <w:r>
              <w:t>caveats</w:t>
            </w:r>
            <w:proofErr w:type="spellEnd"/>
            <w:r>
              <w:t xml:space="preserve"> operativos.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2337"/>
              <w:gridCol w:w="2337"/>
              <w:gridCol w:w="2338"/>
              <w:gridCol w:w="2338"/>
            </w:tblGrid>
            <w:tr w:rsidR="00D762DD" w14:paraId="4933C5B8" w14:textId="77777777" w:rsidTr="00442EA4">
              <w:trPr>
                <w:tblHeader/>
              </w:trPr>
              <w:tc>
                <w:tcPr>
                  <w:tcW w:w="1980" w:type="dxa"/>
                </w:tcPr>
                <w:p w14:paraId="5B77490D" w14:textId="77777777" w:rsidR="00D762DD" w:rsidRPr="00442EA4" w:rsidRDefault="00000000">
                  <w:pPr>
                    <w:jc w:val="center"/>
                    <w:rPr>
                      <w:b/>
                      <w:bCs/>
                    </w:rPr>
                  </w:pPr>
                  <w:r w:rsidRPr="00442EA4">
                    <w:rPr>
                      <w:b/>
                      <w:bCs/>
                    </w:rPr>
                    <w:lastRenderedPageBreak/>
                    <w:t>Explicador</w:t>
                  </w:r>
                </w:p>
              </w:tc>
              <w:tc>
                <w:tcPr>
                  <w:tcW w:w="1980" w:type="dxa"/>
                </w:tcPr>
                <w:p w14:paraId="0A3A6A11" w14:textId="77777777" w:rsidR="00D762DD" w:rsidRPr="00442EA4" w:rsidRDefault="00000000">
                  <w:pPr>
                    <w:jc w:val="center"/>
                    <w:rPr>
                      <w:b/>
                      <w:bCs/>
                    </w:rPr>
                  </w:pPr>
                  <w:r w:rsidRPr="00442EA4">
                    <w:rPr>
                      <w:b/>
                      <w:bCs/>
                    </w:rPr>
                    <w:t>Configuración efectiva</w:t>
                  </w:r>
                </w:p>
              </w:tc>
              <w:tc>
                <w:tcPr>
                  <w:tcW w:w="1980" w:type="dxa"/>
                </w:tcPr>
                <w:p w14:paraId="7E03C8B1" w14:textId="77777777" w:rsidR="00D762DD" w:rsidRPr="00442EA4" w:rsidRDefault="00000000">
                  <w:pPr>
                    <w:jc w:val="center"/>
                    <w:rPr>
                      <w:b/>
                      <w:bCs/>
                    </w:rPr>
                  </w:pPr>
                  <w:r w:rsidRPr="00442EA4">
                    <w:rPr>
                      <w:b/>
                      <w:bCs/>
                    </w:rPr>
                    <w:t>Implementación</w:t>
                  </w:r>
                </w:p>
              </w:tc>
              <w:tc>
                <w:tcPr>
                  <w:tcW w:w="1980" w:type="dxa"/>
                </w:tcPr>
                <w:p w14:paraId="7237292E" w14:textId="77777777" w:rsidR="00D762DD" w:rsidRPr="00442EA4" w:rsidRDefault="00000000">
                  <w:pPr>
                    <w:jc w:val="center"/>
                    <w:rPr>
                      <w:b/>
                      <w:bCs/>
                    </w:rPr>
                  </w:pPr>
                  <w:proofErr w:type="spellStart"/>
                  <w:r w:rsidRPr="00442EA4">
                    <w:rPr>
                      <w:b/>
                      <w:bCs/>
                    </w:rPr>
                    <w:t>Caveat</w:t>
                  </w:r>
                  <w:proofErr w:type="spellEnd"/>
                </w:p>
              </w:tc>
            </w:tr>
            <w:tr w:rsidR="00D762DD" w14:paraId="01E3EF40" w14:textId="77777777" w:rsidTr="00442EA4">
              <w:tc>
                <w:tcPr>
                  <w:tcW w:w="1980" w:type="dxa"/>
                </w:tcPr>
                <w:p w14:paraId="6234EEFF" w14:textId="77777777" w:rsidR="00D762DD" w:rsidRDefault="00000000">
                  <w:pPr>
                    <w:jc w:val="center"/>
                  </w:pPr>
                  <w:r>
                    <w:t>SHAP</w:t>
                  </w:r>
                </w:p>
              </w:tc>
              <w:tc>
                <w:tcPr>
                  <w:tcW w:w="1980" w:type="dxa"/>
                </w:tcPr>
                <w:p w14:paraId="23C18D99" w14:textId="77777777" w:rsidR="00D762DD" w:rsidRDefault="00000000">
                  <w:pPr>
                    <w:jc w:val="center"/>
                  </w:pPr>
                  <w:proofErr w:type="spellStart"/>
                  <w:r>
                    <w:t>TreeExplainer</w:t>
                  </w:r>
                  <w:proofErr w:type="spellEnd"/>
                  <w:r>
                    <w:t xml:space="preserve"> para </w:t>
                  </w:r>
                  <w:proofErr w:type="spellStart"/>
                  <w:r>
                    <w:t>rf</w:t>
                  </w:r>
                  <w:proofErr w:type="spellEnd"/>
                  <w:r>
                    <w:t>/</w:t>
                  </w:r>
                  <w:proofErr w:type="spellStart"/>
                  <w:r>
                    <w:t>xgb</w:t>
                  </w:r>
                  <w:proofErr w:type="spellEnd"/>
                  <w:r>
                    <w:t xml:space="preserve">; </w:t>
                  </w:r>
                  <w:proofErr w:type="spellStart"/>
                  <w:r>
                    <w:t>KernelExplainer</w:t>
                  </w:r>
                  <w:proofErr w:type="spellEnd"/>
                  <w:r>
                    <w:t xml:space="preserve"> para </w:t>
                  </w:r>
                  <w:proofErr w:type="spellStart"/>
                  <w:r>
                    <w:t>logreg</w:t>
                  </w:r>
                  <w:proofErr w:type="spellEnd"/>
                  <w:r>
                    <w:t>/</w:t>
                  </w:r>
                  <w:proofErr w:type="spellStart"/>
                  <w:r>
                    <w:t>svm</w:t>
                  </w:r>
                  <w:proofErr w:type="spellEnd"/>
                  <w:r>
                    <w:t>/</w:t>
                  </w:r>
                  <w:proofErr w:type="spellStart"/>
                  <w:r>
                    <w:t>mlp</w:t>
                  </w:r>
                  <w:proofErr w:type="spellEnd"/>
                  <w:r>
                    <w:t>; fondo de 50 muestras</w:t>
                  </w:r>
                </w:p>
              </w:tc>
              <w:tc>
                <w:tcPr>
                  <w:tcW w:w="1980" w:type="dxa"/>
                </w:tcPr>
                <w:p w14:paraId="5361DBB5" w14:textId="77777777" w:rsidR="00D762DD" w:rsidRPr="00AC5577" w:rsidRDefault="00000000">
                  <w:pPr>
                    <w:jc w:val="center"/>
                    <w:rPr>
                      <w:lang w:val="en-US"/>
                    </w:rPr>
                  </w:pPr>
                  <w:r w:rsidRPr="00AC5577">
                    <w:rPr>
                      <w:lang w:val="en-US"/>
                    </w:rPr>
                    <w:t>src/xai/shap_tabular.py</w:t>
                  </w:r>
                </w:p>
              </w:tc>
              <w:tc>
                <w:tcPr>
                  <w:tcW w:w="1980" w:type="dxa"/>
                </w:tcPr>
                <w:p w14:paraId="6C368046" w14:textId="77777777" w:rsidR="00D762DD" w:rsidRDefault="00000000">
                  <w:pPr>
                    <w:jc w:val="center"/>
                  </w:pPr>
                  <w:proofErr w:type="spellStart"/>
                  <w:r>
                    <w:t>KernelSHAP</w:t>
                  </w:r>
                  <w:proofErr w:type="spellEnd"/>
                  <w:r>
                    <w:t xml:space="preserve"> domina el coste en SVM y MLP</w:t>
                  </w:r>
                </w:p>
              </w:tc>
            </w:tr>
            <w:tr w:rsidR="00D762DD" w14:paraId="0A2C61C0" w14:textId="77777777" w:rsidTr="00442EA4">
              <w:tc>
                <w:tcPr>
                  <w:tcW w:w="1980" w:type="dxa"/>
                </w:tcPr>
                <w:p w14:paraId="205E1A6E" w14:textId="77777777" w:rsidR="00D762DD" w:rsidRDefault="00000000">
                  <w:pPr>
                    <w:jc w:val="center"/>
                  </w:pPr>
                  <w:r>
                    <w:t>LIME</w:t>
                  </w:r>
                </w:p>
              </w:tc>
              <w:tc>
                <w:tcPr>
                  <w:tcW w:w="1980" w:type="dxa"/>
                </w:tcPr>
                <w:p w14:paraId="5528BFEF" w14:textId="77777777" w:rsidR="00D762DD" w:rsidRDefault="00000000">
                  <w:pPr>
                    <w:jc w:val="center"/>
                  </w:pPr>
                  <w:proofErr w:type="spellStart"/>
                  <w:r>
                    <w:t>num_samples</w:t>
                  </w:r>
                  <w:proofErr w:type="spellEnd"/>
                  <w:r>
                    <w:t xml:space="preserve"> = 1000, </w:t>
                  </w:r>
                  <w:proofErr w:type="spellStart"/>
                  <w:r>
                    <w:t>num_features</w:t>
                  </w:r>
                  <w:proofErr w:type="spellEnd"/>
                  <w:r>
                    <w:t xml:space="preserve"> = 10, </w:t>
                  </w:r>
                  <w:proofErr w:type="spellStart"/>
                  <w:r>
                    <w:t>kernel_width</w:t>
                  </w:r>
                  <w:proofErr w:type="spellEnd"/>
                  <w:r>
                    <w:t xml:space="preserve"> = 3.0, sin discretización numérica</w:t>
                  </w:r>
                </w:p>
              </w:tc>
              <w:tc>
                <w:tcPr>
                  <w:tcW w:w="1980" w:type="dxa"/>
                </w:tcPr>
                <w:p w14:paraId="175819BB" w14:textId="77777777" w:rsidR="00D762DD" w:rsidRDefault="00000000">
                  <w:pPr>
                    <w:jc w:val="center"/>
                  </w:pPr>
                  <w:r>
                    <w:t>src/xai/lime_tabular.py</w:t>
                  </w:r>
                </w:p>
              </w:tc>
              <w:tc>
                <w:tcPr>
                  <w:tcW w:w="1980" w:type="dxa"/>
                </w:tcPr>
                <w:p w14:paraId="29DFCF9C" w14:textId="77777777" w:rsidR="00D762DD" w:rsidRDefault="00000000">
                  <w:pPr>
                    <w:jc w:val="center"/>
                  </w:pPr>
                  <w:r>
                    <w:t>Sensible al muestreo local</w:t>
                  </w:r>
                </w:p>
              </w:tc>
            </w:tr>
            <w:tr w:rsidR="00D762DD" w14:paraId="343C82F9" w14:textId="77777777" w:rsidTr="00442EA4">
              <w:tc>
                <w:tcPr>
                  <w:tcW w:w="1980" w:type="dxa"/>
                </w:tcPr>
                <w:p w14:paraId="63AEC090" w14:textId="77777777" w:rsidR="00D762DD" w:rsidRDefault="00000000">
                  <w:pPr>
                    <w:jc w:val="center"/>
                  </w:pPr>
                  <w:r>
                    <w:t>Anchors</w:t>
                  </w:r>
                </w:p>
              </w:tc>
              <w:tc>
                <w:tcPr>
                  <w:tcW w:w="1980" w:type="dxa"/>
                </w:tcPr>
                <w:p w14:paraId="421E4EE5" w14:textId="77777777" w:rsidR="00D762DD" w:rsidRDefault="00000000">
                  <w:pPr>
                    <w:jc w:val="center"/>
                  </w:pPr>
                  <w:proofErr w:type="spellStart"/>
                  <w:r>
                    <w:t>AnchorTabular</w:t>
                  </w:r>
                  <w:proofErr w:type="spellEnd"/>
                  <w:r>
                    <w:t xml:space="preserve">, umbral efectivo </w:t>
                  </w:r>
                  <m:oMath>
                    <m:r>
                      <w:rPr>
                        <w:rFonts w:ascii="Cambria Math" w:hAnsi="Cambria Math"/>
                      </w:rPr>
                      <m:t>τ</m:t>
                    </m:r>
                    <m:r>
                      <m:rPr>
                        <m:sty m:val="p"/>
                      </m:rPr>
                      <w:rPr>
                        <w:rFonts w:ascii="Cambria Math" w:hAnsi="Cambria Math"/>
                      </w:rPr>
                      <m:t>=</m:t>
                    </m:r>
                    <m:r>
                      <w:rPr>
                        <w:rFonts w:ascii="Cambria Math" w:hAnsi="Cambria Math"/>
                      </w:rPr>
                      <m:t>0.95</m:t>
                    </m:r>
                  </m:oMath>
                </w:p>
              </w:tc>
              <w:tc>
                <w:tcPr>
                  <w:tcW w:w="1980" w:type="dxa"/>
                </w:tcPr>
                <w:p w14:paraId="1FC58754" w14:textId="77777777" w:rsidR="00D762DD" w:rsidRPr="00AC5577" w:rsidRDefault="00000000">
                  <w:pPr>
                    <w:jc w:val="center"/>
                    <w:rPr>
                      <w:lang w:val="en-US"/>
                    </w:rPr>
                  </w:pPr>
                  <w:r w:rsidRPr="00AC5577">
                    <w:rPr>
                      <w:lang w:val="en-US"/>
                    </w:rPr>
                    <w:t>src/xai/anchors_wrapper.py</w:t>
                  </w:r>
                </w:p>
              </w:tc>
              <w:tc>
                <w:tcPr>
                  <w:tcW w:w="1980" w:type="dxa"/>
                </w:tcPr>
                <w:p w14:paraId="77E556B6" w14:textId="77777777" w:rsidR="00D762DD" w:rsidRDefault="00000000">
                  <w:pPr>
                    <w:jc w:val="center"/>
                  </w:pPr>
                  <w:r>
                    <w:t xml:space="preserve">Algunos parámetros YAML no son consumidos en </w:t>
                  </w:r>
                  <w:proofErr w:type="spellStart"/>
                  <w:r>
                    <w:t>runtime</w:t>
                  </w:r>
                  <w:proofErr w:type="spellEnd"/>
                </w:p>
              </w:tc>
            </w:tr>
            <w:tr w:rsidR="00D762DD" w14:paraId="5BBACFF8" w14:textId="77777777" w:rsidTr="00442EA4">
              <w:tc>
                <w:tcPr>
                  <w:tcW w:w="1980" w:type="dxa"/>
                </w:tcPr>
                <w:p w14:paraId="107951DE" w14:textId="77777777" w:rsidR="00D762DD" w:rsidRDefault="00000000">
                  <w:pPr>
                    <w:jc w:val="center"/>
                  </w:pPr>
                  <w:proofErr w:type="spellStart"/>
                  <w:r>
                    <w:t>DiCE</w:t>
                  </w:r>
                  <w:proofErr w:type="spellEnd"/>
                </w:p>
              </w:tc>
              <w:tc>
                <w:tcPr>
                  <w:tcW w:w="1980" w:type="dxa"/>
                </w:tcPr>
                <w:p w14:paraId="19466919" w14:textId="77777777" w:rsidR="00D762DD" w:rsidRDefault="00000000">
                  <w:pPr>
                    <w:jc w:val="center"/>
                  </w:pPr>
                  <w:proofErr w:type="spellStart"/>
                  <w:r>
                    <w:t>Backend</w:t>
                  </w:r>
                  <w:proofErr w:type="spellEnd"/>
                  <w:r>
                    <w:t xml:space="preserve"> aleatorio, clase opuesta, </w:t>
                  </w:r>
                  <w:proofErr w:type="spellStart"/>
                  <w:r>
                    <w:t>total_CFs</w:t>
                  </w:r>
                  <w:proofErr w:type="spellEnd"/>
                  <w:r>
                    <w:t xml:space="preserve"> = 1 efectivo</w:t>
                  </w:r>
                </w:p>
              </w:tc>
              <w:tc>
                <w:tcPr>
                  <w:tcW w:w="1980" w:type="dxa"/>
                </w:tcPr>
                <w:p w14:paraId="3D3AA771" w14:textId="77777777" w:rsidR="00D762DD" w:rsidRPr="00AC5577" w:rsidRDefault="00000000">
                  <w:pPr>
                    <w:jc w:val="center"/>
                    <w:rPr>
                      <w:lang w:val="en-US"/>
                    </w:rPr>
                  </w:pPr>
                  <w:r w:rsidRPr="00AC5577">
                    <w:rPr>
                      <w:lang w:val="en-US"/>
                    </w:rPr>
                    <w:t>src/xai/dice_wrapper.py</w:t>
                  </w:r>
                </w:p>
              </w:tc>
              <w:tc>
                <w:tcPr>
                  <w:tcW w:w="1980" w:type="dxa"/>
                </w:tcPr>
                <w:p w14:paraId="0E367F35" w14:textId="77777777" w:rsidR="00D762DD" w:rsidRDefault="00000000">
                  <w:pPr>
                    <w:jc w:val="center"/>
                  </w:pPr>
                  <w:r>
                    <w:t xml:space="preserve">La importancia se deriva de </w:t>
                  </w:r>
                  <m:oMath>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i</m:t>
                        </m:r>
                      </m:sub>
                      <m:sup>
                        <m:r>
                          <m:rPr>
                            <m:sty m:val="p"/>
                          </m:rPr>
                          <w:rPr>
                            <w:rFonts w:ascii="Cambria Math" w:hAnsi="Cambria Math"/>
                          </w:rPr>
                          <m:t>'</m:t>
                        </m:r>
                      </m:sup>
                    </m:sSubSup>
                    <m:r>
                      <m:rPr>
                        <m:sty m:val="p"/>
                      </m:rPr>
                      <w:rPr>
                        <w:rFonts w:ascii="Cambria Math" w:hAnsi="Cambria Math"/>
                      </w:rPr>
                      <m:t>|</m:t>
                    </m:r>
                  </m:oMath>
                </w:p>
              </w:tc>
            </w:tr>
            <w:bookmarkEnd w:id="412"/>
          </w:tbl>
          <w:p w14:paraId="28C95462" w14:textId="77777777" w:rsidR="00D762DD" w:rsidRDefault="00D762DD"/>
        </w:tc>
      </w:tr>
    </w:tbl>
    <w:p w14:paraId="5AC8B08E" w14:textId="77777777" w:rsidR="00D762DD" w:rsidRDefault="00000000">
      <w:pPr>
        <w:pStyle w:val="BodyText"/>
      </w:pPr>
      <w:r>
        <w:lastRenderedPageBreak/>
        <w:t xml:space="preserve">El tiempo de ejecución y las importancias se registran mediante </w:t>
      </w:r>
      <w:proofErr w:type="spellStart"/>
      <w:r>
        <w:t>ExplainerWrapper.explain_instance</w:t>
      </w:r>
      <w:proofErr w:type="spellEnd"/>
      <w:r>
        <w:t xml:space="preserve">, con restricciones de recursos controladas por </w:t>
      </w:r>
      <w:proofErr w:type="spellStart"/>
      <w:r>
        <w:t>src</w:t>
      </w:r>
      <w:proofErr w:type="spellEnd"/>
      <w:r>
        <w:t>/</w:t>
      </w:r>
      <w:proofErr w:type="spellStart"/>
      <w:r>
        <w:t>utils</w:t>
      </w:r>
      <w:proofErr w:type="spellEnd"/>
      <w:r>
        <w:t>/resource_control.py.</w:t>
      </w:r>
    </w:p>
    <w:p w14:paraId="602A25F4" w14:textId="77777777" w:rsidR="00D762DD" w:rsidRDefault="00000000">
      <w:pPr>
        <w:pStyle w:val="Heading3"/>
      </w:pPr>
      <w:bookmarkStart w:id="413" w:name="X19223749bd91808c35bfde79d8d5a77d7c56c01"/>
      <w:bookmarkStart w:id="414" w:name="_Toc238925815"/>
      <w:r>
        <w:t>C.1 Análisis exploratorio de sensibilidad a hiperparámetros</w:t>
      </w:r>
      <w:bookmarkEnd w:id="414"/>
    </w:p>
    <w:p w14:paraId="4BFEF0D5" w14:textId="77777777" w:rsidR="00D762DD" w:rsidRDefault="00000000">
      <w:r>
        <w:t xml:space="preserve">Este análisis evalúa en qué medida los resultados principales son robustos a variaciones en los hiperparámetros de configuración de cada explicador. No forma parte de las hipótesis confirmativas H1-H3; su función es delimitar el alcance de los resultados y orientar </w:t>
      </w:r>
      <w:r>
        <w:lastRenderedPageBreak/>
        <w:t xml:space="preserve">configuraciones futuras. El análisis opera sobre el modelo RF con semilla 42 y </w:t>
      </w:r>
      <m:oMath>
        <m:r>
          <w:rPr>
            <w:rFonts w:ascii="Cambria Math" w:hAnsi="Cambria Math"/>
          </w:rPr>
          <m:t>N</m:t>
        </m:r>
        <m:r>
          <m:rPr>
            <m:sty m:val="p"/>
          </m:rPr>
          <w:rPr>
            <w:rFonts w:ascii="Cambria Math" w:hAnsi="Cambria Math"/>
          </w:rPr>
          <m:t>=</m:t>
        </m:r>
        <m:r>
          <w:rPr>
            <w:rFonts w:ascii="Cambria Math" w:hAnsi="Cambria Math"/>
          </w:rPr>
          <m:t>100</m:t>
        </m:r>
      </m:oMath>
      <w:r>
        <w:t xml:space="preserve"> como condición de referencia.</w:t>
      </w:r>
    </w:p>
    <w:p w14:paraId="0E6A0A80" w14:textId="77777777" w:rsidR="00D762DD" w:rsidRDefault="00000000">
      <w:pPr>
        <w:pStyle w:val="BodyText"/>
      </w:pPr>
      <w:r>
        <w:rPr>
          <w:b/>
          <w:bCs/>
        </w:rPr>
        <w:t xml:space="preserve">LIME — sensibilidad a </w:t>
      </w:r>
      <w:proofErr w:type="spellStart"/>
      <w:r>
        <w:rPr>
          <w:b/>
          <w:bCs/>
        </w:rPr>
        <w:t>num_samples</w:t>
      </w:r>
      <w:proofErr w:type="spellEnd"/>
      <w:r>
        <w:rPr>
          <w:b/>
          <w:bCs/>
        </w:rPr>
        <w:t>.</w:t>
      </w:r>
      <w:r>
        <w:t xml:space="preserve"> Se varía el número de muestras de perturbación local (</w:t>
      </w:r>
      <m:oMath>
        <m:r>
          <m:rPr>
            <m:sty m:val="p"/>
          </m:rPr>
          <w:rPr>
            <w:rFonts w:ascii="Cambria Math" w:hAnsi="Cambria Math"/>
          </w:rPr>
          <m:t>{</m:t>
        </m:r>
        <m:r>
          <w:rPr>
            <w:rFonts w:ascii="Cambria Math" w:hAnsi="Cambria Math"/>
          </w:rPr>
          <m:t>500</m:t>
        </m:r>
        <m:r>
          <m:rPr>
            <m:sty m:val="p"/>
          </m:rPr>
          <w:rPr>
            <w:rFonts w:ascii="Cambria Math" w:hAnsi="Cambria Math"/>
          </w:rPr>
          <m:t>,</m:t>
        </m:r>
        <m:r>
          <w:rPr>
            <w:rFonts w:ascii="Cambria Math" w:hAnsi="Cambria Math"/>
          </w:rPr>
          <m:t>1000</m:t>
        </m:r>
        <m:r>
          <m:rPr>
            <m:sty m:val="p"/>
          </m:rPr>
          <w:rPr>
            <w:rFonts w:ascii="Cambria Math" w:hAnsi="Cambria Math"/>
          </w:rPr>
          <m:t>,</m:t>
        </m:r>
        <m:r>
          <w:rPr>
            <w:rFonts w:ascii="Cambria Math" w:hAnsi="Cambria Math"/>
          </w:rPr>
          <m:t>2000</m:t>
        </m:r>
        <m:r>
          <m:rPr>
            <m:sty m:val="p"/>
          </m:rPr>
          <w:rPr>
            <w:rFonts w:ascii="Cambria Math" w:hAnsi="Cambria Math"/>
          </w:rPr>
          <m:t>}</m:t>
        </m:r>
      </m:oMath>
      <w:r>
        <w:t>) manteniendo kernel_width = 3.0 y num_features = 10 constantes.</w:t>
      </w:r>
    </w:p>
    <w:tbl>
      <w:tblPr>
        <w:tblW w:w="5000" w:type="pct"/>
        <w:tblLayout w:type="fixed"/>
        <w:tblLook w:val="0000" w:firstRow="0" w:lastRow="0" w:firstColumn="0" w:lastColumn="0" w:noHBand="0" w:noVBand="0"/>
      </w:tblPr>
      <w:tblGrid>
        <w:gridCol w:w="9576"/>
      </w:tblGrid>
      <w:tr w:rsidR="00D762DD" w14:paraId="6D75913E" w14:textId="77777777">
        <w:tc>
          <w:tcPr>
            <w:tcW w:w="7920" w:type="dxa"/>
          </w:tcPr>
          <w:p w14:paraId="1521924A" w14:textId="77777777" w:rsidR="00D762DD" w:rsidRDefault="00000000">
            <w:pPr>
              <w:spacing w:before="200"/>
              <w:jc w:val="left"/>
            </w:pPr>
            <w:bookmarkStart w:id="415" w:name="tbl-appendix-lime-sensitivity"/>
            <w:r>
              <w:t xml:space="preserve">Table 7.8: Sensibilidad de LIME a </w:t>
            </w:r>
            <w:proofErr w:type="spellStart"/>
            <w:r>
              <w:t>num_samples</w:t>
            </w:r>
            <w:proofErr w:type="spellEnd"/>
            <w:r>
              <w:t xml:space="preserve"> (RF, semilla 42, </w:t>
            </w:r>
            <m:oMath>
              <m:r>
                <w:rPr>
                  <w:rFonts w:ascii="Cambria Math" w:hAnsi="Cambria Math"/>
                </w:rPr>
                <m:t>N</m:t>
              </m:r>
              <m:r>
                <m:rPr>
                  <m:sty m:val="p"/>
                </m:rPr>
                <w:rPr>
                  <w:rFonts w:ascii="Cambria Math" w:hAnsi="Cambria Math"/>
                </w:rPr>
                <m:t>=</m:t>
              </m:r>
              <m:r>
                <w:rPr>
                  <w:rFonts w:ascii="Cambria Math" w:hAnsi="Cambria Math"/>
                </w:rPr>
                <m:t>100</m:t>
              </m:r>
            </m:oMath>
            <w:r>
              <w:t xml:space="preserve">). Medición exploratoria histórica: sus valores no han podido </w:t>
            </w:r>
            <w:proofErr w:type="spellStart"/>
            <w:r>
              <w:t>re-derivarse</w:t>
            </w:r>
            <w:proofErr w:type="spellEnd"/>
            <w:r>
              <w:t xml:space="preserve"> bajo el entorno actual (véase la nota de procedencia siguiente).</w:t>
            </w:r>
          </w:p>
          <w:tbl>
            <w:tblPr>
              <w:tblW w:w="5000" w:type="pct"/>
              <w:tblLayout w:type="fixed"/>
              <w:tblLook w:val="0020" w:firstRow="1" w:lastRow="0" w:firstColumn="0" w:lastColumn="0" w:noHBand="0" w:noVBand="0"/>
            </w:tblPr>
            <w:tblGrid>
              <w:gridCol w:w="1872"/>
              <w:gridCol w:w="1872"/>
              <w:gridCol w:w="1872"/>
              <w:gridCol w:w="1872"/>
              <w:gridCol w:w="1872"/>
            </w:tblGrid>
            <w:tr w:rsidR="00D762DD" w14:paraId="14B1692A" w14:textId="77777777">
              <w:trPr>
                <w:tblHeader/>
              </w:trPr>
              <w:tc>
                <w:tcPr>
                  <w:tcW w:w="1584" w:type="dxa"/>
                </w:tcPr>
                <w:p w14:paraId="43F5E6CA" w14:textId="77777777" w:rsidR="00D762DD" w:rsidRDefault="00000000">
                  <w:pPr>
                    <w:jc w:val="center"/>
                  </w:pPr>
                  <w:proofErr w:type="spellStart"/>
                  <w:r>
                    <w:t>num_samples</w:t>
                  </w:r>
                  <w:proofErr w:type="spellEnd"/>
                </w:p>
              </w:tc>
              <w:tc>
                <w:tcPr>
                  <w:tcW w:w="1584" w:type="dxa"/>
                </w:tcPr>
                <w:p w14:paraId="4BA3BF47" w14:textId="77777777" w:rsidR="00D762DD" w:rsidRDefault="00000000">
                  <w:pPr>
                    <w:jc w:val="center"/>
                  </w:pPr>
                  <w:r>
                    <w:t>Fidelidad (media)</w:t>
                  </w:r>
                </w:p>
              </w:tc>
              <w:tc>
                <w:tcPr>
                  <w:tcW w:w="1584" w:type="dxa"/>
                </w:tcPr>
                <w:p w14:paraId="63EDF636" w14:textId="77777777" w:rsidR="00D762DD" w:rsidRDefault="00000000">
                  <w:pPr>
                    <w:jc w:val="center"/>
                  </w:pPr>
                  <w:r>
                    <w:t>Estabilidad (media)</w:t>
                  </w:r>
                </w:p>
              </w:tc>
              <w:tc>
                <w:tcPr>
                  <w:tcW w:w="1584" w:type="dxa"/>
                </w:tcPr>
                <w:p w14:paraId="3B0B5347" w14:textId="77777777" w:rsidR="00D762DD" w:rsidRDefault="00000000">
                  <w:pPr>
                    <w:jc w:val="center"/>
                  </w:pPr>
                  <w:r>
                    <w:t>Coste (ms)</w:t>
                  </w:r>
                </w:p>
              </w:tc>
              <w:tc>
                <w:tcPr>
                  <w:tcW w:w="1584" w:type="dxa"/>
                </w:tcPr>
                <w:p w14:paraId="3C86A695" w14:textId="77777777" w:rsidR="00D762DD" w:rsidRDefault="00000000">
                  <w:pPr>
                    <w:jc w:val="center"/>
                  </w:pPr>
                  <w:r>
                    <w:t>Parsimonia</w:t>
                  </w:r>
                </w:p>
              </w:tc>
            </w:tr>
            <w:tr w:rsidR="00D762DD" w14:paraId="46FF9CD8" w14:textId="77777777">
              <w:tc>
                <w:tcPr>
                  <w:tcW w:w="1584" w:type="dxa"/>
                </w:tcPr>
                <w:p w14:paraId="751C2B39" w14:textId="77777777" w:rsidR="00D762DD" w:rsidRDefault="00000000">
                  <w:pPr>
                    <w:jc w:val="center"/>
                  </w:pPr>
                  <w:r>
                    <w:t>500</w:t>
                  </w:r>
                </w:p>
              </w:tc>
              <w:tc>
                <w:tcPr>
                  <w:tcW w:w="1584" w:type="dxa"/>
                </w:tcPr>
                <w:p w14:paraId="54B32809" w14:textId="77777777" w:rsidR="00D762DD" w:rsidRDefault="00000000">
                  <w:pPr>
                    <w:jc w:val="center"/>
                  </w:pPr>
                  <w:r>
                    <w:t>0.452</w:t>
                  </w:r>
                </w:p>
              </w:tc>
              <w:tc>
                <w:tcPr>
                  <w:tcW w:w="1584" w:type="dxa"/>
                </w:tcPr>
                <w:p w14:paraId="7813C4B2" w14:textId="77777777" w:rsidR="00D762DD" w:rsidRDefault="00000000">
                  <w:pPr>
                    <w:jc w:val="center"/>
                  </w:pPr>
                  <w:r>
                    <w:t>0.011</w:t>
                  </w:r>
                </w:p>
              </w:tc>
              <w:tc>
                <w:tcPr>
                  <w:tcW w:w="1584" w:type="dxa"/>
                </w:tcPr>
                <w:p w14:paraId="296DE24B" w14:textId="77777777" w:rsidR="00D762DD" w:rsidRDefault="00000000">
                  <w:pPr>
                    <w:jc w:val="center"/>
                  </w:pPr>
                  <w:r>
                    <w:t>114</w:t>
                  </w:r>
                </w:p>
              </w:tc>
              <w:tc>
                <w:tcPr>
                  <w:tcW w:w="1584" w:type="dxa"/>
                </w:tcPr>
                <w:p w14:paraId="778F1403" w14:textId="77777777" w:rsidR="00D762DD" w:rsidRDefault="00000000">
                  <w:pPr>
                    <w:jc w:val="center"/>
                  </w:pPr>
                  <w:r>
                    <w:t>0.085</w:t>
                  </w:r>
                </w:p>
              </w:tc>
            </w:tr>
            <w:tr w:rsidR="00D762DD" w14:paraId="36DF6DEF" w14:textId="77777777">
              <w:tc>
                <w:tcPr>
                  <w:tcW w:w="1584" w:type="dxa"/>
                </w:tcPr>
                <w:p w14:paraId="5730D7B8" w14:textId="77777777" w:rsidR="00D762DD" w:rsidRDefault="00000000">
                  <w:pPr>
                    <w:jc w:val="center"/>
                  </w:pPr>
                  <w:r>
                    <w:t>1000 (referencia)</w:t>
                  </w:r>
                </w:p>
              </w:tc>
              <w:tc>
                <w:tcPr>
                  <w:tcW w:w="1584" w:type="dxa"/>
                </w:tcPr>
                <w:p w14:paraId="07D0921A" w14:textId="77777777" w:rsidR="00D762DD" w:rsidRDefault="00000000">
                  <w:pPr>
                    <w:jc w:val="center"/>
                  </w:pPr>
                  <w:r>
                    <w:t>0.461</w:t>
                  </w:r>
                </w:p>
              </w:tc>
              <w:tc>
                <w:tcPr>
                  <w:tcW w:w="1584" w:type="dxa"/>
                </w:tcPr>
                <w:p w14:paraId="6781A445" w14:textId="77777777" w:rsidR="00D762DD" w:rsidRDefault="00000000">
                  <w:pPr>
                    <w:jc w:val="center"/>
                  </w:pPr>
                  <w:r>
                    <w:t>0.014</w:t>
                  </w:r>
                </w:p>
              </w:tc>
              <w:tc>
                <w:tcPr>
                  <w:tcW w:w="1584" w:type="dxa"/>
                </w:tcPr>
                <w:p w14:paraId="7387C713" w14:textId="77777777" w:rsidR="00D762DD" w:rsidRDefault="00000000">
                  <w:pPr>
                    <w:jc w:val="center"/>
                  </w:pPr>
                  <w:r>
                    <w:t>226</w:t>
                  </w:r>
                </w:p>
              </w:tc>
              <w:tc>
                <w:tcPr>
                  <w:tcW w:w="1584" w:type="dxa"/>
                </w:tcPr>
                <w:p w14:paraId="3AED2634" w14:textId="77777777" w:rsidR="00D762DD" w:rsidRDefault="00000000">
                  <w:pPr>
                    <w:jc w:val="center"/>
                  </w:pPr>
                  <w:r>
                    <w:t>0.085</w:t>
                  </w:r>
                </w:p>
              </w:tc>
            </w:tr>
            <w:tr w:rsidR="00D762DD" w14:paraId="6ED7027D" w14:textId="77777777">
              <w:tc>
                <w:tcPr>
                  <w:tcW w:w="1584" w:type="dxa"/>
                </w:tcPr>
                <w:p w14:paraId="348949E2" w14:textId="77777777" w:rsidR="00D762DD" w:rsidRDefault="00000000">
                  <w:pPr>
                    <w:jc w:val="center"/>
                  </w:pPr>
                  <w:r>
                    <w:t>2000</w:t>
                  </w:r>
                </w:p>
              </w:tc>
              <w:tc>
                <w:tcPr>
                  <w:tcW w:w="1584" w:type="dxa"/>
                </w:tcPr>
                <w:p w14:paraId="11E437B3" w14:textId="77777777" w:rsidR="00D762DD" w:rsidRDefault="00000000">
                  <w:pPr>
                    <w:jc w:val="center"/>
                  </w:pPr>
                  <w:r>
                    <w:t>0.459</w:t>
                  </w:r>
                </w:p>
              </w:tc>
              <w:tc>
                <w:tcPr>
                  <w:tcW w:w="1584" w:type="dxa"/>
                </w:tcPr>
                <w:p w14:paraId="7B398446" w14:textId="77777777" w:rsidR="00D762DD" w:rsidRDefault="00000000">
                  <w:pPr>
                    <w:jc w:val="center"/>
                  </w:pPr>
                  <w:r>
                    <w:t>0.016</w:t>
                  </w:r>
                </w:p>
              </w:tc>
              <w:tc>
                <w:tcPr>
                  <w:tcW w:w="1584" w:type="dxa"/>
                </w:tcPr>
                <w:p w14:paraId="68945EBF" w14:textId="77777777" w:rsidR="00D762DD" w:rsidRDefault="00000000">
                  <w:pPr>
                    <w:jc w:val="center"/>
                  </w:pPr>
                  <w:r>
                    <w:t>451</w:t>
                  </w:r>
                </w:p>
              </w:tc>
              <w:tc>
                <w:tcPr>
                  <w:tcW w:w="1584" w:type="dxa"/>
                </w:tcPr>
                <w:p w14:paraId="1F03C631" w14:textId="77777777" w:rsidR="00D762DD" w:rsidRDefault="00000000">
                  <w:pPr>
                    <w:jc w:val="center"/>
                  </w:pPr>
                  <w:r>
                    <w:t>0.085</w:t>
                  </w:r>
                </w:p>
              </w:tc>
            </w:tr>
            <w:bookmarkEnd w:id="415"/>
          </w:tbl>
          <w:p w14:paraId="49877A8F" w14:textId="77777777" w:rsidR="00D762DD" w:rsidRDefault="00D762DD"/>
        </w:tc>
      </w:tr>
    </w:tbl>
    <w:p w14:paraId="5251FACC" w14:textId="77777777" w:rsidR="00D762DD" w:rsidRDefault="00000000">
      <w:pPr>
        <w:pStyle w:val="BodyText"/>
      </w:pPr>
      <w:r>
        <w:t xml:space="preserve">La fidelidad de LIME es insensible a </w:t>
      </w:r>
      <w:proofErr w:type="spellStart"/>
      <w:r>
        <w:t>num_samples</w:t>
      </w:r>
      <w:proofErr w:type="spellEnd"/>
      <w:r>
        <w:t xml:space="preserve"> (variación &lt; 2%); la estabilidad permanece cercana a cero en todos los niveles. El coste escala aproximadamente de forma lineal. Este resultado indica que la inestabilidad de LIME no se resuelve aumentando el número de muestras, sino que es inherente a la variabilidad del proceso de muestreo local.</w:t>
      </w:r>
    </w:p>
    <w:p w14:paraId="2E0F46F1" w14:textId="77777777" w:rsidR="00D762DD" w:rsidRDefault="00000000">
      <w:pPr>
        <w:pStyle w:val="BodyText"/>
      </w:pPr>
      <w:r>
        <w:rPr>
          <w:i/>
          <w:iCs/>
        </w:rPr>
        <w:t>Nota de procedencia y alcance.</w:t>
      </w:r>
      <w:r>
        <w:t xml:space="preserve"> Esta sonda es una medición exploratoria anterior cuyo artefacto de salida no se conserva en el repositorio, a diferencia de la sonda de </w:t>
      </w:r>
      <w:proofErr w:type="spellStart"/>
      <w:r>
        <w:t>kernel_width</w:t>
      </w:r>
      <w:proofErr w:type="spellEnd"/>
      <w:r>
        <w:t xml:space="preserve"> (</w:t>
      </w:r>
      <w:hyperlink w:anchor="tbl-appendix-lime-kw-sensitivity">
        <w:r>
          <w:rPr>
            <w:rStyle w:val="Hyperlink"/>
          </w:rPr>
          <w:t>Table 7.11</w:t>
        </w:r>
      </w:hyperlink>
      <w:r>
        <w:t xml:space="preserve">), que se </w:t>
      </w:r>
      <w:proofErr w:type="spellStart"/>
      <w:r>
        <w:t>re-deriva</w:t>
      </w:r>
      <w:proofErr w:type="spellEnd"/>
      <w:r>
        <w:t xml:space="preserve"> de outputs/</w:t>
      </w:r>
      <w:proofErr w:type="spellStart"/>
      <w:r>
        <w:t>analysis</w:t>
      </w:r>
      <w:proofErr w:type="spellEnd"/>
      <w:r>
        <w:t xml:space="preserve">/lime_kernel_width_sensitivity.csv. Ambas tablas declaran la misma condición de referencia (RF, semilla 42, </w:t>
      </w:r>
      <m:oMath>
        <m:r>
          <w:rPr>
            <w:rFonts w:ascii="Cambria Math" w:hAnsi="Cambria Math"/>
          </w:rPr>
          <m:t>N</m:t>
        </m:r>
        <m:r>
          <m:rPr>
            <m:sty m:val="p"/>
          </m:rPr>
          <w:rPr>
            <w:rFonts w:ascii="Cambria Math" w:hAnsi="Cambria Math"/>
          </w:rPr>
          <m:t>=</m:t>
        </m:r>
        <m:r>
          <w:rPr>
            <w:rFonts w:ascii="Cambria Math" w:hAnsi="Cambria Math"/>
          </w:rPr>
          <m:t>100</m:t>
        </m:r>
      </m:oMath>
      <w:r>
        <w:t xml:space="preserve">, num_samples = 1000, kernel_width = 3.0) pero reportan valores distintos para ella —fidelidad 0.461 frente a 0.518, estabilidad 0.014 frente a 0.000, coste 226 ms frente a 30 ms—, lo que indica que fueron ejecutadas con instrumentaciones distintas: el coste de ambas queda además por debajo del rango observado para LIME sobre RF en EXP2 (300–919 ms por ejecución), de modo que ninguna de las dos mide una ejecución completa del protocolo EXP2. Las dos sondas se reportan aquí por su valor </w:t>
      </w:r>
      <w:r>
        <w:lastRenderedPageBreak/>
        <w:t xml:space="preserve">cualitativo —la dirección del efecto de </w:t>
      </w:r>
      <w:proofErr w:type="spellStart"/>
      <w:r>
        <w:t>num_samples</w:t>
      </w:r>
      <w:proofErr w:type="spellEnd"/>
      <w:r>
        <w:t xml:space="preserve"> y de </w:t>
      </w:r>
      <w:proofErr w:type="spellStart"/>
      <w:r>
        <w:t>kernel_width</w:t>
      </w:r>
      <w:proofErr w:type="spellEnd"/>
      <w:r>
        <w:t xml:space="preserve">— y no como estimaciones puntuales comparables entre sí ni con las medias de EXP2. La conclusión que ambas sostienen conjuntamente, y que sí es robusta a esta discrepancia, es direccional: aumentar </w:t>
      </w:r>
      <w:proofErr w:type="spellStart"/>
      <w:r>
        <w:t>num_samples</w:t>
      </w:r>
      <w:proofErr w:type="spellEnd"/>
      <w:r>
        <w:t xml:space="preserve"> no recupera estabilidad, mientras que ampliar </w:t>
      </w:r>
      <w:proofErr w:type="spellStart"/>
      <w:r>
        <w:t>kernel_width</w:t>
      </w:r>
      <w:proofErr w:type="spellEnd"/>
      <w:r>
        <w:t xml:space="preserve"> sí lo hace a costa de fidelidad. </w:t>
      </w:r>
      <w:proofErr w:type="spellStart"/>
      <w:r>
        <w:t>Re-ejecutar</w:t>
      </w:r>
      <w:proofErr w:type="spellEnd"/>
      <w:r>
        <w:t xml:space="preserve"> la sonda de </w:t>
      </w:r>
      <w:proofErr w:type="spellStart"/>
      <w:r>
        <w:t>num_samples</w:t>
      </w:r>
      <w:proofErr w:type="spellEnd"/>
      <w:r>
        <w:t xml:space="preserve"> produciría una medición nueva y no una reproducción de esta tabla, dado que el script de sensibilidad conservado (</w:t>
      </w:r>
      <w:proofErr w:type="spellStart"/>
      <w:r>
        <w:t>src</w:t>
      </w:r>
      <w:proofErr w:type="spellEnd"/>
      <w:r>
        <w:t>/scripts/run_sensitivity_analysis.py) recorre una rejilla distinta (</w:t>
      </w:r>
      <m:oMath>
        <m:r>
          <m:rPr>
            <m:sty m:val="p"/>
          </m:rPr>
          <w:rPr>
            <w:rFonts w:ascii="Cambria Math" w:hAnsi="Cambria Math"/>
          </w:rPr>
          <m:t>{</m:t>
        </m:r>
        <m:r>
          <w:rPr>
            <w:rFonts w:ascii="Cambria Math" w:hAnsi="Cambria Math"/>
          </w:rPr>
          <m:t>500</m:t>
        </m:r>
        <m:r>
          <m:rPr>
            <m:sty m:val="p"/>
          </m:rPr>
          <w:rPr>
            <w:rFonts w:ascii="Cambria Math" w:hAnsi="Cambria Math"/>
          </w:rPr>
          <m:t>,</m:t>
        </m:r>
        <m:r>
          <w:rPr>
            <w:rFonts w:ascii="Cambria Math" w:hAnsi="Cambria Math"/>
          </w:rPr>
          <m:t>1000</m:t>
        </m:r>
        <m:r>
          <m:rPr>
            <m:sty m:val="p"/>
          </m:rPr>
          <w:rPr>
            <w:rFonts w:ascii="Cambria Math" w:hAnsi="Cambria Math"/>
          </w:rPr>
          <m:t>,</m:t>
        </m:r>
        <m:r>
          <w:rPr>
            <w:rFonts w:ascii="Cambria Math" w:hAnsi="Cambria Math"/>
          </w:rPr>
          <m:t>2000</m:t>
        </m:r>
        <m:r>
          <m:rPr>
            <m:sty m:val="p"/>
          </m:rPr>
          <w:rPr>
            <w:rFonts w:ascii="Cambria Math" w:hAnsi="Cambria Math"/>
          </w:rPr>
          <m:t>,</m:t>
        </m:r>
        <m:r>
          <w:rPr>
            <w:rFonts w:ascii="Cambria Math" w:hAnsi="Cambria Math"/>
          </w:rPr>
          <m:t>5000</m:t>
        </m:r>
        <m:r>
          <m:rPr>
            <m:sty m:val="p"/>
          </m:rPr>
          <w:rPr>
            <w:rFonts w:ascii="Cambria Math" w:hAnsi="Cambria Math"/>
          </w:rPr>
          <m:t>,</m:t>
        </m:r>
        <m:r>
          <w:rPr>
            <w:rFonts w:ascii="Cambria Math" w:hAnsi="Cambria Math"/>
          </w:rPr>
          <m:t>10000</m:t>
        </m:r>
        <m:r>
          <m:rPr>
            <m:sty m:val="p"/>
          </m:rPr>
          <w:rPr>
            <w:rFonts w:ascii="Cambria Math" w:hAnsi="Cambria Math"/>
          </w:rPr>
          <m:t>}</m:t>
        </m:r>
      </m:oMath>
      <w:r>
        <w:t>) sobre la configuración base de EXP1.</w:t>
      </w:r>
    </w:p>
    <w:p w14:paraId="1B21556F" w14:textId="77777777" w:rsidR="00D762DD" w:rsidRDefault="00000000">
      <w:pPr>
        <w:pStyle w:val="BodyText"/>
      </w:pPr>
      <w:r>
        <w:rPr>
          <w:b/>
          <w:bCs/>
        </w:rPr>
        <w:t>SHAP — sensibilidad al tamaño del conjunto de referencia.</w:t>
      </w:r>
      <w:r>
        <w:t xml:space="preserve"> Se varía el número de instancias de referencia del </w:t>
      </w:r>
      <w:proofErr w:type="spellStart"/>
      <w:r>
        <w:t>KernelExplainer</w:t>
      </w:r>
      <w:proofErr w:type="spellEnd"/>
      <w:r>
        <w:t xml:space="preserve"> (</w:t>
      </w:r>
      <m:oMath>
        <m:r>
          <m:rPr>
            <m:sty m:val="p"/>
          </m:rPr>
          <w:rPr>
            <w:rFonts w:ascii="Cambria Math" w:hAnsi="Cambria Math"/>
          </w:rPr>
          <m:t>{</m:t>
        </m:r>
        <m:r>
          <w:rPr>
            <w:rFonts w:ascii="Cambria Math" w:hAnsi="Cambria Math"/>
          </w:rPr>
          <m:t>25</m:t>
        </m:r>
        <m:r>
          <m:rPr>
            <m:sty m:val="p"/>
          </m:rPr>
          <w:rPr>
            <w:rFonts w:ascii="Cambria Math" w:hAnsi="Cambria Math"/>
          </w:rPr>
          <m:t>,</m:t>
        </m:r>
        <m:r>
          <w:rPr>
            <w:rFonts w:ascii="Cambria Math" w:hAnsi="Cambria Math"/>
          </w:rPr>
          <m:t>50</m:t>
        </m:r>
        <m:r>
          <m:rPr>
            <m:sty m:val="p"/>
          </m:rPr>
          <w:rPr>
            <w:rFonts w:ascii="Cambria Math" w:hAnsi="Cambria Math"/>
          </w:rPr>
          <m:t>,</m:t>
        </m:r>
        <m:r>
          <w:rPr>
            <w:rFonts w:ascii="Cambria Math" w:hAnsi="Cambria Math"/>
          </w:rPr>
          <m:t>100</m:t>
        </m:r>
        <m:r>
          <m:rPr>
            <m:sty m:val="p"/>
          </m:rPr>
          <w:rPr>
            <w:rFonts w:ascii="Cambria Math" w:hAnsi="Cambria Math"/>
          </w:rPr>
          <m:t>}</m:t>
        </m:r>
      </m:oMath>
      <w:r>
        <w:t xml:space="preserve">) para el modelo SVM (donde </w:t>
      </w:r>
      <w:proofErr w:type="spellStart"/>
      <w:r>
        <w:t>KernelSHAP</w:t>
      </w:r>
      <w:proofErr w:type="spellEnd"/>
      <w:r>
        <w:t xml:space="preserve"> es el método de cálculo).</w:t>
      </w:r>
    </w:p>
    <w:tbl>
      <w:tblPr>
        <w:tblW w:w="5000" w:type="pct"/>
        <w:tblLayout w:type="fixed"/>
        <w:tblLook w:val="0000" w:firstRow="0" w:lastRow="0" w:firstColumn="0" w:lastColumn="0" w:noHBand="0" w:noVBand="0"/>
      </w:tblPr>
      <w:tblGrid>
        <w:gridCol w:w="9576"/>
      </w:tblGrid>
      <w:tr w:rsidR="00D762DD" w14:paraId="43EE2EB3" w14:textId="77777777">
        <w:tc>
          <w:tcPr>
            <w:tcW w:w="7920" w:type="dxa"/>
          </w:tcPr>
          <w:p w14:paraId="68D73A8B" w14:textId="77777777" w:rsidR="00D762DD" w:rsidRDefault="00000000">
            <w:pPr>
              <w:spacing w:before="200"/>
              <w:jc w:val="left"/>
            </w:pPr>
            <w:bookmarkStart w:id="416" w:name="tbl-appendix-shap-sensitivity"/>
            <w:r>
              <w:t xml:space="preserve">Table 7.9: Sensibilidad de </w:t>
            </w:r>
            <w:proofErr w:type="spellStart"/>
            <w:r>
              <w:t>KernelSHAP</w:t>
            </w:r>
            <w:proofErr w:type="spellEnd"/>
            <w:r>
              <w:t xml:space="preserve"> al tamaño del conjunto de referencia (SVM, semilla 42, </w:t>
            </w:r>
            <m:oMath>
              <m:r>
                <w:rPr>
                  <w:rFonts w:ascii="Cambria Math" w:hAnsi="Cambria Math"/>
                </w:rPr>
                <m:t>N</m:t>
              </m:r>
              <m:r>
                <m:rPr>
                  <m:sty m:val="p"/>
                </m:rPr>
                <w:rPr>
                  <w:rFonts w:ascii="Cambria Math" w:hAnsi="Cambria Math"/>
                </w:rPr>
                <m:t>=</m:t>
              </m:r>
              <m:r>
                <w:rPr>
                  <w:rFonts w:ascii="Cambria Math" w:hAnsi="Cambria Math"/>
                </w:rPr>
                <m:t>100</m:t>
              </m:r>
            </m:oMath>
            <w:r>
              <w:t>).</w:t>
            </w:r>
          </w:p>
          <w:tbl>
            <w:tblPr>
              <w:tblW w:w="5000" w:type="pct"/>
              <w:tblLayout w:type="fixed"/>
              <w:tblLook w:val="0020" w:firstRow="1" w:lastRow="0" w:firstColumn="0" w:lastColumn="0" w:noHBand="0" w:noVBand="0"/>
            </w:tblPr>
            <w:tblGrid>
              <w:gridCol w:w="2340"/>
              <w:gridCol w:w="2340"/>
              <w:gridCol w:w="2340"/>
              <w:gridCol w:w="2340"/>
            </w:tblGrid>
            <w:tr w:rsidR="00D762DD" w14:paraId="692D0DED" w14:textId="77777777">
              <w:trPr>
                <w:tblHeader/>
              </w:trPr>
              <w:tc>
                <w:tcPr>
                  <w:tcW w:w="1980" w:type="dxa"/>
                </w:tcPr>
                <w:p w14:paraId="23EDE1AE" w14:textId="77777777" w:rsidR="00D762DD" w:rsidRDefault="00000000">
                  <w:pPr>
                    <w:jc w:val="center"/>
                  </w:pPr>
                  <w:r>
                    <w:t>Referencia (</w:t>
                  </w:r>
                  <m:oMath>
                    <m:r>
                      <w:rPr>
                        <w:rFonts w:ascii="Cambria Math" w:hAnsi="Cambria Math"/>
                      </w:rPr>
                      <m:t>k</m:t>
                    </m:r>
                  </m:oMath>
                  <w:r>
                    <w:t>)</w:t>
                  </w:r>
                </w:p>
              </w:tc>
              <w:tc>
                <w:tcPr>
                  <w:tcW w:w="1980" w:type="dxa"/>
                </w:tcPr>
                <w:p w14:paraId="77F79B5C" w14:textId="77777777" w:rsidR="00D762DD" w:rsidRDefault="00000000">
                  <w:pPr>
                    <w:jc w:val="center"/>
                  </w:pPr>
                  <w:r>
                    <w:t>Fidelidad (media)</w:t>
                  </w:r>
                </w:p>
              </w:tc>
              <w:tc>
                <w:tcPr>
                  <w:tcW w:w="1980" w:type="dxa"/>
                </w:tcPr>
                <w:p w14:paraId="71101FBD" w14:textId="77777777" w:rsidR="00D762DD" w:rsidRDefault="00000000">
                  <w:pPr>
                    <w:jc w:val="center"/>
                  </w:pPr>
                  <w:r>
                    <w:t>Estabilidad (media)</w:t>
                  </w:r>
                </w:p>
              </w:tc>
              <w:tc>
                <w:tcPr>
                  <w:tcW w:w="1980" w:type="dxa"/>
                </w:tcPr>
                <w:p w14:paraId="129E97AA" w14:textId="77777777" w:rsidR="00D762DD" w:rsidRDefault="00000000">
                  <w:pPr>
                    <w:jc w:val="center"/>
                  </w:pPr>
                  <w:r>
                    <w:t>Coste (ms)</w:t>
                  </w:r>
                </w:p>
              </w:tc>
            </w:tr>
            <w:tr w:rsidR="00D762DD" w14:paraId="22F44DA8" w14:textId="77777777">
              <w:tc>
                <w:tcPr>
                  <w:tcW w:w="1980" w:type="dxa"/>
                </w:tcPr>
                <w:p w14:paraId="007C2DA5" w14:textId="77777777" w:rsidR="00D762DD" w:rsidRDefault="00000000">
                  <w:pPr>
                    <w:jc w:val="center"/>
                  </w:pPr>
                  <w:r>
                    <w:t>25</w:t>
                  </w:r>
                </w:p>
              </w:tc>
              <w:tc>
                <w:tcPr>
                  <w:tcW w:w="1980" w:type="dxa"/>
                </w:tcPr>
                <w:p w14:paraId="36EFBFAD" w14:textId="77777777" w:rsidR="00D762DD" w:rsidRDefault="00000000">
                  <w:pPr>
                    <w:jc w:val="center"/>
                  </w:pPr>
                  <w:r>
                    <w:t>0.921</w:t>
                  </w:r>
                </w:p>
              </w:tc>
              <w:tc>
                <w:tcPr>
                  <w:tcW w:w="1980" w:type="dxa"/>
                </w:tcPr>
                <w:p w14:paraId="2699142F" w14:textId="77777777" w:rsidR="00D762DD" w:rsidRDefault="00000000">
                  <w:pPr>
                    <w:jc w:val="center"/>
                  </w:pPr>
                  <w:r>
                    <w:t>0.728</w:t>
                  </w:r>
                </w:p>
              </w:tc>
              <w:tc>
                <w:tcPr>
                  <w:tcW w:w="1980" w:type="dxa"/>
                </w:tcPr>
                <w:p w14:paraId="59A82730" w14:textId="77777777" w:rsidR="00D762DD" w:rsidRDefault="00000000">
                  <w:pPr>
                    <w:jc w:val="center"/>
                  </w:pPr>
                  <w:r>
                    <w:t>41,233</w:t>
                  </w:r>
                </w:p>
              </w:tc>
            </w:tr>
            <w:tr w:rsidR="00D762DD" w14:paraId="3931E38C" w14:textId="77777777">
              <w:tc>
                <w:tcPr>
                  <w:tcW w:w="1980" w:type="dxa"/>
                </w:tcPr>
                <w:p w14:paraId="1153EB1E" w14:textId="77777777" w:rsidR="00D762DD" w:rsidRDefault="00000000">
                  <w:pPr>
                    <w:jc w:val="center"/>
                  </w:pPr>
                  <w:r>
                    <w:t>50 (referencia)</w:t>
                  </w:r>
                </w:p>
              </w:tc>
              <w:tc>
                <w:tcPr>
                  <w:tcW w:w="1980" w:type="dxa"/>
                </w:tcPr>
                <w:p w14:paraId="5B6FA381" w14:textId="77777777" w:rsidR="00D762DD" w:rsidRDefault="00000000">
                  <w:pPr>
                    <w:jc w:val="center"/>
                  </w:pPr>
                  <w:r>
                    <w:t>0.928</w:t>
                  </w:r>
                </w:p>
              </w:tc>
              <w:tc>
                <w:tcPr>
                  <w:tcW w:w="1980" w:type="dxa"/>
                </w:tcPr>
                <w:p w14:paraId="64E08240" w14:textId="77777777" w:rsidR="00D762DD" w:rsidRDefault="00000000">
                  <w:pPr>
                    <w:jc w:val="center"/>
                  </w:pPr>
                  <w:r>
                    <w:t>0.731</w:t>
                  </w:r>
                </w:p>
              </w:tc>
              <w:tc>
                <w:tcPr>
                  <w:tcW w:w="1980" w:type="dxa"/>
                </w:tcPr>
                <w:p w14:paraId="13F1AACB" w14:textId="77777777" w:rsidR="00D762DD" w:rsidRDefault="00000000">
                  <w:pPr>
                    <w:jc w:val="center"/>
                  </w:pPr>
                  <w:r>
                    <w:t>159,059</w:t>
                  </w:r>
                </w:p>
              </w:tc>
            </w:tr>
            <w:tr w:rsidR="00D762DD" w14:paraId="440F6CE0" w14:textId="77777777">
              <w:tc>
                <w:tcPr>
                  <w:tcW w:w="1980" w:type="dxa"/>
                </w:tcPr>
                <w:p w14:paraId="49F3355F" w14:textId="77777777" w:rsidR="00D762DD" w:rsidRDefault="00000000">
                  <w:pPr>
                    <w:jc w:val="center"/>
                  </w:pPr>
                  <w:r>
                    <w:t>100</w:t>
                  </w:r>
                </w:p>
              </w:tc>
              <w:tc>
                <w:tcPr>
                  <w:tcW w:w="1980" w:type="dxa"/>
                </w:tcPr>
                <w:p w14:paraId="12534A3E" w14:textId="77777777" w:rsidR="00D762DD" w:rsidRDefault="00000000">
                  <w:pPr>
                    <w:jc w:val="center"/>
                  </w:pPr>
                  <w:r>
                    <w:t>0.929</w:t>
                  </w:r>
                </w:p>
              </w:tc>
              <w:tc>
                <w:tcPr>
                  <w:tcW w:w="1980" w:type="dxa"/>
                </w:tcPr>
                <w:p w14:paraId="2053E000" w14:textId="77777777" w:rsidR="00D762DD" w:rsidRDefault="00000000">
                  <w:pPr>
                    <w:jc w:val="center"/>
                  </w:pPr>
                  <w:r>
                    <w:t>0.730</w:t>
                  </w:r>
                </w:p>
              </w:tc>
              <w:tc>
                <w:tcPr>
                  <w:tcW w:w="1980" w:type="dxa"/>
                </w:tcPr>
                <w:p w14:paraId="4CC531AC" w14:textId="77777777" w:rsidR="00D762DD" w:rsidRDefault="00000000">
                  <w:pPr>
                    <w:jc w:val="center"/>
                  </w:pPr>
                  <w:r>
                    <w:t>614,820</w:t>
                  </w:r>
                </w:p>
              </w:tc>
            </w:tr>
            <w:bookmarkEnd w:id="416"/>
          </w:tbl>
          <w:p w14:paraId="1ED09B9A" w14:textId="77777777" w:rsidR="00D762DD" w:rsidRDefault="00D762DD"/>
        </w:tc>
      </w:tr>
    </w:tbl>
    <w:p w14:paraId="23825502" w14:textId="77777777" w:rsidR="00D762DD" w:rsidRDefault="00000000">
      <w:pPr>
        <w:pStyle w:val="BodyText"/>
      </w:pPr>
      <w:r>
        <w:t xml:space="preserve">La fidelidad y estabilidad de SHAP son robustas al tamaño del conjunto de referencia en los niveles evaluados (variación &lt; 1%); el coste crece de forma </w:t>
      </w:r>
      <w:proofErr w:type="spellStart"/>
      <w:r>
        <w:t>supralineal</w:t>
      </w:r>
      <w:proofErr w:type="spellEnd"/>
      <w:r>
        <w:t xml:space="preserve"> con </w:t>
      </w:r>
      <m:oMath>
        <m:r>
          <w:rPr>
            <w:rFonts w:ascii="Cambria Math" w:hAnsi="Cambria Math"/>
          </w:rPr>
          <m:t>k</m:t>
        </m:r>
      </m:oMath>
      <w:r>
        <w:t>. Este resultado sugiere que el conjunto de referencia de 50 instancias usado en la tesis es suficiente para obtener atribuciones estables sin incurrir en el coste computacional de referencias mayores.</w:t>
      </w:r>
    </w:p>
    <w:p w14:paraId="5A03E83F" w14:textId="77777777" w:rsidR="00D762DD" w:rsidRDefault="00000000">
      <w:pPr>
        <w:pStyle w:val="BodyText"/>
      </w:pPr>
      <w:r>
        <w:rPr>
          <w:b/>
          <w:bCs/>
        </w:rPr>
        <w:t xml:space="preserve">Anchors — sensibilidad al umbral de precisión </w:t>
      </w:r>
      <m:oMath>
        <m:r>
          <w:rPr>
            <w:rFonts w:ascii="Cambria Math" w:hAnsi="Cambria Math"/>
          </w:rPr>
          <m:t>τ</m:t>
        </m:r>
      </m:oMath>
      <w:r>
        <w:rPr>
          <w:b/>
          <w:bCs/>
        </w:rPr>
        <w:t>.</w:t>
      </w:r>
      <w:r>
        <w:t xml:space="preserve"> Se varía el umbral de precisión mínima para aceptar una regla (</w:t>
      </w:r>
      <m:oMath>
        <m:r>
          <m:rPr>
            <m:sty m:val="p"/>
          </m:rPr>
          <w:rPr>
            <w:rFonts w:ascii="Cambria Math" w:hAnsi="Cambria Math"/>
          </w:rPr>
          <m:t>{</m:t>
        </m:r>
        <m:r>
          <w:rPr>
            <w:rFonts w:ascii="Cambria Math" w:hAnsi="Cambria Math"/>
          </w:rPr>
          <m:t>0.90</m:t>
        </m:r>
        <m:r>
          <m:rPr>
            <m:sty m:val="p"/>
          </m:rPr>
          <w:rPr>
            <w:rFonts w:ascii="Cambria Math" w:hAnsi="Cambria Math"/>
          </w:rPr>
          <m:t>,</m:t>
        </m:r>
        <m:r>
          <w:rPr>
            <w:rFonts w:ascii="Cambria Math" w:hAnsi="Cambria Math"/>
          </w:rPr>
          <m:t>0.95</m:t>
        </m:r>
        <m:r>
          <m:rPr>
            <m:sty m:val="p"/>
          </m:rPr>
          <w:rPr>
            <w:rFonts w:ascii="Cambria Math" w:hAnsi="Cambria Math"/>
          </w:rPr>
          <m:t>,</m:t>
        </m:r>
        <m:r>
          <w:rPr>
            <w:rFonts w:ascii="Cambria Math" w:hAnsi="Cambria Math"/>
          </w:rPr>
          <m:t>0.99</m:t>
        </m:r>
        <m:r>
          <m:rPr>
            <m:sty m:val="p"/>
          </m:rPr>
          <w:rPr>
            <w:rFonts w:ascii="Cambria Math" w:hAnsi="Cambria Math"/>
          </w:rPr>
          <m:t>}</m:t>
        </m:r>
      </m:oMath>
      <w:r>
        <w:t>) sobre el modelo RF.</w:t>
      </w:r>
    </w:p>
    <w:tbl>
      <w:tblPr>
        <w:tblW w:w="5000" w:type="pct"/>
        <w:tblLayout w:type="fixed"/>
        <w:tblLook w:val="0000" w:firstRow="0" w:lastRow="0" w:firstColumn="0" w:lastColumn="0" w:noHBand="0" w:noVBand="0"/>
      </w:tblPr>
      <w:tblGrid>
        <w:gridCol w:w="9576"/>
      </w:tblGrid>
      <w:tr w:rsidR="00D762DD" w14:paraId="00F5A39C" w14:textId="77777777">
        <w:tc>
          <w:tcPr>
            <w:tcW w:w="7920" w:type="dxa"/>
          </w:tcPr>
          <w:p w14:paraId="62F18D67" w14:textId="77777777" w:rsidR="00D762DD" w:rsidRDefault="00000000">
            <w:pPr>
              <w:spacing w:before="200"/>
              <w:jc w:val="left"/>
            </w:pPr>
            <w:bookmarkStart w:id="417" w:name="tbl-appendix-anchors-sensitivity"/>
            <w:r>
              <w:t xml:space="preserve">Table 7.10: Sensibilidad de Anchors al umbral de precisión </w:t>
            </w:r>
            <m:oMath>
              <m:r>
                <w:rPr>
                  <w:rFonts w:ascii="Cambria Math" w:hAnsi="Cambria Math"/>
                </w:rPr>
                <m:t>τ</m:t>
              </m:r>
            </m:oMath>
            <w:r>
              <w:t xml:space="preserve">. </w:t>
            </w:r>
            <w:r>
              <w:rPr>
                <w:b/>
                <w:bCs/>
              </w:rPr>
              <w:t>Las dos columnas tienen alcances distintos</w:t>
            </w:r>
            <w:r>
              <w:t xml:space="preserve">: la cobertura se computa sobre las 75 celdas del diseño completo de Anchors </w:t>
            </w:r>
            <w:r>
              <w:lastRenderedPageBreak/>
              <w:t xml:space="preserve">(5 modelos </w:t>
            </w:r>
            <m:oMath>
              <m:r>
                <m:rPr>
                  <m:sty m:val="p"/>
                </m:rPr>
                <w:rPr>
                  <w:rFonts w:ascii="Cambria Math" w:hAnsi="Cambria Math"/>
                </w:rPr>
                <m:t>×</m:t>
              </m:r>
            </m:oMath>
            <w:r>
              <w:t xml:space="preserve"> 5 semillas </w:t>
            </w:r>
            <m:oMath>
              <m:r>
                <m:rPr>
                  <m:sty m:val="p"/>
                </m:rPr>
                <w:rPr>
                  <w:rFonts w:ascii="Cambria Math" w:hAnsi="Cambria Math"/>
                </w:rPr>
                <m:t>×</m:t>
              </m:r>
            </m:oMath>
            <w:r>
              <w:t xml:space="preserve"> 3 tamaños) —de ahí que la fila de referencia coincida exactamente con el 57/75 = 76.0% de </w:t>
            </w:r>
            <w:hyperlink w:anchor="tbl-coverage-method">
              <w:r>
                <w:rPr>
                  <w:rStyle w:val="Hyperlink"/>
                </w:rPr>
                <w:t>Table 4.5</w:t>
              </w:r>
            </w:hyperlink>
            <w:r>
              <w:t>—, mientras que la fidelidad y el coste corresponden a la condición de sondeo RF, semilla 42.</w:t>
            </w:r>
          </w:p>
          <w:tbl>
            <w:tblPr>
              <w:tblW w:w="5000" w:type="pct"/>
              <w:tblLayout w:type="fixed"/>
              <w:tblLook w:val="0020" w:firstRow="1" w:lastRow="0" w:firstColumn="0" w:lastColumn="0" w:noHBand="0" w:noVBand="0"/>
            </w:tblPr>
            <w:tblGrid>
              <w:gridCol w:w="2340"/>
              <w:gridCol w:w="2340"/>
              <w:gridCol w:w="2340"/>
              <w:gridCol w:w="2340"/>
            </w:tblGrid>
            <w:tr w:rsidR="00D762DD" w14:paraId="3ED0D4D8" w14:textId="77777777">
              <w:trPr>
                <w:tblHeader/>
              </w:trPr>
              <w:tc>
                <w:tcPr>
                  <w:tcW w:w="1980" w:type="dxa"/>
                </w:tcPr>
                <w:p w14:paraId="67CAA46C" w14:textId="77777777" w:rsidR="00D762DD" w:rsidRDefault="00000000">
                  <w:pPr>
                    <w:jc w:val="center"/>
                  </w:pPr>
                  <m:oMathPara>
                    <m:oMath>
                      <m:r>
                        <w:rPr>
                          <w:rFonts w:ascii="Cambria Math" w:hAnsi="Cambria Math"/>
                        </w:rPr>
                        <m:t>τ</m:t>
                      </m:r>
                    </m:oMath>
                  </m:oMathPara>
                </w:p>
              </w:tc>
              <w:tc>
                <w:tcPr>
                  <w:tcW w:w="1980" w:type="dxa"/>
                </w:tcPr>
                <w:p w14:paraId="6412B4AD" w14:textId="77777777" w:rsidR="00D762DD" w:rsidRDefault="00000000">
                  <w:pPr>
                    <w:jc w:val="center"/>
                  </w:pPr>
                  <w:r>
                    <w:t>Cobertura del diseño completo (75 celdas)</w:t>
                  </w:r>
                </w:p>
              </w:tc>
              <w:tc>
                <w:tcPr>
                  <w:tcW w:w="1980" w:type="dxa"/>
                </w:tcPr>
                <w:p w14:paraId="3CAA2AD6" w14:textId="77777777" w:rsidR="00D762DD" w:rsidRDefault="00000000">
                  <w:pPr>
                    <w:jc w:val="center"/>
                  </w:pPr>
                  <w:r>
                    <w:t>Fidelidad (media)</w:t>
                  </w:r>
                </w:p>
              </w:tc>
              <w:tc>
                <w:tcPr>
                  <w:tcW w:w="1980" w:type="dxa"/>
                </w:tcPr>
                <w:p w14:paraId="673A3359" w14:textId="77777777" w:rsidR="00D762DD" w:rsidRDefault="00000000">
                  <w:pPr>
                    <w:jc w:val="center"/>
                  </w:pPr>
                  <w:r>
                    <w:t>Coste (ms)</w:t>
                  </w:r>
                </w:p>
              </w:tc>
            </w:tr>
            <w:tr w:rsidR="00D762DD" w14:paraId="6377C194" w14:textId="77777777">
              <w:tc>
                <w:tcPr>
                  <w:tcW w:w="1980" w:type="dxa"/>
                </w:tcPr>
                <w:p w14:paraId="6C823171" w14:textId="77777777" w:rsidR="00D762DD" w:rsidRDefault="00000000">
                  <w:pPr>
                    <w:jc w:val="center"/>
                  </w:pPr>
                  <w:r>
                    <w:t>0.90</w:t>
                  </w:r>
                </w:p>
              </w:tc>
              <w:tc>
                <w:tcPr>
                  <w:tcW w:w="1980" w:type="dxa"/>
                </w:tcPr>
                <w:p w14:paraId="59AFA71F" w14:textId="77777777" w:rsidR="00D762DD" w:rsidRDefault="00000000">
                  <w:pPr>
                    <w:jc w:val="center"/>
                  </w:pPr>
                  <w:r>
                    <w:t>72/75 (96%)</w:t>
                  </w:r>
                </w:p>
              </w:tc>
              <w:tc>
                <w:tcPr>
                  <w:tcW w:w="1980" w:type="dxa"/>
                </w:tcPr>
                <w:p w14:paraId="42AB3FD5" w14:textId="77777777" w:rsidR="00D762DD" w:rsidRDefault="00000000">
                  <w:pPr>
                    <w:jc w:val="center"/>
                  </w:pPr>
                  <w:r>
                    <w:t>0.421</w:t>
                  </w:r>
                </w:p>
              </w:tc>
              <w:tc>
                <w:tcPr>
                  <w:tcW w:w="1980" w:type="dxa"/>
                </w:tcPr>
                <w:p w14:paraId="3EBC939D" w14:textId="77777777" w:rsidR="00D762DD" w:rsidRDefault="00000000">
                  <w:pPr>
                    <w:jc w:val="center"/>
                  </w:pPr>
                  <w:r>
                    <w:t>9,843</w:t>
                  </w:r>
                </w:p>
              </w:tc>
            </w:tr>
            <w:tr w:rsidR="00D762DD" w14:paraId="62BA8B3D" w14:textId="77777777">
              <w:tc>
                <w:tcPr>
                  <w:tcW w:w="1980" w:type="dxa"/>
                </w:tcPr>
                <w:p w14:paraId="044A38EA" w14:textId="77777777" w:rsidR="00D762DD" w:rsidRDefault="00000000">
                  <w:pPr>
                    <w:jc w:val="center"/>
                  </w:pPr>
                  <w:r>
                    <w:t>0.95 (referencia)</w:t>
                  </w:r>
                </w:p>
              </w:tc>
              <w:tc>
                <w:tcPr>
                  <w:tcW w:w="1980" w:type="dxa"/>
                </w:tcPr>
                <w:p w14:paraId="2E761CEF" w14:textId="77777777" w:rsidR="00D762DD" w:rsidRDefault="00000000">
                  <w:pPr>
                    <w:jc w:val="center"/>
                  </w:pPr>
                  <w:r>
                    <w:t>57/75 (76%)</w:t>
                  </w:r>
                </w:p>
              </w:tc>
              <w:tc>
                <w:tcPr>
                  <w:tcW w:w="1980" w:type="dxa"/>
                </w:tcPr>
                <w:p w14:paraId="0440D1F2" w14:textId="77777777" w:rsidR="00D762DD" w:rsidRDefault="00000000">
                  <w:pPr>
                    <w:jc w:val="center"/>
                  </w:pPr>
                  <w:r>
                    <w:t>0.386</w:t>
                  </w:r>
                </w:p>
              </w:tc>
              <w:tc>
                <w:tcPr>
                  <w:tcW w:w="1980" w:type="dxa"/>
                </w:tcPr>
                <w:p w14:paraId="45C2F194" w14:textId="77777777" w:rsidR="00D762DD" w:rsidRDefault="00000000">
                  <w:pPr>
                    <w:jc w:val="center"/>
                  </w:pPr>
                  <w:r>
                    <w:t>16,000</w:t>
                  </w:r>
                </w:p>
              </w:tc>
            </w:tr>
            <w:tr w:rsidR="00D762DD" w14:paraId="4BA4B132" w14:textId="77777777">
              <w:tc>
                <w:tcPr>
                  <w:tcW w:w="1980" w:type="dxa"/>
                </w:tcPr>
                <w:p w14:paraId="297C8026" w14:textId="77777777" w:rsidR="00D762DD" w:rsidRDefault="00000000">
                  <w:pPr>
                    <w:jc w:val="center"/>
                  </w:pPr>
                  <w:r>
                    <w:t>0.99</w:t>
                  </w:r>
                </w:p>
              </w:tc>
              <w:tc>
                <w:tcPr>
                  <w:tcW w:w="1980" w:type="dxa"/>
                </w:tcPr>
                <w:p w14:paraId="284CF53E" w14:textId="77777777" w:rsidR="00D762DD" w:rsidRDefault="00000000">
                  <w:pPr>
                    <w:jc w:val="center"/>
                  </w:pPr>
                  <w:r>
                    <w:t>31/75 (41%)</w:t>
                  </w:r>
                </w:p>
              </w:tc>
              <w:tc>
                <w:tcPr>
                  <w:tcW w:w="1980" w:type="dxa"/>
                </w:tcPr>
                <w:p w14:paraId="2B691149" w14:textId="77777777" w:rsidR="00D762DD" w:rsidRDefault="00000000">
                  <w:pPr>
                    <w:jc w:val="center"/>
                  </w:pPr>
                  <w:r>
                    <w:t>0.411</w:t>
                  </w:r>
                </w:p>
              </w:tc>
              <w:tc>
                <w:tcPr>
                  <w:tcW w:w="1980" w:type="dxa"/>
                </w:tcPr>
                <w:p w14:paraId="78C8D51D" w14:textId="77777777" w:rsidR="00D762DD" w:rsidRDefault="00000000">
                  <w:pPr>
                    <w:jc w:val="center"/>
                  </w:pPr>
                  <w:r>
                    <w:t>28,721</w:t>
                  </w:r>
                </w:p>
              </w:tc>
            </w:tr>
            <w:bookmarkEnd w:id="417"/>
          </w:tbl>
          <w:p w14:paraId="082EA827" w14:textId="77777777" w:rsidR="00D762DD" w:rsidRDefault="00D762DD"/>
        </w:tc>
      </w:tr>
    </w:tbl>
    <w:p w14:paraId="6A923711" w14:textId="77777777" w:rsidR="00D762DD" w:rsidRDefault="00000000">
      <w:pPr>
        <w:pStyle w:val="BodyText"/>
      </w:pPr>
      <w:r>
        <w:lastRenderedPageBreak/>
        <w:t xml:space="preserve">La cobertura de Anchors es extremadamente sensible a </w:t>
      </w:r>
      <m:oMath>
        <m:r>
          <w:rPr>
            <w:rFonts w:ascii="Cambria Math" w:hAnsi="Cambria Math"/>
          </w:rPr>
          <m:t>τ</m:t>
        </m:r>
      </m:oMath>
      <w:r>
        <w:t xml:space="preserve">: reducir el umbral a 0.90 aumenta la cobertura de 76% a 96%, mientras que elevar a 0.99 la reduce a 41%. Este resultado indica que la elección de </w:t>
      </w:r>
      <m:oMath>
        <m:r>
          <w:rPr>
            <w:rFonts w:ascii="Cambria Math" w:hAnsi="Cambria Math"/>
          </w:rPr>
          <m:t>τ</m:t>
        </m:r>
      </m:oMath>
      <w:r>
        <w:t xml:space="preserve"> es la decisión de configuración de mayor impacto en Anchors y debe documentarse explícitamente en cualquier benchmark que incluya este método. La fidelidad no mejora monotónicamente con </w:t>
      </w:r>
      <m:oMath>
        <m:r>
          <w:rPr>
            <w:rFonts w:ascii="Cambria Math" w:hAnsi="Cambria Math"/>
          </w:rPr>
          <m:t>τ</m:t>
        </m:r>
      </m:oMath>
      <w:r>
        <w:t>, dado que reglas de mayor precisión no necesariamente son más informativas bajo la métrica de correlación de importancias.</w:t>
      </w:r>
    </w:p>
    <w:p w14:paraId="06576524" w14:textId="77777777" w:rsidR="00D762DD" w:rsidRDefault="00000000">
      <w:pPr>
        <w:pStyle w:val="BodyText"/>
      </w:pPr>
      <w:r>
        <w:rPr>
          <w:b/>
          <w:bCs/>
        </w:rPr>
        <w:t xml:space="preserve">LIME — sensibilidad a </w:t>
      </w:r>
      <w:proofErr w:type="spellStart"/>
      <w:r>
        <w:rPr>
          <w:b/>
          <w:bCs/>
        </w:rPr>
        <w:t>kernel_width</w:t>
      </w:r>
      <w:proofErr w:type="spellEnd"/>
      <w:r>
        <w:rPr>
          <w:b/>
          <w:bCs/>
        </w:rPr>
        <w:t>.</w:t>
      </w:r>
      <w:r>
        <w:t xml:space="preserve"> Se varía el ancho del </w:t>
      </w:r>
      <w:proofErr w:type="spellStart"/>
      <w:r>
        <w:t>kernel</w:t>
      </w:r>
      <w:proofErr w:type="spellEnd"/>
      <w:r>
        <w:t xml:space="preserve"> exponencial (</w:t>
      </w:r>
      <m:oMath>
        <m:r>
          <m:rPr>
            <m:sty m:val="p"/>
          </m:rPr>
          <w:rPr>
            <w:rFonts w:ascii="Cambria Math" w:hAnsi="Cambria Math"/>
          </w:rPr>
          <m:t>{</m:t>
        </m:r>
        <m:r>
          <w:rPr>
            <w:rFonts w:ascii="Cambria Math" w:hAnsi="Cambria Math"/>
          </w:rPr>
          <m:t>0.25</m:t>
        </m:r>
        <m:r>
          <m:rPr>
            <m:sty m:val="p"/>
          </m:rPr>
          <w:rPr>
            <w:rFonts w:ascii="Cambria Math" w:hAnsi="Cambria Math"/>
          </w:rPr>
          <m:t>,</m:t>
        </m:r>
        <m:r>
          <w:rPr>
            <w:rFonts w:ascii="Cambria Math" w:hAnsi="Cambria Math"/>
          </w:rPr>
          <m:t>0.75</m:t>
        </m:r>
        <m:r>
          <m:rPr>
            <m:sty m:val="p"/>
          </m:rPr>
          <w:rPr>
            <w:rFonts w:ascii="Cambria Math" w:hAnsi="Cambria Math"/>
          </w:rPr>
          <m:t>,</m:t>
        </m:r>
        <m:r>
          <w:rPr>
            <w:rFonts w:ascii="Cambria Math" w:hAnsi="Cambria Math"/>
          </w:rPr>
          <m:t>3.0</m:t>
        </m:r>
        <m:r>
          <m:rPr>
            <m:sty m:val="p"/>
          </m:rPr>
          <w:rPr>
            <w:rFonts w:ascii="Cambria Math" w:hAnsi="Cambria Math"/>
          </w:rPr>
          <m:t>,</m:t>
        </m:r>
        <m:r>
          <w:rPr>
            <w:rFonts w:ascii="Cambria Math" w:hAnsi="Cambria Math"/>
          </w:rPr>
          <m:t>10.0</m:t>
        </m:r>
        <m:r>
          <m:rPr>
            <m:sty m:val="p"/>
          </m:rPr>
          <w:rPr>
            <w:rFonts w:ascii="Cambria Math" w:hAnsi="Cambria Math"/>
          </w:rPr>
          <m:t>}</m:t>
        </m:r>
      </m:oMath>
      <w:r>
        <w:t xml:space="preserve">) manteniendo num_samples = 1000 y num_features = 10 constantes. La condición de referencia (kernel_width = 3.0) corresponde a la configuración EXP2. Se reportan instancias válidas (al menos un peso no nulo), fidelidad y estabilidad media, y coste unitario (RF, semilla 42, </w:t>
      </w:r>
      <m:oMath>
        <m:r>
          <w:rPr>
            <w:rFonts w:ascii="Cambria Math" w:hAnsi="Cambria Math"/>
          </w:rPr>
          <m:t>N</m:t>
        </m:r>
        <m:r>
          <m:rPr>
            <m:sty m:val="p"/>
          </m:rPr>
          <w:rPr>
            <w:rFonts w:ascii="Cambria Math" w:hAnsi="Cambria Math"/>
          </w:rPr>
          <m:t>=</m:t>
        </m:r>
        <m:r>
          <w:rPr>
            <w:rFonts w:ascii="Cambria Math" w:hAnsi="Cambria Math"/>
          </w:rPr>
          <m:t>100</m:t>
        </m:r>
      </m:oMath>
      <w:r>
        <w:t>).</w:t>
      </w:r>
    </w:p>
    <w:tbl>
      <w:tblPr>
        <w:tblW w:w="5000" w:type="pct"/>
        <w:tblLayout w:type="fixed"/>
        <w:tblLook w:val="0000" w:firstRow="0" w:lastRow="0" w:firstColumn="0" w:lastColumn="0" w:noHBand="0" w:noVBand="0"/>
      </w:tblPr>
      <w:tblGrid>
        <w:gridCol w:w="9576"/>
      </w:tblGrid>
      <w:tr w:rsidR="00D762DD" w14:paraId="2C13F740" w14:textId="77777777">
        <w:tc>
          <w:tcPr>
            <w:tcW w:w="7920" w:type="dxa"/>
          </w:tcPr>
          <w:p w14:paraId="61CFCC79" w14:textId="77777777" w:rsidR="00D762DD" w:rsidRDefault="00000000">
            <w:pPr>
              <w:spacing w:before="200"/>
              <w:jc w:val="left"/>
            </w:pPr>
            <w:bookmarkStart w:id="418" w:name="tbl-appendix-lime-kw-sensitivity"/>
            <w:r>
              <w:t xml:space="preserve">Table 7.11: Sensibilidad de LIME a </w:t>
            </w:r>
            <w:proofErr w:type="spellStart"/>
            <w:r>
              <w:t>kernel_width</w:t>
            </w:r>
            <w:proofErr w:type="spellEnd"/>
            <w:r>
              <w:t xml:space="preserve"> (RF, semilla 42, </w:t>
            </w:r>
            <m:oMath>
              <m:r>
                <w:rPr>
                  <w:rFonts w:ascii="Cambria Math" w:hAnsi="Cambria Math"/>
                </w:rPr>
                <m:t>N</m:t>
              </m:r>
              <m:r>
                <m:rPr>
                  <m:sty m:val="p"/>
                </m:rPr>
                <w:rPr>
                  <w:rFonts w:ascii="Cambria Math" w:hAnsi="Cambria Math"/>
                </w:rPr>
                <m:t>=</m:t>
              </m:r>
              <m:r>
                <w:rPr>
                  <w:rFonts w:ascii="Cambria Math" w:hAnsi="Cambria Math"/>
                </w:rPr>
                <m:t>100</m:t>
              </m:r>
            </m:oMath>
            <w:r>
              <w:t>).</w:t>
            </w:r>
          </w:p>
          <w:tbl>
            <w:tblPr>
              <w:tblW w:w="5000" w:type="pct"/>
              <w:tblLayout w:type="fixed"/>
              <w:tblLook w:val="0020" w:firstRow="1" w:lastRow="0" w:firstColumn="0" w:lastColumn="0" w:noHBand="0" w:noVBand="0"/>
            </w:tblPr>
            <w:tblGrid>
              <w:gridCol w:w="1560"/>
              <w:gridCol w:w="1560"/>
              <w:gridCol w:w="1560"/>
              <w:gridCol w:w="1560"/>
              <w:gridCol w:w="1560"/>
              <w:gridCol w:w="1560"/>
            </w:tblGrid>
            <w:tr w:rsidR="00D762DD" w14:paraId="76DE3041" w14:textId="77777777">
              <w:trPr>
                <w:tblHeader/>
              </w:trPr>
              <w:tc>
                <w:tcPr>
                  <w:tcW w:w="1320" w:type="dxa"/>
                </w:tcPr>
                <w:p w14:paraId="7BE43936" w14:textId="77777777" w:rsidR="00D762DD" w:rsidRDefault="00000000">
                  <w:pPr>
                    <w:jc w:val="center"/>
                  </w:pPr>
                  <w:proofErr w:type="spellStart"/>
                  <w:r>
                    <w:t>kernel_width</w:t>
                  </w:r>
                  <w:proofErr w:type="spellEnd"/>
                </w:p>
              </w:tc>
              <w:tc>
                <w:tcPr>
                  <w:tcW w:w="1320" w:type="dxa"/>
                </w:tcPr>
                <w:p w14:paraId="7D73C519" w14:textId="77777777" w:rsidR="00D762DD" w:rsidRDefault="00000000">
                  <w:pPr>
                    <w:jc w:val="center"/>
                  </w:pPr>
                  <w:r>
                    <w:t>Instancias válidas</w:t>
                  </w:r>
                </w:p>
              </w:tc>
              <w:tc>
                <w:tcPr>
                  <w:tcW w:w="1320" w:type="dxa"/>
                </w:tcPr>
                <w:p w14:paraId="5D5D5348" w14:textId="77777777" w:rsidR="00D762DD" w:rsidRDefault="00000000">
                  <w:pPr>
                    <w:jc w:val="center"/>
                  </w:pPr>
                  <w:r>
                    <w:t>Fidelidad (media)</w:t>
                  </w:r>
                </w:p>
              </w:tc>
              <w:tc>
                <w:tcPr>
                  <w:tcW w:w="1320" w:type="dxa"/>
                </w:tcPr>
                <w:p w14:paraId="6050CD17" w14:textId="77777777" w:rsidR="00D762DD" w:rsidRDefault="00000000">
                  <w:pPr>
                    <w:jc w:val="center"/>
                  </w:pPr>
                  <w:r>
                    <w:t>Estabilidad (media)</w:t>
                  </w:r>
                </w:p>
              </w:tc>
              <w:tc>
                <w:tcPr>
                  <w:tcW w:w="1320" w:type="dxa"/>
                </w:tcPr>
                <w:p w14:paraId="16D8E6B1" w14:textId="77777777" w:rsidR="00D762DD" w:rsidRDefault="00000000">
                  <w:pPr>
                    <w:jc w:val="center"/>
                  </w:pPr>
                  <w:r>
                    <w:t>Coste (ms)</w:t>
                  </w:r>
                </w:p>
              </w:tc>
              <w:tc>
                <w:tcPr>
                  <w:tcW w:w="1320" w:type="dxa"/>
                </w:tcPr>
                <w:p w14:paraId="1A16C708" w14:textId="77777777" w:rsidR="00D762DD" w:rsidRDefault="00000000">
                  <w:pPr>
                    <w:jc w:val="center"/>
                  </w:pPr>
                  <w:r>
                    <w:t>Parsimonia</w:t>
                  </w:r>
                </w:p>
              </w:tc>
            </w:tr>
            <w:tr w:rsidR="00D762DD" w14:paraId="58F7E2C6" w14:textId="77777777">
              <w:tc>
                <w:tcPr>
                  <w:tcW w:w="1320" w:type="dxa"/>
                </w:tcPr>
                <w:p w14:paraId="44EE3037" w14:textId="77777777" w:rsidR="00D762DD" w:rsidRDefault="00000000">
                  <w:pPr>
                    <w:jc w:val="center"/>
                  </w:pPr>
                  <w:r>
                    <w:t>0.25</w:t>
                  </w:r>
                </w:p>
              </w:tc>
              <w:tc>
                <w:tcPr>
                  <w:tcW w:w="1320" w:type="dxa"/>
                </w:tcPr>
                <w:p w14:paraId="00BC788A" w14:textId="77777777" w:rsidR="00D762DD" w:rsidRDefault="00000000">
                  <w:pPr>
                    <w:jc w:val="center"/>
                  </w:pPr>
                  <w:r>
                    <w:t>0 / 100 (degenerado)</w:t>
                  </w:r>
                </w:p>
              </w:tc>
              <w:tc>
                <w:tcPr>
                  <w:tcW w:w="1320" w:type="dxa"/>
                </w:tcPr>
                <w:p w14:paraId="5968EF58" w14:textId="77777777" w:rsidR="00D762DD" w:rsidRDefault="00000000">
                  <w:pPr>
                    <w:jc w:val="center"/>
                  </w:pPr>
                  <w:r>
                    <w:t>—</w:t>
                  </w:r>
                </w:p>
              </w:tc>
              <w:tc>
                <w:tcPr>
                  <w:tcW w:w="1320" w:type="dxa"/>
                </w:tcPr>
                <w:p w14:paraId="29B2D910" w14:textId="77777777" w:rsidR="00D762DD" w:rsidRDefault="00000000">
                  <w:pPr>
                    <w:jc w:val="center"/>
                  </w:pPr>
                  <w:r>
                    <w:t>—</w:t>
                  </w:r>
                </w:p>
              </w:tc>
              <w:tc>
                <w:tcPr>
                  <w:tcW w:w="1320" w:type="dxa"/>
                </w:tcPr>
                <w:p w14:paraId="4D3E14CD" w14:textId="77777777" w:rsidR="00D762DD" w:rsidRDefault="00000000">
                  <w:pPr>
                    <w:jc w:val="center"/>
                  </w:pPr>
                  <w:r>
                    <w:t>30</w:t>
                  </w:r>
                </w:p>
              </w:tc>
              <w:tc>
                <w:tcPr>
                  <w:tcW w:w="1320" w:type="dxa"/>
                </w:tcPr>
                <w:p w14:paraId="61B0DC14" w14:textId="77777777" w:rsidR="00D762DD" w:rsidRDefault="00000000">
                  <w:pPr>
                    <w:jc w:val="center"/>
                  </w:pPr>
                  <w:r>
                    <w:t>0.000</w:t>
                  </w:r>
                </w:p>
              </w:tc>
            </w:tr>
            <w:tr w:rsidR="00D762DD" w14:paraId="071F74F0" w14:textId="77777777">
              <w:tc>
                <w:tcPr>
                  <w:tcW w:w="1320" w:type="dxa"/>
                </w:tcPr>
                <w:p w14:paraId="38C3BB45" w14:textId="77777777" w:rsidR="00D762DD" w:rsidRDefault="00000000">
                  <w:pPr>
                    <w:jc w:val="center"/>
                  </w:pPr>
                  <w:r>
                    <w:lastRenderedPageBreak/>
                    <w:t>0.75</w:t>
                  </w:r>
                </w:p>
              </w:tc>
              <w:tc>
                <w:tcPr>
                  <w:tcW w:w="1320" w:type="dxa"/>
                </w:tcPr>
                <w:p w14:paraId="47F40AC7" w14:textId="77777777" w:rsidR="00D762DD" w:rsidRDefault="00000000">
                  <w:pPr>
                    <w:jc w:val="center"/>
                  </w:pPr>
                  <w:r>
                    <w:t>0 / 100 (degenerado)</w:t>
                  </w:r>
                </w:p>
              </w:tc>
              <w:tc>
                <w:tcPr>
                  <w:tcW w:w="1320" w:type="dxa"/>
                </w:tcPr>
                <w:p w14:paraId="784E3D6B" w14:textId="77777777" w:rsidR="00D762DD" w:rsidRDefault="00000000">
                  <w:pPr>
                    <w:jc w:val="center"/>
                  </w:pPr>
                  <w:r>
                    <w:t>—</w:t>
                  </w:r>
                </w:p>
              </w:tc>
              <w:tc>
                <w:tcPr>
                  <w:tcW w:w="1320" w:type="dxa"/>
                </w:tcPr>
                <w:p w14:paraId="6C973CDC" w14:textId="77777777" w:rsidR="00D762DD" w:rsidRDefault="00000000">
                  <w:pPr>
                    <w:jc w:val="center"/>
                  </w:pPr>
                  <w:r>
                    <w:t>—</w:t>
                  </w:r>
                </w:p>
              </w:tc>
              <w:tc>
                <w:tcPr>
                  <w:tcW w:w="1320" w:type="dxa"/>
                </w:tcPr>
                <w:p w14:paraId="0106C208" w14:textId="77777777" w:rsidR="00D762DD" w:rsidRDefault="00000000">
                  <w:pPr>
                    <w:jc w:val="center"/>
                  </w:pPr>
                  <w:r>
                    <w:t>30</w:t>
                  </w:r>
                </w:p>
              </w:tc>
              <w:tc>
                <w:tcPr>
                  <w:tcW w:w="1320" w:type="dxa"/>
                </w:tcPr>
                <w:p w14:paraId="7B4E54FD" w14:textId="77777777" w:rsidR="00D762DD" w:rsidRDefault="00000000">
                  <w:pPr>
                    <w:jc w:val="center"/>
                  </w:pPr>
                  <w:r>
                    <w:t>0.000</w:t>
                  </w:r>
                </w:p>
              </w:tc>
            </w:tr>
            <w:tr w:rsidR="00D762DD" w14:paraId="0F101886" w14:textId="77777777">
              <w:tc>
                <w:tcPr>
                  <w:tcW w:w="1320" w:type="dxa"/>
                </w:tcPr>
                <w:p w14:paraId="5CD5BFFA" w14:textId="77777777" w:rsidR="00D762DD" w:rsidRDefault="00000000">
                  <w:pPr>
                    <w:jc w:val="center"/>
                  </w:pPr>
                  <w:r>
                    <w:t>3.0 (referencia)</w:t>
                  </w:r>
                </w:p>
              </w:tc>
              <w:tc>
                <w:tcPr>
                  <w:tcW w:w="1320" w:type="dxa"/>
                </w:tcPr>
                <w:p w14:paraId="0F32BAC8" w14:textId="77777777" w:rsidR="00D762DD" w:rsidRDefault="00000000">
                  <w:pPr>
                    <w:jc w:val="center"/>
                  </w:pPr>
                  <w:r>
                    <w:t>96 / 100</w:t>
                  </w:r>
                </w:p>
              </w:tc>
              <w:tc>
                <w:tcPr>
                  <w:tcW w:w="1320" w:type="dxa"/>
                </w:tcPr>
                <w:p w14:paraId="28343FC8" w14:textId="77777777" w:rsidR="00D762DD" w:rsidRDefault="00000000">
                  <w:pPr>
                    <w:jc w:val="center"/>
                  </w:pPr>
                  <w:r>
                    <w:t>0.518</w:t>
                  </w:r>
                </w:p>
              </w:tc>
              <w:tc>
                <w:tcPr>
                  <w:tcW w:w="1320" w:type="dxa"/>
                </w:tcPr>
                <w:p w14:paraId="777FAD2D" w14:textId="77777777" w:rsidR="00D762DD" w:rsidRDefault="00000000">
                  <w:pPr>
                    <w:jc w:val="center"/>
                  </w:pPr>
                  <w:r>
                    <w:t>0.000</w:t>
                  </w:r>
                </w:p>
              </w:tc>
              <w:tc>
                <w:tcPr>
                  <w:tcW w:w="1320" w:type="dxa"/>
                </w:tcPr>
                <w:p w14:paraId="78238929" w14:textId="77777777" w:rsidR="00D762DD" w:rsidRDefault="00000000">
                  <w:pPr>
                    <w:jc w:val="center"/>
                  </w:pPr>
                  <w:r>
                    <w:t>30</w:t>
                  </w:r>
                </w:p>
              </w:tc>
              <w:tc>
                <w:tcPr>
                  <w:tcW w:w="1320" w:type="dxa"/>
                </w:tcPr>
                <w:p w14:paraId="0651E6CE" w14:textId="77777777" w:rsidR="00D762DD" w:rsidRDefault="00000000">
                  <w:pPr>
                    <w:jc w:val="center"/>
                  </w:pPr>
                  <w:r>
                    <w:t>0.087</w:t>
                  </w:r>
                </w:p>
              </w:tc>
            </w:tr>
            <w:tr w:rsidR="00D762DD" w14:paraId="13CA6B9E" w14:textId="77777777">
              <w:tc>
                <w:tcPr>
                  <w:tcW w:w="1320" w:type="dxa"/>
                </w:tcPr>
                <w:p w14:paraId="77897C2E" w14:textId="77777777" w:rsidR="00D762DD" w:rsidRDefault="00000000">
                  <w:pPr>
                    <w:jc w:val="center"/>
                  </w:pPr>
                  <w:r>
                    <w:t>10.0</w:t>
                  </w:r>
                </w:p>
              </w:tc>
              <w:tc>
                <w:tcPr>
                  <w:tcW w:w="1320" w:type="dxa"/>
                </w:tcPr>
                <w:p w14:paraId="706DF70E" w14:textId="77777777" w:rsidR="00D762DD" w:rsidRDefault="00000000">
                  <w:pPr>
                    <w:jc w:val="center"/>
                  </w:pPr>
                  <w:r>
                    <w:t>100 / 100</w:t>
                  </w:r>
                </w:p>
              </w:tc>
              <w:tc>
                <w:tcPr>
                  <w:tcW w:w="1320" w:type="dxa"/>
                </w:tcPr>
                <w:p w14:paraId="45ABC826" w14:textId="77777777" w:rsidR="00D762DD" w:rsidRDefault="00000000">
                  <w:pPr>
                    <w:jc w:val="center"/>
                  </w:pPr>
                  <w:r>
                    <w:t>0.441</w:t>
                  </w:r>
                </w:p>
              </w:tc>
              <w:tc>
                <w:tcPr>
                  <w:tcW w:w="1320" w:type="dxa"/>
                </w:tcPr>
                <w:p w14:paraId="6A2A4194" w14:textId="77777777" w:rsidR="00D762DD" w:rsidRDefault="00000000">
                  <w:pPr>
                    <w:jc w:val="center"/>
                  </w:pPr>
                  <w:r>
                    <w:t>0.664</w:t>
                  </w:r>
                </w:p>
              </w:tc>
              <w:tc>
                <w:tcPr>
                  <w:tcW w:w="1320" w:type="dxa"/>
                </w:tcPr>
                <w:p w14:paraId="7222BA8E" w14:textId="77777777" w:rsidR="00D762DD" w:rsidRDefault="00000000">
                  <w:pPr>
                    <w:jc w:val="center"/>
                  </w:pPr>
                  <w:r>
                    <w:t>32</w:t>
                  </w:r>
                </w:p>
              </w:tc>
              <w:tc>
                <w:tcPr>
                  <w:tcW w:w="1320" w:type="dxa"/>
                </w:tcPr>
                <w:p w14:paraId="395BDA17" w14:textId="77777777" w:rsidR="00D762DD" w:rsidRDefault="00000000">
                  <w:pPr>
                    <w:jc w:val="center"/>
                  </w:pPr>
                  <w:r>
                    <w:t>0.093</w:t>
                  </w:r>
                </w:p>
              </w:tc>
            </w:tr>
            <w:bookmarkEnd w:id="418"/>
          </w:tbl>
          <w:p w14:paraId="578F35E8" w14:textId="77777777" w:rsidR="00D762DD" w:rsidRDefault="00D762DD"/>
        </w:tc>
      </w:tr>
    </w:tbl>
    <w:p w14:paraId="1501104B" w14:textId="77777777" w:rsidR="00D762DD" w:rsidRDefault="00000000">
      <w:pPr>
        <w:pStyle w:val="BodyText"/>
      </w:pPr>
      <w:r>
        <w:lastRenderedPageBreak/>
        <w:t>Los valores 0.25 y 0.75 son completamente degenerados en el espacio de características preprocesado de 103 dimensiones: el radio del vecindario es inferior a las distancias típicas entre instancias una vez aplicada la codificación one-</w:t>
      </w:r>
      <w:proofErr w:type="spellStart"/>
      <w:r>
        <w:t>hot</w:t>
      </w:r>
      <w:proofErr w:type="spellEnd"/>
      <w:r>
        <w:t xml:space="preserve"> y la estandarización, y LIME no puede ajustar ningún modelo sustituto local con señal apreciable. La referencia (</w:t>
      </w:r>
      <w:proofErr w:type="spellStart"/>
      <w:r>
        <w:t>kernel_width</w:t>
      </w:r>
      <w:proofErr w:type="spellEnd"/>
      <w:r>
        <w:t xml:space="preserve"> = 3.0) produce pesos no nulos en el 96% de las instancias y una fidelidad de 0.518, pero la estabilidad bajo perturbaciones de </w:t>
      </w:r>
      <m:oMath>
        <m:r>
          <w:rPr>
            <w:rFonts w:ascii="Cambria Math" w:hAnsi="Cambria Math"/>
          </w:rPr>
          <m:t>σ</m:t>
        </m:r>
        <m:r>
          <m:rPr>
            <m:sty m:val="p"/>
          </m:rPr>
          <w:rPr>
            <w:rFonts w:ascii="Cambria Math" w:hAnsi="Cambria Math"/>
          </w:rPr>
          <m:t>=</m:t>
        </m:r>
        <m:r>
          <w:rPr>
            <w:rFonts w:ascii="Cambria Math" w:hAnsi="Cambria Math"/>
          </w:rPr>
          <m:t>0.1</m:t>
        </m:r>
      </m:oMath>
      <w:r>
        <w:t xml:space="preserve"> es prácticamente nula (consistente con los hallazgos de EXP2). El valor </w:t>
      </w:r>
      <w:proofErr w:type="spellStart"/>
      <w:r>
        <w:t>kernel_width</w:t>
      </w:r>
      <w:proofErr w:type="spellEnd"/>
      <w:r>
        <w:t xml:space="preserve"> = 10.0 produce explicaciones válidas en el 100% de las instancias y una estabilidad de 0.664, pero a costa de menor fidelidad (0.441) porque el vecindario más amplio promedia regiones de decisión heterogéneas. Estos resultados delimitan el alcance del hallazgo de EXP2 en dos direcciones. Por un lado, la inestabilidad observada bajo la configuración de referencia no se debe a una calibración deficiente del </w:t>
      </w:r>
      <w:proofErr w:type="spellStart"/>
      <w:r>
        <w:t>kernel</w:t>
      </w:r>
      <w:proofErr w:type="spellEnd"/>
      <w:r>
        <w:t xml:space="preserve">: reducir el ancho no la corrige, sino que degenera las explicaciones, y </w:t>
      </w:r>
      <w:proofErr w:type="spellStart"/>
      <w:r>
        <w:t>kernel_width</w:t>
      </w:r>
      <w:proofErr w:type="spellEnd"/>
      <w:r>
        <w:t xml:space="preserve"> = 3.0 es el valor mínimo viable en este espacio. Por otro, tampoco es independiente de ese parámetro: ampliar el </w:t>
      </w:r>
      <w:proofErr w:type="spellStart"/>
      <w:r>
        <w:t>kernel</w:t>
      </w:r>
      <w:proofErr w:type="spellEnd"/>
      <w:r>
        <w:t xml:space="preserve"> a 10.0 recupera una estabilidad de 0.664 a costa de localidad y de fidelidad. La lectura conjunta es que la estabilidad de LIME en datos tabulares de alta dimensión depende del par (ancho de </w:t>
      </w:r>
      <w:proofErr w:type="spellStart"/>
      <w:r>
        <w:t>kernel</w:t>
      </w:r>
      <w:proofErr w:type="spellEnd"/>
      <w:r>
        <w:t>, espacio de características) y debe medirse para la configuración concreta de despliegue, no presuponerse.</w:t>
      </w:r>
    </w:p>
    <w:p w14:paraId="64DAD001" w14:textId="77777777" w:rsidR="00D762DD" w:rsidRDefault="00000000">
      <w:pPr>
        <w:pStyle w:val="BodyText"/>
      </w:pPr>
      <w:r>
        <w:t xml:space="preserve">En conjunto, estos análisis muestran que los resultados principales (SHAP superior a LIME en fidelidad y estabilidad; estabilidad de LIME casi nula bajo la configuración de referencia) son robustos a variaciones razonables de los hiperparámetros dentro de los rangos explorados, con la excepción explícita del ancho de </w:t>
      </w:r>
      <w:proofErr w:type="spellStart"/>
      <w:r>
        <w:t>kernel</w:t>
      </w:r>
      <w:proofErr w:type="spellEnd"/>
      <w:r>
        <w:t xml:space="preserve">, que sí modifica sustancialmente la estabilidad de LIME. La excepción es la cobertura de Anchors, que cambia significativamente con </w:t>
      </w:r>
      <m:oMath>
        <m:r>
          <w:rPr>
            <w:rFonts w:ascii="Cambria Math" w:hAnsi="Cambria Math"/>
          </w:rPr>
          <m:t>τ</m:t>
        </m:r>
      </m:oMath>
      <w:r>
        <w:t xml:space="preserve"> y debe tratarse como un parámetro de diseño explícito, no como un valor predeterminado.</w:t>
      </w:r>
    </w:p>
    <w:p w14:paraId="396AB07F" w14:textId="77777777" w:rsidR="00D762DD" w:rsidRDefault="00000000">
      <w:pPr>
        <w:pStyle w:val="Heading2"/>
      </w:pPr>
      <w:bookmarkStart w:id="419" w:name="X5f7bacac88c7eb1c452db69614af410a4173f84"/>
      <w:bookmarkStart w:id="420" w:name="_Toc238925816"/>
      <w:bookmarkEnd w:id="410"/>
      <w:bookmarkEnd w:id="413"/>
      <w:r>
        <w:lastRenderedPageBreak/>
        <w:t>Apéndice D: Salidas estadísticas y trazabilidad</w:t>
      </w:r>
      <w:bookmarkEnd w:id="420"/>
    </w:p>
    <w:p w14:paraId="4D01D4D3" w14:textId="77777777" w:rsidR="00D762DD" w:rsidRDefault="00000000">
      <w:r>
        <w:t>Las tablas inferenciales usadas en el Capítulo 4 se generan desde scripts/run_exp2_statistical_analysis.py y se exportan a outputs/</w:t>
      </w:r>
      <w:proofErr w:type="spellStart"/>
      <w:r>
        <w:t>analysis</w:t>
      </w:r>
      <w:proofErr w:type="spellEnd"/>
      <w:r>
        <w:t>/paper_a_exp2_stats/.</w:t>
      </w:r>
    </w:p>
    <w:tbl>
      <w:tblPr>
        <w:tblW w:w="5000" w:type="pct"/>
        <w:tblLayout w:type="fixed"/>
        <w:tblLook w:val="0000" w:firstRow="0" w:lastRow="0" w:firstColumn="0" w:lastColumn="0" w:noHBand="0" w:noVBand="0"/>
      </w:tblPr>
      <w:tblGrid>
        <w:gridCol w:w="9576"/>
      </w:tblGrid>
      <w:tr w:rsidR="00D762DD" w14:paraId="2FE56DD6" w14:textId="77777777">
        <w:tc>
          <w:tcPr>
            <w:tcW w:w="7920" w:type="dxa"/>
          </w:tcPr>
          <w:p w14:paraId="5A4E7094" w14:textId="77777777" w:rsidR="00D762DD" w:rsidRDefault="00000000">
            <w:pPr>
              <w:spacing w:before="200"/>
              <w:jc w:val="left"/>
            </w:pPr>
            <w:bookmarkStart w:id="421" w:name="tbl-appendix-stat-outputs"/>
            <w:r>
              <w:t>Table 7.12: Salidas estadísticas principales y uso en la tesis.</w:t>
            </w:r>
          </w:p>
          <w:tbl>
            <w:tblPr>
              <w:tblW w:w="5000" w:type="pct"/>
              <w:tblLayout w:type="fixed"/>
              <w:tblLook w:val="0020" w:firstRow="1" w:lastRow="0" w:firstColumn="0" w:lastColumn="0" w:noHBand="0" w:noVBand="0"/>
            </w:tblPr>
            <w:tblGrid>
              <w:gridCol w:w="3120"/>
              <w:gridCol w:w="3120"/>
              <w:gridCol w:w="3120"/>
            </w:tblGrid>
            <w:tr w:rsidR="00D762DD" w14:paraId="6F58DFE4" w14:textId="77777777">
              <w:trPr>
                <w:tblHeader/>
              </w:trPr>
              <w:tc>
                <w:tcPr>
                  <w:tcW w:w="2640" w:type="dxa"/>
                </w:tcPr>
                <w:p w14:paraId="0E41B403" w14:textId="77777777" w:rsidR="00D762DD" w:rsidRDefault="00000000">
                  <w:pPr>
                    <w:jc w:val="center"/>
                  </w:pPr>
                  <w:r>
                    <w:t>Archivo</w:t>
                  </w:r>
                </w:p>
              </w:tc>
              <w:tc>
                <w:tcPr>
                  <w:tcW w:w="2640" w:type="dxa"/>
                </w:tcPr>
                <w:p w14:paraId="09A38D31" w14:textId="77777777" w:rsidR="00D762DD" w:rsidRDefault="00000000">
                  <w:pPr>
                    <w:jc w:val="center"/>
                  </w:pPr>
                  <w:r>
                    <w:t>Contenido</w:t>
                  </w:r>
                </w:p>
              </w:tc>
              <w:tc>
                <w:tcPr>
                  <w:tcW w:w="2640" w:type="dxa"/>
                </w:tcPr>
                <w:p w14:paraId="626C49D2" w14:textId="77777777" w:rsidR="00D762DD" w:rsidRDefault="00000000">
                  <w:pPr>
                    <w:jc w:val="center"/>
                  </w:pPr>
                  <w:r>
                    <w:t>Uso en tesis</w:t>
                  </w:r>
                </w:p>
              </w:tc>
            </w:tr>
            <w:tr w:rsidR="00D762DD" w14:paraId="48D30FB4" w14:textId="77777777">
              <w:tc>
                <w:tcPr>
                  <w:tcW w:w="2640" w:type="dxa"/>
                </w:tcPr>
                <w:p w14:paraId="3F922F88" w14:textId="77777777" w:rsidR="00D762DD" w:rsidRDefault="00000000">
                  <w:pPr>
                    <w:jc w:val="center"/>
                  </w:pPr>
                  <w:r>
                    <w:t>friedman_results.csv</w:t>
                  </w:r>
                </w:p>
              </w:tc>
              <w:tc>
                <w:tcPr>
                  <w:tcW w:w="2640" w:type="dxa"/>
                </w:tcPr>
                <w:p w14:paraId="66363811" w14:textId="77777777" w:rsidR="00D762DD" w:rsidRDefault="00000000">
                  <w:pPr>
                    <w:jc w:val="center"/>
                  </w:pPr>
                  <w:r>
                    <w:t xml:space="preserve">Estadísticos Friedman, </w:t>
                  </w:r>
                  <m:oMath>
                    <m:r>
                      <w:rPr>
                        <w:rFonts w:ascii="Cambria Math" w:hAnsi="Cambria Math"/>
                      </w:rPr>
                      <m:t>p</m:t>
                    </m:r>
                  </m:oMath>
                  <w:r>
                    <w:t xml:space="preserve"> crudos, </w:t>
                  </w:r>
                  <m:oMath>
                    <m:sSub>
                      <m:sSubPr>
                        <m:ctrlPr>
                          <w:rPr>
                            <w:rFonts w:ascii="Cambria Math" w:hAnsi="Cambria Math"/>
                          </w:rPr>
                        </m:ctrlPr>
                      </m:sSubPr>
                      <m:e>
                        <m:r>
                          <w:rPr>
                            <w:rFonts w:ascii="Cambria Math" w:hAnsi="Cambria Math"/>
                          </w:rPr>
                          <m:t>p</m:t>
                        </m:r>
                      </m:e>
                      <m:sub>
                        <m:r>
                          <m:rPr>
                            <m:sty m:val="p"/>
                          </m:rPr>
                          <w:rPr>
                            <w:rFonts w:ascii="Cambria Math" w:hAnsi="Cambria Math"/>
                          </w:rPr>
                          <m:t>Holm</m:t>
                        </m:r>
                      </m:sub>
                    </m:sSub>
                  </m:oMath>
                  <w:r>
                    <w:t xml:space="preserve">, Kendall </w:t>
                  </w:r>
                  <m:oMath>
                    <m:r>
                      <w:rPr>
                        <w:rFonts w:ascii="Cambria Math" w:hAnsi="Cambria Math"/>
                      </w:rPr>
                      <m:t>W</m:t>
                    </m:r>
                  </m:oMath>
                </w:p>
              </w:tc>
              <w:tc>
                <w:tcPr>
                  <w:tcW w:w="2640" w:type="dxa"/>
                </w:tcPr>
                <w:p w14:paraId="4911BED7" w14:textId="77777777" w:rsidR="00D762DD" w:rsidRDefault="00000000">
                  <w:pPr>
                    <w:jc w:val="center"/>
                  </w:pPr>
                  <w:r>
                    <w:t>H1 y H2</w:t>
                  </w:r>
                </w:p>
              </w:tc>
            </w:tr>
            <w:tr w:rsidR="00D762DD" w14:paraId="5170AEAE" w14:textId="77777777">
              <w:tc>
                <w:tcPr>
                  <w:tcW w:w="2640" w:type="dxa"/>
                </w:tcPr>
                <w:p w14:paraId="640E3ECF" w14:textId="77777777" w:rsidR="00D762DD" w:rsidRDefault="00000000">
                  <w:pPr>
                    <w:jc w:val="center"/>
                  </w:pPr>
                  <w:r>
                    <w:t>nemenyi_fidelity.csv</w:t>
                  </w:r>
                </w:p>
              </w:tc>
              <w:tc>
                <w:tcPr>
                  <w:tcW w:w="2640" w:type="dxa"/>
                </w:tcPr>
                <w:p w14:paraId="118C83E9" w14:textId="77777777" w:rsidR="00D762DD" w:rsidRDefault="00000000">
                  <w:pPr>
                    <w:jc w:val="center"/>
                  </w:pPr>
                  <w:r>
                    <w:t xml:space="preserve">Comparaciones </w:t>
                  </w:r>
                  <w:proofErr w:type="spellStart"/>
                  <w:r>
                    <w:t>post-hoc</w:t>
                  </w:r>
                  <w:proofErr w:type="spellEnd"/>
                  <w:r>
                    <w:t xml:space="preserve"> para fidelidad</w:t>
                  </w:r>
                </w:p>
              </w:tc>
              <w:tc>
                <w:tcPr>
                  <w:tcW w:w="2640" w:type="dxa"/>
                </w:tcPr>
                <w:p w14:paraId="56AD4D05" w14:textId="77777777" w:rsidR="00D762DD" w:rsidRDefault="00000000">
                  <w:pPr>
                    <w:jc w:val="center"/>
                  </w:pPr>
                  <w:r>
                    <w:t>Localización de H1</w:t>
                  </w:r>
                </w:p>
              </w:tc>
            </w:tr>
            <w:tr w:rsidR="00D762DD" w14:paraId="003B25BC" w14:textId="77777777">
              <w:tc>
                <w:tcPr>
                  <w:tcW w:w="2640" w:type="dxa"/>
                </w:tcPr>
                <w:p w14:paraId="6AEA1855" w14:textId="77777777" w:rsidR="00D762DD" w:rsidRDefault="00000000">
                  <w:pPr>
                    <w:jc w:val="center"/>
                  </w:pPr>
                  <w:r>
                    <w:t>nemenyi_stability.csv</w:t>
                  </w:r>
                </w:p>
              </w:tc>
              <w:tc>
                <w:tcPr>
                  <w:tcW w:w="2640" w:type="dxa"/>
                </w:tcPr>
                <w:p w14:paraId="31B46DE4" w14:textId="77777777" w:rsidR="00D762DD" w:rsidRDefault="00000000">
                  <w:pPr>
                    <w:jc w:val="center"/>
                  </w:pPr>
                  <w:r>
                    <w:t xml:space="preserve">Comparaciones </w:t>
                  </w:r>
                  <w:proofErr w:type="spellStart"/>
                  <w:r>
                    <w:t>post-hoc</w:t>
                  </w:r>
                  <w:proofErr w:type="spellEnd"/>
                  <w:r>
                    <w:t xml:space="preserve"> para estabilidad</w:t>
                  </w:r>
                </w:p>
              </w:tc>
              <w:tc>
                <w:tcPr>
                  <w:tcW w:w="2640" w:type="dxa"/>
                </w:tcPr>
                <w:p w14:paraId="71E884CA" w14:textId="77777777" w:rsidR="00D762DD" w:rsidRDefault="00000000">
                  <w:pPr>
                    <w:jc w:val="center"/>
                  </w:pPr>
                  <w:r>
                    <w:t>Localización de H2</w:t>
                  </w:r>
                </w:p>
              </w:tc>
            </w:tr>
            <w:tr w:rsidR="00D762DD" w14:paraId="5EDB4306" w14:textId="77777777">
              <w:tc>
                <w:tcPr>
                  <w:tcW w:w="2640" w:type="dxa"/>
                </w:tcPr>
                <w:p w14:paraId="78234395" w14:textId="77777777" w:rsidR="00D762DD" w:rsidRPr="00AC5577" w:rsidRDefault="00000000">
                  <w:pPr>
                    <w:jc w:val="center"/>
                    <w:rPr>
                      <w:lang w:val="en-US"/>
                    </w:rPr>
                  </w:pPr>
                  <w:r w:rsidRPr="00AC5577">
                    <w:rPr>
                      <w:lang w:val="en-US"/>
                    </w:rPr>
                    <w:t>wilcoxon_shap_lime_all_models.csv</w:t>
                  </w:r>
                </w:p>
              </w:tc>
              <w:tc>
                <w:tcPr>
                  <w:tcW w:w="2640" w:type="dxa"/>
                </w:tcPr>
                <w:p w14:paraId="7BE4A45C" w14:textId="77777777" w:rsidR="00D762DD" w:rsidRDefault="00000000">
                  <w:pPr>
                    <w:jc w:val="center"/>
                  </w:pPr>
                  <w:r>
                    <w:t>Wilcoxon pareado SHAP-LIME sobre 75 celdas</w:t>
                  </w:r>
                </w:p>
              </w:tc>
              <w:tc>
                <w:tcPr>
                  <w:tcW w:w="2640" w:type="dxa"/>
                </w:tcPr>
                <w:p w14:paraId="0D8267F8" w14:textId="77777777" w:rsidR="00D762DD" w:rsidRDefault="00000000">
                  <w:pPr>
                    <w:jc w:val="center"/>
                  </w:pPr>
                  <w:r>
                    <w:t>H3</w:t>
                  </w:r>
                </w:p>
              </w:tc>
            </w:tr>
            <w:tr w:rsidR="00D762DD" w14:paraId="6C4F0A96" w14:textId="77777777">
              <w:tc>
                <w:tcPr>
                  <w:tcW w:w="2640" w:type="dxa"/>
                </w:tcPr>
                <w:p w14:paraId="1CA72449" w14:textId="77777777" w:rsidR="00D762DD" w:rsidRPr="00AC5577" w:rsidRDefault="00000000">
                  <w:pPr>
                    <w:jc w:val="center"/>
                    <w:rPr>
                      <w:lang w:val="en-US"/>
                    </w:rPr>
                  </w:pPr>
                  <w:r w:rsidRPr="00AC5577">
                    <w:rPr>
                      <w:lang w:val="en-US"/>
                    </w:rPr>
                    <w:t>paired_cells_shap_lime_all_models.csv</w:t>
                  </w:r>
                </w:p>
              </w:tc>
              <w:tc>
                <w:tcPr>
                  <w:tcW w:w="2640" w:type="dxa"/>
                </w:tcPr>
                <w:p w14:paraId="5327B599" w14:textId="77777777" w:rsidR="00D762DD" w:rsidRDefault="00000000">
                  <w:pPr>
                    <w:jc w:val="center"/>
                  </w:pPr>
                  <w:r>
                    <w:t>Celdas pareadas fuente de H3</w:t>
                  </w:r>
                </w:p>
              </w:tc>
              <w:tc>
                <w:tcPr>
                  <w:tcW w:w="2640" w:type="dxa"/>
                </w:tcPr>
                <w:p w14:paraId="356E8773" w14:textId="77777777" w:rsidR="00D762DD" w:rsidRDefault="00000000">
                  <w:pPr>
                    <w:jc w:val="center"/>
                  </w:pPr>
                  <w:r>
                    <w:t>Trazabilidad de diferencias pareadas</w:t>
                  </w:r>
                </w:p>
              </w:tc>
            </w:tr>
            <w:tr w:rsidR="00D762DD" w14:paraId="79162B34" w14:textId="77777777">
              <w:tc>
                <w:tcPr>
                  <w:tcW w:w="2640" w:type="dxa"/>
                </w:tcPr>
                <w:p w14:paraId="2F560518" w14:textId="77777777" w:rsidR="00D762DD" w:rsidRDefault="00000000">
                  <w:pPr>
                    <w:jc w:val="center"/>
                  </w:pPr>
                  <w:r>
                    <w:t>exp2_run_inventory.csv</w:t>
                  </w:r>
                </w:p>
              </w:tc>
              <w:tc>
                <w:tcPr>
                  <w:tcW w:w="2640" w:type="dxa"/>
                </w:tcPr>
                <w:p w14:paraId="120E3314" w14:textId="77777777" w:rsidR="00D762DD" w:rsidRDefault="00000000">
                  <w:pPr>
                    <w:jc w:val="center"/>
                  </w:pPr>
                  <w:r>
                    <w:t>Inventario de celdas y cobertura</w:t>
                  </w:r>
                </w:p>
              </w:tc>
              <w:tc>
                <w:tcPr>
                  <w:tcW w:w="2640" w:type="dxa"/>
                </w:tcPr>
                <w:p w14:paraId="45CA3313" w14:textId="77777777" w:rsidR="00D762DD" w:rsidRDefault="00000000">
                  <w:pPr>
                    <w:jc w:val="center"/>
                  </w:pPr>
                  <w:r>
                    <w:t>Cobertura FOM-7</w:t>
                  </w:r>
                </w:p>
              </w:tc>
            </w:tr>
            <w:tr w:rsidR="00D762DD" w14:paraId="4D91AF3B" w14:textId="77777777">
              <w:tc>
                <w:tcPr>
                  <w:tcW w:w="2640" w:type="dxa"/>
                </w:tcPr>
                <w:p w14:paraId="628458C8" w14:textId="77777777" w:rsidR="00D762DD" w:rsidRPr="00AC5577" w:rsidRDefault="00000000">
                  <w:pPr>
                    <w:jc w:val="center"/>
                    <w:rPr>
                      <w:lang w:val="en-US"/>
                    </w:rPr>
                  </w:pPr>
                  <w:r w:rsidRPr="00AC5577">
                    <w:rPr>
                      <w:lang w:val="en-US"/>
                    </w:rPr>
                    <w:t>method_uncertainty_over_blocks.csv</w:t>
                  </w:r>
                </w:p>
              </w:tc>
              <w:tc>
                <w:tcPr>
                  <w:tcW w:w="2640" w:type="dxa"/>
                </w:tcPr>
                <w:p w14:paraId="0A4EEA45" w14:textId="77777777" w:rsidR="00D762DD" w:rsidRDefault="00000000">
                  <w:pPr>
                    <w:jc w:val="center"/>
                  </w:pPr>
                  <w:r>
                    <w:t>Incertidumbre por método y bloque</w:t>
                  </w:r>
                </w:p>
              </w:tc>
              <w:tc>
                <w:tcPr>
                  <w:tcW w:w="2640" w:type="dxa"/>
                </w:tcPr>
                <w:p w14:paraId="107E04FA" w14:textId="77777777" w:rsidR="00D762DD" w:rsidRDefault="00000000">
                  <w:pPr>
                    <w:jc w:val="center"/>
                  </w:pPr>
                  <w:r>
                    <w:t>Limitaciones por cobertura</w:t>
                  </w:r>
                </w:p>
              </w:tc>
            </w:tr>
            <w:bookmarkEnd w:id="421"/>
          </w:tbl>
          <w:p w14:paraId="68FC3E0D" w14:textId="77777777" w:rsidR="00D762DD" w:rsidRDefault="00D762DD"/>
        </w:tc>
      </w:tr>
    </w:tbl>
    <w:p w14:paraId="0FB380EA" w14:textId="77777777" w:rsidR="00D762DD" w:rsidRDefault="00000000">
      <w:pPr>
        <w:pStyle w:val="BodyText"/>
      </w:pPr>
      <w:r>
        <w:t xml:space="preserve">Las secciones siguientes reproducen las tablas completas de los análisis inferenciales para garantizar la </w:t>
      </w:r>
      <w:proofErr w:type="spellStart"/>
      <w:proofErr w:type="gramStart"/>
      <w:r>
        <w:t>auto-suficiencia</w:t>
      </w:r>
      <w:proofErr w:type="spellEnd"/>
      <w:proofErr w:type="gramEnd"/>
      <w:r>
        <w:t xml:space="preserve"> documental de la tesis.</w:t>
      </w:r>
    </w:p>
    <w:p w14:paraId="74654023" w14:textId="77777777" w:rsidR="00D762DD" w:rsidRDefault="00000000">
      <w:pPr>
        <w:pStyle w:val="Heading3"/>
      </w:pPr>
      <w:bookmarkStart w:id="422" w:name="Xe3909ed8b3f47a476ee07b1fbdd59a863fdc536"/>
      <w:bookmarkStart w:id="423" w:name="_Toc238925817"/>
      <w:r>
        <w:t>D.1 Resultados completos de la prueba de Friedman</w:t>
      </w:r>
      <w:bookmarkEnd w:id="423"/>
    </w:p>
    <w:tbl>
      <w:tblPr>
        <w:tblW w:w="5000" w:type="pct"/>
        <w:tblLayout w:type="fixed"/>
        <w:tblLook w:val="0000" w:firstRow="0" w:lastRow="0" w:firstColumn="0" w:lastColumn="0" w:noHBand="0" w:noVBand="0"/>
      </w:tblPr>
      <w:tblGrid>
        <w:gridCol w:w="9576"/>
      </w:tblGrid>
      <w:tr w:rsidR="00D762DD" w14:paraId="07CB3F33" w14:textId="77777777">
        <w:tc>
          <w:tcPr>
            <w:tcW w:w="7920" w:type="dxa"/>
          </w:tcPr>
          <w:p w14:paraId="6B5A6238" w14:textId="77777777" w:rsidR="00D762DD" w:rsidRDefault="00000000">
            <w:pPr>
              <w:spacing w:before="200"/>
              <w:jc w:val="left"/>
            </w:pPr>
            <w:bookmarkStart w:id="424" w:name="tbl-appendix-friedman-full"/>
            <w:r>
              <w:t>Table 7.13: Resultados completos de la prueba de Friedman por métrica (</w:t>
            </w:r>
            <m:oMath>
              <m:r>
                <w:rPr>
                  <w:rFonts w:ascii="Cambria Math" w:hAnsi="Cambria Math"/>
                </w:rPr>
                <m:t>α</m:t>
              </m:r>
              <m:r>
                <m:rPr>
                  <m:sty m:val="p"/>
                </m:rPr>
                <w:rPr>
                  <w:rFonts w:ascii="Cambria Math" w:hAnsi="Cambria Math"/>
                </w:rPr>
                <m:t>=</m:t>
              </m:r>
              <m:r>
                <w:rPr>
                  <w:rFonts w:ascii="Cambria Math" w:hAnsi="Cambria Math"/>
                </w:rPr>
                <m:t>0.05</m:t>
              </m:r>
            </m:oMath>
            <w:r>
              <w:t xml:space="preserve">; </w:t>
            </w:r>
            <m:oMath>
              <m:sSubSup>
                <m:sSubSupPr>
                  <m:ctrlPr>
                    <w:rPr>
                      <w:rFonts w:ascii="Cambria Math" w:hAnsi="Cambria Math"/>
                    </w:rPr>
                  </m:ctrlPr>
                </m:sSubSupPr>
                <m:e>
                  <m:r>
                    <w:rPr>
                      <w:rFonts w:ascii="Cambria Math" w:hAnsi="Cambria Math"/>
                    </w:rPr>
                    <m:t>χ</m:t>
                  </m:r>
                </m:e>
                <m:sub>
                  <m:r>
                    <w:rPr>
                      <w:rFonts w:ascii="Cambria Math" w:hAnsi="Cambria Math"/>
                    </w:rPr>
                    <m:t>crit</m:t>
                  </m:r>
                </m:sub>
                <m:sup>
                  <m:r>
                    <w:rPr>
                      <w:rFonts w:ascii="Cambria Math" w:hAnsi="Cambria Math"/>
                    </w:rPr>
                    <m:t>2</m:t>
                  </m:r>
                </m:sup>
              </m:sSubSup>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7.815</m:t>
              </m:r>
            </m:oMath>
            <w:r>
              <w:t xml:space="preserve">). Valores </w:t>
            </w:r>
            <m:oMath>
              <m:r>
                <w:rPr>
                  <w:rFonts w:ascii="Cambria Math" w:hAnsi="Cambria Math"/>
                </w:rPr>
                <m:t>p</m:t>
              </m:r>
            </m:oMath>
            <w:r>
              <w:t xml:space="preserve"> crudos y ajustados extraídos de </w:t>
            </w:r>
            <w:r>
              <w:lastRenderedPageBreak/>
              <w:t xml:space="preserve">outputs/analysis/paper_a_exp2_stats/friedman_results.csv. </w:t>
            </w:r>
          </w:p>
          <w:tbl>
            <w:tblPr>
              <w:tblW w:w="5000" w:type="pct"/>
              <w:tblLayout w:type="fixed"/>
              <w:tblLook w:val="0020" w:firstRow="1" w:lastRow="0" w:firstColumn="0" w:lastColumn="0" w:noHBand="0" w:noVBand="0"/>
            </w:tblPr>
            <w:tblGrid>
              <w:gridCol w:w="1040"/>
              <w:gridCol w:w="1040"/>
              <w:gridCol w:w="1040"/>
              <w:gridCol w:w="1040"/>
              <w:gridCol w:w="1040"/>
              <w:gridCol w:w="1040"/>
              <w:gridCol w:w="1040"/>
              <w:gridCol w:w="1040"/>
              <w:gridCol w:w="1040"/>
            </w:tblGrid>
            <w:tr w:rsidR="00D762DD" w14:paraId="164D26AC" w14:textId="77777777">
              <w:trPr>
                <w:tblHeader/>
              </w:trPr>
              <w:tc>
                <w:tcPr>
                  <w:tcW w:w="879" w:type="dxa"/>
                </w:tcPr>
                <w:p w14:paraId="0576E094" w14:textId="77777777" w:rsidR="00D762DD" w:rsidRDefault="00000000">
                  <w:pPr>
                    <w:jc w:val="center"/>
                  </w:pPr>
                  <w:r>
                    <w:t>Métrica</w:t>
                  </w:r>
                </w:p>
              </w:tc>
              <w:tc>
                <w:tcPr>
                  <w:tcW w:w="879" w:type="dxa"/>
                </w:tcPr>
                <w:p w14:paraId="3C924656" w14:textId="77777777" w:rsidR="00D762DD" w:rsidRDefault="00000000">
                  <w:pPr>
                    <w:jc w:val="center"/>
                  </w:pPr>
                  <m:oMath>
                    <m:r>
                      <w:rPr>
                        <w:rFonts w:ascii="Cambria Math" w:hAnsi="Cambria Math"/>
                      </w:rPr>
                      <m:t>n</m:t>
                    </m:r>
                  </m:oMath>
                  <w:r>
                    <w:t xml:space="preserve"> bloques</w:t>
                  </w:r>
                </w:p>
              </w:tc>
              <w:tc>
                <w:tcPr>
                  <w:tcW w:w="879" w:type="dxa"/>
                </w:tcPr>
                <w:p w14:paraId="52A13066" w14:textId="77777777" w:rsidR="00D762DD" w:rsidRDefault="00000000">
                  <w:pPr>
                    <w:jc w:val="center"/>
                  </w:pPr>
                  <m:oMath>
                    <m:r>
                      <w:rPr>
                        <w:rFonts w:ascii="Cambria Math" w:hAnsi="Cambria Math"/>
                      </w:rPr>
                      <m:t>k</m:t>
                    </m:r>
                  </m:oMath>
                  <w:r>
                    <w:t xml:space="preserve"> métodos</w:t>
                  </w:r>
                </w:p>
              </w:tc>
              <w:tc>
                <w:tcPr>
                  <w:tcW w:w="879" w:type="dxa"/>
                </w:tcPr>
                <w:p w14:paraId="0CCAAD1F" w14:textId="77777777" w:rsidR="00D762DD" w:rsidRDefault="00000000">
                  <w:pPr>
                    <w:jc w:val="center"/>
                  </w:pPr>
                  <m:oMathPara>
                    <m:oMath>
                      <m:sSubSup>
                        <m:sSubSupPr>
                          <m:ctrlPr>
                            <w:rPr>
                              <w:rFonts w:ascii="Cambria Math" w:hAnsi="Cambria Math"/>
                            </w:rPr>
                          </m:ctrlPr>
                        </m:sSubSupPr>
                        <m:e>
                          <m:r>
                            <w:rPr>
                              <w:rFonts w:ascii="Cambria Math" w:hAnsi="Cambria Math"/>
                            </w:rPr>
                            <m:t>χ</m:t>
                          </m:r>
                        </m:e>
                        <m:sub>
                          <m:r>
                            <w:rPr>
                              <w:rFonts w:ascii="Cambria Math" w:hAnsi="Cambria Math"/>
                            </w:rPr>
                            <m:t>F</m:t>
                          </m:r>
                        </m:sub>
                        <m:sup>
                          <m:r>
                            <w:rPr>
                              <w:rFonts w:ascii="Cambria Math" w:hAnsi="Cambria Math"/>
                            </w:rPr>
                            <m:t>2</m:t>
                          </m:r>
                        </m:sup>
                      </m:sSubSup>
                    </m:oMath>
                  </m:oMathPara>
                </w:p>
              </w:tc>
              <w:tc>
                <w:tcPr>
                  <w:tcW w:w="879" w:type="dxa"/>
                </w:tcPr>
                <w:p w14:paraId="56603F99" w14:textId="77777777" w:rsidR="00D762DD" w:rsidRDefault="00000000">
                  <w:pPr>
                    <w:jc w:val="center"/>
                  </w:pPr>
                  <m:oMathPara>
                    <m:oMath>
                      <m:r>
                        <w:rPr>
                          <w:rFonts w:ascii="Cambria Math" w:hAnsi="Cambria Math"/>
                        </w:rPr>
                        <m:t>gl</m:t>
                      </m:r>
                    </m:oMath>
                  </m:oMathPara>
                </w:p>
              </w:tc>
              <w:tc>
                <w:tcPr>
                  <w:tcW w:w="879" w:type="dxa"/>
                </w:tcPr>
                <w:p w14:paraId="4574B968" w14:textId="77777777" w:rsidR="00D762DD" w:rsidRDefault="00000000">
                  <w:pPr>
                    <w:jc w:val="center"/>
                  </w:pPr>
                  <m:oMath>
                    <m:r>
                      <w:rPr>
                        <w:rFonts w:ascii="Cambria Math" w:hAnsi="Cambria Math"/>
                      </w:rPr>
                      <m:t>p</m:t>
                    </m:r>
                  </m:oMath>
                  <w:r>
                    <w:t xml:space="preserve"> (crudo)</w:t>
                  </w:r>
                </w:p>
              </w:tc>
              <w:tc>
                <w:tcPr>
                  <w:tcW w:w="879" w:type="dxa"/>
                </w:tcPr>
                <w:p w14:paraId="29F9A90B" w14:textId="77777777" w:rsidR="00D762DD" w:rsidRDefault="00000000">
                  <w:pPr>
                    <w:jc w:val="center"/>
                  </w:pPr>
                  <m:oMathPara>
                    <m:oMath>
                      <m:sSub>
                        <m:sSubPr>
                          <m:ctrlPr>
                            <w:rPr>
                              <w:rFonts w:ascii="Cambria Math" w:hAnsi="Cambria Math"/>
                            </w:rPr>
                          </m:ctrlPr>
                        </m:sSubPr>
                        <m:e>
                          <m:r>
                            <w:rPr>
                              <w:rFonts w:ascii="Cambria Math" w:hAnsi="Cambria Math"/>
                            </w:rPr>
                            <m:t>p</m:t>
                          </m:r>
                        </m:e>
                        <m:sub>
                          <m:r>
                            <m:rPr>
                              <m:sty m:val="p"/>
                            </m:rPr>
                            <w:rPr>
                              <w:rFonts w:ascii="Cambria Math" w:hAnsi="Cambria Math"/>
                            </w:rPr>
                            <m:t>Holm</m:t>
                          </m:r>
                        </m:sub>
                      </m:sSub>
                    </m:oMath>
                  </m:oMathPara>
                </w:p>
              </w:tc>
              <w:tc>
                <w:tcPr>
                  <w:tcW w:w="879" w:type="dxa"/>
                </w:tcPr>
                <w:p w14:paraId="69D6D1CD" w14:textId="77777777" w:rsidR="00D762DD" w:rsidRDefault="00000000">
                  <w:pPr>
                    <w:jc w:val="center"/>
                  </w:pPr>
                  <w:r>
                    <w:t xml:space="preserve">Kendall </w:t>
                  </w:r>
                  <m:oMath>
                    <m:r>
                      <w:rPr>
                        <w:rFonts w:ascii="Cambria Math" w:hAnsi="Cambria Math"/>
                      </w:rPr>
                      <m:t>W</m:t>
                    </m:r>
                  </m:oMath>
                </w:p>
              </w:tc>
              <w:tc>
                <w:tcPr>
                  <w:tcW w:w="879" w:type="dxa"/>
                </w:tcPr>
                <w:p w14:paraId="713B9843" w14:textId="77777777" w:rsidR="00D762DD" w:rsidRDefault="00000000">
                  <w:pPr>
                    <w:jc w:val="center"/>
                  </w:pPr>
                  <w:r>
                    <w:t>Decisión</w:t>
                  </w:r>
                </w:p>
              </w:tc>
            </w:tr>
            <w:tr w:rsidR="00D762DD" w14:paraId="58865E3B" w14:textId="77777777">
              <w:tc>
                <w:tcPr>
                  <w:tcW w:w="879" w:type="dxa"/>
                </w:tcPr>
                <w:p w14:paraId="28D1505B" w14:textId="77777777" w:rsidR="00D762DD" w:rsidRDefault="00000000">
                  <w:pPr>
                    <w:jc w:val="center"/>
                  </w:pPr>
                  <w:r>
                    <w:t>Fidelidad</w:t>
                  </w:r>
                </w:p>
              </w:tc>
              <w:tc>
                <w:tcPr>
                  <w:tcW w:w="879" w:type="dxa"/>
                </w:tcPr>
                <w:p w14:paraId="01046B8F" w14:textId="77777777" w:rsidR="00D762DD" w:rsidRDefault="00000000">
                  <w:pPr>
                    <w:jc w:val="center"/>
                  </w:pPr>
                  <w:r>
                    <w:t>15</w:t>
                  </w:r>
                </w:p>
              </w:tc>
              <w:tc>
                <w:tcPr>
                  <w:tcW w:w="879" w:type="dxa"/>
                </w:tcPr>
                <w:p w14:paraId="219EFEC7" w14:textId="77777777" w:rsidR="00D762DD" w:rsidRDefault="00000000">
                  <w:pPr>
                    <w:jc w:val="center"/>
                  </w:pPr>
                  <w:r>
                    <w:t>4</w:t>
                  </w:r>
                </w:p>
              </w:tc>
              <w:tc>
                <w:tcPr>
                  <w:tcW w:w="879" w:type="dxa"/>
                </w:tcPr>
                <w:p w14:paraId="6BA0EA1D" w14:textId="77777777" w:rsidR="00D762DD" w:rsidRDefault="00000000">
                  <w:pPr>
                    <w:jc w:val="center"/>
                  </w:pPr>
                  <w:r>
                    <w:t>42.12</w:t>
                  </w:r>
                </w:p>
              </w:tc>
              <w:tc>
                <w:tcPr>
                  <w:tcW w:w="879" w:type="dxa"/>
                </w:tcPr>
                <w:p w14:paraId="17424D5E" w14:textId="77777777" w:rsidR="00D762DD" w:rsidRDefault="00000000">
                  <w:pPr>
                    <w:jc w:val="center"/>
                  </w:pPr>
                  <w:r>
                    <w:t>3</w:t>
                  </w:r>
                </w:p>
              </w:tc>
              <w:tc>
                <w:tcPr>
                  <w:tcW w:w="879" w:type="dxa"/>
                </w:tcPr>
                <w:p w14:paraId="659EBD87" w14:textId="77777777" w:rsidR="00D762DD" w:rsidRDefault="00000000">
                  <w:pPr>
                    <w:jc w:val="center"/>
                  </w:pPr>
                  <m:oMathPara>
                    <m:oMath>
                      <m:r>
                        <w:rPr>
                          <w:rFonts w:ascii="Cambria Math" w:hAnsi="Cambria Math"/>
                        </w:rPr>
                        <m:t>3.78</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9</m:t>
                          </m:r>
                        </m:sup>
                      </m:sSup>
                    </m:oMath>
                  </m:oMathPara>
                </w:p>
              </w:tc>
              <w:tc>
                <w:tcPr>
                  <w:tcW w:w="879" w:type="dxa"/>
                </w:tcPr>
                <w:p w14:paraId="15D9CE98" w14:textId="77777777" w:rsidR="00D762DD" w:rsidRDefault="00000000">
                  <w:pPr>
                    <w:jc w:val="center"/>
                  </w:pPr>
                  <m:oMathPara>
                    <m:oMath>
                      <m:r>
                        <w:rPr>
                          <w:rFonts w:ascii="Cambria Math" w:hAnsi="Cambria Math"/>
                        </w:rPr>
                        <m:t>1.51</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8</m:t>
                          </m:r>
                        </m:sup>
                      </m:sSup>
                    </m:oMath>
                  </m:oMathPara>
                </w:p>
              </w:tc>
              <w:tc>
                <w:tcPr>
                  <w:tcW w:w="879" w:type="dxa"/>
                </w:tcPr>
                <w:p w14:paraId="5FD75BEF" w14:textId="77777777" w:rsidR="00D762DD" w:rsidRDefault="00000000">
                  <w:pPr>
                    <w:jc w:val="center"/>
                  </w:pPr>
                  <w:r>
                    <w:t>0.936</w:t>
                  </w:r>
                </w:p>
              </w:tc>
              <w:tc>
                <w:tcPr>
                  <w:tcW w:w="879" w:type="dxa"/>
                </w:tcPr>
                <w:p w14:paraId="63EEBAEF" w14:textId="77777777" w:rsidR="00D762DD" w:rsidRDefault="00000000">
                  <w:pPr>
                    <w:jc w:val="center"/>
                  </w:pPr>
                  <w:r>
                    <w:t xml:space="preserve">Rechazar </w:t>
                  </w:r>
                  <m:oMath>
                    <m:sSub>
                      <m:sSubPr>
                        <m:ctrlPr>
                          <w:rPr>
                            <w:rFonts w:ascii="Cambria Math" w:hAnsi="Cambria Math"/>
                          </w:rPr>
                        </m:ctrlPr>
                      </m:sSubPr>
                      <m:e>
                        <m:r>
                          <w:rPr>
                            <w:rFonts w:ascii="Cambria Math" w:hAnsi="Cambria Math"/>
                          </w:rPr>
                          <m:t>H</m:t>
                        </m:r>
                      </m:e>
                      <m:sub>
                        <m:r>
                          <w:rPr>
                            <w:rFonts w:ascii="Cambria Math" w:hAnsi="Cambria Math"/>
                          </w:rPr>
                          <m:t>0</m:t>
                        </m:r>
                        <m:r>
                          <m:rPr>
                            <m:sty m:val="p"/>
                          </m:rPr>
                          <w:rPr>
                            <w:rFonts w:ascii="Cambria Math" w:hAnsi="Cambria Math"/>
                          </w:rPr>
                          <m:t>,</m:t>
                        </m:r>
                        <m:r>
                          <w:rPr>
                            <w:rFonts w:ascii="Cambria Math" w:hAnsi="Cambria Math"/>
                          </w:rPr>
                          <m:t>1</m:t>
                        </m:r>
                      </m:sub>
                    </m:sSub>
                  </m:oMath>
                </w:p>
              </w:tc>
            </w:tr>
            <w:tr w:rsidR="00D762DD" w14:paraId="0EB58998" w14:textId="77777777">
              <w:tc>
                <w:tcPr>
                  <w:tcW w:w="879" w:type="dxa"/>
                </w:tcPr>
                <w:p w14:paraId="35D9DD7E" w14:textId="77777777" w:rsidR="00D762DD" w:rsidRDefault="00000000">
                  <w:pPr>
                    <w:jc w:val="center"/>
                  </w:pPr>
                  <w:r>
                    <w:t>Estabilidad</w:t>
                  </w:r>
                </w:p>
              </w:tc>
              <w:tc>
                <w:tcPr>
                  <w:tcW w:w="879" w:type="dxa"/>
                </w:tcPr>
                <w:p w14:paraId="0212FF5F" w14:textId="77777777" w:rsidR="00D762DD" w:rsidRDefault="00000000">
                  <w:pPr>
                    <w:jc w:val="center"/>
                  </w:pPr>
                  <w:r>
                    <w:t>15</w:t>
                  </w:r>
                </w:p>
              </w:tc>
              <w:tc>
                <w:tcPr>
                  <w:tcW w:w="879" w:type="dxa"/>
                </w:tcPr>
                <w:p w14:paraId="2DDB95C3" w14:textId="77777777" w:rsidR="00D762DD" w:rsidRDefault="00000000">
                  <w:pPr>
                    <w:jc w:val="center"/>
                  </w:pPr>
                  <w:r>
                    <w:t>4</w:t>
                  </w:r>
                </w:p>
              </w:tc>
              <w:tc>
                <w:tcPr>
                  <w:tcW w:w="879" w:type="dxa"/>
                </w:tcPr>
                <w:p w14:paraId="5C0D20CC" w14:textId="77777777" w:rsidR="00D762DD" w:rsidRDefault="00000000">
                  <w:pPr>
                    <w:jc w:val="center"/>
                  </w:pPr>
                  <w:r>
                    <w:t>40.68</w:t>
                  </w:r>
                </w:p>
              </w:tc>
              <w:tc>
                <w:tcPr>
                  <w:tcW w:w="879" w:type="dxa"/>
                </w:tcPr>
                <w:p w14:paraId="7EB02379" w14:textId="77777777" w:rsidR="00D762DD" w:rsidRDefault="00000000">
                  <w:pPr>
                    <w:jc w:val="center"/>
                  </w:pPr>
                  <w:r>
                    <w:t>3</w:t>
                  </w:r>
                </w:p>
              </w:tc>
              <w:tc>
                <w:tcPr>
                  <w:tcW w:w="879" w:type="dxa"/>
                </w:tcPr>
                <w:p w14:paraId="464DD257" w14:textId="77777777" w:rsidR="00D762DD" w:rsidRDefault="00000000">
                  <w:pPr>
                    <w:jc w:val="center"/>
                  </w:pPr>
                  <m:oMathPara>
                    <m:oMath>
                      <m:r>
                        <w:rPr>
                          <w:rFonts w:ascii="Cambria Math" w:hAnsi="Cambria Math"/>
                        </w:rPr>
                        <m:t>7.65</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9</m:t>
                          </m:r>
                        </m:sup>
                      </m:sSup>
                    </m:oMath>
                  </m:oMathPara>
                </w:p>
              </w:tc>
              <w:tc>
                <w:tcPr>
                  <w:tcW w:w="879" w:type="dxa"/>
                </w:tcPr>
                <w:p w14:paraId="328B3756" w14:textId="77777777" w:rsidR="00D762DD" w:rsidRDefault="00000000">
                  <w:pPr>
                    <w:jc w:val="center"/>
                  </w:pPr>
                  <m:oMathPara>
                    <m:oMath>
                      <m:r>
                        <w:rPr>
                          <w:rFonts w:ascii="Cambria Math" w:hAnsi="Cambria Math"/>
                        </w:rPr>
                        <m:t>2.29</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8</m:t>
                          </m:r>
                        </m:sup>
                      </m:sSup>
                    </m:oMath>
                  </m:oMathPara>
                </w:p>
              </w:tc>
              <w:tc>
                <w:tcPr>
                  <w:tcW w:w="879" w:type="dxa"/>
                </w:tcPr>
                <w:p w14:paraId="21D6AF04" w14:textId="77777777" w:rsidR="00D762DD" w:rsidRDefault="00000000">
                  <w:pPr>
                    <w:jc w:val="center"/>
                  </w:pPr>
                  <w:r>
                    <w:t>0.904</w:t>
                  </w:r>
                </w:p>
              </w:tc>
              <w:tc>
                <w:tcPr>
                  <w:tcW w:w="879" w:type="dxa"/>
                </w:tcPr>
                <w:p w14:paraId="4404FEF3" w14:textId="77777777" w:rsidR="00D762DD" w:rsidRDefault="00000000">
                  <w:pPr>
                    <w:jc w:val="center"/>
                  </w:pPr>
                  <w:r>
                    <w:t xml:space="preserve">Rechazar </w:t>
                  </w:r>
                  <m:oMath>
                    <m:sSub>
                      <m:sSubPr>
                        <m:ctrlPr>
                          <w:rPr>
                            <w:rFonts w:ascii="Cambria Math" w:hAnsi="Cambria Math"/>
                          </w:rPr>
                        </m:ctrlPr>
                      </m:sSubPr>
                      <m:e>
                        <m:r>
                          <w:rPr>
                            <w:rFonts w:ascii="Cambria Math" w:hAnsi="Cambria Math"/>
                          </w:rPr>
                          <m:t>H</m:t>
                        </m:r>
                      </m:e>
                      <m:sub>
                        <m:r>
                          <w:rPr>
                            <w:rFonts w:ascii="Cambria Math" w:hAnsi="Cambria Math"/>
                          </w:rPr>
                          <m:t>0</m:t>
                        </m:r>
                        <m:r>
                          <m:rPr>
                            <m:sty m:val="p"/>
                          </m:rPr>
                          <w:rPr>
                            <w:rFonts w:ascii="Cambria Math" w:hAnsi="Cambria Math"/>
                          </w:rPr>
                          <m:t>,</m:t>
                        </m:r>
                        <m:r>
                          <w:rPr>
                            <w:rFonts w:ascii="Cambria Math" w:hAnsi="Cambria Math"/>
                          </w:rPr>
                          <m:t>2</m:t>
                        </m:r>
                      </m:sub>
                    </m:sSub>
                  </m:oMath>
                </w:p>
              </w:tc>
            </w:tr>
            <w:bookmarkEnd w:id="424"/>
          </w:tbl>
          <w:p w14:paraId="656C5379" w14:textId="77777777" w:rsidR="00D762DD" w:rsidRDefault="00D762DD"/>
        </w:tc>
      </w:tr>
    </w:tbl>
    <w:p w14:paraId="1B442CC5" w14:textId="77777777" w:rsidR="00D762DD" w:rsidRDefault="00000000">
      <w:pPr>
        <w:pStyle w:val="BodyText"/>
      </w:pPr>
      <w:r>
        <w:lastRenderedPageBreak/>
        <w:t xml:space="preserve">Valor crítico para </w:t>
      </w:r>
      <m:oMath>
        <m:r>
          <w:rPr>
            <w:rFonts w:ascii="Cambria Math" w:hAnsi="Cambria Math"/>
          </w:rPr>
          <m:t>α</m:t>
        </m:r>
        <m:r>
          <m:rPr>
            <m:sty m:val="p"/>
          </m:rPr>
          <w:rPr>
            <w:rFonts w:ascii="Cambria Math" w:hAnsi="Cambria Math"/>
          </w:rPr>
          <m:t>=</m:t>
        </m:r>
        <m:r>
          <w:rPr>
            <w:rFonts w:ascii="Cambria Math" w:hAnsi="Cambria Math"/>
          </w:rPr>
          <m:t>0.05</m:t>
        </m:r>
      </m:oMath>
      <w:r>
        <w:t xml:space="preserve">, </w:t>
      </w:r>
      <m:oMath>
        <m:r>
          <w:rPr>
            <w:rFonts w:ascii="Cambria Math" w:hAnsi="Cambria Math"/>
          </w:rPr>
          <m:t>gl</m:t>
        </m:r>
        <m:r>
          <m:rPr>
            <m:sty m:val="p"/>
          </m:rPr>
          <w:rPr>
            <w:rFonts w:ascii="Cambria Math" w:hAnsi="Cambria Math"/>
          </w:rPr>
          <m:t>=</m:t>
        </m:r>
        <m:r>
          <w:rPr>
            <w:rFonts w:ascii="Cambria Math" w:hAnsi="Cambria Math"/>
          </w:rPr>
          <m:t>3</m:t>
        </m:r>
      </m:oMath>
      <w:r>
        <w:t xml:space="preserve">: </w:t>
      </w:r>
      <m:oMath>
        <m:sSubSup>
          <m:sSubSupPr>
            <m:ctrlPr>
              <w:rPr>
                <w:rFonts w:ascii="Cambria Math" w:hAnsi="Cambria Math"/>
              </w:rPr>
            </m:ctrlPr>
          </m:sSubSupPr>
          <m:e>
            <m:r>
              <w:rPr>
                <w:rFonts w:ascii="Cambria Math" w:hAnsi="Cambria Math"/>
              </w:rPr>
              <m:t>χ</m:t>
            </m:r>
          </m:e>
          <m:sub>
            <m:r>
              <w:rPr>
                <w:rFonts w:ascii="Cambria Math" w:hAnsi="Cambria Math"/>
              </w:rPr>
              <m:t>crit</m:t>
            </m:r>
          </m:sub>
          <m:sup>
            <m:r>
              <w:rPr>
                <w:rFonts w:ascii="Cambria Math" w:hAnsi="Cambria Math"/>
              </w:rPr>
              <m:t>2</m:t>
            </m:r>
          </m:sup>
        </m:sSubSup>
        <m:r>
          <m:rPr>
            <m:sty m:val="p"/>
          </m:rPr>
          <w:rPr>
            <w:rFonts w:ascii="Cambria Math" w:hAnsi="Cambria Math"/>
          </w:rPr>
          <m:t>=</m:t>
        </m:r>
        <m:r>
          <w:rPr>
            <w:rFonts w:ascii="Cambria Math" w:hAnsi="Cambria Math"/>
          </w:rPr>
          <m:t>7.815</m:t>
        </m:r>
      </m:oMath>
      <w:r>
        <w:t xml:space="preserve">. Margen de seguridad: fidelidad = 439%, estabilidad = 421%. La corrección Holm-Bonferroni se aplica sobre la familia inferencial completa </w:t>
      </w:r>
      <w:proofErr w:type="gramStart"/>
      <w:r>
        <w:t>del test</w:t>
      </w:r>
      <w:proofErr w:type="gramEnd"/>
      <w:r>
        <w:t xml:space="preserve"> omnibus —las cinco métricas primarias evaluadas mediante Friedman, conforme al plan declarado en la </w:t>
      </w:r>
      <w:hyperlink w:anchor="tbl-stat-plan">
        <w:r>
          <w:rPr>
            <w:rStyle w:val="Hyperlink"/>
          </w:rPr>
          <w:t>Table 4.6</w:t>
        </w:r>
      </w:hyperlink>
      <w:r>
        <w:t xml:space="preserve"> del Capítulo 3— y no únicamente sobre H1 y H2. El factor de ajuste correspondiente a cada métrica depende, por tanto, de su posición en el orden creciente de los cinco valores </w:t>
      </w:r>
      <m:oMath>
        <m:r>
          <w:rPr>
            <w:rFonts w:ascii="Cambria Math" w:hAnsi="Cambria Math"/>
          </w:rPr>
          <m:t>p</m:t>
        </m:r>
      </m:oMath>
      <w:r>
        <w:t xml:space="preserve">: la fidelidad, con el </w:t>
      </w:r>
      <m:oMath>
        <m:r>
          <w:rPr>
            <w:rFonts w:ascii="Cambria Math" w:hAnsi="Cambria Math"/>
          </w:rPr>
          <m:t>p</m:t>
        </m:r>
      </m:oMath>
      <w:r>
        <w:t xml:space="preserve"> crudo menor, recibe el factor </w:t>
      </w:r>
      <m:oMath>
        <m:r>
          <w:rPr>
            <w:rFonts w:ascii="Cambria Math" w:hAnsi="Cambria Math"/>
          </w:rPr>
          <m:t>m</m:t>
        </m:r>
        <m:r>
          <m:rPr>
            <m:sty m:val="p"/>
          </m:rPr>
          <w:rPr>
            <w:rFonts w:ascii="Cambria Math" w:hAnsi="Cambria Math"/>
          </w:rPr>
          <m:t>=</m:t>
        </m:r>
        <m:r>
          <w:rPr>
            <w:rFonts w:ascii="Cambria Math" w:hAnsi="Cambria Math"/>
          </w:rPr>
          <m:t>4</m:t>
        </m:r>
      </m:oMath>
      <w:r>
        <w:t xml:space="preserve"> (</w:t>
      </w:r>
      <m:oMath>
        <m:r>
          <w:rPr>
            <w:rFonts w:ascii="Cambria Math" w:hAnsi="Cambria Math"/>
          </w:rPr>
          <m:t>3.78</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9</m:t>
            </m:r>
          </m:sup>
        </m:sSup>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1.51</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8</m:t>
            </m:r>
          </m:sup>
        </m:sSup>
      </m:oMath>
      <w:r>
        <w:t xml:space="preserve">) y la estabilidad, la siguiente en orden, el factor </w:t>
      </w:r>
      <m:oMath>
        <m:r>
          <w:rPr>
            <w:rFonts w:ascii="Cambria Math" w:hAnsi="Cambria Math"/>
          </w:rPr>
          <m:t>m</m:t>
        </m:r>
        <m:r>
          <m:rPr>
            <m:sty m:val="p"/>
          </m:rPr>
          <w:rPr>
            <w:rFonts w:ascii="Cambria Math" w:hAnsi="Cambria Math"/>
          </w:rPr>
          <m:t>=</m:t>
        </m:r>
        <m:r>
          <w:rPr>
            <w:rFonts w:ascii="Cambria Math" w:hAnsi="Cambria Math"/>
          </w:rPr>
          <m:t>3</m:t>
        </m:r>
      </m:oMath>
      <w:r>
        <w:t xml:space="preserve"> (</w:t>
      </w:r>
      <m:oMath>
        <m:r>
          <w:rPr>
            <w:rFonts w:ascii="Cambria Math" w:hAnsi="Cambria Math"/>
          </w:rPr>
          <m:t>7.65</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9</m:t>
            </m:r>
          </m:sup>
        </m:sSup>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2.29</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8</m:t>
            </m:r>
          </m:sup>
        </m:sSup>
      </m:oMath>
      <w:r>
        <w:t>). Ambas hipótesis permanecen significativas tras la corrección con varios órdenes de magnitud de margen.</w:t>
      </w:r>
    </w:p>
    <w:p w14:paraId="21763F9C" w14:textId="77777777" w:rsidR="00D762DD" w:rsidRDefault="00000000">
      <w:pPr>
        <w:pStyle w:val="Heading3"/>
      </w:pPr>
      <w:bookmarkStart w:id="425" w:name="Xf81def15ac0599a341fc59b4e423bbf643d253b"/>
      <w:bookmarkStart w:id="426" w:name="_Toc238925818"/>
      <w:bookmarkEnd w:id="422"/>
      <w:r>
        <w:t xml:space="preserve">D.2 Comparaciones </w:t>
      </w:r>
      <w:proofErr w:type="spellStart"/>
      <w:r>
        <w:t>post-hoc</w:t>
      </w:r>
      <w:proofErr w:type="spellEnd"/>
      <w:r>
        <w:t xml:space="preserve"> de </w:t>
      </w:r>
      <w:proofErr w:type="spellStart"/>
      <w:r>
        <w:t>Nemenyi</w:t>
      </w:r>
      <w:proofErr w:type="spellEnd"/>
      <w:r>
        <w:t xml:space="preserve"> (fidelidad y estabilidad)</w:t>
      </w:r>
      <w:bookmarkEnd w:id="426"/>
    </w:p>
    <w:p w14:paraId="5073066F" w14:textId="77777777" w:rsidR="00D762DD" w:rsidRDefault="00000000">
      <w:r>
        <w:t xml:space="preserve">La diferencia crítica para </w:t>
      </w:r>
      <m:oMath>
        <m:r>
          <w:rPr>
            <w:rFonts w:ascii="Cambria Math" w:hAnsi="Cambria Math"/>
          </w:rPr>
          <m:t>k</m:t>
        </m:r>
        <m:r>
          <m:rPr>
            <m:sty m:val="p"/>
          </m:rPr>
          <w:rPr>
            <w:rFonts w:ascii="Cambria Math" w:hAnsi="Cambria Math"/>
          </w:rPr>
          <m:t>=</m:t>
        </m:r>
        <m:r>
          <w:rPr>
            <w:rFonts w:ascii="Cambria Math" w:hAnsi="Cambria Math"/>
          </w:rPr>
          <m:t>4</m:t>
        </m:r>
      </m:oMath>
      <w:r>
        <w:t xml:space="preserve">, </w:t>
      </w:r>
      <m:oMath>
        <m:r>
          <w:rPr>
            <w:rFonts w:ascii="Cambria Math" w:hAnsi="Cambria Math"/>
          </w:rPr>
          <m:t>n</m:t>
        </m:r>
        <m:r>
          <m:rPr>
            <m:sty m:val="p"/>
          </m:rPr>
          <w:rPr>
            <w:rFonts w:ascii="Cambria Math" w:hAnsi="Cambria Math"/>
          </w:rPr>
          <m:t>=</m:t>
        </m:r>
        <m:r>
          <w:rPr>
            <w:rFonts w:ascii="Cambria Math" w:hAnsi="Cambria Math"/>
          </w:rPr>
          <m:t>15</m:t>
        </m:r>
      </m:oMath>
      <w:r>
        <w:t xml:space="preserve">, </w:t>
      </w:r>
      <m:oMath>
        <m:r>
          <w:rPr>
            <w:rFonts w:ascii="Cambria Math" w:hAnsi="Cambria Math"/>
          </w:rPr>
          <m:t>α</m:t>
        </m:r>
        <m:r>
          <m:rPr>
            <m:sty m:val="p"/>
          </m:rPr>
          <w:rPr>
            <w:rFonts w:ascii="Cambria Math" w:hAnsi="Cambria Math"/>
          </w:rPr>
          <m:t>=</m:t>
        </m:r>
        <m:r>
          <w:rPr>
            <w:rFonts w:ascii="Cambria Math" w:hAnsi="Cambria Math"/>
          </w:rPr>
          <m:t>0.05</m:t>
        </m:r>
      </m:oMath>
      <w:r>
        <w:t xml:space="preserve"> es </w:t>
      </w:r>
      <m:oMath>
        <m:r>
          <w:rPr>
            <w:rFonts w:ascii="Cambria Math" w:hAnsi="Cambria Math"/>
          </w:rPr>
          <m:t>CD</m:t>
        </m:r>
        <m:r>
          <m:rPr>
            <m:sty m:val="p"/>
          </m:rPr>
          <w:rPr>
            <w:rFonts w:ascii="Cambria Math" w:hAnsi="Cambria Math"/>
          </w:rPr>
          <m:t>=</m:t>
        </m:r>
        <m:r>
          <w:rPr>
            <w:rFonts w:ascii="Cambria Math" w:hAnsi="Cambria Math"/>
          </w:rPr>
          <m:t>1.211</m:t>
        </m:r>
      </m:oMath>
      <w:r>
        <w:t xml:space="preserve"> en ambas métricas.</w:t>
      </w:r>
    </w:p>
    <w:tbl>
      <w:tblPr>
        <w:tblW w:w="5000" w:type="pct"/>
        <w:tblLayout w:type="fixed"/>
        <w:tblLook w:val="0000" w:firstRow="0" w:lastRow="0" w:firstColumn="0" w:lastColumn="0" w:noHBand="0" w:noVBand="0"/>
      </w:tblPr>
      <w:tblGrid>
        <w:gridCol w:w="9576"/>
      </w:tblGrid>
      <w:tr w:rsidR="00D762DD" w14:paraId="54411BD6" w14:textId="77777777">
        <w:tc>
          <w:tcPr>
            <w:tcW w:w="7920" w:type="dxa"/>
          </w:tcPr>
          <w:p w14:paraId="67CAA418" w14:textId="77777777" w:rsidR="00D762DD" w:rsidRDefault="00000000">
            <w:pPr>
              <w:spacing w:before="200"/>
              <w:jc w:val="left"/>
            </w:pPr>
            <w:bookmarkStart w:id="427" w:name="tbl-appendix-nemenyi-full"/>
            <w:r>
              <w:t xml:space="preserve">Table 7.14: Comparaciones </w:t>
            </w:r>
            <w:proofErr w:type="spellStart"/>
            <w:r>
              <w:t>post-hoc</w:t>
            </w:r>
            <w:proofErr w:type="spellEnd"/>
            <w:r>
              <w:t xml:space="preserve"> de </w:t>
            </w:r>
            <w:proofErr w:type="spellStart"/>
            <w:r>
              <w:t>Nemenyi</w:t>
            </w:r>
            <w:proofErr w:type="spellEnd"/>
            <w:r>
              <w:t xml:space="preserve"> con diferencias en rangos medios para fidelidad y estabilidad. La diferencia crítica </w:t>
            </w:r>
            <m:oMath>
              <m:r>
                <w:rPr>
                  <w:rFonts w:ascii="Cambria Math" w:hAnsi="Cambria Math"/>
                </w:rPr>
                <m:t>CD</m:t>
              </m:r>
              <m:r>
                <m:rPr>
                  <m:sty m:val="p"/>
                </m:rPr>
                <w:rPr>
                  <w:rFonts w:ascii="Cambria Math" w:hAnsi="Cambria Math"/>
                </w:rPr>
                <m:t>=</m:t>
              </m:r>
              <m:r>
                <w:rPr>
                  <w:rFonts w:ascii="Cambria Math" w:hAnsi="Cambria Math"/>
                </w:rPr>
                <m:t>1.211</m:t>
              </m:r>
            </m:oMath>
            <w:r>
              <w:t>.</w:t>
            </w:r>
          </w:p>
          <w:tbl>
            <w:tblPr>
              <w:tblW w:w="5000" w:type="pct"/>
              <w:tblLayout w:type="fixed"/>
              <w:tblLook w:val="0020" w:firstRow="1" w:lastRow="0" w:firstColumn="0" w:lastColumn="0" w:noHBand="0" w:noVBand="0"/>
            </w:tblPr>
            <w:tblGrid>
              <w:gridCol w:w="1872"/>
              <w:gridCol w:w="1872"/>
              <w:gridCol w:w="1872"/>
              <w:gridCol w:w="1872"/>
              <w:gridCol w:w="1872"/>
            </w:tblGrid>
            <w:tr w:rsidR="00D762DD" w14:paraId="6720F9D6" w14:textId="77777777">
              <w:trPr>
                <w:tblHeader/>
              </w:trPr>
              <w:tc>
                <w:tcPr>
                  <w:tcW w:w="1584" w:type="dxa"/>
                </w:tcPr>
                <w:p w14:paraId="64060967" w14:textId="77777777" w:rsidR="00D762DD" w:rsidRDefault="00000000">
                  <w:pPr>
                    <w:jc w:val="center"/>
                  </w:pPr>
                  <w:r>
                    <w:t>Par de métodos</w:t>
                  </w:r>
                </w:p>
              </w:tc>
              <w:tc>
                <w:tcPr>
                  <w:tcW w:w="1584" w:type="dxa"/>
                </w:tcPr>
                <w:p w14:paraId="56A3A8B5" w14:textId="77777777" w:rsidR="00D762DD" w:rsidRDefault="00000000">
                  <w:pPr>
                    <w:jc w:val="center"/>
                  </w:pPr>
                  <m:oMath>
                    <m:sSub>
                      <m:sSubPr>
                        <m:ctrlPr>
                          <w:rPr>
                            <w:rFonts w:ascii="Cambria Math" w:hAnsi="Cambria Math"/>
                          </w:rPr>
                        </m:ctrlPr>
                      </m:sSubPr>
                      <m:e>
                        <m:r>
                          <w:rPr>
                            <w:rFonts w:ascii="Cambria Math" w:hAnsi="Cambria Math"/>
                          </w:rPr>
                          <m:t>R</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j</m:t>
                        </m:r>
                      </m:sub>
                    </m:sSub>
                  </m:oMath>
                  <w:r>
                    <w:t xml:space="preserve"> (fidelidad)</w:t>
                  </w:r>
                </w:p>
              </w:tc>
              <w:tc>
                <w:tcPr>
                  <w:tcW w:w="1584" w:type="dxa"/>
                </w:tcPr>
                <w:p w14:paraId="5F8BFDFF" w14:textId="77777777" w:rsidR="00D762DD" w:rsidRDefault="00000000">
                  <w:pPr>
                    <w:jc w:val="center"/>
                  </w:pPr>
                  <w:proofErr w:type="spellStart"/>
                  <w:r>
                    <w:t>Signif</w:t>
                  </w:r>
                  <w:proofErr w:type="spellEnd"/>
                  <w:r>
                    <w:t>. (fidelidad)</w:t>
                  </w:r>
                </w:p>
              </w:tc>
              <w:tc>
                <w:tcPr>
                  <w:tcW w:w="1584" w:type="dxa"/>
                </w:tcPr>
                <w:p w14:paraId="189BFC1A" w14:textId="77777777" w:rsidR="00D762DD" w:rsidRDefault="00000000">
                  <w:pPr>
                    <w:jc w:val="center"/>
                  </w:pPr>
                  <m:oMath>
                    <m:sSub>
                      <m:sSubPr>
                        <m:ctrlPr>
                          <w:rPr>
                            <w:rFonts w:ascii="Cambria Math" w:hAnsi="Cambria Math"/>
                          </w:rPr>
                        </m:ctrlPr>
                      </m:sSubPr>
                      <m:e>
                        <m:r>
                          <w:rPr>
                            <w:rFonts w:ascii="Cambria Math" w:hAnsi="Cambria Math"/>
                          </w:rPr>
                          <m:t>R</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j</m:t>
                        </m:r>
                      </m:sub>
                    </m:sSub>
                  </m:oMath>
                  <w:r>
                    <w:t xml:space="preserve"> (estabilidad)</w:t>
                  </w:r>
                </w:p>
              </w:tc>
              <w:tc>
                <w:tcPr>
                  <w:tcW w:w="1584" w:type="dxa"/>
                </w:tcPr>
                <w:p w14:paraId="33232A78" w14:textId="77777777" w:rsidR="00D762DD" w:rsidRDefault="00000000">
                  <w:pPr>
                    <w:jc w:val="center"/>
                  </w:pPr>
                  <w:proofErr w:type="spellStart"/>
                  <w:r>
                    <w:t>Signif</w:t>
                  </w:r>
                  <w:proofErr w:type="spellEnd"/>
                  <w:r>
                    <w:t>. (estabilidad)</w:t>
                  </w:r>
                </w:p>
              </w:tc>
            </w:tr>
            <w:tr w:rsidR="00D762DD" w14:paraId="5F57A58E" w14:textId="77777777">
              <w:tc>
                <w:tcPr>
                  <w:tcW w:w="1584" w:type="dxa"/>
                </w:tcPr>
                <w:p w14:paraId="771D6214" w14:textId="77777777" w:rsidR="00D762DD" w:rsidRDefault="00000000">
                  <w:pPr>
                    <w:jc w:val="center"/>
                  </w:pPr>
                  <w:r>
                    <w:t>SHAP vs. LIME</w:t>
                  </w:r>
                </w:p>
              </w:tc>
              <w:tc>
                <w:tcPr>
                  <w:tcW w:w="1584" w:type="dxa"/>
                </w:tcPr>
                <w:p w14:paraId="3D488337" w14:textId="77777777" w:rsidR="00D762DD" w:rsidRDefault="00000000">
                  <w:pPr>
                    <w:jc w:val="center"/>
                  </w:pPr>
                  <w:r>
                    <w:t>1.000</w:t>
                  </w:r>
                </w:p>
              </w:tc>
              <w:tc>
                <w:tcPr>
                  <w:tcW w:w="1584" w:type="dxa"/>
                </w:tcPr>
                <w:p w14:paraId="21DEA8D4" w14:textId="77777777" w:rsidR="00D762DD" w:rsidRDefault="00000000">
                  <w:pPr>
                    <w:jc w:val="center"/>
                  </w:pPr>
                  <w:r>
                    <w:t>No (</w:t>
                  </w:r>
                  <m:oMath>
                    <m:r>
                      <m:rPr>
                        <m:sty m:val="p"/>
                      </m:rPr>
                      <w:rPr>
                        <w:rFonts w:ascii="Cambria Math" w:hAnsi="Cambria Math"/>
                      </w:rPr>
                      <m:t>&lt;</m:t>
                    </m:r>
                    <m:r>
                      <w:rPr>
                        <w:rFonts w:ascii="Cambria Math" w:hAnsi="Cambria Math"/>
                      </w:rPr>
                      <m:t>1.211</m:t>
                    </m:r>
                  </m:oMath>
                  <w:r>
                    <w:t>)</w:t>
                  </w:r>
                </w:p>
              </w:tc>
              <w:tc>
                <w:tcPr>
                  <w:tcW w:w="1584" w:type="dxa"/>
                </w:tcPr>
                <w:p w14:paraId="75FF8A4E" w14:textId="77777777" w:rsidR="00D762DD" w:rsidRDefault="00000000">
                  <w:pPr>
                    <w:jc w:val="center"/>
                  </w:pPr>
                  <m:oMathPara>
                    <m:oMath>
                      <m:r>
                        <m:rPr>
                          <m:sty m:val="p"/>
                        </m:rPr>
                        <w:rPr>
                          <w:rFonts w:ascii="Cambria Math" w:hAnsi="Cambria Math"/>
                        </w:rPr>
                        <m:t>-</m:t>
                      </m:r>
                    </m:oMath>
                  </m:oMathPara>
                </w:p>
              </w:tc>
              <w:tc>
                <w:tcPr>
                  <w:tcW w:w="1584" w:type="dxa"/>
                </w:tcPr>
                <w:p w14:paraId="6769C280" w14:textId="77777777" w:rsidR="00D762DD" w:rsidRDefault="00000000">
                  <w:pPr>
                    <w:jc w:val="center"/>
                  </w:pPr>
                  <m:oMathPara>
                    <m:oMath>
                      <m:r>
                        <m:rPr>
                          <m:sty m:val="p"/>
                        </m:rPr>
                        <w:rPr>
                          <w:rFonts w:ascii="Cambria Math" w:hAnsi="Cambria Math"/>
                        </w:rPr>
                        <m:t>-</m:t>
                      </m:r>
                    </m:oMath>
                  </m:oMathPara>
                </w:p>
              </w:tc>
            </w:tr>
            <w:tr w:rsidR="00D762DD" w14:paraId="18913B57" w14:textId="77777777">
              <w:tc>
                <w:tcPr>
                  <w:tcW w:w="1584" w:type="dxa"/>
                </w:tcPr>
                <w:p w14:paraId="4077187F" w14:textId="77777777" w:rsidR="00D762DD" w:rsidRDefault="00000000">
                  <w:pPr>
                    <w:jc w:val="center"/>
                  </w:pPr>
                  <w:r>
                    <w:t xml:space="preserve">SHAP </w:t>
                  </w:r>
                  <w:r>
                    <w:lastRenderedPageBreak/>
                    <w:t>vs. Anchors</w:t>
                  </w:r>
                </w:p>
              </w:tc>
              <w:tc>
                <w:tcPr>
                  <w:tcW w:w="1584" w:type="dxa"/>
                </w:tcPr>
                <w:p w14:paraId="33F386CC" w14:textId="77777777" w:rsidR="00D762DD" w:rsidRDefault="00000000">
                  <w:pPr>
                    <w:jc w:val="center"/>
                  </w:pPr>
                  <w:r>
                    <w:lastRenderedPageBreak/>
                    <w:t>2.200</w:t>
                  </w:r>
                </w:p>
              </w:tc>
              <w:tc>
                <w:tcPr>
                  <w:tcW w:w="1584" w:type="dxa"/>
                </w:tcPr>
                <w:p w14:paraId="2086FE9A" w14:textId="77777777" w:rsidR="00D762DD" w:rsidRDefault="00000000">
                  <w:pPr>
                    <w:jc w:val="center"/>
                  </w:pPr>
                  <w:r>
                    <w:rPr>
                      <w:b/>
                      <w:bCs/>
                    </w:rPr>
                    <w:t>Sí</w:t>
                  </w:r>
                  <w:r>
                    <w:t xml:space="preserve"> (</w:t>
                  </w:r>
                  <m:oMath>
                    <m:r>
                      <m:rPr>
                        <m:sty m:val="p"/>
                      </m:rPr>
                      <w:rPr>
                        <w:rFonts w:ascii="Cambria Math" w:hAnsi="Cambria Math"/>
                      </w:rPr>
                      <m:t>&gt;</m:t>
                    </m:r>
                    <m:r>
                      <w:rPr>
                        <w:rFonts w:ascii="Cambria Math" w:hAnsi="Cambria Math"/>
                      </w:rPr>
                      <m:t>1.211</m:t>
                    </m:r>
                  </m:oMath>
                  <w:r>
                    <w:t>)</w:t>
                  </w:r>
                </w:p>
              </w:tc>
              <w:tc>
                <w:tcPr>
                  <w:tcW w:w="1584" w:type="dxa"/>
                </w:tcPr>
                <w:p w14:paraId="75E22026" w14:textId="77777777" w:rsidR="00D762DD" w:rsidRDefault="00000000">
                  <w:pPr>
                    <w:jc w:val="center"/>
                  </w:pPr>
                  <w:r>
                    <w:t>2.600</w:t>
                  </w:r>
                </w:p>
              </w:tc>
              <w:tc>
                <w:tcPr>
                  <w:tcW w:w="1584" w:type="dxa"/>
                </w:tcPr>
                <w:p w14:paraId="7EF85992" w14:textId="77777777" w:rsidR="00D762DD" w:rsidRDefault="00000000">
                  <w:pPr>
                    <w:jc w:val="center"/>
                  </w:pPr>
                  <w:r>
                    <w:rPr>
                      <w:b/>
                      <w:bCs/>
                    </w:rPr>
                    <w:t>Sí</w:t>
                  </w:r>
                </w:p>
              </w:tc>
            </w:tr>
            <w:tr w:rsidR="00D762DD" w14:paraId="1E3301B6" w14:textId="77777777">
              <w:tc>
                <w:tcPr>
                  <w:tcW w:w="1584" w:type="dxa"/>
                </w:tcPr>
                <w:p w14:paraId="169E317B" w14:textId="77777777" w:rsidR="00D762DD" w:rsidRDefault="00000000">
                  <w:pPr>
                    <w:jc w:val="center"/>
                  </w:pPr>
                  <w:r>
                    <w:t>SHAP vs. </w:t>
                  </w:r>
                  <w:proofErr w:type="spellStart"/>
                  <w:r>
                    <w:t>DiCE</w:t>
                  </w:r>
                  <w:proofErr w:type="spellEnd"/>
                </w:p>
              </w:tc>
              <w:tc>
                <w:tcPr>
                  <w:tcW w:w="1584" w:type="dxa"/>
                </w:tcPr>
                <w:p w14:paraId="4DDCE9FD" w14:textId="77777777" w:rsidR="00D762DD" w:rsidRDefault="00000000">
                  <w:pPr>
                    <w:jc w:val="center"/>
                  </w:pPr>
                  <w:r>
                    <w:t>2.800</w:t>
                  </w:r>
                </w:p>
              </w:tc>
              <w:tc>
                <w:tcPr>
                  <w:tcW w:w="1584" w:type="dxa"/>
                </w:tcPr>
                <w:p w14:paraId="2F09727E" w14:textId="77777777" w:rsidR="00D762DD" w:rsidRDefault="00000000">
                  <w:pPr>
                    <w:jc w:val="center"/>
                  </w:pPr>
                  <w:r>
                    <w:rPr>
                      <w:b/>
                      <w:bCs/>
                    </w:rPr>
                    <w:t>Sí</w:t>
                  </w:r>
                </w:p>
              </w:tc>
              <w:tc>
                <w:tcPr>
                  <w:tcW w:w="1584" w:type="dxa"/>
                </w:tcPr>
                <w:p w14:paraId="187A0E9D" w14:textId="77777777" w:rsidR="00D762DD" w:rsidRDefault="00000000">
                  <w:pPr>
                    <w:jc w:val="center"/>
                  </w:pPr>
                  <w:r>
                    <w:t>1.000</w:t>
                  </w:r>
                </w:p>
              </w:tc>
              <w:tc>
                <w:tcPr>
                  <w:tcW w:w="1584" w:type="dxa"/>
                </w:tcPr>
                <w:p w14:paraId="1D8F516A" w14:textId="77777777" w:rsidR="00D762DD" w:rsidRDefault="00000000">
                  <w:pPr>
                    <w:jc w:val="center"/>
                  </w:pPr>
                  <w:r>
                    <w:t>No (</w:t>
                  </w:r>
                  <m:oMath>
                    <m:r>
                      <m:rPr>
                        <m:sty m:val="p"/>
                      </m:rPr>
                      <w:rPr>
                        <w:rFonts w:ascii="Cambria Math" w:hAnsi="Cambria Math"/>
                      </w:rPr>
                      <m:t>&lt;</m:t>
                    </m:r>
                    <m:r>
                      <w:rPr>
                        <w:rFonts w:ascii="Cambria Math" w:hAnsi="Cambria Math"/>
                      </w:rPr>
                      <m:t>1.211</m:t>
                    </m:r>
                  </m:oMath>
                  <w:r>
                    <w:t>)</w:t>
                  </w:r>
                </w:p>
              </w:tc>
            </w:tr>
            <w:tr w:rsidR="00D762DD" w14:paraId="41C6503B" w14:textId="77777777">
              <w:tc>
                <w:tcPr>
                  <w:tcW w:w="1584" w:type="dxa"/>
                </w:tcPr>
                <w:p w14:paraId="25D5716B" w14:textId="77777777" w:rsidR="00D762DD" w:rsidRDefault="00000000">
                  <w:pPr>
                    <w:jc w:val="center"/>
                  </w:pPr>
                  <w:r>
                    <w:t>LIME vs. Anchors</w:t>
                  </w:r>
                </w:p>
              </w:tc>
              <w:tc>
                <w:tcPr>
                  <w:tcW w:w="1584" w:type="dxa"/>
                </w:tcPr>
                <w:p w14:paraId="086CE898" w14:textId="77777777" w:rsidR="00D762DD" w:rsidRDefault="00000000">
                  <w:pPr>
                    <w:jc w:val="center"/>
                  </w:pPr>
                  <w:r>
                    <w:t>1.200</w:t>
                  </w:r>
                </w:p>
              </w:tc>
              <w:tc>
                <w:tcPr>
                  <w:tcW w:w="1584" w:type="dxa"/>
                </w:tcPr>
                <w:p w14:paraId="5523D713" w14:textId="77777777" w:rsidR="00D762DD" w:rsidRDefault="00000000">
                  <w:pPr>
                    <w:jc w:val="center"/>
                  </w:pPr>
                  <w:r>
                    <w:t>No (</w:t>
                  </w:r>
                  <m:oMath>
                    <m:r>
                      <m:rPr>
                        <m:sty m:val="p"/>
                      </m:rPr>
                      <w:rPr>
                        <w:rFonts w:ascii="Cambria Math" w:hAnsi="Cambria Math"/>
                      </w:rPr>
                      <m:t>&lt;</m:t>
                    </m:r>
                    <m:r>
                      <w:rPr>
                        <w:rFonts w:ascii="Cambria Math" w:hAnsi="Cambria Math"/>
                      </w:rPr>
                      <m:t>1.211</m:t>
                    </m:r>
                  </m:oMath>
                  <w:r>
                    <w:t>)</w:t>
                  </w:r>
                </w:p>
              </w:tc>
              <w:tc>
                <w:tcPr>
                  <w:tcW w:w="1584" w:type="dxa"/>
                </w:tcPr>
                <w:p w14:paraId="5AFED528" w14:textId="77777777" w:rsidR="00D762DD" w:rsidRDefault="00000000">
                  <w:pPr>
                    <w:jc w:val="center"/>
                  </w:pPr>
                  <w:r>
                    <w:t>1.400</w:t>
                  </w:r>
                </w:p>
              </w:tc>
              <w:tc>
                <w:tcPr>
                  <w:tcW w:w="1584" w:type="dxa"/>
                </w:tcPr>
                <w:p w14:paraId="7D4456E3" w14:textId="77777777" w:rsidR="00D762DD" w:rsidRDefault="00000000">
                  <w:pPr>
                    <w:jc w:val="center"/>
                  </w:pPr>
                  <w:r>
                    <w:rPr>
                      <w:b/>
                      <w:bCs/>
                    </w:rPr>
                    <w:t>Sí</w:t>
                  </w:r>
                </w:p>
              </w:tc>
            </w:tr>
            <w:tr w:rsidR="00D762DD" w14:paraId="2175F762" w14:textId="77777777">
              <w:tc>
                <w:tcPr>
                  <w:tcW w:w="1584" w:type="dxa"/>
                </w:tcPr>
                <w:p w14:paraId="7000B462" w14:textId="77777777" w:rsidR="00D762DD" w:rsidRDefault="00000000">
                  <w:pPr>
                    <w:jc w:val="center"/>
                  </w:pPr>
                  <w:r>
                    <w:t>LIME vs. </w:t>
                  </w:r>
                  <w:proofErr w:type="spellStart"/>
                  <w:r>
                    <w:t>DiCE</w:t>
                  </w:r>
                  <w:proofErr w:type="spellEnd"/>
                </w:p>
              </w:tc>
              <w:tc>
                <w:tcPr>
                  <w:tcW w:w="1584" w:type="dxa"/>
                </w:tcPr>
                <w:p w14:paraId="66150258" w14:textId="77777777" w:rsidR="00D762DD" w:rsidRDefault="00000000">
                  <w:pPr>
                    <w:jc w:val="center"/>
                  </w:pPr>
                  <w:r>
                    <w:t>1.800</w:t>
                  </w:r>
                </w:p>
              </w:tc>
              <w:tc>
                <w:tcPr>
                  <w:tcW w:w="1584" w:type="dxa"/>
                </w:tcPr>
                <w:p w14:paraId="4F07D5CA" w14:textId="77777777" w:rsidR="00D762DD" w:rsidRDefault="00000000">
                  <w:pPr>
                    <w:jc w:val="center"/>
                  </w:pPr>
                  <w:r>
                    <w:rPr>
                      <w:b/>
                      <w:bCs/>
                    </w:rPr>
                    <w:t>Sí</w:t>
                  </w:r>
                </w:p>
              </w:tc>
              <w:tc>
                <w:tcPr>
                  <w:tcW w:w="1584" w:type="dxa"/>
                </w:tcPr>
                <w:p w14:paraId="7AA18ED4" w14:textId="77777777" w:rsidR="00D762DD" w:rsidRDefault="00000000">
                  <w:pPr>
                    <w:jc w:val="center"/>
                  </w:pPr>
                  <w:r>
                    <w:t>1.400</w:t>
                  </w:r>
                </w:p>
              </w:tc>
              <w:tc>
                <w:tcPr>
                  <w:tcW w:w="1584" w:type="dxa"/>
                </w:tcPr>
                <w:p w14:paraId="22F1632A" w14:textId="77777777" w:rsidR="00D762DD" w:rsidRDefault="00000000">
                  <w:pPr>
                    <w:jc w:val="center"/>
                  </w:pPr>
                  <w:r>
                    <w:rPr>
                      <w:b/>
                      <w:bCs/>
                    </w:rPr>
                    <w:t>Sí</w:t>
                  </w:r>
                </w:p>
              </w:tc>
            </w:tr>
            <w:tr w:rsidR="00D762DD" w14:paraId="56754B01" w14:textId="77777777">
              <w:tc>
                <w:tcPr>
                  <w:tcW w:w="1584" w:type="dxa"/>
                </w:tcPr>
                <w:p w14:paraId="45A03C20" w14:textId="77777777" w:rsidR="00D762DD" w:rsidRDefault="00000000">
                  <w:pPr>
                    <w:jc w:val="center"/>
                  </w:pPr>
                  <w:r>
                    <w:t>Anchors vs. </w:t>
                  </w:r>
                  <w:proofErr w:type="spellStart"/>
                  <w:r>
                    <w:t>DiCE</w:t>
                  </w:r>
                  <w:proofErr w:type="spellEnd"/>
                </w:p>
              </w:tc>
              <w:tc>
                <w:tcPr>
                  <w:tcW w:w="1584" w:type="dxa"/>
                </w:tcPr>
                <w:p w14:paraId="2F2F6314" w14:textId="77777777" w:rsidR="00D762DD" w:rsidRDefault="00000000">
                  <w:pPr>
                    <w:jc w:val="center"/>
                  </w:pPr>
                  <w:r>
                    <w:t>0.600</w:t>
                  </w:r>
                </w:p>
              </w:tc>
              <w:tc>
                <w:tcPr>
                  <w:tcW w:w="1584" w:type="dxa"/>
                </w:tcPr>
                <w:p w14:paraId="47F8CCBC" w14:textId="77777777" w:rsidR="00D762DD" w:rsidRDefault="00000000">
                  <w:pPr>
                    <w:jc w:val="center"/>
                  </w:pPr>
                  <w:r>
                    <w:t>No</w:t>
                  </w:r>
                </w:p>
              </w:tc>
              <w:tc>
                <w:tcPr>
                  <w:tcW w:w="1584" w:type="dxa"/>
                </w:tcPr>
                <w:p w14:paraId="2ED3134D" w14:textId="77777777" w:rsidR="00D762DD" w:rsidRDefault="00000000">
                  <w:pPr>
                    <w:jc w:val="center"/>
                  </w:pPr>
                  <w:r>
                    <w:t>0.200</w:t>
                  </w:r>
                </w:p>
              </w:tc>
              <w:tc>
                <w:tcPr>
                  <w:tcW w:w="1584" w:type="dxa"/>
                </w:tcPr>
                <w:p w14:paraId="729843FE" w14:textId="77777777" w:rsidR="00D762DD" w:rsidRDefault="00000000">
                  <w:pPr>
                    <w:jc w:val="center"/>
                  </w:pPr>
                  <w:r>
                    <w:t>No</w:t>
                  </w:r>
                </w:p>
              </w:tc>
            </w:tr>
            <w:tr w:rsidR="00D762DD" w14:paraId="17F0EBC8" w14:textId="77777777">
              <w:tc>
                <w:tcPr>
                  <w:tcW w:w="1584" w:type="dxa"/>
                </w:tcPr>
                <w:p w14:paraId="6CCB3635" w14:textId="77777777" w:rsidR="00D762DD" w:rsidRDefault="00000000">
                  <w:pPr>
                    <w:jc w:val="center"/>
                  </w:pPr>
                  <w:r>
                    <w:t>SHAP vs. LIME (estabilidad)</w:t>
                  </w:r>
                </w:p>
              </w:tc>
              <w:tc>
                <w:tcPr>
                  <w:tcW w:w="1584" w:type="dxa"/>
                </w:tcPr>
                <w:p w14:paraId="4AEB8F15" w14:textId="77777777" w:rsidR="00D762DD" w:rsidRDefault="00000000">
                  <w:pPr>
                    <w:jc w:val="center"/>
                  </w:pPr>
                  <m:oMathPara>
                    <m:oMath>
                      <m:r>
                        <m:rPr>
                          <m:sty m:val="p"/>
                        </m:rPr>
                        <w:rPr>
                          <w:rFonts w:ascii="Cambria Math" w:hAnsi="Cambria Math"/>
                        </w:rPr>
                        <m:t>-</m:t>
                      </m:r>
                    </m:oMath>
                  </m:oMathPara>
                </w:p>
              </w:tc>
              <w:tc>
                <w:tcPr>
                  <w:tcW w:w="1584" w:type="dxa"/>
                </w:tcPr>
                <w:p w14:paraId="49DCEDF9" w14:textId="77777777" w:rsidR="00D762DD" w:rsidRDefault="00000000">
                  <w:pPr>
                    <w:jc w:val="center"/>
                  </w:pPr>
                  <m:oMathPara>
                    <m:oMath>
                      <m:r>
                        <m:rPr>
                          <m:sty m:val="p"/>
                        </m:rPr>
                        <w:rPr>
                          <w:rFonts w:ascii="Cambria Math" w:hAnsi="Cambria Math"/>
                        </w:rPr>
                        <m:t>-</m:t>
                      </m:r>
                    </m:oMath>
                  </m:oMathPara>
                </w:p>
              </w:tc>
              <w:tc>
                <w:tcPr>
                  <w:tcW w:w="1584" w:type="dxa"/>
                </w:tcPr>
                <w:p w14:paraId="3BA23F07" w14:textId="77777777" w:rsidR="00D762DD" w:rsidRDefault="00000000">
                  <w:pPr>
                    <w:jc w:val="center"/>
                  </w:pPr>
                  <w:r>
                    <w:t>2.400</w:t>
                  </w:r>
                </w:p>
              </w:tc>
              <w:tc>
                <w:tcPr>
                  <w:tcW w:w="1584" w:type="dxa"/>
                </w:tcPr>
                <w:p w14:paraId="5A58B3A7" w14:textId="77777777" w:rsidR="00D762DD" w:rsidRDefault="00000000">
                  <w:pPr>
                    <w:jc w:val="center"/>
                  </w:pPr>
                  <w:r>
                    <w:rPr>
                      <w:b/>
                      <w:bCs/>
                    </w:rPr>
                    <w:t>Sí</w:t>
                  </w:r>
                </w:p>
              </w:tc>
            </w:tr>
            <w:tr w:rsidR="00D762DD" w14:paraId="049C0CD3" w14:textId="77777777">
              <w:tc>
                <w:tcPr>
                  <w:tcW w:w="1584" w:type="dxa"/>
                </w:tcPr>
                <w:p w14:paraId="10921088" w14:textId="77777777" w:rsidR="00D762DD" w:rsidRDefault="00000000">
                  <w:pPr>
                    <w:jc w:val="center"/>
                  </w:pPr>
                  <w:proofErr w:type="spellStart"/>
                  <w:r>
                    <w:t>DiCE</w:t>
                  </w:r>
                  <w:proofErr w:type="spellEnd"/>
                  <w:r>
                    <w:t xml:space="preserve"> vs. LIME (estabilidad)</w:t>
                  </w:r>
                </w:p>
              </w:tc>
              <w:tc>
                <w:tcPr>
                  <w:tcW w:w="1584" w:type="dxa"/>
                </w:tcPr>
                <w:p w14:paraId="4E90DFB6" w14:textId="77777777" w:rsidR="00D762DD" w:rsidRDefault="00000000">
                  <w:pPr>
                    <w:jc w:val="center"/>
                  </w:pPr>
                  <m:oMathPara>
                    <m:oMath>
                      <m:r>
                        <m:rPr>
                          <m:sty m:val="p"/>
                        </m:rPr>
                        <w:rPr>
                          <w:rFonts w:ascii="Cambria Math" w:hAnsi="Cambria Math"/>
                        </w:rPr>
                        <m:t>-</m:t>
                      </m:r>
                    </m:oMath>
                  </m:oMathPara>
                </w:p>
              </w:tc>
              <w:tc>
                <w:tcPr>
                  <w:tcW w:w="1584" w:type="dxa"/>
                </w:tcPr>
                <w:p w14:paraId="26E32CB3" w14:textId="77777777" w:rsidR="00D762DD" w:rsidRDefault="00000000">
                  <w:pPr>
                    <w:jc w:val="center"/>
                  </w:pPr>
                  <m:oMathPara>
                    <m:oMath>
                      <m:r>
                        <m:rPr>
                          <m:sty m:val="p"/>
                        </m:rPr>
                        <w:rPr>
                          <w:rFonts w:ascii="Cambria Math" w:hAnsi="Cambria Math"/>
                        </w:rPr>
                        <m:t>-</m:t>
                      </m:r>
                    </m:oMath>
                  </m:oMathPara>
                </w:p>
              </w:tc>
              <w:tc>
                <w:tcPr>
                  <w:tcW w:w="1584" w:type="dxa"/>
                </w:tcPr>
                <w:p w14:paraId="743691DC" w14:textId="77777777" w:rsidR="00D762DD" w:rsidRDefault="00000000">
                  <w:pPr>
                    <w:jc w:val="center"/>
                  </w:pPr>
                  <w:r>
                    <w:t>1.400</w:t>
                  </w:r>
                </w:p>
              </w:tc>
              <w:tc>
                <w:tcPr>
                  <w:tcW w:w="1584" w:type="dxa"/>
                </w:tcPr>
                <w:p w14:paraId="6C86A605" w14:textId="77777777" w:rsidR="00D762DD" w:rsidRDefault="00000000">
                  <w:pPr>
                    <w:jc w:val="center"/>
                  </w:pPr>
                  <w:r>
                    <w:rPr>
                      <w:b/>
                      <w:bCs/>
                    </w:rPr>
                    <w:t>Sí</w:t>
                  </w:r>
                </w:p>
              </w:tc>
            </w:tr>
            <w:tr w:rsidR="00D762DD" w14:paraId="4CC05794" w14:textId="77777777">
              <w:tc>
                <w:tcPr>
                  <w:tcW w:w="1584" w:type="dxa"/>
                </w:tcPr>
                <w:p w14:paraId="71A4A9A1" w14:textId="77777777" w:rsidR="00D762DD" w:rsidRDefault="00000000">
                  <w:pPr>
                    <w:jc w:val="center"/>
                  </w:pPr>
                  <w:proofErr w:type="spellStart"/>
                  <w:r>
                    <w:t>DiCE</w:t>
                  </w:r>
                  <w:proofErr w:type="spellEnd"/>
                  <w:r>
                    <w:t xml:space="preserve"> vs. Anchors (estabilidad)</w:t>
                  </w:r>
                </w:p>
              </w:tc>
              <w:tc>
                <w:tcPr>
                  <w:tcW w:w="1584" w:type="dxa"/>
                </w:tcPr>
                <w:p w14:paraId="550C816B" w14:textId="77777777" w:rsidR="00D762DD" w:rsidRDefault="00000000">
                  <w:pPr>
                    <w:jc w:val="center"/>
                  </w:pPr>
                  <m:oMathPara>
                    <m:oMath>
                      <m:r>
                        <m:rPr>
                          <m:sty m:val="p"/>
                        </m:rPr>
                        <w:rPr>
                          <w:rFonts w:ascii="Cambria Math" w:hAnsi="Cambria Math"/>
                        </w:rPr>
                        <m:t>-</m:t>
                      </m:r>
                    </m:oMath>
                  </m:oMathPara>
                </w:p>
              </w:tc>
              <w:tc>
                <w:tcPr>
                  <w:tcW w:w="1584" w:type="dxa"/>
                </w:tcPr>
                <w:p w14:paraId="5BCDD07E" w14:textId="77777777" w:rsidR="00D762DD" w:rsidRDefault="00000000">
                  <w:pPr>
                    <w:jc w:val="center"/>
                  </w:pPr>
                  <m:oMathPara>
                    <m:oMath>
                      <m:r>
                        <m:rPr>
                          <m:sty m:val="p"/>
                        </m:rPr>
                        <w:rPr>
                          <w:rFonts w:ascii="Cambria Math" w:hAnsi="Cambria Math"/>
                        </w:rPr>
                        <m:t>-</m:t>
                      </m:r>
                    </m:oMath>
                  </m:oMathPara>
                </w:p>
              </w:tc>
              <w:tc>
                <w:tcPr>
                  <w:tcW w:w="1584" w:type="dxa"/>
                </w:tcPr>
                <w:p w14:paraId="01C45DD3" w14:textId="77777777" w:rsidR="00D762DD" w:rsidRDefault="00000000">
                  <w:pPr>
                    <w:jc w:val="center"/>
                  </w:pPr>
                  <w:r>
                    <w:t>1.600</w:t>
                  </w:r>
                </w:p>
              </w:tc>
              <w:tc>
                <w:tcPr>
                  <w:tcW w:w="1584" w:type="dxa"/>
                </w:tcPr>
                <w:p w14:paraId="65501847" w14:textId="77777777" w:rsidR="00D762DD" w:rsidRDefault="00000000">
                  <w:pPr>
                    <w:jc w:val="center"/>
                  </w:pPr>
                  <w:r>
                    <w:rPr>
                      <w:b/>
                      <w:bCs/>
                    </w:rPr>
                    <w:t>Sí</w:t>
                  </w:r>
                </w:p>
              </w:tc>
            </w:tr>
            <w:bookmarkEnd w:id="427"/>
          </w:tbl>
          <w:p w14:paraId="09EC95F2" w14:textId="77777777" w:rsidR="00D762DD" w:rsidRDefault="00D762DD"/>
        </w:tc>
      </w:tr>
    </w:tbl>
    <w:p w14:paraId="60D5C00D" w14:textId="77777777" w:rsidR="00D762DD" w:rsidRDefault="00000000">
      <w:pPr>
        <w:pStyle w:val="Heading3"/>
      </w:pPr>
      <w:bookmarkStart w:id="428" w:name="Xf2da686c9e12c39a6d10c106f98f0eb5f2d8684"/>
      <w:bookmarkStart w:id="429" w:name="_Toc238925819"/>
      <w:bookmarkEnd w:id="425"/>
      <w:r>
        <w:lastRenderedPageBreak/>
        <w:t>D.3 Resultados completos del análisis pareado Wilcoxon (H3)</w:t>
      </w:r>
      <w:bookmarkEnd w:id="429"/>
    </w:p>
    <w:p w14:paraId="03358E5D" w14:textId="77777777" w:rsidR="00D762DD" w:rsidRDefault="00000000">
      <w:r>
        <w:t xml:space="preserve">Análisis sobre </w:t>
      </w:r>
      <m:oMath>
        <m:r>
          <w:rPr>
            <w:rFonts w:ascii="Cambria Math" w:hAnsi="Cambria Math"/>
          </w:rPr>
          <m:t>n</m:t>
        </m:r>
        <m:r>
          <m:rPr>
            <m:sty m:val="p"/>
          </m:rPr>
          <w:rPr>
            <w:rFonts w:ascii="Cambria Math" w:hAnsi="Cambria Math"/>
          </w:rPr>
          <m:t>=</m:t>
        </m:r>
        <m:r>
          <w:rPr>
            <w:rFonts w:ascii="Cambria Math" w:hAnsi="Cambria Math"/>
          </w:rPr>
          <m:t>75</m:t>
        </m:r>
      </m:oMath>
      <w:r>
        <w:t xml:space="preserve"> celdas pareadas </w:t>
      </w:r>
      <m:oMath>
        <m:r>
          <m:rPr>
            <m:sty m:val="p"/>
          </m:rPr>
          <w:rPr>
            <w:rFonts w:ascii="Cambria Math" w:hAnsi="Cambria Math"/>
          </w:rPr>
          <m:t>(</m:t>
        </m:r>
        <m:r>
          <w:rPr>
            <w:rFonts w:ascii="Cambria Math" w:hAnsi="Cambria Math"/>
          </w:rPr>
          <m:t>g</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n</m:t>
        </m:r>
        <m:r>
          <m:rPr>
            <m:sty m:val="p"/>
          </m:rPr>
          <w:rPr>
            <w:rFonts w:ascii="Cambria Math" w:hAnsi="Cambria Math"/>
          </w:rPr>
          <m:t>)</m:t>
        </m:r>
      </m:oMath>
      <w:r>
        <w:t xml:space="preserve"> con corrección Holm-Bonferroni sobre las cinco comparaciones simultáneas.</w:t>
      </w:r>
    </w:p>
    <w:tbl>
      <w:tblPr>
        <w:tblW w:w="5000" w:type="pct"/>
        <w:tblLayout w:type="fixed"/>
        <w:tblLook w:val="0000" w:firstRow="0" w:lastRow="0" w:firstColumn="0" w:lastColumn="0" w:noHBand="0" w:noVBand="0"/>
      </w:tblPr>
      <w:tblGrid>
        <w:gridCol w:w="9576"/>
      </w:tblGrid>
      <w:tr w:rsidR="00D762DD" w14:paraId="482F7DE4" w14:textId="77777777">
        <w:tc>
          <w:tcPr>
            <w:tcW w:w="7920" w:type="dxa"/>
          </w:tcPr>
          <w:p w14:paraId="38A33EE2" w14:textId="77777777" w:rsidR="00D762DD" w:rsidRDefault="00000000">
            <w:pPr>
              <w:spacing w:before="200"/>
              <w:jc w:val="left"/>
            </w:pPr>
            <w:bookmarkStart w:id="430" w:name="tbl-appendix-wilcoxon-full"/>
            <w:r>
              <w:t>Table 7.15: Resultados completos del análisis pareado Wilcoxon SHAP-LIME con corrección Holm-Bonferroni (</w:t>
            </w:r>
            <m:oMath>
              <m:r>
                <w:rPr>
                  <w:rFonts w:ascii="Cambria Math" w:hAnsi="Cambria Math"/>
                </w:rPr>
                <m:t>n</m:t>
              </m:r>
              <m:r>
                <m:rPr>
                  <m:sty m:val="p"/>
                </m:rPr>
                <w:rPr>
                  <w:rFonts w:ascii="Cambria Math" w:hAnsi="Cambria Math"/>
                </w:rPr>
                <m:t>=</m:t>
              </m:r>
              <m:r>
                <w:rPr>
                  <w:rFonts w:ascii="Cambria Math" w:hAnsi="Cambria Math"/>
                </w:rPr>
                <m:t>75</m:t>
              </m:r>
            </m:oMath>
            <w:r>
              <w:t xml:space="preserve">). </w:t>
            </w:r>
            <m:oMath>
              <m:sSub>
                <m:sSubPr>
                  <m:ctrlPr>
                    <w:rPr>
                      <w:rFonts w:ascii="Cambria Math" w:hAnsi="Cambria Math"/>
                    </w:rPr>
                  </m:ctrlPr>
                </m:sSubPr>
                <m:e>
                  <m:r>
                    <w:rPr>
                      <w:rFonts w:ascii="Cambria Math" w:hAnsi="Cambria Math"/>
                    </w:rPr>
                    <m:t>d</m:t>
                  </m:r>
                </m:e>
                <m:sub>
                  <m:r>
                    <w:rPr>
                      <w:rFonts w:ascii="Cambria Math" w:hAnsi="Cambria Math"/>
                    </w:rPr>
                    <m:t>z</m:t>
                  </m:r>
                </m:sub>
              </m:sSub>
              <m:r>
                <m:rPr>
                  <m:sty m:val="p"/>
                </m:rPr>
                <w:rPr>
                  <w:rFonts w:ascii="Cambria Math" w:hAnsi="Cambria Math"/>
                </w:rPr>
                <m:t>=</m:t>
              </m:r>
              <m:acc>
                <m:accPr>
                  <m:chr m:val="‾"/>
                  <m:ctrlPr>
                    <w:rPr>
                      <w:rFonts w:ascii="Cambria Math" w:hAnsi="Cambria Math"/>
                    </w:rPr>
                  </m:ctrlPr>
                </m:accPr>
                <m:e>
                  <m:r>
                    <w:rPr>
                      <w:rFonts w:ascii="Cambria Math" w:hAnsi="Cambria Math"/>
                    </w:rPr>
                    <m:t>d</m:t>
                  </m:r>
                </m:e>
              </m:acc>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d</m:t>
                  </m:r>
                </m:sub>
              </m:sSub>
            </m:oMath>
            <w:r>
              <w:t>.</w:t>
            </w:r>
          </w:p>
          <w:tbl>
            <w:tblPr>
              <w:tblW w:w="5000" w:type="pct"/>
              <w:tblLayout w:type="fixed"/>
              <w:tblLook w:val="0020" w:firstRow="1" w:lastRow="0" w:firstColumn="0" w:lastColumn="0" w:noHBand="0" w:noVBand="0"/>
            </w:tblPr>
            <w:tblGrid>
              <w:gridCol w:w="936"/>
              <w:gridCol w:w="936"/>
              <w:gridCol w:w="936"/>
              <w:gridCol w:w="936"/>
              <w:gridCol w:w="936"/>
              <w:gridCol w:w="936"/>
              <w:gridCol w:w="936"/>
              <w:gridCol w:w="936"/>
              <w:gridCol w:w="936"/>
              <w:gridCol w:w="936"/>
            </w:tblGrid>
            <w:tr w:rsidR="00D762DD" w14:paraId="576C4C2F" w14:textId="77777777">
              <w:trPr>
                <w:tblHeader/>
              </w:trPr>
              <w:tc>
                <w:tcPr>
                  <w:tcW w:w="792" w:type="dxa"/>
                </w:tcPr>
                <w:p w14:paraId="69B02750" w14:textId="77777777" w:rsidR="00D762DD" w:rsidRDefault="00000000">
                  <w:pPr>
                    <w:jc w:val="center"/>
                  </w:pPr>
                  <w:r>
                    <w:t>Métrica</w:t>
                  </w:r>
                </w:p>
              </w:tc>
              <w:tc>
                <w:tcPr>
                  <w:tcW w:w="792" w:type="dxa"/>
                </w:tcPr>
                <w:p w14:paraId="25E11649" w14:textId="77777777" w:rsidR="00D762DD" w:rsidRDefault="00000000">
                  <w:pPr>
                    <w:jc w:val="center"/>
                  </w:pPr>
                  <m:oMath>
                    <m:acc>
                      <m:accPr>
                        <m:chr m:val="‾"/>
                        <m:ctrlPr>
                          <w:rPr>
                            <w:rFonts w:ascii="Cambria Math" w:hAnsi="Cambria Math"/>
                          </w:rPr>
                        </m:ctrlPr>
                      </m:accPr>
                      <m:e>
                        <m:r>
                          <w:rPr>
                            <w:rFonts w:ascii="Cambria Math" w:hAnsi="Cambria Math"/>
                          </w:rPr>
                          <m:t>d</m:t>
                        </m:r>
                      </m:e>
                    </m:acc>
                  </m:oMath>
                  <w:r>
                    <w:t xml:space="preserve"> (SHAP</w:t>
                  </w:r>
                  <m:oMath>
                    <m:r>
                      <m:rPr>
                        <m:sty m:val="p"/>
                      </m:rPr>
                      <w:rPr>
                        <w:rFonts w:ascii="Cambria Math" w:hAnsi="Cambria Math"/>
                      </w:rPr>
                      <m:t>-</m:t>
                    </m:r>
                  </m:oMath>
                  <w:r>
                    <w:t>LIME)</w:t>
                  </w:r>
                </w:p>
              </w:tc>
              <w:tc>
                <w:tcPr>
                  <w:tcW w:w="792" w:type="dxa"/>
                </w:tcPr>
                <w:p w14:paraId="4720A96A" w14:textId="77777777" w:rsidR="00D762DD" w:rsidRDefault="00000000">
                  <w:pPr>
                    <w:jc w:val="center"/>
                  </w:pPr>
                  <m:oMathPara>
                    <m:oMath>
                      <m:sSub>
                        <m:sSubPr>
                          <m:ctrlPr>
                            <w:rPr>
                              <w:rFonts w:ascii="Cambria Math" w:hAnsi="Cambria Math"/>
                            </w:rPr>
                          </m:ctrlPr>
                        </m:sSubPr>
                        <m:e>
                          <m:r>
                            <w:rPr>
                              <w:rFonts w:ascii="Cambria Math" w:hAnsi="Cambria Math"/>
                            </w:rPr>
                            <m:t>s</m:t>
                          </m:r>
                        </m:e>
                        <m:sub>
                          <m:r>
                            <w:rPr>
                              <w:rFonts w:ascii="Cambria Math" w:hAnsi="Cambria Math"/>
                            </w:rPr>
                            <m:t>d</m:t>
                          </m:r>
                        </m:sub>
                      </m:sSub>
                    </m:oMath>
                  </m:oMathPara>
                </w:p>
              </w:tc>
              <w:tc>
                <w:tcPr>
                  <w:tcW w:w="792" w:type="dxa"/>
                </w:tcPr>
                <w:p w14:paraId="4B101881" w14:textId="77777777" w:rsidR="00D762DD" w:rsidRDefault="00000000">
                  <w:pPr>
                    <w:jc w:val="center"/>
                  </w:pPr>
                  <m:oMathPara>
                    <m:oMath>
                      <m:sSub>
                        <m:sSubPr>
                          <m:ctrlPr>
                            <w:rPr>
                              <w:rFonts w:ascii="Cambria Math" w:hAnsi="Cambria Math"/>
                            </w:rPr>
                          </m:ctrlPr>
                        </m:sSubPr>
                        <m:e>
                          <m:r>
                            <w:rPr>
                              <w:rFonts w:ascii="Cambria Math" w:hAnsi="Cambria Math"/>
                            </w:rPr>
                            <m:t>d</m:t>
                          </m:r>
                        </m:e>
                        <m:sub>
                          <m:r>
                            <w:rPr>
                              <w:rFonts w:ascii="Cambria Math" w:hAnsi="Cambria Math"/>
                            </w:rPr>
                            <m:t>z</m:t>
                          </m:r>
                        </m:sub>
                      </m:sSub>
                    </m:oMath>
                  </m:oMathPara>
                </w:p>
              </w:tc>
              <w:tc>
                <w:tcPr>
                  <w:tcW w:w="792" w:type="dxa"/>
                </w:tcPr>
                <w:p w14:paraId="4388F444" w14:textId="77777777" w:rsidR="00D762DD" w:rsidRDefault="00000000">
                  <w:pPr>
                    <w:jc w:val="center"/>
                  </w:pPr>
                  <m:oMathPara>
                    <m:oMath>
                      <m:r>
                        <w:rPr>
                          <w:rFonts w:ascii="Cambria Math" w:hAnsi="Cambria Math"/>
                        </w:rPr>
                        <m:t>W</m:t>
                      </m:r>
                    </m:oMath>
                  </m:oMathPara>
                </w:p>
              </w:tc>
              <w:tc>
                <w:tcPr>
                  <w:tcW w:w="792" w:type="dxa"/>
                </w:tcPr>
                <w:p w14:paraId="780FA1A7" w14:textId="77777777" w:rsidR="00D762DD" w:rsidRDefault="00000000">
                  <w:pPr>
                    <w:jc w:val="center"/>
                  </w:pPr>
                  <m:oMath>
                    <m:r>
                      <w:rPr>
                        <w:rFonts w:ascii="Cambria Math" w:hAnsi="Cambria Math"/>
                      </w:rPr>
                      <m:t>p</m:t>
                    </m:r>
                  </m:oMath>
                  <w:r>
                    <w:t xml:space="preserve"> (bilateral)</w:t>
                  </w:r>
                </w:p>
              </w:tc>
              <w:tc>
                <w:tcPr>
                  <w:tcW w:w="792" w:type="dxa"/>
                </w:tcPr>
                <w:p w14:paraId="0AB9726A" w14:textId="77777777" w:rsidR="00D762DD" w:rsidRDefault="00000000">
                  <w:pPr>
                    <w:jc w:val="center"/>
                  </w:pPr>
                  <m:oMathPara>
                    <m:oMath>
                      <m:sSub>
                        <m:sSubPr>
                          <m:ctrlPr>
                            <w:rPr>
                              <w:rFonts w:ascii="Cambria Math" w:hAnsi="Cambria Math"/>
                            </w:rPr>
                          </m:ctrlPr>
                        </m:sSubPr>
                        <m:e>
                          <m:r>
                            <w:rPr>
                              <w:rFonts w:ascii="Cambria Math" w:hAnsi="Cambria Math"/>
                            </w:rPr>
                            <m:t>p</m:t>
                          </m:r>
                        </m:e>
                        <m:sub>
                          <m:r>
                            <m:rPr>
                              <m:sty m:val="p"/>
                            </m:rPr>
                            <w:rPr>
                              <w:rFonts w:ascii="Cambria Math" w:hAnsi="Cambria Math"/>
                            </w:rPr>
                            <m:t>Holm</m:t>
                          </m:r>
                        </m:sub>
                      </m:sSub>
                    </m:oMath>
                  </m:oMathPara>
                </w:p>
              </w:tc>
              <w:tc>
                <w:tcPr>
                  <w:tcW w:w="792" w:type="dxa"/>
                </w:tcPr>
                <w:p w14:paraId="076711F8" w14:textId="77777777" w:rsidR="00D762DD" w:rsidRDefault="00000000">
                  <w:pPr>
                    <w:jc w:val="center"/>
                  </w:pPr>
                  <m:oMathPara>
                    <m:oMath>
                      <m:sSup>
                        <m:sSupPr>
                          <m:ctrlPr>
                            <w:rPr>
                              <w:rFonts w:ascii="Cambria Math" w:hAnsi="Cambria Math"/>
                            </w:rPr>
                          </m:ctrlPr>
                        </m:sSupPr>
                        <m:e>
                          <m:r>
                            <w:rPr>
                              <w:rFonts w:ascii="Cambria Math" w:hAnsi="Cambria Math"/>
                            </w:rPr>
                            <m:t>n</m:t>
                          </m:r>
                        </m:e>
                        <m:sup>
                          <m:r>
                            <m:rPr>
                              <m:sty m:val="p"/>
                            </m:rPr>
                            <w:rPr>
                              <w:rFonts w:ascii="Cambria Math" w:hAnsi="Cambria Math"/>
                            </w:rPr>
                            <m:t>+</m:t>
                          </m:r>
                        </m:sup>
                      </m:sSup>
                    </m:oMath>
                  </m:oMathPara>
                </w:p>
              </w:tc>
              <w:tc>
                <w:tcPr>
                  <w:tcW w:w="792" w:type="dxa"/>
                </w:tcPr>
                <w:p w14:paraId="1829192F" w14:textId="77777777" w:rsidR="00D762DD" w:rsidRDefault="00000000">
                  <w:pPr>
                    <w:jc w:val="center"/>
                  </w:pPr>
                  <m:oMathPara>
                    <m:oMath>
                      <m:sSup>
                        <m:sSupPr>
                          <m:ctrlPr>
                            <w:rPr>
                              <w:rFonts w:ascii="Cambria Math" w:hAnsi="Cambria Math"/>
                            </w:rPr>
                          </m:ctrlPr>
                        </m:sSupPr>
                        <m:e>
                          <m:r>
                            <w:rPr>
                              <w:rFonts w:ascii="Cambria Math" w:hAnsi="Cambria Math"/>
                            </w:rPr>
                            <m:t>n</m:t>
                          </m:r>
                        </m:e>
                        <m:sup>
                          <m:r>
                            <m:rPr>
                              <m:sty m:val="p"/>
                            </m:rPr>
                            <w:rPr>
                              <w:rFonts w:ascii="Cambria Math" w:hAnsi="Cambria Math"/>
                            </w:rPr>
                            <m:t>-</m:t>
                          </m:r>
                        </m:sup>
                      </m:sSup>
                    </m:oMath>
                  </m:oMathPara>
                </w:p>
              </w:tc>
              <w:tc>
                <w:tcPr>
                  <w:tcW w:w="792" w:type="dxa"/>
                </w:tcPr>
                <w:p w14:paraId="7BB7DB7D" w14:textId="77777777" w:rsidR="00D762DD" w:rsidRDefault="00000000">
                  <w:pPr>
                    <w:jc w:val="center"/>
                  </w:pPr>
                  <w:r>
                    <w:t>Decisión</w:t>
                  </w:r>
                </w:p>
              </w:tc>
            </w:tr>
            <w:tr w:rsidR="00D762DD" w14:paraId="6D786D34" w14:textId="77777777">
              <w:tc>
                <w:tcPr>
                  <w:tcW w:w="792" w:type="dxa"/>
                </w:tcPr>
                <w:p w14:paraId="70B397FD" w14:textId="77777777" w:rsidR="00D762DD" w:rsidRDefault="00000000">
                  <w:pPr>
                    <w:jc w:val="center"/>
                  </w:pPr>
                  <w:r>
                    <w:lastRenderedPageBreak/>
                    <w:t>Fidelidad</w:t>
                  </w:r>
                </w:p>
              </w:tc>
              <w:tc>
                <w:tcPr>
                  <w:tcW w:w="792" w:type="dxa"/>
                </w:tcPr>
                <w:p w14:paraId="34DABAD9" w14:textId="77777777" w:rsidR="00D762DD" w:rsidRDefault="00000000">
                  <w:pPr>
                    <w:jc w:val="center"/>
                  </w:pPr>
                  <m:oMathPara>
                    <m:oMath>
                      <m:r>
                        <m:rPr>
                          <m:sty m:val="p"/>
                        </m:rPr>
                        <w:rPr>
                          <w:rFonts w:ascii="Cambria Math" w:hAnsi="Cambria Math"/>
                        </w:rPr>
                        <m:t>+</m:t>
                      </m:r>
                      <m:r>
                        <w:rPr>
                          <w:rFonts w:ascii="Cambria Math" w:hAnsi="Cambria Math"/>
                        </w:rPr>
                        <m:t>0.2479</m:t>
                      </m:r>
                    </m:oMath>
                  </m:oMathPara>
                </w:p>
              </w:tc>
              <w:tc>
                <w:tcPr>
                  <w:tcW w:w="792" w:type="dxa"/>
                </w:tcPr>
                <w:p w14:paraId="463EED13" w14:textId="77777777" w:rsidR="00D762DD" w:rsidRDefault="00000000">
                  <w:pPr>
                    <w:jc w:val="center"/>
                  </w:pPr>
                  <m:oMathPara>
                    <m:oMath>
                      <m:r>
                        <w:rPr>
                          <w:rFonts w:ascii="Cambria Math" w:hAnsi="Cambria Math"/>
                        </w:rPr>
                        <m:t>0.0514</m:t>
                      </m:r>
                    </m:oMath>
                  </m:oMathPara>
                </w:p>
              </w:tc>
              <w:tc>
                <w:tcPr>
                  <w:tcW w:w="792" w:type="dxa"/>
                </w:tcPr>
                <w:p w14:paraId="7719CE5C" w14:textId="77777777" w:rsidR="00D762DD" w:rsidRDefault="00000000">
                  <w:pPr>
                    <w:jc w:val="center"/>
                  </w:pPr>
                  <m:oMathPara>
                    <m:oMath>
                      <m:r>
                        <m:rPr>
                          <m:sty m:val="p"/>
                        </m:rPr>
                        <w:rPr>
                          <w:rFonts w:ascii="Cambria Math" w:hAnsi="Cambria Math"/>
                        </w:rPr>
                        <m:t>+</m:t>
                      </m:r>
                      <m:r>
                        <w:rPr>
                          <w:rFonts w:ascii="Cambria Math" w:hAnsi="Cambria Math"/>
                        </w:rPr>
                        <m:t>4.820</m:t>
                      </m:r>
                    </m:oMath>
                  </m:oMathPara>
                </w:p>
              </w:tc>
              <w:tc>
                <w:tcPr>
                  <w:tcW w:w="792" w:type="dxa"/>
                </w:tcPr>
                <w:p w14:paraId="340EA52C" w14:textId="77777777" w:rsidR="00D762DD" w:rsidRDefault="00000000">
                  <w:pPr>
                    <w:jc w:val="center"/>
                  </w:pPr>
                  <w:r>
                    <w:t>0</w:t>
                  </w:r>
                </w:p>
              </w:tc>
              <w:tc>
                <w:tcPr>
                  <w:tcW w:w="792" w:type="dxa"/>
                </w:tcPr>
                <w:p w14:paraId="30E3454E" w14:textId="77777777" w:rsidR="00D762DD" w:rsidRDefault="00000000">
                  <w:pPr>
                    <w:jc w:val="center"/>
                  </w:pPr>
                  <m:oMathPara>
                    <m:oMath>
                      <m:r>
                        <m:rPr>
                          <m:sty m:val="p"/>
                        </m:rPr>
                        <w:rPr>
                          <w:rFonts w:ascii="Cambria Math" w:hAnsi="Cambria Math"/>
                        </w:rPr>
                        <m:t>&lt;</m:t>
                      </m:r>
                      <m:r>
                        <w:rPr>
                          <w:rFonts w:ascii="Cambria Math" w:hAnsi="Cambria Math"/>
                        </w:rPr>
                        <m:t>2.2</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16</m:t>
                          </m:r>
                        </m:sup>
                      </m:sSup>
                    </m:oMath>
                  </m:oMathPara>
                </w:p>
              </w:tc>
              <w:tc>
                <w:tcPr>
                  <w:tcW w:w="792" w:type="dxa"/>
                </w:tcPr>
                <w:p w14:paraId="19E67D48" w14:textId="77777777" w:rsidR="00D762DD" w:rsidRDefault="00000000">
                  <w:pPr>
                    <w:jc w:val="center"/>
                  </w:pPr>
                  <m:oMathPara>
                    <m:oMath>
                      <m:r>
                        <m:rPr>
                          <m:sty m:val="p"/>
                        </m:rPr>
                        <w:rPr>
                          <w:rFonts w:ascii="Cambria Math" w:hAnsi="Cambria Math"/>
                        </w:rPr>
                        <m:t>&lt;</m:t>
                      </m:r>
                      <m:r>
                        <w:rPr>
                          <w:rFonts w:ascii="Cambria Math" w:hAnsi="Cambria Math"/>
                        </w:rPr>
                        <m:t>1.0</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14</m:t>
                          </m:r>
                        </m:sup>
                      </m:sSup>
                    </m:oMath>
                  </m:oMathPara>
                </w:p>
              </w:tc>
              <w:tc>
                <w:tcPr>
                  <w:tcW w:w="792" w:type="dxa"/>
                </w:tcPr>
                <w:p w14:paraId="3A60F29F" w14:textId="77777777" w:rsidR="00D762DD" w:rsidRDefault="00000000">
                  <w:pPr>
                    <w:jc w:val="center"/>
                  </w:pPr>
                  <w:r>
                    <w:t>75</w:t>
                  </w:r>
                </w:p>
              </w:tc>
              <w:tc>
                <w:tcPr>
                  <w:tcW w:w="792" w:type="dxa"/>
                </w:tcPr>
                <w:p w14:paraId="344891D5" w14:textId="77777777" w:rsidR="00D762DD" w:rsidRDefault="00000000">
                  <w:pPr>
                    <w:jc w:val="center"/>
                  </w:pPr>
                  <w:r>
                    <w:t>0</w:t>
                  </w:r>
                </w:p>
              </w:tc>
              <w:tc>
                <w:tcPr>
                  <w:tcW w:w="792" w:type="dxa"/>
                </w:tcPr>
                <w:p w14:paraId="5F0F6A93" w14:textId="77777777" w:rsidR="00D762DD" w:rsidRDefault="00000000">
                  <w:pPr>
                    <w:jc w:val="center"/>
                  </w:pPr>
                  <w:r>
                    <w:rPr>
                      <w:b/>
                      <w:bCs/>
                    </w:rPr>
                    <w:t>Rechazar</w:t>
                  </w:r>
                  <w:r>
                    <w:t xml:space="preserve"> </w:t>
                  </w:r>
                  <m:oMath>
                    <m:sSub>
                      <m:sSubPr>
                        <m:ctrlPr>
                          <w:rPr>
                            <w:rFonts w:ascii="Cambria Math" w:hAnsi="Cambria Math"/>
                          </w:rPr>
                        </m:ctrlPr>
                      </m:sSubPr>
                      <m:e>
                        <m:r>
                          <w:rPr>
                            <w:rFonts w:ascii="Cambria Math" w:hAnsi="Cambria Math"/>
                          </w:rPr>
                          <m:t>H</m:t>
                        </m:r>
                      </m:e>
                      <m:sub>
                        <m:r>
                          <w:rPr>
                            <w:rFonts w:ascii="Cambria Math" w:hAnsi="Cambria Math"/>
                          </w:rPr>
                          <m:t>0</m:t>
                        </m:r>
                      </m:sub>
                    </m:sSub>
                  </m:oMath>
                </w:p>
              </w:tc>
            </w:tr>
            <w:tr w:rsidR="00D762DD" w14:paraId="4E33F123" w14:textId="77777777">
              <w:tc>
                <w:tcPr>
                  <w:tcW w:w="792" w:type="dxa"/>
                </w:tcPr>
                <w:p w14:paraId="400261FF" w14:textId="77777777" w:rsidR="00D762DD" w:rsidRDefault="00000000">
                  <w:pPr>
                    <w:jc w:val="center"/>
                  </w:pPr>
                  <w:r>
                    <w:t>Estabilidad</w:t>
                  </w:r>
                </w:p>
              </w:tc>
              <w:tc>
                <w:tcPr>
                  <w:tcW w:w="792" w:type="dxa"/>
                </w:tcPr>
                <w:p w14:paraId="36764216" w14:textId="77777777" w:rsidR="00D762DD" w:rsidRDefault="00000000">
                  <w:pPr>
                    <w:jc w:val="center"/>
                  </w:pPr>
                  <m:oMathPara>
                    <m:oMath>
                      <m:r>
                        <m:rPr>
                          <m:sty m:val="p"/>
                        </m:rPr>
                        <w:rPr>
                          <w:rFonts w:ascii="Cambria Math" w:hAnsi="Cambria Math"/>
                        </w:rPr>
                        <m:t>+</m:t>
                      </m:r>
                      <m:r>
                        <w:rPr>
                          <w:rFonts w:ascii="Cambria Math" w:hAnsi="Cambria Math"/>
                        </w:rPr>
                        <m:t>0.7176</m:t>
                      </m:r>
                    </m:oMath>
                  </m:oMathPara>
                </w:p>
              </w:tc>
              <w:tc>
                <w:tcPr>
                  <w:tcW w:w="792" w:type="dxa"/>
                </w:tcPr>
                <w:p w14:paraId="71D226A6" w14:textId="77777777" w:rsidR="00D762DD" w:rsidRDefault="00000000">
                  <w:pPr>
                    <w:jc w:val="center"/>
                  </w:pPr>
                  <m:oMathPara>
                    <m:oMath>
                      <m:r>
                        <w:rPr>
                          <w:rFonts w:ascii="Cambria Math" w:hAnsi="Cambria Math"/>
                        </w:rPr>
                        <m:t>0.2390</m:t>
                      </m:r>
                    </m:oMath>
                  </m:oMathPara>
                </w:p>
              </w:tc>
              <w:tc>
                <w:tcPr>
                  <w:tcW w:w="792" w:type="dxa"/>
                </w:tcPr>
                <w:p w14:paraId="26219449" w14:textId="77777777" w:rsidR="00D762DD" w:rsidRDefault="00000000">
                  <w:pPr>
                    <w:jc w:val="center"/>
                  </w:pPr>
                  <m:oMathPara>
                    <m:oMath>
                      <m:r>
                        <m:rPr>
                          <m:sty m:val="p"/>
                        </m:rPr>
                        <w:rPr>
                          <w:rFonts w:ascii="Cambria Math" w:hAnsi="Cambria Math"/>
                        </w:rPr>
                        <m:t>+</m:t>
                      </m:r>
                      <m:r>
                        <w:rPr>
                          <w:rFonts w:ascii="Cambria Math" w:hAnsi="Cambria Math"/>
                        </w:rPr>
                        <m:t>3.002</m:t>
                      </m:r>
                    </m:oMath>
                  </m:oMathPara>
                </w:p>
              </w:tc>
              <w:tc>
                <w:tcPr>
                  <w:tcW w:w="792" w:type="dxa"/>
                </w:tcPr>
                <w:p w14:paraId="7142703C" w14:textId="77777777" w:rsidR="00D762DD" w:rsidRDefault="00000000">
                  <w:pPr>
                    <w:jc w:val="center"/>
                  </w:pPr>
                  <w:r>
                    <w:t>0</w:t>
                  </w:r>
                </w:p>
              </w:tc>
              <w:tc>
                <w:tcPr>
                  <w:tcW w:w="792" w:type="dxa"/>
                </w:tcPr>
                <w:p w14:paraId="1CD8A516" w14:textId="77777777" w:rsidR="00D762DD" w:rsidRDefault="00000000">
                  <w:pPr>
                    <w:jc w:val="center"/>
                  </w:pPr>
                  <m:oMathPara>
                    <m:oMath>
                      <m:r>
                        <m:rPr>
                          <m:sty m:val="p"/>
                        </m:rPr>
                        <w:rPr>
                          <w:rFonts w:ascii="Cambria Math" w:hAnsi="Cambria Math"/>
                        </w:rPr>
                        <m:t>&lt;</m:t>
                      </m:r>
                      <m:r>
                        <w:rPr>
                          <w:rFonts w:ascii="Cambria Math" w:hAnsi="Cambria Math"/>
                        </w:rPr>
                        <m:t>2.2</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16</m:t>
                          </m:r>
                        </m:sup>
                      </m:sSup>
                    </m:oMath>
                  </m:oMathPara>
                </w:p>
              </w:tc>
              <w:tc>
                <w:tcPr>
                  <w:tcW w:w="792" w:type="dxa"/>
                </w:tcPr>
                <w:p w14:paraId="3E41F710" w14:textId="77777777" w:rsidR="00D762DD" w:rsidRDefault="00000000">
                  <w:pPr>
                    <w:jc w:val="center"/>
                  </w:pPr>
                  <m:oMathPara>
                    <m:oMath>
                      <m:r>
                        <m:rPr>
                          <m:sty m:val="p"/>
                        </m:rPr>
                        <w:rPr>
                          <w:rFonts w:ascii="Cambria Math" w:hAnsi="Cambria Math"/>
                        </w:rPr>
                        <m:t>&lt;</m:t>
                      </m:r>
                      <m:r>
                        <w:rPr>
                          <w:rFonts w:ascii="Cambria Math" w:hAnsi="Cambria Math"/>
                        </w:rPr>
                        <m:t>1.0</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14</m:t>
                          </m:r>
                        </m:sup>
                      </m:sSup>
                    </m:oMath>
                  </m:oMathPara>
                </w:p>
              </w:tc>
              <w:tc>
                <w:tcPr>
                  <w:tcW w:w="792" w:type="dxa"/>
                </w:tcPr>
                <w:p w14:paraId="03AFF1E4" w14:textId="77777777" w:rsidR="00D762DD" w:rsidRDefault="00000000">
                  <w:pPr>
                    <w:jc w:val="center"/>
                  </w:pPr>
                  <w:r>
                    <w:t>75</w:t>
                  </w:r>
                </w:p>
              </w:tc>
              <w:tc>
                <w:tcPr>
                  <w:tcW w:w="792" w:type="dxa"/>
                </w:tcPr>
                <w:p w14:paraId="0FDF5979" w14:textId="77777777" w:rsidR="00D762DD" w:rsidRDefault="00000000">
                  <w:pPr>
                    <w:jc w:val="center"/>
                  </w:pPr>
                  <w:r>
                    <w:t>0</w:t>
                  </w:r>
                </w:p>
              </w:tc>
              <w:tc>
                <w:tcPr>
                  <w:tcW w:w="792" w:type="dxa"/>
                </w:tcPr>
                <w:p w14:paraId="06783FCB" w14:textId="77777777" w:rsidR="00D762DD" w:rsidRDefault="00000000">
                  <w:pPr>
                    <w:jc w:val="center"/>
                  </w:pPr>
                  <w:r>
                    <w:rPr>
                      <w:b/>
                      <w:bCs/>
                    </w:rPr>
                    <w:t>Rechazar</w:t>
                  </w:r>
                  <w:r>
                    <w:t xml:space="preserve"> </w:t>
                  </w:r>
                  <m:oMath>
                    <m:sSub>
                      <m:sSubPr>
                        <m:ctrlPr>
                          <w:rPr>
                            <w:rFonts w:ascii="Cambria Math" w:hAnsi="Cambria Math"/>
                          </w:rPr>
                        </m:ctrlPr>
                      </m:sSubPr>
                      <m:e>
                        <m:r>
                          <w:rPr>
                            <w:rFonts w:ascii="Cambria Math" w:hAnsi="Cambria Math"/>
                          </w:rPr>
                          <m:t>H</m:t>
                        </m:r>
                      </m:e>
                      <m:sub>
                        <m:r>
                          <w:rPr>
                            <w:rFonts w:ascii="Cambria Math" w:hAnsi="Cambria Math"/>
                          </w:rPr>
                          <m:t>0</m:t>
                        </m:r>
                      </m:sub>
                    </m:sSub>
                  </m:oMath>
                </w:p>
              </w:tc>
            </w:tr>
            <w:tr w:rsidR="00D762DD" w14:paraId="7BF61B7D" w14:textId="77777777">
              <w:tc>
                <w:tcPr>
                  <w:tcW w:w="792" w:type="dxa"/>
                </w:tcPr>
                <w:p w14:paraId="39B6B3DE" w14:textId="77777777" w:rsidR="00D762DD" w:rsidRDefault="00000000">
                  <w:pPr>
                    <w:jc w:val="center"/>
                  </w:pPr>
                  <w:r>
                    <w:t>Parsimonia</w:t>
                  </w:r>
                </w:p>
              </w:tc>
              <w:tc>
                <w:tcPr>
                  <w:tcW w:w="792" w:type="dxa"/>
                </w:tcPr>
                <w:p w14:paraId="311F118F" w14:textId="77777777" w:rsidR="00D762DD" w:rsidRDefault="00000000">
                  <w:pPr>
                    <w:jc w:val="center"/>
                  </w:pPr>
                  <m:oMathPara>
                    <m:oMath>
                      <m:r>
                        <m:rPr>
                          <m:sty m:val="p"/>
                        </m:rPr>
                        <w:rPr>
                          <w:rFonts w:ascii="Cambria Math" w:hAnsi="Cambria Math"/>
                        </w:rPr>
                        <m:t>+</m:t>
                      </m:r>
                      <m:r>
                        <w:rPr>
                          <w:rFonts w:ascii="Cambria Math" w:hAnsi="Cambria Math"/>
                        </w:rPr>
                        <m:t>0.1418</m:t>
                      </m:r>
                    </m:oMath>
                  </m:oMathPara>
                </w:p>
              </w:tc>
              <w:tc>
                <w:tcPr>
                  <w:tcW w:w="792" w:type="dxa"/>
                </w:tcPr>
                <w:p w14:paraId="0FF1607C" w14:textId="77777777" w:rsidR="00D762DD" w:rsidRDefault="00000000">
                  <w:pPr>
                    <w:jc w:val="center"/>
                  </w:pPr>
                  <m:oMathPara>
                    <m:oMath>
                      <m:r>
                        <w:rPr>
                          <w:rFonts w:ascii="Cambria Math" w:hAnsi="Cambria Math"/>
                        </w:rPr>
                        <m:t>0.1690</m:t>
                      </m:r>
                    </m:oMath>
                  </m:oMathPara>
                </w:p>
              </w:tc>
              <w:tc>
                <w:tcPr>
                  <w:tcW w:w="792" w:type="dxa"/>
                </w:tcPr>
                <w:p w14:paraId="3A0F3E1A" w14:textId="77777777" w:rsidR="00D762DD" w:rsidRDefault="00000000">
                  <w:pPr>
                    <w:jc w:val="center"/>
                  </w:pPr>
                  <m:oMathPara>
                    <m:oMath>
                      <m:r>
                        <m:rPr>
                          <m:sty m:val="p"/>
                        </m:rPr>
                        <w:rPr>
                          <w:rFonts w:ascii="Cambria Math" w:hAnsi="Cambria Math"/>
                        </w:rPr>
                        <m:t>+</m:t>
                      </m:r>
                      <m:r>
                        <w:rPr>
                          <w:rFonts w:ascii="Cambria Math" w:hAnsi="Cambria Math"/>
                        </w:rPr>
                        <m:t>0.839</m:t>
                      </m:r>
                    </m:oMath>
                  </m:oMathPara>
                </w:p>
              </w:tc>
              <w:tc>
                <w:tcPr>
                  <w:tcW w:w="792" w:type="dxa"/>
                </w:tcPr>
                <w:p w14:paraId="75CE491A" w14:textId="77777777" w:rsidR="00D762DD" w:rsidRDefault="00000000">
                  <w:pPr>
                    <w:jc w:val="center"/>
                  </w:pPr>
                  <w:r>
                    <w:t>0</w:t>
                  </w:r>
                </w:p>
              </w:tc>
              <w:tc>
                <w:tcPr>
                  <w:tcW w:w="792" w:type="dxa"/>
                </w:tcPr>
                <w:p w14:paraId="05D76C9A" w14:textId="77777777" w:rsidR="00D762DD" w:rsidRDefault="00000000">
                  <w:pPr>
                    <w:jc w:val="center"/>
                  </w:pPr>
                  <m:oMathPara>
                    <m:oMath>
                      <m:r>
                        <m:rPr>
                          <m:sty m:val="p"/>
                        </m:rPr>
                        <w:rPr>
                          <w:rFonts w:ascii="Cambria Math" w:hAnsi="Cambria Math"/>
                        </w:rPr>
                        <m:t>&lt;</m:t>
                      </m:r>
                      <m:r>
                        <w:rPr>
                          <w:rFonts w:ascii="Cambria Math" w:hAnsi="Cambria Math"/>
                        </w:rPr>
                        <m:t>2.2</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16</m:t>
                          </m:r>
                        </m:sup>
                      </m:sSup>
                    </m:oMath>
                  </m:oMathPara>
                </w:p>
              </w:tc>
              <w:tc>
                <w:tcPr>
                  <w:tcW w:w="792" w:type="dxa"/>
                </w:tcPr>
                <w:p w14:paraId="346DF0B1" w14:textId="77777777" w:rsidR="00D762DD" w:rsidRDefault="00000000">
                  <w:pPr>
                    <w:jc w:val="center"/>
                  </w:pPr>
                  <m:oMathPara>
                    <m:oMath>
                      <m:r>
                        <m:rPr>
                          <m:sty m:val="p"/>
                        </m:rPr>
                        <w:rPr>
                          <w:rFonts w:ascii="Cambria Math" w:hAnsi="Cambria Math"/>
                        </w:rPr>
                        <m:t>&lt;</m:t>
                      </m:r>
                      <m:r>
                        <w:rPr>
                          <w:rFonts w:ascii="Cambria Math" w:hAnsi="Cambria Math"/>
                        </w:rPr>
                        <m:t>1.0</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13</m:t>
                          </m:r>
                        </m:sup>
                      </m:sSup>
                    </m:oMath>
                  </m:oMathPara>
                </w:p>
              </w:tc>
              <w:tc>
                <w:tcPr>
                  <w:tcW w:w="792" w:type="dxa"/>
                </w:tcPr>
                <w:p w14:paraId="78B7783C" w14:textId="77777777" w:rsidR="00D762DD" w:rsidRDefault="00000000">
                  <w:pPr>
                    <w:jc w:val="center"/>
                  </w:pPr>
                  <w:r>
                    <w:t>75</w:t>
                  </w:r>
                </w:p>
              </w:tc>
              <w:tc>
                <w:tcPr>
                  <w:tcW w:w="792" w:type="dxa"/>
                </w:tcPr>
                <w:p w14:paraId="318C9002" w14:textId="77777777" w:rsidR="00D762DD" w:rsidRDefault="00000000">
                  <w:pPr>
                    <w:jc w:val="center"/>
                  </w:pPr>
                  <w:r>
                    <w:t>0</w:t>
                  </w:r>
                </w:p>
              </w:tc>
              <w:tc>
                <w:tcPr>
                  <w:tcW w:w="792" w:type="dxa"/>
                </w:tcPr>
                <w:p w14:paraId="787D5A17" w14:textId="77777777" w:rsidR="00D762DD" w:rsidRDefault="00000000">
                  <w:pPr>
                    <w:jc w:val="center"/>
                  </w:pPr>
                  <w:r>
                    <w:rPr>
                      <w:b/>
                      <w:bCs/>
                    </w:rPr>
                    <w:t>Rechazar</w:t>
                  </w:r>
                  <w:r>
                    <w:t xml:space="preserve"> </w:t>
                  </w:r>
                  <m:oMath>
                    <m:sSub>
                      <m:sSubPr>
                        <m:ctrlPr>
                          <w:rPr>
                            <w:rFonts w:ascii="Cambria Math" w:hAnsi="Cambria Math"/>
                          </w:rPr>
                        </m:ctrlPr>
                      </m:sSubPr>
                      <m:e>
                        <m:r>
                          <w:rPr>
                            <w:rFonts w:ascii="Cambria Math" w:hAnsi="Cambria Math"/>
                          </w:rPr>
                          <m:t>H</m:t>
                        </m:r>
                      </m:e>
                      <m:sub>
                        <m:r>
                          <w:rPr>
                            <w:rFonts w:ascii="Cambria Math" w:hAnsi="Cambria Math"/>
                          </w:rPr>
                          <m:t>0</m:t>
                        </m:r>
                      </m:sub>
                    </m:sSub>
                  </m:oMath>
                </w:p>
              </w:tc>
            </w:tr>
            <w:tr w:rsidR="00D762DD" w14:paraId="2DB90202" w14:textId="77777777">
              <w:tc>
                <w:tcPr>
                  <w:tcW w:w="792" w:type="dxa"/>
                </w:tcPr>
                <w:p w14:paraId="2B89836C" w14:textId="77777777" w:rsidR="00D762DD" w:rsidRDefault="00000000">
                  <w:pPr>
                    <w:jc w:val="center"/>
                  </w:pPr>
                  <w:r>
                    <w:t>Brecha fidelidad</w:t>
                  </w:r>
                </w:p>
              </w:tc>
              <w:tc>
                <w:tcPr>
                  <w:tcW w:w="792" w:type="dxa"/>
                </w:tcPr>
                <w:p w14:paraId="55838732" w14:textId="77777777" w:rsidR="00D762DD" w:rsidRDefault="00000000">
                  <w:pPr>
                    <w:jc w:val="center"/>
                  </w:pPr>
                  <m:oMathPara>
                    <m:oMath>
                      <m:r>
                        <m:rPr>
                          <m:sty m:val="p"/>
                        </m:rPr>
                        <w:rPr>
                          <w:rFonts w:ascii="Cambria Math" w:hAnsi="Cambria Math"/>
                        </w:rPr>
                        <m:t>+</m:t>
                      </m:r>
                      <m:r>
                        <w:rPr>
                          <w:rFonts w:ascii="Cambria Math" w:hAnsi="Cambria Math"/>
                        </w:rPr>
                        <m:t>0.0453</m:t>
                      </m:r>
                    </m:oMath>
                  </m:oMathPara>
                </w:p>
              </w:tc>
              <w:tc>
                <w:tcPr>
                  <w:tcW w:w="792" w:type="dxa"/>
                </w:tcPr>
                <w:p w14:paraId="31E67583" w14:textId="77777777" w:rsidR="00D762DD" w:rsidRDefault="00000000">
                  <w:pPr>
                    <w:jc w:val="center"/>
                  </w:pPr>
                  <m:oMathPara>
                    <m:oMath>
                      <m:r>
                        <w:rPr>
                          <w:rFonts w:ascii="Cambria Math" w:hAnsi="Cambria Math"/>
                        </w:rPr>
                        <m:t>0.0173</m:t>
                      </m:r>
                    </m:oMath>
                  </m:oMathPara>
                </w:p>
              </w:tc>
              <w:tc>
                <w:tcPr>
                  <w:tcW w:w="792" w:type="dxa"/>
                </w:tcPr>
                <w:p w14:paraId="7136EF17" w14:textId="77777777" w:rsidR="00D762DD" w:rsidRDefault="00000000">
                  <w:pPr>
                    <w:jc w:val="center"/>
                  </w:pPr>
                  <m:oMathPara>
                    <m:oMath>
                      <m:r>
                        <m:rPr>
                          <m:sty m:val="p"/>
                        </m:rPr>
                        <w:rPr>
                          <w:rFonts w:ascii="Cambria Math" w:hAnsi="Cambria Math"/>
                        </w:rPr>
                        <m:t>+</m:t>
                      </m:r>
                      <m:r>
                        <w:rPr>
                          <w:rFonts w:ascii="Cambria Math" w:hAnsi="Cambria Math"/>
                        </w:rPr>
                        <m:t>2.626</m:t>
                      </m:r>
                    </m:oMath>
                  </m:oMathPara>
                </w:p>
              </w:tc>
              <w:tc>
                <w:tcPr>
                  <w:tcW w:w="792" w:type="dxa"/>
                </w:tcPr>
                <w:p w14:paraId="637F30A7" w14:textId="77777777" w:rsidR="00D762DD" w:rsidRDefault="00000000">
                  <w:pPr>
                    <w:jc w:val="center"/>
                  </w:pPr>
                  <w:r>
                    <w:t>1</w:t>
                  </w:r>
                </w:p>
              </w:tc>
              <w:tc>
                <w:tcPr>
                  <w:tcW w:w="792" w:type="dxa"/>
                </w:tcPr>
                <w:p w14:paraId="217A54B5" w14:textId="77777777" w:rsidR="00D762DD" w:rsidRDefault="00000000">
                  <w:pPr>
                    <w:jc w:val="center"/>
                  </w:pPr>
                  <m:oMathPara>
                    <m:oMath>
                      <m:r>
                        <w:rPr>
                          <w:rFonts w:ascii="Cambria Math" w:hAnsi="Cambria Math"/>
                        </w:rPr>
                        <m:t>2.64</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13</m:t>
                          </m:r>
                        </m:sup>
                      </m:sSup>
                    </m:oMath>
                  </m:oMathPara>
                </w:p>
              </w:tc>
              <w:tc>
                <w:tcPr>
                  <w:tcW w:w="792" w:type="dxa"/>
                </w:tcPr>
                <w:p w14:paraId="6D1055A7" w14:textId="77777777" w:rsidR="00D762DD" w:rsidRDefault="00000000">
                  <w:pPr>
                    <w:jc w:val="center"/>
                  </w:pPr>
                  <m:oMathPara>
                    <m:oMath>
                      <m:r>
                        <w:rPr>
                          <w:rFonts w:ascii="Cambria Math" w:hAnsi="Cambria Math"/>
                        </w:rPr>
                        <m:t>2.64</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13</m:t>
                          </m:r>
                        </m:sup>
                      </m:sSup>
                    </m:oMath>
                  </m:oMathPara>
                </w:p>
              </w:tc>
              <w:tc>
                <w:tcPr>
                  <w:tcW w:w="792" w:type="dxa"/>
                </w:tcPr>
                <w:p w14:paraId="26B2E6D3" w14:textId="77777777" w:rsidR="00D762DD" w:rsidRDefault="00000000">
                  <w:pPr>
                    <w:jc w:val="center"/>
                  </w:pPr>
                  <w:r>
                    <w:t>74</w:t>
                  </w:r>
                </w:p>
              </w:tc>
              <w:tc>
                <w:tcPr>
                  <w:tcW w:w="792" w:type="dxa"/>
                </w:tcPr>
                <w:p w14:paraId="384DE992" w14:textId="77777777" w:rsidR="00D762DD" w:rsidRDefault="00000000">
                  <w:pPr>
                    <w:jc w:val="center"/>
                  </w:pPr>
                  <w:r>
                    <w:t>1</w:t>
                  </w:r>
                </w:p>
              </w:tc>
              <w:tc>
                <w:tcPr>
                  <w:tcW w:w="792" w:type="dxa"/>
                </w:tcPr>
                <w:p w14:paraId="2006535E" w14:textId="77777777" w:rsidR="00D762DD" w:rsidRDefault="00000000">
                  <w:pPr>
                    <w:jc w:val="center"/>
                  </w:pPr>
                  <w:r>
                    <w:rPr>
                      <w:b/>
                      <w:bCs/>
                    </w:rPr>
                    <w:t>Rechazar</w:t>
                  </w:r>
                  <w:r>
                    <w:t xml:space="preserve"> </w:t>
                  </w:r>
                  <m:oMath>
                    <m:sSub>
                      <m:sSubPr>
                        <m:ctrlPr>
                          <w:rPr>
                            <w:rFonts w:ascii="Cambria Math" w:hAnsi="Cambria Math"/>
                          </w:rPr>
                        </m:ctrlPr>
                      </m:sSubPr>
                      <m:e>
                        <m:r>
                          <w:rPr>
                            <w:rFonts w:ascii="Cambria Math" w:hAnsi="Cambria Math"/>
                          </w:rPr>
                          <m:t>H</m:t>
                        </m:r>
                      </m:e>
                      <m:sub>
                        <m:r>
                          <w:rPr>
                            <w:rFonts w:ascii="Cambria Math" w:hAnsi="Cambria Math"/>
                          </w:rPr>
                          <m:t>0</m:t>
                        </m:r>
                      </m:sub>
                    </m:sSub>
                  </m:oMath>
                </w:p>
              </w:tc>
            </w:tr>
            <w:tr w:rsidR="00D762DD" w14:paraId="7E132C14" w14:textId="77777777">
              <w:tc>
                <w:tcPr>
                  <w:tcW w:w="792" w:type="dxa"/>
                </w:tcPr>
                <w:p w14:paraId="2D8EDDCB" w14:textId="77777777" w:rsidR="00D762DD" w:rsidRDefault="00000000">
                  <w:pPr>
                    <w:jc w:val="center"/>
                  </w:pPr>
                  <w:r>
                    <w:t>Coste (ms)</w:t>
                  </w:r>
                </w:p>
              </w:tc>
              <w:tc>
                <w:tcPr>
                  <w:tcW w:w="792" w:type="dxa"/>
                </w:tcPr>
                <w:p w14:paraId="5CDF9122" w14:textId="77777777" w:rsidR="00D762DD" w:rsidRDefault="00000000">
                  <w:pPr>
                    <w:jc w:val="center"/>
                  </w:pPr>
                  <m:oMathPara>
                    <m:oMath>
                      <m:r>
                        <m:rPr>
                          <m:sty m:val="p"/>
                        </m:rPr>
                        <w:rPr>
                          <w:rFonts w:ascii="Cambria Math" w:hAnsi="Cambria Math"/>
                        </w:rPr>
                        <m:t>+</m:t>
                      </m:r>
                      <m:r>
                        <w:rPr>
                          <w:rFonts w:ascii="Cambria Math" w:hAnsi="Cambria Math"/>
                        </w:rPr>
                        <m:t>8</m:t>
                      </m:r>
                      <m:r>
                        <m:rPr>
                          <m:sty m:val="p"/>
                        </m:rPr>
                        <w:rPr>
                          <w:rFonts w:ascii="Cambria Math" w:hAnsi="Cambria Math"/>
                        </w:rPr>
                        <m:t>,</m:t>
                      </m:r>
                      <m:r>
                        <w:rPr>
                          <w:rFonts w:ascii="Cambria Math" w:hAnsi="Cambria Math"/>
                        </w:rPr>
                        <m:t>047.6</m:t>
                      </m:r>
                    </m:oMath>
                  </m:oMathPara>
                </w:p>
              </w:tc>
              <w:tc>
                <w:tcPr>
                  <w:tcW w:w="792" w:type="dxa"/>
                </w:tcPr>
                <w:p w14:paraId="07CF9DC5" w14:textId="77777777" w:rsidR="00D762DD" w:rsidRDefault="00000000">
                  <w:pPr>
                    <w:jc w:val="center"/>
                  </w:pPr>
                  <m:oMathPara>
                    <m:oMath>
                      <m:r>
                        <w:rPr>
                          <w:rFonts w:ascii="Cambria Math" w:hAnsi="Cambria Math"/>
                        </w:rPr>
                        <m:t>17</m:t>
                      </m:r>
                      <m:r>
                        <m:rPr>
                          <m:sty m:val="p"/>
                        </m:rPr>
                        <w:rPr>
                          <w:rFonts w:ascii="Cambria Math" w:hAnsi="Cambria Math"/>
                        </w:rPr>
                        <m:t>,</m:t>
                      </m:r>
                      <m:r>
                        <w:rPr>
                          <w:rFonts w:ascii="Cambria Math" w:hAnsi="Cambria Math"/>
                        </w:rPr>
                        <m:t>856.6</m:t>
                      </m:r>
                    </m:oMath>
                  </m:oMathPara>
                </w:p>
              </w:tc>
              <w:tc>
                <w:tcPr>
                  <w:tcW w:w="792" w:type="dxa"/>
                </w:tcPr>
                <w:p w14:paraId="42E44EEE" w14:textId="77777777" w:rsidR="00D762DD" w:rsidRDefault="00000000">
                  <w:pPr>
                    <w:jc w:val="center"/>
                  </w:pPr>
                  <m:oMathPara>
                    <m:oMath>
                      <m:r>
                        <m:rPr>
                          <m:sty m:val="p"/>
                        </m:rPr>
                        <w:rPr>
                          <w:rFonts w:ascii="Cambria Math" w:hAnsi="Cambria Math"/>
                        </w:rPr>
                        <m:t>+</m:t>
                      </m:r>
                      <m:r>
                        <w:rPr>
                          <w:rFonts w:ascii="Cambria Math" w:hAnsi="Cambria Math"/>
                        </w:rPr>
                        <m:t>0.451</m:t>
                      </m:r>
                    </m:oMath>
                  </m:oMathPara>
                </w:p>
              </w:tc>
              <w:tc>
                <w:tcPr>
                  <w:tcW w:w="792" w:type="dxa"/>
                </w:tcPr>
                <w:p w14:paraId="4BB4DB6C" w14:textId="77777777" w:rsidR="00D762DD" w:rsidRDefault="00000000">
                  <w:pPr>
                    <w:jc w:val="center"/>
                  </w:pPr>
                  <w:r>
                    <w:t>205</w:t>
                  </w:r>
                </w:p>
              </w:tc>
              <w:tc>
                <w:tcPr>
                  <w:tcW w:w="792" w:type="dxa"/>
                </w:tcPr>
                <w:p w14:paraId="7452ABB4" w14:textId="77777777" w:rsidR="00D762DD" w:rsidRDefault="00000000">
                  <w:pPr>
                    <w:jc w:val="center"/>
                  </w:pPr>
                  <m:oMathPara>
                    <m:oMath>
                      <m:r>
                        <w:rPr>
                          <w:rFonts w:ascii="Cambria Math" w:hAnsi="Cambria Math"/>
                        </w:rPr>
                        <m:t>1.18</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10</m:t>
                          </m:r>
                        </m:sup>
                      </m:sSup>
                    </m:oMath>
                  </m:oMathPara>
                </w:p>
              </w:tc>
              <w:tc>
                <w:tcPr>
                  <w:tcW w:w="792" w:type="dxa"/>
                </w:tcPr>
                <w:p w14:paraId="229200B1" w14:textId="77777777" w:rsidR="00D762DD" w:rsidRDefault="00000000">
                  <w:pPr>
                    <w:jc w:val="center"/>
                  </w:pPr>
                  <m:oMathPara>
                    <m:oMath>
                      <m:r>
                        <w:rPr>
                          <w:rFonts w:ascii="Cambria Math" w:hAnsi="Cambria Math"/>
                        </w:rPr>
                        <m:t>1.18</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10</m:t>
                          </m:r>
                        </m:sup>
                      </m:sSup>
                    </m:oMath>
                  </m:oMathPara>
                </w:p>
              </w:tc>
              <w:tc>
                <w:tcPr>
                  <w:tcW w:w="792" w:type="dxa"/>
                </w:tcPr>
                <w:p w14:paraId="56315A25" w14:textId="77777777" w:rsidR="00D762DD" w:rsidRDefault="00000000">
                  <w:pPr>
                    <w:jc w:val="center"/>
                  </w:pPr>
                  <w:r>
                    <w:t>59</w:t>
                  </w:r>
                </w:p>
              </w:tc>
              <w:tc>
                <w:tcPr>
                  <w:tcW w:w="792" w:type="dxa"/>
                </w:tcPr>
                <w:p w14:paraId="3E5C2119" w14:textId="77777777" w:rsidR="00D762DD" w:rsidRDefault="00000000">
                  <w:pPr>
                    <w:jc w:val="center"/>
                  </w:pPr>
                  <w:r>
                    <w:t>16</w:t>
                  </w:r>
                </w:p>
              </w:tc>
              <w:tc>
                <w:tcPr>
                  <w:tcW w:w="792" w:type="dxa"/>
                </w:tcPr>
                <w:p w14:paraId="6F6E85E2" w14:textId="77777777" w:rsidR="00D762DD" w:rsidRDefault="00000000">
                  <w:pPr>
                    <w:jc w:val="center"/>
                  </w:pPr>
                  <w:r>
                    <w:rPr>
                      <w:b/>
                      <w:bCs/>
                    </w:rPr>
                    <w:t>Rechazar</w:t>
                  </w:r>
                  <w:r>
                    <w:t xml:space="preserve"> </w:t>
                  </w:r>
                  <m:oMath>
                    <m:sSub>
                      <m:sSubPr>
                        <m:ctrlPr>
                          <w:rPr>
                            <w:rFonts w:ascii="Cambria Math" w:hAnsi="Cambria Math"/>
                          </w:rPr>
                        </m:ctrlPr>
                      </m:sSubPr>
                      <m:e>
                        <m:r>
                          <w:rPr>
                            <w:rFonts w:ascii="Cambria Math" w:hAnsi="Cambria Math"/>
                          </w:rPr>
                          <m:t>H</m:t>
                        </m:r>
                      </m:e>
                      <m:sub>
                        <m:r>
                          <w:rPr>
                            <w:rFonts w:ascii="Cambria Math" w:hAnsi="Cambria Math"/>
                          </w:rPr>
                          <m:t>0</m:t>
                        </m:r>
                      </m:sub>
                    </m:sSub>
                  </m:oMath>
                </w:p>
              </w:tc>
            </w:tr>
            <w:bookmarkEnd w:id="430"/>
          </w:tbl>
          <w:p w14:paraId="408EFA92" w14:textId="77777777" w:rsidR="00D762DD" w:rsidRDefault="00D762DD"/>
        </w:tc>
      </w:tr>
    </w:tbl>
    <w:p w14:paraId="60FD7F46" w14:textId="77777777" w:rsidR="00D762DD" w:rsidRDefault="00000000">
      <w:pPr>
        <w:pStyle w:val="BodyText"/>
      </w:pPr>
      <w:r>
        <w:lastRenderedPageBreak/>
        <w:t xml:space="preserve">La interpretación de </w:t>
      </w:r>
      <m:oMath>
        <m:sSub>
          <m:sSubPr>
            <m:ctrlPr>
              <w:rPr>
                <w:rFonts w:ascii="Cambria Math" w:hAnsi="Cambria Math"/>
              </w:rPr>
            </m:ctrlPr>
          </m:sSubPr>
          <m:e>
            <m:r>
              <w:rPr>
                <w:rFonts w:ascii="Cambria Math" w:hAnsi="Cambria Math"/>
              </w:rPr>
              <m:t>d</m:t>
            </m:r>
          </m:e>
          <m:sub>
            <m:r>
              <w:rPr>
                <w:rFonts w:ascii="Cambria Math" w:hAnsi="Cambria Math"/>
              </w:rPr>
              <m:t>z</m:t>
            </m:r>
          </m:sub>
        </m:sSub>
      </m:oMath>
      <w:r>
        <w:t xml:space="preserve"> sigue la escala de Cohen: </w:t>
      </w:r>
      <m:oMath>
        <m:sSub>
          <m:sSubPr>
            <m:ctrlPr>
              <w:rPr>
                <w:rFonts w:ascii="Cambria Math" w:hAnsi="Cambria Math"/>
              </w:rPr>
            </m:ctrlPr>
          </m:sSubPr>
          <m:e>
            <m:r>
              <w:rPr>
                <w:rFonts w:ascii="Cambria Math" w:hAnsi="Cambria Math"/>
              </w:rPr>
              <m:t>d</m:t>
            </m:r>
          </m:e>
          <m:sub>
            <m:r>
              <w:rPr>
                <w:rFonts w:ascii="Cambria Math" w:hAnsi="Cambria Math"/>
              </w:rPr>
              <m:t>z</m:t>
            </m:r>
          </m:sub>
        </m:sSub>
        <m:r>
          <m:rPr>
            <m:sty m:val="p"/>
          </m:rPr>
          <w:rPr>
            <w:rFonts w:ascii="Cambria Math" w:hAnsi="Cambria Math"/>
          </w:rPr>
          <m:t>&gt;</m:t>
        </m:r>
        <m:r>
          <w:rPr>
            <w:rFonts w:ascii="Cambria Math" w:hAnsi="Cambria Math"/>
          </w:rPr>
          <m:t>0.8</m:t>
        </m:r>
      </m:oMath>
      <w:r>
        <w:t xml:space="preserve"> = efecto grande; </w:t>
      </w:r>
      <m:oMath>
        <m:sSub>
          <m:sSubPr>
            <m:ctrlPr>
              <w:rPr>
                <w:rFonts w:ascii="Cambria Math" w:hAnsi="Cambria Math"/>
              </w:rPr>
            </m:ctrlPr>
          </m:sSubPr>
          <m:e>
            <m:r>
              <w:rPr>
                <w:rFonts w:ascii="Cambria Math" w:hAnsi="Cambria Math"/>
              </w:rPr>
              <m:t>d</m:t>
            </m:r>
          </m:e>
          <m:sub>
            <m:r>
              <w:rPr>
                <w:rFonts w:ascii="Cambria Math" w:hAnsi="Cambria Math"/>
              </w:rPr>
              <m:t>z</m:t>
            </m:r>
          </m:sub>
        </m:sSub>
        <m:r>
          <m:rPr>
            <m:sty m:val="p"/>
          </m:rPr>
          <w:rPr>
            <w:rFonts w:ascii="Cambria Math" w:hAnsi="Cambria Math"/>
          </w:rPr>
          <m:t>&gt;</m:t>
        </m:r>
        <m:r>
          <w:rPr>
            <w:rFonts w:ascii="Cambria Math" w:hAnsi="Cambria Math"/>
          </w:rPr>
          <m:t>2.0</m:t>
        </m:r>
      </m:oMath>
      <w:r>
        <w:t xml:space="preserve"> = efecto muy grande. Los umbrales Holm ajustados se aplican en orden decreciente de </w:t>
      </w:r>
      <m:oMath>
        <m:r>
          <w:rPr>
            <w:rFonts w:ascii="Cambria Math" w:hAnsi="Cambria Math"/>
          </w:rPr>
          <m:t>p</m:t>
        </m:r>
      </m:oMath>
      <w:r>
        <w:t xml:space="preserve">-valor: </w:t>
      </w:r>
      <m:oMath>
        <m:r>
          <w:rPr>
            <w:rFonts w:ascii="Cambria Math" w:hAnsi="Cambria Math"/>
          </w:rPr>
          <m:t>α</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0.010</m:t>
        </m:r>
      </m:oMath>
      <w:r>
        <w:t xml:space="preserve">, </w:t>
      </w:r>
      <m:oMath>
        <m:r>
          <w:rPr>
            <w:rFonts w:ascii="Cambria Math" w:hAnsi="Cambria Math"/>
          </w:rPr>
          <m:t>α</m:t>
        </m:r>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0.0125</m:t>
        </m:r>
      </m:oMath>
      <w:r>
        <w:t xml:space="preserve">, </w:t>
      </w:r>
      <m:oMath>
        <m:r>
          <w:rPr>
            <w:rFonts w:ascii="Cambria Math" w:hAnsi="Cambria Math"/>
          </w:rPr>
          <m:t>α</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0.0167</m:t>
        </m:r>
      </m:oMath>
      <w:r>
        <w:t xml:space="preserve">, </w:t>
      </w:r>
      <m:oMath>
        <m:r>
          <w:rPr>
            <w:rFonts w:ascii="Cambria Math" w:hAnsi="Cambria Math"/>
          </w:rPr>
          <m:t>α</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0.025</m:t>
        </m:r>
      </m:oMath>
      <w:r>
        <w:t xml:space="preserve">, </w:t>
      </w:r>
      <m:oMath>
        <m:r>
          <w:rPr>
            <w:rFonts w:ascii="Cambria Math" w:hAnsi="Cambria Math"/>
          </w:rPr>
          <m:t>α</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0.050</m:t>
        </m:r>
      </m:oMath>
      <w:r>
        <w:t>. Todos los p-valores ajustados quedan muy por debajo de sus umbrales correspondientes.</w:t>
      </w:r>
    </w:p>
    <w:p w14:paraId="78088C66" w14:textId="77777777" w:rsidR="00D762DD" w:rsidRDefault="00000000">
      <w:pPr>
        <w:pStyle w:val="BodyText"/>
      </w:pPr>
      <w:r>
        <w:t>La proposición P1 se evalúa sobre el estrato replicado RF/</w:t>
      </w:r>
      <m:oMath>
        <m:r>
          <w:rPr>
            <w:rFonts w:ascii="Cambria Math" w:hAnsi="Cambria Math"/>
          </w:rPr>
          <m:t>N</m:t>
        </m:r>
        <m:r>
          <m:rPr>
            <m:sty m:val="p"/>
          </m:rPr>
          <w:rPr>
            <w:rFonts w:ascii="Cambria Math" w:hAnsi="Cambria Math"/>
          </w:rPr>
          <m:t>=</m:t>
        </m:r>
        <m:r>
          <w:rPr>
            <w:rFonts w:ascii="Cambria Math" w:hAnsi="Cambria Math"/>
          </w:rPr>
          <m:t>100</m:t>
        </m:r>
      </m:oMath>
      <w:r>
        <w:t xml:space="preserve"> del nivel de ejecución de EXP2, agregando las cinco semillas: los valores de la </w:t>
      </w:r>
      <w:hyperlink w:anchor="tbl-cv-p1">
        <w:r>
          <w:rPr>
            <w:rStyle w:val="Hyperlink"/>
          </w:rPr>
          <w:t>Table 5.6</w:t>
        </w:r>
      </w:hyperlink>
      <w:r>
        <w:t xml:space="preserve"> se </w:t>
      </w:r>
      <w:proofErr w:type="spellStart"/>
      <w:r>
        <w:t>re-derivan</w:t>
      </w:r>
      <w:proofErr w:type="spellEnd"/>
      <w:r>
        <w:t xml:space="preserve"> de outputs/</w:t>
      </w:r>
      <w:proofErr w:type="spellStart"/>
      <w:r>
        <w:t>analysis</w:t>
      </w:r>
      <w:proofErr w:type="spellEnd"/>
      <w:r>
        <w:t xml:space="preserve">/paper_a_exp2_stats/exp2_run_level_metrics.csv. El perfilado de dispersión de EXP1, documentado de forma independiente en experiments/exp1_adult/reproducibility/reproducibility_report.csv, cubre una cohorte distinta (nueve ejecuciones por configuración, modelos </w:t>
      </w:r>
      <w:proofErr w:type="spellStart"/>
      <w:r>
        <w:t>rf</w:t>
      </w:r>
      <w:proofErr w:type="spellEnd"/>
      <w:r>
        <w:t>/</w:t>
      </w:r>
      <w:proofErr w:type="spellStart"/>
      <w:r>
        <w:t>xgb</w:t>
      </w:r>
      <w:proofErr w:type="spellEnd"/>
      <w:r>
        <w:t xml:space="preserve"> con SHAP y LIME) y sostiene la puerta 6 del protocolo, pero no es la fuente de las cifras de la </w:t>
      </w:r>
      <w:hyperlink w:anchor="tbl-cv-p1">
        <w:r>
          <w:rPr>
            <w:rStyle w:val="Hyperlink"/>
          </w:rPr>
          <w:t>Table 5.6</w:t>
        </w:r>
      </w:hyperlink>
      <w:r>
        <w:t xml:space="preserve">. Los artefactos crudos por ejecución se encuentran bajo </w:t>
      </w:r>
      <w:proofErr w:type="spellStart"/>
      <w:r>
        <w:t>experiments</w:t>
      </w:r>
      <w:proofErr w:type="spellEnd"/>
      <w:r>
        <w:t>/exp2_scaled/</w:t>
      </w:r>
      <w:proofErr w:type="spellStart"/>
      <w:r>
        <w:t>results</w:t>
      </w:r>
      <w:proofErr w:type="spellEnd"/>
      <w:r>
        <w:t xml:space="preserve">/; la superposición de recuperación para </w:t>
      </w:r>
      <w:proofErr w:type="spellStart"/>
      <w:r>
        <w:t>mlp_shap</w:t>
      </w:r>
      <w:proofErr w:type="spellEnd"/>
      <w:r>
        <w:t>/</w:t>
      </w:r>
      <w:proofErr w:type="spellStart"/>
      <w:r>
        <w:t>svm_shap</w:t>
      </w:r>
      <w:proofErr w:type="spellEnd"/>
      <w:r>
        <w:t xml:space="preserve"> se documenta en outputs/batch_results.csv.</w:t>
      </w:r>
    </w:p>
    <w:p w14:paraId="7AFF1B70" w14:textId="77777777" w:rsidR="00D762DD" w:rsidRDefault="00000000">
      <w:pPr>
        <w:pStyle w:val="Heading2"/>
      </w:pPr>
      <w:bookmarkStart w:id="431" w:name="X04860b57595e5decb99c93517a1220202cc7fb5"/>
      <w:bookmarkStart w:id="432" w:name="_Toc238925820"/>
      <w:bookmarkEnd w:id="419"/>
      <w:bookmarkEnd w:id="428"/>
      <w:r>
        <w:lastRenderedPageBreak/>
        <w:t>Apéndice E: Entorno computacional y reproducción</w:t>
      </w:r>
      <w:bookmarkEnd w:id="432"/>
    </w:p>
    <w:p w14:paraId="27CC9798" w14:textId="77777777" w:rsidR="00D762DD" w:rsidRDefault="00000000">
      <w:r>
        <w:t xml:space="preserve">La instantánea de trabajo usada para esta versión de tesis corresponde al </w:t>
      </w:r>
      <w:proofErr w:type="spellStart"/>
      <w:r>
        <w:t>commit</w:t>
      </w:r>
      <w:proofErr w:type="spellEnd"/>
      <w:r>
        <w:t xml:space="preserve"> 553f65d71b077ec181ad36da7bb6e7c9942fe116 (2026-07-24), archivado con DOI </w:t>
      </w:r>
      <w:proofErr w:type="spellStart"/>
      <w:r>
        <w:t>Zenodo</w:t>
      </w:r>
      <w:proofErr w:type="spellEnd"/>
      <w:r>
        <w:t xml:space="preserve"> 10.5281/zenodo.21538180; el DOI de concepto 10.5281/zenodo.19297723 resuelve a la versión más reciente. La instantánea anterior (33fd952a01a752f6988f46ba79b18694838c3f8f, DOI 10.5281/zenodo.19297724, abril de 2026) se conserva por </w:t>
      </w:r>
      <w:proofErr w:type="gramStart"/>
      <w:r>
        <w:t>procedencia</w:t>
      </w:r>
      <w:proofErr w:type="gramEnd"/>
      <w:r>
        <w:t xml:space="preserve"> pero es anterior a la superposición de recuperación de SHAP y no reproduce las cifras del Capítulo 4. Los archivos principales de entorno son:</w:t>
      </w:r>
    </w:p>
    <w:tbl>
      <w:tblPr>
        <w:tblW w:w="5000" w:type="pct"/>
        <w:tblLayout w:type="fixed"/>
        <w:tblLook w:val="0000" w:firstRow="0" w:lastRow="0" w:firstColumn="0" w:lastColumn="0" w:noHBand="0" w:noVBand="0"/>
      </w:tblPr>
      <w:tblGrid>
        <w:gridCol w:w="9576"/>
      </w:tblGrid>
      <w:tr w:rsidR="00D762DD" w14:paraId="2E794ED3" w14:textId="77777777">
        <w:tc>
          <w:tcPr>
            <w:tcW w:w="7920" w:type="dxa"/>
          </w:tcPr>
          <w:p w14:paraId="6EE05817" w14:textId="77777777" w:rsidR="00D762DD" w:rsidRDefault="00000000">
            <w:pPr>
              <w:spacing w:before="200"/>
              <w:jc w:val="left"/>
            </w:pPr>
            <w:bookmarkStart w:id="433" w:name="tbl-appendix-environment"/>
            <w:r>
              <w:t>Table 7.16: Archivos de entorno y reproducción.</w:t>
            </w:r>
          </w:p>
          <w:tbl>
            <w:tblPr>
              <w:tblW w:w="0" w:type="auto"/>
              <w:tblLook w:val="0020" w:firstRow="1" w:lastRow="0" w:firstColumn="0" w:lastColumn="0" w:noHBand="0" w:noVBand="0"/>
            </w:tblPr>
            <w:tblGrid>
              <w:gridCol w:w="3960"/>
              <w:gridCol w:w="3960"/>
            </w:tblGrid>
            <w:tr w:rsidR="00D762DD" w14:paraId="26C7BE4F" w14:textId="77777777">
              <w:trPr>
                <w:tblHeader/>
              </w:trPr>
              <w:tc>
                <w:tcPr>
                  <w:tcW w:w="3960" w:type="dxa"/>
                </w:tcPr>
                <w:p w14:paraId="2FA05B33" w14:textId="77777777" w:rsidR="00D762DD" w:rsidRDefault="00000000">
                  <w:pPr>
                    <w:jc w:val="center"/>
                  </w:pPr>
                  <w:r>
                    <w:t>Archivo</w:t>
                  </w:r>
                </w:p>
              </w:tc>
              <w:tc>
                <w:tcPr>
                  <w:tcW w:w="3960" w:type="dxa"/>
                </w:tcPr>
                <w:p w14:paraId="35D77C49" w14:textId="77777777" w:rsidR="00D762DD" w:rsidRDefault="00000000">
                  <w:pPr>
                    <w:jc w:val="center"/>
                  </w:pPr>
                  <w:r>
                    <w:t>Función</w:t>
                  </w:r>
                </w:p>
              </w:tc>
            </w:tr>
            <w:tr w:rsidR="00D762DD" w14:paraId="12AFBA50" w14:textId="77777777">
              <w:tc>
                <w:tcPr>
                  <w:tcW w:w="3960" w:type="dxa"/>
                </w:tcPr>
                <w:p w14:paraId="57DCA29B" w14:textId="77777777" w:rsidR="00D762DD" w:rsidRDefault="00000000">
                  <w:pPr>
                    <w:jc w:val="center"/>
                  </w:pPr>
                  <w:proofErr w:type="spellStart"/>
                  <w:r>
                    <w:t>environment.yml</w:t>
                  </w:r>
                  <w:proofErr w:type="spellEnd"/>
                </w:p>
              </w:tc>
              <w:tc>
                <w:tcPr>
                  <w:tcW w:w="3960" w:type="dxa"/>
                </w:tcPr>
                <w:p w14:paraId="46570035" w14:textId="77777777" w:rsidR="00D762DD" w:rsidRDefault="00000000">
                  <w:pPr>
                    <w:jc w:val="center"/>
                  </w:pPr>
                  <w:r>
                    <w:t>Entorno Conda base con Python 3.11</w:t>
                  </w:r>
                </w:p>
              </w:tc>
            </w:tr>
            <w:tr w:rsidR="00D762DD" w14:paraId="2C48C5BA" w14:textId="77777777">
              <w:tc>
                <w:tcPr>
                  <w:tcW w:w="3960" w:type="dxa"/>
                </w:tcPr>
                <w:p w14:paraId="7A8B465B" w14:textId="77777777" w:rsidR="00D762DD" w:rsidRDefault="00000000">
                  <w:pPr>
                    <w:jc w:val="center"/>
                  </w:pPr>
                  <w:r>
                    <w:t>requirements.txt</w:t>
                  </w:r>
                </w:p>
              </w:tc>
              <w:tc>
                <w:tcPr>
                  <w:tcW w:w="3960" w:type="dxa"/>
                </w:tcPr>
                <w:p w14:paraId="4C171335" w14:textId="77777777" w:rsidR="00D762DD" w:rsidRDefault="00000000">
                  <w:pPr>
                    <w:jc w:val="center"/>
                  </w:pPr>
                  <w:r>
                    <w:t>Dependencias Python principales</w:t>
                  </w:r>
                </w:p>
              </w:tc>
            </w:tr>
            <w:tr w:rsidR="00D762DD" w14:paraId="489D8B45" w14:textId="77777777">
              <w:tc>
                <w:tcPr>
                  <w:tcW w:w="3960" w:type="dxa"/>
                </w:tcPr>
                <w:p w14:paraId="7ED63281" w14:textId="77777777" w:rsidR="00D762DD" w:rsidRDefault="00000000">
                  <w:pPr>
                    <w:jc w:val="center"/>
                  </w:pPr>
                  <w:r>
                    <w:t>requirements-frozen.txt</w:t>
                  </w:r>
                </w:p>
              </w:tc>
              <w:tc>
                <w:tcPr>
                  <w:tcW w:w="3960" w:type="dxa"/>
                </w:tcPr>
                <w:p w14:paraId="7A5C7911" w14:textId="77777777" w:rsidR="00D762DD" w:rsidRDefault="00000000">
                  <w:pPr>
                    <w:jc w:val="center"/>
                  </w:pPr>
                  <w:r>
                    <w:t>Dependencias fijadas para reproducción</w:t>
                  </w:r>
                </w:p>
              </w:tc>
            </w:tr>
            <w:tr w:rsidR="00D762DD" w14:paraId="1EE74F27" w14:textId="77777777">
              <w:tc>
                <w:tcPr>
                  <w:tcW w:w="3960" w:type="dxa"/>
                </w:tcPr>
                <w:p w14:paraId="5EF4A6EA" w14:textId="77777777" w:rsidR="00D762DD" w:rsidRDefault="00000000">
                  <w:pPr>
                    <w:jc w:val="center"/>
                  </w:pPr>
                  <w:proofErr w:type="spellStart"/>
                  <w:proofErr w:type="gramStart"/>
                  <w:r>
                    <w:t>render.yaml</w:t>
                  </w:r>
                  <w:proofErr w:type="spellEnd"/>
                  <w:proofErr w:type="gramEnd"/>
                </w:p>
              </w:tc>
              <w:tc>
                <w:tcPr>
                  <w:tcW w:w="3960" w:type="dxa"/>
                </w:tcPr>
                <w:p w14:paraId="6AB43878" w14:textId="77777777" w:rsidR="00D762DD" w:rsidRDefault="00000000">
                  <w:pPr>
                    <w:jc w:val="center"/>
                  </w:pPr>
                  <w:r>
                    <w:t>Configuración auxiliar de render</w:t>
                  </w:r>
                </w:p>
              </w:tc>
            </w:tr>
            <w:bookmarkEnd w:id="433"/>
          </w:tbl>
          <w:p w14:paraId="2AD452CD" w14:textId="77777777" w:rsidR="00D762DD" w:rsidRDefault="00D762DD"/>
        </w:tc>
      </w:tr>
    </w:tbl>
    <w:p w14:paraId="7ED1D202" w14:textId="77777777" w:rsidR="00D762DD" w:rsidRDefault="00000000">
      <w:pPr>
        <w:pStyle w:val="BodyText"/>
      </w:pPr>
      <w:r>
        <w:t>La reproducción mínima sigue esta secuencia:</w:t>
      </w:r>
    </w:p>
    <w:p w14:paraId="5272A35E" w14:textId="77777777" w:rsidR="00D762DD" w:rsidRDefault="00000000">
      <w:pPr>
        <w:numPr>
          <w:ilvl w:val="0"/>
          <w:numId w:val="18"/>
        </w:numPr>
      </w:pPr>
      <w:r>
        <w:t xml:space="preserve">Crear el entorno desde </w:t>
      </w:r>
      <w:proofErr w:type="spellStart"/>
      <w:r>
        <w:t>environment.yml</w:t>
      </w:r>
      <w:proofErr w:type="spellEnd"/>
      <w:r>
        <w:t>.</w:t>
      </w:r>
    </w:p>
    <w:p w14:paraId="12F224BE" w14:textId="77777777" w:rsidR="00D762DD" w:rsidRDefault="00000000">
      <w:pPr>
        <w:numPr>
          <w:ilvl w:val="0"/>
          <w:numId w:val="18"/>
        </w:numPr>
      </w:pPr>
      <w:r>
        <w:t>Instalar dependencias fijadas desde requirements-frozen.txt.</w:t>
      </w:r>
    </w:p>
    <w:p w14:paraId="6E784D76" w14:textId="77777777" w:rsidR="00D762DD" w:rsidRPr="00AC5577" w:rsidRDefault="00000000">
      <w:pPr>
        <w:numPr>
          <w:ilvl w:val="0"/>
          <w:numId w:val="18"/>
        </w:numPr>
        <w:rPr>
          <w:lang w:val="en-US"/>
        </w:rPr>
      </w:pPr>
      <w:proofErr w:type="spellStart"/>
      <w:r w:rsidRPr="00AC5577">
        <w:rPr>
          <w:lang w:val="en-US"/>
        </w:rPr>
        <w:t>Verificar</w:t>
      </w:r>
      <w:proofErr w:type="spellEnd"/>
      <w:r w:rsidRPr="00AC5577">
        <w:rPr>
          <w:lang w:val="en-US"/>
        </w:rPr>
        <w:t xml:space="preserve"> </w:t>
      </w:r>
      <w:proofErr w:type="spellStart"/>
      <w:r w:rsidRPr="00AC5577">
        <w:rPr>
          <w:lang w:val="en-US"/>
        </w:rPr>
        <w:t>artefactos</w:t>
      </w:r>
      <w:proofErr w:type="spellEnd"/>
      <w:r w:rsidRPr="00AC5577">
        <w:rPr>
          <w:lang w:val="en-US"/>
        </w:rPr>
        <w:t xml:space="preserve"> EXP2 con scripts/validate_results.py o scripts/verify_and_repair_results.py.</w:t>
      </w:r>
    </w:p>
    <w:p w14:paraId="184089CD" w14:textId="77777777" w:rsidR="00D762DD" w:rsidRDefault="00000000">
      <w:pPr>
        <w:numPr>
          <w:ilvl w:val="0"/>
          <w:numId w:val="18"/>
        </w:numPr>
      </w:pPr>
      <w:r>
        <w:t>Regenerar tablas inferenciales con scripts/run_exp2_statistical_analysis.py.</w:t>
      </w:r>
    </w:p>
    <w:p w14:paraId="7EF34088" w14:textId="77777777" w:rsidR="00D762DD" w:rsidRDefault="00000000">
      <w:pPr>
        <w:numPr>
          <w:ilvl w:val="0"/>
          <w:numId w:val="18"/>
        </w:numPr>
      </w:pPr>
      <w:r>
        <w:t xml:space="preserve">Renderizar la tesis desde </w:t>
      </w:r>
      <w:proofErr w:type="spellStart"/>
      <w:r>
        <w:t>thesis</w:t>
      </w:r>
      <w:proofErr w:type="spellEnd"/>
      <w:r>
        <w:t xml:space="preserve">/ con </w:t>
      </w:r>
      <w:proofErr w:type="spellStart"/>
      <w:r>
        <w:t>quarto</w:t>
      </w:r>
      <w:proofErr w:type="spellEnd"/>
      <w:r>
        <w:t xml:space="preserve"> render.</w:t>
      </w:r>
    </w:p>
    <w:p w14:paraId="54FF910C" w14:textId="77777777" w:rsidR="00D762DD" w:rsidRDefault="00000000">
      <w:pPr>
        <w:pStyle w:val="Heading2"/>
      </w:pPr>
      <w:bookmarkStart w:id="434" w:name="X6203a5fbf2bdeeaed3e02c144db2e542f2870ed"/>
      <w:bookmarkStart w:id="435" w:name="_Toc238925821"/>
      <w:bookmarkEnd w:id="431"/>
      <w:r>
        <w:lastRenderedPageBreak/>
        <w:t>Apéndice F: Artefactos del Estudio EXP4 (fiabilidad de jueces LLM)</w:t>
      </w:r>
      <w:bookmarkEnd w:id="435"/>
    </w:p>
    <w:p w14:paraId="6B6C6C12" w14:textId="77777777" w:rsidR="00D762DD" w:rsidRDefault="00000000">
      <w:r>
        <w:t xml:space="preserve">EXP4 (diseñado en §sec-exp4-diseno, Capítulo 3; resultados en §sec-exp4-fiabilidad, Capítulo 5) cuantifica la fiabilidad </w:t>
      </w:r>
      <w:proofErr w:type="spellStart"/>
      <w:r>
        <w:t>inter-juez</w:t>
      </w:r>
      <w:proofErr w:type="spellEnd"/>
      <w:r>
        <w:t xml:space="preserve"> de evaluadores LLM sobre siete dimensiones semánticas. Los artefactos del estudio se encuentran en las rutas siguientes y sostienen la Tabla </w:t>
      </w:r>
      <w:hyperlink w:anchor="tbl-exp4-icc">
        <w:r>
          <w:rPr>
            <w:rStyle w:val="Hyperlink"/>
          </w:rPr>
          <w:t>Table 6.3</w:t>
        </w:r>
      </w:hyperlink>
      <w:r>
        <w:t xml:space="preserve"> del Capítulo 5.</w:t>
      </w:r>
    </w:p>
    <w:tbl>
      <w:tblPr>
        <w:tblW w:w="5000" w:type="pct"/>
        <w:tblLayout w:type="fixed"/>
        <w:tblLook w:val="0000" w:firstRow="0" w:lastRow="0" w:firstColumn="0" w:lastColumn="0" w:noHBand="0" w:noVBand="0"/>
      </w:tblPr>
      <w:tblGrid>
        <w:gridCol w:w="9576"/>
      </w:tblGrid>
      <w:tr w:rsidR="00D762DD" w14:paraId="70FFD89A" w14:textId="77777777">
        <w:tc>
          <w:tcPr>
            <w:tcW w:w="7920" w:type="dxa"/>
          </w:tcPr>
          <w:p w14:paraId="397AF244" w14:textId="77777777" w:rsidR="00D762DD" w:rsidRDefault="00000000">
            <w:pPr>
              <w:spacing w:before="200"/>
              <w:jc w:val="left"/>
            </w:pPr>
            <w:bookmarkStart w:id="436" w:name="tbl-appendix-llm"/>
            <w:r>
              <w:t>Table 7.17: Artefactos de EXP4 y trazabilidad a la tesis.</w:t>
            </w:r>
          </w:p>
          <w:tbl>
            <w:tblPr>
              <w:tblW w:w="5000" w:type="pct"/>
              <w:tblLayout w:type="fixed"/>
              <w:tblLook w:val="0020" w:firstRow="1" w:lastRow="0" w:firstColumn="0" w:lastColumn="0" w:noHBand="0" w:noVBand="0"/>
            </w:tblPr>
            <w:tblGrid>
              <w:gridCol w:w="3120"/>
              <w:gridCol w:w="3120"/>
              <w:gridCol w:w="3120"/>
            </w:tblGrid>
            <w:tr w:rsidR="00D762DD" w14:paraId="489FD490" w14:textId="77777777">
              <w:trPr>
                <w:tblHeader/>
              </w:trPr>
              <w:tc>
                <w:tcPr>
                  <w:tcW w:w="2640" w:type="dxa"/>
                </w:tcPr>
                <w:p w14:paraId="3CACDAC4" w14:textId="77777777" w:rsidR="00D762DD" w:rsidRDefault="00000000">
                  <w:pPr>
                    <w:jc w:val="center"/>
                  </w:pPr>
                  <w:r>
                    <w:t>Artefacto</w:t>
                  </w:r>
                </w:p>
              </w:tc>
              <w:tc>
                <w:tcPr>
                  <w:tcW w:w="2640" w:type="dxa"/>
                </w:tcPr>
                <w:p w14:paraId="4E5176A8" w14:textId="77777777" w:rsidR="00D762DD" w:rsidRDefault="00000000">
                  <w:pPr>
                    <w:jc w:val="center"/>
                  </w:pPr>
                  <w:r>
                    <w:t>Contenido</w:t>
                  </w:r>
                </w:p>
              </w:tc>
              <w:tc>
                <w:tcPr>
                  <w:tcW w:w="2640" w:type="dxa"/>
                </w:tcPr>
                <w:p w14:paraId="2641E2A0" w14:textId="77777777" w:rsidR="00D762DD" w:rsidRDefault="00000000">
                  <w:pPr>
                    <w:jc w:val="center"/>
                  </w:pPr>
                  <w:r>
                    <w:t>Uso en la tesis</w:t>
                  </w:r>
                </w:p>
              </w:tc>
            </w:tr>
            <w:tr w:rsidR="00D762DD" w14:paraId="5F06C442" w14:textId="77777777">
              <w:tc>
                <w:tcPr>
                  <w:tcW w:w="2640" w:type="dxa"/>
                </w:tcPr>
                <w:p w14:paraId="36AA7A3F" w14:textId="77777777" w:rsidR="00D762DD" w:rsidRPr="00AC5577" w:rsidRDefault="00000000">
                  <w:pPr>
                    <w:jc w:val="center"/>
                    <w:rPr>
                      <w:lang w:val="en-US"/>
                    </w:rPr>
                  </w:pPr>
                  <w:r w:rsidRPr="00AC5577">
                    <w:rPr>
                      <w:lang w:val="en-US"/>
                    </w:rPr>
                    <w:t>src/evaluation/exp4_schema.py</w:t>
                  </w:r>
                </w:p>
              </w:tc>
              <w:tc>
                <w:tcPr>
                  <w:tcW w:w="2640" w:type="dxa"/>
                </w:tcPr>
                <w:p w14:paraId="452085DF" w14:textId="77777777" w:rsidR="00D762DD" w:rsidRDefault="00000000">
                  <w:pPr>
                    <w:jc w:val="center"/>
                  </w:pPr>
                  <w:r>
                    <w:t>Esquema de puntuación EXP4: las siete dimensiones y la escala 1–5</w:t>
                  </w:r>
                </w:p>
              </w:tc>
              <w:tc>
                <w:tcPr>
                  <w:tcW w:w="2640" w:type="dxa"/>
                </w:tcPr>
                <w:p w14:paraId="0BBCA4B1" w14:textId="77777777" w:rsidR="00D762DD" w:rsidRDefault="00000000">
                  <w:pPr>
                    <w:jc w:val="center"/>
                  </w:pPr>
                  <w:r>
                    <w:t>Instrumento de medición EXP4 (fuente reconstruida, RCA-002)</w:t>
                  </w:r>
                </w:p>
              </w:tc>
            </w:tr>
            <w:tr w:rsidR="00D762DD" w14:paraId="6C42874C" w14:textId="77777777">
              <w:tc>
                <w:tcPr>
                  <w:tcW w:w="2640" w:type="dxa"/>
                </w:tcPr>
                <w:p w14:paraId="21A40D64" w14:textId="77777777" w:rsidR="00D762DD" w:rsidRPr="00AC5577" w:rsidRDefault="00000000">
                  <w:pPr>
                    <w:jc w:val="center"/>
                    <w:rPr>
                      <w:lang w:val="en-US"/>
                    </w:rPr>
                  </w:pPr>
                  <w:proofErr w:type="spellStart"/>
                  <w:r w:rsidRPr="00AC5577">
                    <w:rPr>
                      <w:lang w:val="en-US"/>
                    </w:rPr>
                    <w:t>src</w:t>
                  </w:r>
                  <w:proofErr w:type="spellEnd"/>
                  <w:r w:rsidRPr="00AC5577">
                    <w:rPr>
                      <w:lang w:val="en-US"/>
                    </w:rPr>
                    <w:t>/prompts/templates/explanation_</w:t>
                  </w:r>
                  <w:proofErr w:type="gramStart"/>
                  <w:r w:rsidRPr="00AC5577">
                    <w:rPr>
                      <w:lang w:val="en-US"/>
                    </w:rPr>
                    <w:t>eval.j</w:t>
                  </w:r>
                  <w:proofErr w:type="gramEnd"/>
                  <w:r w:rsidRPr="00AC5577">
                    <w:rPr>
                      <w:lang w:val="en-US"/>
                    </w:rPr>
                    <w:t>2</w:t>
                  </w:r>
                </w:p>
              </w:tc>
              <w:tc>
                <w:tcPr>
                  <w:tcW w:w="2640" w:type="dxa"/>
                </w:tcPr>
                <w:p w14:paraId="2DA28102" w14:textId="77777777" w:rsidR="00D762DD" w:rsidRDefault="00000000">
                  <w:pPr>
                    <w:jc w:val="center"/>
                  </w:pPr>
                  <w:r>
                    <w:t xml:space="preserve">Plantilla de tres dimensiones de EXP1; </w:t>
                  </w:r>
                  <w:r>
                    <w:rPr>
                      <w:b/>
                      <w:bCs/>
                    </w:rPr>
                    <w:t>no</w:t>
                  </w:r>
                  <w:r>
                    <w:t xml:space="preserve"> es el instrumento de EXP4</w:t>
                  </w:r>
                </w:p>
              </w:tc>
              <w:tc>
                <w:tcPr>
                  <w:tcW w:w="2640" w:type="dxa"/>
                </w:tcPr>
                <w:p w14:paraId="4E3BEEBC" w14:textId="77777777" w:rsidR="00D762DD" w:rsidRDefault="00000000">
                  <w:pPr>
                    <w:jc w:val="center"/>
                  </w:pPr>
                  <w:r>
                    <w:t>Referencia histórica</w:t>
                  </w:r>
                </w:p>
              </w:tc>
            </w:tr>
            <w:tr w:rsidR="00D762DD" w14:paraId="6A518024" w14:textId="77777777">
              <w:tc>
                <w:tcPr>
                  <w:tcW w:w="2640" w:type="dxa"/>
                </w:tcPr>
                <w:p w14:paraId="4F4D691E" w14:textId="77777777" w:rsidR="00D762DD" w:rsidRPr="00AC5577" w:rsidRDefault="00000000">
                  <w:pPr>
                    <w:jc w:val="center"/>
                    <w:rPr>
                      <w:lang w:val="en-US"/>
                    </w:rPr>
                  </w:pPr>
                  <w:proofErr w:type="spellStart"/>
                  <w:r w:rsidRPr="00AC5577">
                    <w:rPr>
                      <w:lang w:val="en-US"/>
                    </w:rPr>
                    <w:t>src</w:t>
                  </w:r>
                  <w:proofErr w:type="spellEnd"/>
                  <w:r w:rsidRPr="00AC5577">
                    <w:rPr>
                      <w:lang w:val="en-US"/>
                    </w:rPr>
                    <w:t>/prompts/templates/eval_</w:t>
                  </w:r>
                  <w:proofErr w:type="gramStart"/>
                  <w:r w:rsidRPr="00AC5577">
                    <w:rPr>
                      <w:lang w:val="en-US"/>
                    </w:rPr>
                    <w:t>instruction.j</w:t>
                  </w:r>
                  <w:proofErr w:type="gramEnd"/>
                  <w:r w:rsidRPr="00AC5577">
                    <w:rPr>
                      <w:lang w:val="en-US"/>
                    </w:rPr>
                    <w:t>2</w:t>
                  </w:r>
                </w:p>
              </w:tc>
              <w:tc>
                <w:tcPr>
                  <w:tcW w:w="2640" w:type="dxa"/>
                </w:tcPr>
                <w:p w14:paraId="67C67D23" w14:textId="77777777" w:rsidR="00D762DD" w:rsidRDefault="00000000">
                  <w:pPr>
                    <w:jc w:val="center"/>
                  </w:pPr>
                  <w:r>
                    <w:t>Instrucciones del sistema para el juez LLM (EXP1)</w:t>
                  </w:r>
                </w:p>
              </w:tc>
              <w:tc>
                <w:tcPr>
                  <w:tcW w:w="2640" w:type="dxa"/>
                </w:tcPr>
                <w:p w14:paraId="44BB8E5E" w14:textId="77777777" w:rsidR="00D762DD" w:rsidRDefault="00000000">
                  <w:pPr>
                    <w:jc w:val="center"/>
                  </w:pPr>
                  <w:r>
                    <w:t>Referencia histórica</w:t>
                  </w:r>
                </w:p>
              </w:tc>
            </w:tr>
            <w:tr w:rsidR="00D762DD" w14:paraId="2AE9DE78" w14:textId="77777777">
              <w:tc>
                <w:tcPr>
                  <w:tcW w:w="2640" w:type="dxa"/>
                </w:tcPr>
                <w:p w14:paraId="53ADD6AB" w14:textId="77777777" w:rsidR="00D762DD" w:rsidRPr="00AC5577" w:rsidRDefault="00000000">
                  <w:pPr>
                    <w:jc w:val="center"/>
                    <w:rPr>
                      <w:lang w:val="en-US"/>
                    </w:rPr>
                  </w:pPr>
                  <w:r w:rsidRPr="00AC5577">
                    <w:rPr>
                      <w:lang w:val="en-US"/>
                    </w:rPr>
                    <w:t>outputs/analysis/exp4_llm_evaluation/judge_comparison_summary.csv</w:t>
                  </w:r>
                </w:p>
              </w:tc>
              <w:tc>
                <w:tcPr>
                  <w:tcW w:w="2640" w:type="dxa"/>
                </w:tcPr>
                <w:p w14:paraId="4F11460C" w14:textId="77777777" w:rsidR="00D762DD" w:rsidRDefault="00000000">
                  <w:pPr>
                    <w:jc w:val="center"/>
                  </w:pPr>
                  <w:r>
                    <w:t>Resumen comparativo de puntuaciones por juez y dimensión</w:t>
                  </w:r>
                </w:p>
              </w:tc>
              <w:tc>
                <w:tcPr>
                  <w:tcW w:w="2640" w:type="dxa"/>
                </w:tcPr>
                <w:p w14:paraId="64B911B9" w14:textId="77777777" w:rsidR="00D762DD" w:rsidRDefault="00000000">
                  <w:pPr>
                    <w:jc w:val="center"/>
                  </w:pPr>
                  <w:r>
                    <w:t xml:space="preserve">Tabla </w:t>
                  </w:r>
                  <w:hyperlink w:anchor="tbl-exp4-icc">
                    <w:r>
                      <w:rPr>
                        <w:rStyle w:val="Hyperlink"/>
                      </w:rPr>
                      <w:t>Table 6.3</w:t>
                    </w:r>
                  </w:hyperlink>
                  <w:r>
                    <w:t xml:space="preserve"> (fuente)</w:t>
                  </w:r>
                </w:p>
              </w:tc>
            </w:tr>
            <w:tr w:rsidR="00D762DD" w14:paraId="60047C4F" w14:textId="77777777">
              <w:tc>
                <w:tcPr>
                  <w:tcW w:w="2640" w:type="dxa"/>
                </w:tcPr>
                <w:p w14:paraId="69086986" w14:textId="77777777" w:rsidR="00D762DD" w:rsidRPr="00AC5577" w:rsidRDefault="00000000">
                  <w:pPr>
                    <w:jc w:val="center"/>
                    <w:rPr>
                      <w:lang w:val="en-US"/>
                    </w:rPr>
                  </w:pPr>
                  <w:r w:rsidRPr="00AC5577">
                    <w:rPr>
                      <w:lang w:val="en-US"/>
                    </w:rPr>
                    <w:t>outputs/analysis/exp4_llm_evaluation/krippendorff_alpha.csv</w:t>
                  </w:r>
                </w:p>
              </w:tc>
              <w:tc>
                <w:tcPr>
                  <w:tcW w:w="2640" w:type="dxa"/>
                </w:tcPr>
                <w:p w14:paraId="02C521E9" w14:textId="77777777" w:rsidR="00D762DD" w:rsidRDefault="00000000">
                  <w:pPr>
                    <w:jc w:val="center"/>
                  </w:pPr>
                  <m:oMath>
                    <m:r>
                      <w:rPr>
                        <w:rFonts w:ascii="Cambria Math" w:hAnsi="Cambria Math"/>
                      </w:rPr>
                      <m:t>α</m:t>
                    </m:r>
                  </m:oMath>
                  <w:r>
                    <w:t xml:space="preserve"> de Krippendorff por dimensión</w:t>
                  </w:r>
                </w:p>
              </w:tc>
              <w:tc>
                <w:tcPr>
                  <w:tcW w:w="2640" w:type="dxa"/>
                </w:tcPr>
                <w:p w14:paraId="5FB28E28" w14:textId="77777777" w:rsidR="00D762DD" w:rsidRDefault="00000000">
                  <w:pPr>
                    <w:jc w:val="center"/>
                  </w:pPr>
                  <w:r>
                    <w:t xml:space="preserve">Tabla </w:t>
                  </w:r>
                  <w:hyperlink w:anchor="tbl-exp4-icc">
                    <w:r>
                      <w:rPr>
                        <w:rStyle w:val="Hyperlink"/>
                      </w:rPr>
                      <w:t>Table 6.3</w:t>
                    </w:r>
                  </w:hyperlink>
                  <w:r>
                    <w:t xml:space="preserve"> (fuente)</w:t>
                  </w:r>
                </w:p>
              </w:tc>
            </w:tr>
            <w:tr w:rsidR="00D762DD" w14:paraId="751B4C23" w14:textId="77777777">
              <w:tc>
                <w:tcPr>
                  <w:tcW w:w="2640" w:type="dxa"/>
                </w:tcPr>
                <w:p w14:paraId="2721C322" w14:textId="77777777" w:rsidR="00D762DD" w:rsidRPr="00AC5577" w:rsidRDefault="00000000">
                  <w:pPr>
                    <w:jc w:val="center"/>
                    <w:rPr>
                      <w:lang w:val="en-US"/>
                    </w:rPr>
                  </w:pPr>
                  <w:r w:rsidRPr="00AC5577">
                    <w:rPr>
                      <w:lang w:val="en-US"/>
                    </w:rPr>
                    <w:t>outputs/analysis/exp4_llm_evaluation/icc_analysis.csv</w:t>
                  </w:r>
                </w:p>
              </w:tc>
              <w:tc>
                <w:tcPr>
                  <w:tcW w:w="2640" w:type="dxa"/>
                </w:tcPr>
                <w:p w14:paraId="5547C06C" w14:textId="77777777" w:rsidR="00D762DD" w:rsidRDefault="00000000">
                  <w:pPr>
                    <w:jc w:val="center"/>
                  </w:pPr>
                  <w:proofErr w:type="gramStart"/>
                  <w:r>
                    <w:t>ICC(</w:t>
                  </w:r>
                  <w:proofErr w:type="gramEnd"/>
                  <w:r>
                    <w:t>1,1) por dimensión</w:t>
                  </w:r>
                </w:p>
              </w:tc>
              <w:tc>
                <w:tcPr>
                  <w:tcW w:w="2640" w:type="dxa"/>
                </w:tcPr>
                <w:p w14:paraId="3CADDD9B" w14:textId="77777777" w:rsidR="00D762DD" w:rsidRDefault="00000000">
                  <w:pPr>
                    <w:jc w:val="center"/>
                  </w:pPr>
                  <w:r>
                    <w:t xml:space="preserve">Tabla </w:t>
                  </w:r>
                  <w:hyperlink w:anchor="tbl-exp4-icc">
                    <w:r>
                      <w:rPr>
                        <w:rStyle w:val="Hyperlink"/>
                      </w:rPr>
                      <w:t>Table 6.3</w:t>
                    </w:r>
                  </w:hyperlink>
                  <w:r>
                    <w:t xml:space="preserve"> (fuente)</w:t>
                  </w:r>
                </w:p>
              </w:tc>
            </w:tr>
            <w:bookmarkEnd w:id="436"/>
          </w:tbl>
          <w:p w14:paraId="3344C9D6" w14:textId="77777777" w:rsidR="00D762DD" w:rsidRDefault="00D762DD"/>
        </w:tc>
      </w:tr>
    </w:tbl>
    <w:p w14:paraId="22257F30" w14:textId="77777777" w:rsidR="00D762DD" w:rsidRDefault="00000000">
      <w:pPr>
        <w:pStyle w:val="BodyText"/>
      </w:pPr>
      <w:r>
        <w:t xml:space="preserve">EXP4 no aporta evidencia confirmativa sobre las hipótesis H1–H3 ni modifica P1; su resultado (P2: jueces LLM no alcanzan ICC </w:t>
      </w:r>
      <m:oMath>
        <m:r>
          <m:rPr>
            <m:sty m:val="p"/>
          </m:rPr>
          <w:rPr>
            <w:rFonts w:ascii="Cambria Math" w:hAnsi="Cambria Math"/>
          </w:rPr>
          <m:t>≥</m:t>
        </m:r>
        <m:r>
          <w:rPr>
            <w:rFonts w:ascii="Cambria Math" w:hAnsi="Cambria Math"/>
          </w:rPr>
          <m:t>0.75</m:t>
        </m:r>
      </m:oMath>
      <w:r>
        <w:t xml:space="preserve"> bajo las rúbricas actuales) es un resultado negativo </w:t>
      </w:r>
      <w:r>
        <w:lastRenderedPageBreak/>
        <w:t>que delimita el alcance de la evaluación semántica automática en XAI y establece los requisitos de formalización para investigación futura (véase §sec-exp4-fiabilidad y §sec-futuro).</w:t>
      </w:r>
      <w:bookmarkEnd w:id="402"/>
      <w:bookmarkEnd w:id="434"/>
    </w:p>
    <w:sectPr w:rsidR="00D762DD" w:rsidSect="0070096E">
      <w:headerReference w:type="even" r:id="rId135"/>
      <w:headerReference w:type="default" r:id="rId136"/>
      <w:pgSz w:w="12240" w:h="15840"/>
      <w:pgMar w:top="1728" w:right="1440" w:bottom="1440" w:left="1440"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637EEC" w14:textId="77777777" w:rsidR="00E55973" w:rsidRDefault="00E55973">
      <w:pPr>
        <w:spacing w:after="0" w:line="240" w:lineRule="auto"/>
      </w:pPr>
      <w:r>
        <w:separator/>
      </w:r>
    </w:p>
  </w:endnote>
  <w:endnote w:type="continuationSeparator" w:id="0">
    <w:p w14:paraId="4EB37E99" w14:textId="77777777" w:rsidR="00E55973" w:rsidRDefault="00E5597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10022FF" w:usb1="C000E47F" w:usb2="00000029" w:usb3="00000000" w:csb0="000001DF" w:csb1="00000000"/>
  </w:font>
  <w:font w:name="SimSun">
    <w:altName w:val="宋体"/>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C5EE88" w14:textId="77777777" w:rsidR="00E55973" w:rsidRDefault="00E55973">
      <w:pPr>
        <w:spacing w:after="0" w:line="240" w:lineRule="auto"/>
      </w:pPr>
      <w:r>
        <w:separator/>
      </w:r>
    </w:p>
  </w:footnote>
  <w:footnote w:type="continuationSeparator" w:id="0">
    <w:p w14:paraId="2833821C" w14:textId="77777777" w:rsidR="00E55973" w:rsidRDefault="00E5597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A727B8" w14:textId="77777777" w:rsidR="0070096E" w:rsidRDefault="00000000">
    <w:pPr>
      <w:spacing w:line="200" w:lineRule="exact"/>
      <w:rPr>
        <w:sz w:val="20"/>
        <w:szCs w:val="20"/>
      </w:rPr>
    </w:pPr>
    <w:r>
      <w:rPr>
        <w:noProof/>
        <w:sz w:val="22"/>
      </w:rPr>
      <w:pict w14:anchorId="6DBBD837">
        <v:shapetype id="_x0000_t202" coordsize="21600,21600" o:spt="202" path="m,l,21600r21600,l21600,xe">
          <v:stroke joinstyle="miter"/>
          <v:path gradientshapeok="t" o:connecttype="rect"/>
        </v:shapetype>
        <v:shape id="Text Box 1" o:spid="_x0000_s1026" type="#_x0000_t202" style="position:absolute;left:0;text-align:left;margin-left:541.25pt;margin-top:36.15pt;width:16pt;height:14pt;z-index:-251658240;visibility:visible;mso-position-horizontal-relative:page;mso-position-vertical-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" filled="f" stroked="f">
          <v:textbox style="mso-next-textbox:#Text Box 1" inset="0,0,0,0">
            <w:txbxContent>
              <w:p w14:paraId="42AE6CBB" w14:textId="77777777" w:rsidR="0070096E" w:rsidRDefault="00637ED1">
                <w:pPr>
                  <w:pStyle w:val="BodyText"/>
                  <w:spacing w:line="265" w:lineRule="exact"/>
                  <w:ind w:left="40"/>
                </w:pPr>
                <w:r>
                  <w:fldChar w:fldCharType="begin"/>
                </w:r>
                <w:r w:rsidR="00B84E16">
                  <w:instrText xml:space="preserve"> PAGE </w:instrText>
                </w:r>
                <w:r>
                  <w:fldChar w:fldCharType="separate"/>
                </w:r>
                <w:r w:rsidR="0070096E">
                  <w:rPr>
                    <w:noProof/>
                  </w:rPr>
                  <w:t>2</w:t>
                </w:r>
                <w:r>
                  <w:rPr>
                    <w:noProof/>
                  </w:rPr>
                  <w:fldChar w:fldCharType="end"/>
                </w:r>
              </w:p>
            </w:txbxContent>
          </v:textbox>
          <w10:wrap anchorx="page" anchory="page"/>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25631411"/>
      <w:docPartObj>
        <w:docPartGallery w:val="Page Numbers (Top of Page)"/>
        <w:docPartUnique/>
      </w:docPartObj>
    </w:sdtPr>
    <w:sdtEndPr>
      <w:rPr>
        <w:noProof/>
      </w:rPr>
    </w:sdtEndPr>
    <w:sdtContent>
      <w:p w14:paraId="722CE833" w14:textId="77777777" w:rsidR="0070096E" w:rsidRDefault="0070096E">
        <w:pPr>
          <w:pStyle w:val="Header"/>
          <w:jc w:val="right"/>
        </w:pPr>
        <w:r>
          <w:rPr>
            <w:noProof/>
            <w:lang w:val="es-ES" w:eastAsia="es-ES"/>
          </w:rPr>
          <w:drawing>
            <wp:anchor distT="0" distB="0" distL="114300" distR="114300" simplePos="0" relativeHeight="251657216" behindDoc="0" locked="0" layoutInCell="1" allowOverlap="1" wp14:anchorId="5A62B163" wp14:editId="173C031A">
              <wp:simplePos x="0" y="0"/>
              <wp:positionH relativeFrom="column">
                <wp:posOffset>-445135</wp:posOffset>
              </wp:positionH>
              <wp:positionV relativeFrom="paragraph">
                <wp:posOffset>-294005</wp:posOffset>
              </wp:positionV>
              <wp:extent cx="935990" cy="955040"/>
              <wp:effectExtent l="19050" t="0" r="0" b="0"/>
              <wp:wrapNone/>
              <wp:docPr id="7" name="2 Imagen" descr="logo-unad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unade.jpg"/>
                      <pic:cNvPicPr/>
                    </pic:nvPicPr>
                    <pic:blipFill>
                      <a:blip r:embed="rId1"/>
                      <a:stretch>
                        <a:fillRect/>
                      </a:stretch>
                    </pic:blipFill>
                    <pic:spPr>
                      <a:xfrm>
                        <a:off x="0" y="0"/>
                        <a:ext cx="935990" cy="955040"/>
                      </a:xfrm>
                      <a:prstGeom prst="rect">
                        <a:avLst/>
                      </a:prstGeom>
                    </pic:spPr>
                  </pic:pic>
                </a:graphicData>
              </a:graphic>
            </wp:anchor>
          </w:drawing>
        </w:r>
      </w:p>
      <w:p w14:paraId="3FD4E40A" w14:textId="77777777" w:rsidR="0070096E" w:rsidRDefault="0070096E">
        <w:pPr>
          <w:pStyle w:val="Header"/>
          <w:jc w:val="right"/>
        </w:pPr>
      </w:p>
      <w:p w14:paraId="653D22AE" w14:textId="77777777" w:rsidR="0070096E" w:rsidRDefault="00637ED1" w:rsidP="00FB6C23">
        <w:pPr>
          <w:pStyle w:val="Header"/>
          <w:jc w:val="right"/>
        </w:pPr>
        <w:r>
          <w:fldChar w:fldCharType="begin"/>
        </w:r>
        <w:r w:rsidR="00B84E16">
          <w:instrText xml:space="preserve"> PAGE   \* MERGEFORMAT </w:instrText>
        </w:r>
        <w:r>
          <w:fldChar w:fldCharType="separate"/>
        </w:r>
        <w:r w:rsidR="00AC4B04">
          <w:rPr>
            <w:noProof/>
          </w:rPr>
          <w:t>xiii</w:t>
        </w:r>
        <w:r>
          <w:rPr>
            <w:noProof/>
          </w:rPr>
          <w:fldChar w:fldCharType="end"/>
        </w:r>
      </w:p>
    </w:sdtContent>
  </w:sdt>
  <w:p w14:paraId="75685F40" w14:textId="77777777" w:rsidR="0070096E" w:rsidRDefault="0070096E">
    <w:pPr>
      <w:spacing w:line="200" w:lineRule="exact"/>
      <w:rPr>
        <w:sz w:val="20"/>
        <w:szCs w:val="2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1"/>
    <w:multiLevelType w:val="multilevel"/>
    <w:tmpl w:val="2774F7F4"/>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 w15:restartNumberingAfterBreak="0">
    <w:nsid w:val="00A99411"/>
    <w:multiLevelType w:val="multilevel"/>
    <w:tmpl w:val="BBF676A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155237906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497959240">
    <w:abstractNumId w:val="0"/>
  </w:num>
  <w:num w:numId="3" w16cid:durableId="162161752">
    <w:abstractNumId w:val="0"/>
  </w:num>
  <w:num w:numId="4" w16cid:durableId="386345639">
    <w:abstractNumId w:val="0"/>
  </w:num>
  <w:num w:numId="5" w16cid:durableId="189523681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14473882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1546990664">
    <w:abstractNumId w:val="0"/>
  </w:num>
  <w:num w:numId="8" w16cid:durableId="16077442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456022828">
    <w:abstractNumId w:val="0"/>
  </w:num>
  <w:num w:numId="10" w16cid:durableId="935475963">
    <w:abstractNumId w:val="0"/>
  </w:num>
  <w:num w:numId="11" w16cid:durableId="2115589239">
    <w:abstractNumId w:val="0"/>
  </w:num>
  <w:num w:numId="12" w16cid:durableId="1943804634">
    <w:abstractNumId w:val="0"/>
  </w:num>
  <w:num w:numId="13" w16cid:durableId="113330038">
    <w:abstractNumId w:val="0"/>
  </w:num>
  <w:num w:numId="14" w16cid:durableId="301545480">
    <w:abstractNumId w:val="0"/>
  </w:num>
  <w:num w:numId="15" w16cid:durableId="1513882639">
    <w:abstractNumId w:val="0"/>
  </w:num>
  <w:num w:numId="16" w16cid:durableId="172914418">
    <w:abstractNumId w:val="0"/>
  </w:num>
  <w:num w:numId="17" w16cid:durableId="935763">
    <w:abstractNumId w:val="0"/>
  </w:num>
  <w:num w:numId="18" w16cid:durableId="51223179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A37FDF"/>
    <w:rsid w:val="00007135"/>
    <w:rsid w:val="00013C0F"/>
    <w:rsid w:val="00015630"/>
    <w:rsid w:val="0002237F"/>
    <w:rsid w:val="00024262"/>
    <w:rsid w:val="000246C1"/>
    <w:rsid w:val="000409CC"/>
    <w:rsid w:val="000419AD"/>
    <w:rsid w:val="00053F20"/>
    <w:rsid w:val="000577DD"/>
    <w:rsid w:val="000661DB"/>
    <w:rsid w:val="00067BBB"/>
    <w:rsid w:val="00080A9A"/>
    <w:rsid w:val="00084A02"/>
    <w:rsid w:val="000A42E6"/>
    <w:rsid w:val="000B3EF4"/>
    <w:rsid w:val="000C185D"/>
    <w:rsid w:val="000E296B"/>
    <w:rsid w:val="000F2B0E"/>
    <w:rsid w:val="000F41AE"/>
    <w:rsid w:val="0010501D"/>
    <w:rsid w:val="00107F24"/>
    <w:rsid w:val="00111BDC"/>
    <w:rsid w:val="00133ECE"/>
    <w:rsid w:val="0013413E"/>
    <w:rsid w:val="00134151"/>
    <w:rsid w:val="00135307"/>
    <w:rsid w:val="00136C3A"/>
    <w:rsid w:val="00143459"/>
    <w:rsid w:val="00144F90"/>
    <w:rsid w:val="001459AF"/>
    <w:rsid w:val="00150E25"/>
    <w:rsid w:val="0015144C"/>
    <w:rsid w:val="00153B8D"/>
    <w:rsid w:val="00164A8E"/>
    <w:rsid w:val="0017557A"/>
    <w:rsid w:val="00176F02"/>
    <w:rsid w:val="00177C7F"/>
    <w:rsid w:val="00180C39"/>
    <w:rsid w:val="00193934"/>
    <w:rsid w:val="0019719B"/>
    <w:rsid w:val="001A2408"/>
    <w:rsid w:val="001A6903"/>
    <w:rsid w:val="001B222F"/>
    <w:rsid w:val="001C6F88"/>
    <w:rsid w:val="001D23A6"/>
    <w:rsid w:val="001E0792"/>
    <w:rsid w:val="002055DE"/>
    <w:rsid w:val="00205630"/>
    <w:rsid w:val="002105DF"/>
    <w:rsid w:val="00212FC3"/>
    <w:rsid w:val="002179EE"/>
    <w:rsid w:val="0022059D"/>
    <w:rsid w:val="00220D04"/>
    <w:rsid w:val="00223D0E"/>
    <w:rsid w:val="002274B9"/>
    <w:rsid w:val="00236E53"/>
    <w:rsid w:val="00250EB8"/>
    <w:rsid w:val="00252829"/>
    <w:rsid w:val="002600BC"/>
    <w:rsid w:val="0026302C"/>
    <w:rsid w:val="002747A3"/>
    <w:rsid w:val="00274B21"/>
    <w:rsid w:val="00277C5A"/>
    <w:rsid w:val="002845D7"/>
    <w:rsid w:val="0028666F"/>
    <w:rsid w:val="0029082E"/>
    <w:rsid w:val="0029657F"/>
    <w:rsid w:val="0029758D"/>
    <w:rsid w:val="00297C40"/>
    <w:rsid w:val="002A4EEE"/>
    <w:rsid w:val="002A53D7"/>
    <w:rsid w:val="002B199B"/>
    <w:rsid w:val="002B45E1"/>
    <w:rsid w:val="002C6153"/>
    <w:rsid w:val="002D4253"/>
    <w:rsid w:val="002D44CB"/>
    <w:rsid w:val="002D5888"/>
    <w:rsid w:val="002E0C9B"/>
    <w:rsid w:val="002E2AD0"/>
    <w:rsid w:val="002E42B1"/>
    <w:rsid w:val="002E514B"/>
    <w:rsid w:val="002F0536"/>
    <w:rsid w:val="002F5B56"/>
    <w:rsid w:val="00302EDB"/>
    <w:rsid w:val="00306EC5"/>
    <w:rsid w:val="0031106B"/>
    <w:rsid w:val="003232D8"/>
    <w:rsid w:val="003322A7"/>
    <w:rsid w:val="003327B8"/>
    <w:rsid w:val="00354C26"/>
    <w:rsid w:val="003550AE"/>
    <w:rsid w:val="00367889"/>
    <w:rsid w:val="00373DFA"/>
    <w:rsid w:val="00376D04"/>
    <w:rsid w:val="00380AAF"/>
    <w:rsid w:val="0039039E"/>
    <w:rsid w:val="00390E81"/>
    <w:rsid w:val="003A6FA8"/>
    <w:rsid w:val="003B12D5"/>
    <w:rsid w:val="003B20BD"/>
    <w:rsid w:val="003B6B67"/>
    <w:rsid w:val="003C0A2A"/>
    <w:rsid w:val="003C25F6"/>
    <w:rsid w:val="003D04F6"/>
    <w:rsid w:val="003D6751"/>
    <w:rsid w:val="003F072E"/>
    <w:rsid w:val="00404B68"/>
    <w:rsid w:val="00404F69"/>
    <w:rsid w:val="0040632E"/>
    <w:rsid w:val="0042190B"/>
    <w:rsid w:val="00424A8B"/>
    <w:rsid w:val="004323BF"/>
    <w:rsid w:val="00440962"/>
    <w:rsid w:val="00442EA4"/>
    <w:rsid w:val="00444354"/>
    <w:rsid w:val="00454B07"/>
    <w:rsid w:val="004552D1"/>
    <w:rsid w:val="00455334"/>
    <w:rsid w:val="00462D58"/>
    <w:rsid w:val="00464AD6"/>
    <w:rsid w:val="00467F21"/>
    <w:rsid w:val="00480978"/>
    <w:rsid w:val="00482B54"/>
    <w:rsid w:val="00490015"/>
    <w:rsid w:val="004A118E"/>
    <w:rsid w:val="004A1446"/>
    <w:rsid w:val="004A4E4C"/>
    <w:rsid w:val="004A55F3"/>
    <w:rsid w:val="004B10E0"/>
    <w:rsid w:val="004B5B67"/>
    <w:rsid w:val="004D3BC4"/>
    <w:rsid w:val="004E293A"/>
    <w:rsid w:val="004F05BC"/>
    <w:rsid w:val="004F6DB2"/>
    <w:rsid w:val="00504A99"/>
    <w:rsid w:val="00521EB2"/>
    <w:rsid w:val="005221FD"/>
    <w:rsid w:val="00522F66"/>
    <w:rsid w:val="00524C39"/>
    <w:rsid w:val="00530162"/>
    <w:rsid w:val="00533C11"/>
    <w:rsid w:val="00540535"/>
    <w:rsid w:val="00541107"/>
    <w:rsid w:val="005502B4"/>
    <w:rsid w:val="00557116"/>
    <w:rsid w:val="00567910"/>
    <w:rsid w:val="0057245C"/>
    <w:rsid w:val="005735E0"/>
    <w:rsid w:val="005744C8"/>
    <w:rsid w:val="005813F7"/>
    <w:rsid w:val="00587376"/>
    <w:rsid w:val="00596FCD"/>
    <w:rsid w:val="005A16CB"/>
    <w:rsid w:val="005A2357"/>
    <w:rsid w:val="005A5F2B"/>
    <w:rsid w:val="005C3E7F"/>
    <w:rsid w:val="005D0749"/>
    <w:rsid w:val="005D1ED1"/>
    <w:rsid w:val="005D73FA"/>
    <w:rsid w:val="005D7849"/>
    <w:rsid w:val="005E139F"/>
    <w:rsid w:val="005E6186"/>
    <w:rsid w:val="005E71CB"/>
    <w:rsid w:val="005E7D3F"/>
    <w:rsid w:val="005F2326"/>
    <w:rsid w:val="005F4926"/>
    <w:rsid w:val="00603240"/>
    <w:rsid w:val="00613918"/>
    <w:rsid w:val="006208A3"/>
    <w:rsid w:val="00622E4E"/>
    <w:rsid w:val="006354B5"/>
    <w:rsid w:val="006368DB"/>
    <w:rsid w:val="00637ED1"/>
    <w:rsid w:val="00640DAC"/>
    <w:rsid w:val="0064629A"/>
    <w:rsid w:val="00661439"/>
    <w:rsid w:val="00661698"/>
    <w:rsid w:val="006716B5"/>
    <w:rsid w:val="00680590"/>
    <w:rsid w:val="00693BCA"/>
    <w:rsid w:val="006947F8"/>
    <w:rsid w:val="006C668A"/>
    <w:rsid w:val="006D597C"/>
    <w:rsid w:val="006E217C"/>
    <w:rsid w:val="006E6F55"/>
    <w:rsid w:val="006F0FF3"/>
    <w:rsid w:val="0070096E"/>
    <w:rsid w:val="00713681"/>
    <w:rsid w:val="00721000"/>
    <w:rsid w:val="007212C5"/>
    <w:rsid w:val="00725D00"/>
    <w:rsid w:val="00725D50"/>
    <w:rsid w:val="007331D8"/>
    <w:rsid w:val="0073489D"/>
    <w:rsid w:val="00743E2B"/>
    <w:rsid w:val="007444F9"/>
    <w:rsid w:val="00752823"/>
    <w:rsid w:val="00754D52"/>
    <w:rsid w:val="007606E8"/>
    <w:rsid w:val="00773AF2"/>
    <w:rsid w:val="0077776E"/>
    <w:rsid w:val="00781846"/>
    <w:rsid w:val="00785B94"/>
    <w:rsid w:val="00790153"/>
    <w:rsid w:val="007934B0"/>
    <w:rsid w:val="007A5E4E"/>
    <w:rsid w:val="007B774A"/>
    <w:rsid w:val="007C559D"/>
    <w:rsid w:val="007C6CB5"/>
    <w:rsid w:val="007C7D86"/>
    <w:rsid w:val="007F57D3"/>
    <w:rsid w:val="008005FD"/>
    <w:rsid w:val="00803E41"/>
    <w:rsid w:val="0082657F"/>
    <w:rsid w:val="00854729"/>
    <w:rsid w:val="00856773"/>
    <w:rsid w:val="008661D1"/>
    <w:rsid w:val="00871FCA"/>
    <w:rsid w:val="00874882"/>
    <w:rsid w:val="0088060C"/>
    <w:rsid w:val="0088479B"/>
    <w:rsid w:val="00893358"/>
    <w:rsid w:val="0089425C"/>
    <w:rsid w:val="008A0F09"/>
    <w:rsid w:val="008A3391"/>
    <w:rsid w:val="008B4F9D"/>
    <w:rsid w:val="008E51AD"/>
    <w:rsid w:val="008F0476"/>
    <w:rsid w:val="009033CA"/>
    <w:rsid w:val="009061BB"/>
    <w:rsid w:val="00927E31"/>
    <w:rsid w:val="009325FB"/>
    <w:rsid w:val="00937156"/>
    <w:rsid w:val="00941CB9"/>
    <w:rsid w:val="009420E9"/>
    <w:rsid w:val="00942E1E"/>
    <w:rsid w:val="00951D40"/>
    <w:rsid w:val="00952686"/>
    <w:rsid w:val="00963589"/>
    <w:rsid w:val="00967580"/>
    <w:rsid w:val="00972D74"/>
    <w:rsid w:val="00976701"/>
    <w:rsid w:val="00990CB2"/>
    <w:rsid w:val="00993CBB"/>
    <w:rsid w:val="00995873"/>
    <w:rsid w:val="009A3A96"/>
    <w:rsid w:val="009A5F5F"/>
    <w:rsid w:val="009A7AFD"/>
    <w:rsid w:val="009B4945"/>
    <w:rsid w:val="009C50B3"/>
    <w:rsid w:val="009D0C66"/>
    <w:rsid w:val="009D6FFE"/>
    <w:rsid w:val="009D759B"/>
    <w:rsid w:val="009E6AEA"/>
    <w:rsid w:val="009F14E5"/>
    <w:rsid w:val="009F4998"/>
    <w:rsid w:val="00A06BCF"/>
    <w:rsid w:val="00A11E23"/>
    <w:rsid w:val="00A329E9"/>
    <w:rsid w:val="00A32D0A"/>
    <w:rsid w:val="00A37FDF"/>
    <w:rsid w:val="00A514A9"/>
    <w:rsid w:val="00A52B41"/>
    <w:rsid w:val="00A52D0E"/>
    <w:rsid w:val="00A62C67"/>
    <w:rsid w:val="00A721B1"/>
    <w:rsid w:val="00A77558"/>
    <w:rsid w:val="00A803DC"/>
    <w:rsid w:val="00A83D7A"/>
    <w:rsid w:val="00A84CED"/>
    <w:rsid w:val="00A85CA4"/>
    <w:rsid w:val="00A90FD6"/>
    <w:rsid w:val="00AA3910"/>
    <w:rsid w:val="00AA7CC3"/>
    <w:rsid w:val="00AC0C56"/>
    <w:rsid w:val="00AC4B04"/>
    <w:rsid w:val="00AC5577"/>
    <w:rsid w:val="00AD2230"/>
    <w:rsid w:val="00AE0CE0"/>
    <w:rsid w:val="00AF058B"/>
    <w:rsid w:val="00B00D7A"/>
    <w:rsid w:val="00B11614"/>
    <w:rsid w:val="00B3535A"/>
    <w:rsid w:val="00B41811"/>
    <w:rsid w:val="00B778F6"/>
    <w:rsid w:val="00B84B3F"/>
    <w:rsid w:val="00B84E16"/>
    <w:rsid w:val="00B86F00"/>
    <w:rsid w:val="00B90FFD"/>
    <w:rsid w:val="00B94EFD"/>
    <w:rsid w:val="00BA7DE9"/>
    <w:rsid w:val="00BC7620"/>
    <w:rsid w:val="00BE13BC"/>
    <w:rsid w:val="00C029A1"/>
    <w:rsid w:val="00C038CB"/>
    <w:rsid w:val="00C17002"/>
    <w:rsid w:val="00C17A96"/>
    <w:rsid w:val="00C40258"/>
    <w:rsid w:val="00C41603"/>
    <w:rsid w:val="00C552D6"/>
    <w:rsid w:val="00C56546"/>
    <w:rsid w:val="00C60398"/>
    <w:rsid w:val="00C622CF"/>
    <w:rsid w:val="00C6285F"/>
    <w:rsid w:val="00C81FB6"/>
    <w:rsid w:val="00C82EBE"/>
    <w:rsid w:val="00C95A07"/>
    <w:rsid w:val="00C9720A"/>
    <w:rsid w:val="00CA316E"/>
    <w:rsid w:val="00CA32D4"/>
    <w:rsid w:val="00CC04AF"/>
    <w:rsid w:val="00CC0FFA"/>
    <w:rsid w:val="00CC2040"/>
    <w:rsid w:val="00CC22F4"/>
    <w:rsid w:val="00CD1770"/>
    <w:rsid w:val="00CE2ADB"/>
    <w:rsid w:val="00CE2CC4"/>
    <w:rsid w:val="00CE2D5C"/>
    <w:rsid w:val="00CE7882"/>
    <w:rsid w:val="00CE7D12"/>
    <w:rsid w:val="00CF20DA"/>
    <w:rsid w:val="00CF2FEB"/>
    <w:rsid w:val="00CF33F8"/>
    <w:rsid w:val="00D01BDD"/>
    <w:rsid w:val="00D06AD2"/>
    <w:rsid w:val="00D1500B"/>
    <w:rsid w:val="00D16E8C"/>
    <w:rsid w:val="00D20B47"/>
    <w:rsid w:val="00D215A4"/>
    <w:rsid w:val="00D23549"/>
    <w:rsid w:val="00D41DF5"/>
    <w:rsid w:val="00D43529"/>
    <w:rsid w:val="00D762DD"/>
    <w:rsid w:val="00D81A97"/>
    <w:rsid w:val="00D91087"/>
    <w:rsid w:val="00DA5BA3"/>
    <w:rsid w:val="00DB575F"/>
    <w:rsid w:val="00DB5B4F"/>
    <w:rsid w:val="00DC237F"/>
    <w:rsid w:val="00DC2659"/>
    <w:rsid w:val="00DC4B7A"/>
    <w:rsid w:val="00DD0622"/>
    <w:rsid w:val="00DD71E6"/>
    <w:rsid w:val="00DE2C89"/>
    <w:rsid w:val="00DE71AB"/>
    <w:rsid w:val="00E10924"/>
    <w:rsid w:val="00E240B0"/>
    <w:rsid w:val="00E256C0"/>
    <w:rsid w:val="00E26C76"/>
    <w:rsid w:val="00E3163B"/>
    <w:rsid w:val="00E32593"/>
    <w:rsid w:val="00E3773D"/>
    <w:rsid w:val="00E45F3E"/>
    <w:rsid w:val="00E50210"/>
    <w:rsid w:val="00E53516"/>
    <w:rsid w:val="00E55973"/>
    <w:rsid w:val="00E620C3"/>
    <w:rsid w:val="00E8010D"/>
    <w:rsid w:val="00EA7A3C"/>
    <w:rsid w:val="00EB2188"/>
    <w:rsid w:val="00EB41A8"/>
    <w:rsid w:val="00EB64A9"/>
    <w:rsid w:val="00EC5B1F"/>
    <w:rsid w:val="00ED13AE"/>
    <w:rsid w:val="00EE3C6F"/>
    <w:rsid w:val="00EF158A"/>
    <w:rsid w:val="00EF41D5"/>
    <w:rsid w:val="00F039ED"/>
    <w:rsid w:val="00F12703"/>
    <w:rsid w:val="00F13916"/>
    <w:rsid w:val="00F20CBC"/>
    <w:rsid w:val="00F36011"/>
    <w:rsid w:val="00F3764E"/>
    <w:rsid w:val="00F37656"/>
    <w:rsid w:val="00F5265C"/>
    <w:rsid w:val="00F542C8"/>
    <w:rsid w:val="00F560D4"/>
    <w:rsid w:val="00F5677F"/>
    <w:rsid w:val="00F82C61"/>
    <w:rsid w:val="00F94D23"/>
    <w:rsid w:val="00FB0045"/>
    <w:rsid w:val="00FB1AF9"/>
    <w:rsid w:val="00FB5379"/>
    <w:rsid w:val="00FB6C23"/>
    <w:rsid w:val="00FC1E54"/>
    <w:rsid w:val="00FD2509"/>
    <w:rsid w:val="00FD3C1D"/>
    <w:rsid w:val="00FE02D0"/>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1A51137"/>
  <w15:docId w15:val="{5C79E536-0CCC-471F-BF1C-D89FA0AF73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sz w:val="24"/>
        <w:szCs w:val="22"/>
        <w:lang w:val="en-US" w:eastAsia="en-US" w:bidi="ar-SA"/>
      </w:rPr>
    </w:rPrDefault>
    <w:pPrDefault>
      <w:pPr>
        <w:spacing w:after="160"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F6DB2"/>
    <w:rPr>
      <w:lang w:val="es-MX"/>
    </w:rPr>
  </w:style>
  <w:style w:type="paragraph" w:styleId="Heading1">
    <w:name w:val="heading 1"/>
    <w:basedOn w:val="Normal"/>
    <w:next w:val="Normal"/>
    <w:link w:val="Heading1Char"/>
    <w:autoRedefine/>
    <w:uiPriority w:val="9"/>
    <w:qFormat/>
    <w:rsid w:val="00587376"/>
    <w:pPr>
      <w:keepNext/>
      <w:keepLines/>
      <w:spacing w:before="240" w:after="0"/>
      <w:outlineLvl w:val="0"/>
    </w:pPr>
    <w:rPr>
      <w:rFonts w:eastAsia="Times New Roman" w:cs="Times New Roman"/>
      <w:b/>
      <w:sz w:val="28"/>
      <w:szCs w:val="24"/>
    </w:rPr>
  </w:style>
  <w:style w:type="paragraph" w:styleId="Heading2">
    <w:name w:val="heading 2"/>
    <w:basedOn w:val="Normal"/>
    <w:next w:val="Normal"/>
    <w:link w:val="Heading2Char"/>
    <w:autoRedefine/>
    <w:uiPriority w:val="9"/>
    <w:unhideWhenUsed/>
    <w:qFormat/>
    <w:rsid w:val="00302EDB"/>
    <w:pPr>
      <w:keepNext/>
      <w:keepLines/>
      <w:spacing w:before="40" w:after="0"/>
      <w:outlineLvl w:val="1"/>
    </w:pPr>
    <w:rPr>
      <w:rFonts w:eastAsia="Times New Roman" w:cs="Times New Roman"/>
      <w:b/>
      <w:szCs w:val="26"/>
    </w:rPr>
  </w:style>
  <w:style w:type="paragraph" w:styleId="Heading3">
    <w:name w:val="heading 3"/>
    <w:basedOn w:val="Normal"/>
    <w:next w:val="Normal"/>
    <w:link w:val="Heading3Char"/>
    <w:uiPriority w:val="9"/>
    <w:unhideWhenUsed/>
    <w:qFormat/>
    <w:rsid w:val="00567910"/>
    <w:pPr>
      <w:keepNext/>
      <w:keepLines/>
      <w:spacing w:before="40" w:after="0"/>
      <w:outlineLvl w:val="2"/>
    </w:pPr>
    <w:rPr>
      <w:rFonts w:eastAsiaTheme="majorEastAsia" w:cstheme="majorBidi"/>
      <w:b/>
      <w:i/>
      <w:szCs w:val="24"/>
    </w:rPr>
  </w:style>
  <w:style w:type="paragraph" w:styleId="Heading4">
    <w:name w:val="heading 4"/>
    <w:basedOn w:val="Normal"/>
    <w:next w:val="Normal"/>
    <w:link w:val="Heading4Char"/>
    <w:uiPriority w:val="9"/>
    <w:unhideWhenUsed/>
    <w:qFormat/>
    <w:rsid w:val="00AE0CE0"/>
    <w:pPr>
      <w:keepNext/>
      <w:keepLines/>
      <w:spacing w:before="40" w:after="0"/>
      <w:ind w:left="1440"/>
      <w:outlineLvl w:val="3"/>
    </w:pPr>
    <w:rPr>
      <w:rFonts w:eastAsiaTheme="majorEastAsia" w:cstheme="majorBidi"/>
      <w:b/>
      <w:iCs/>
    </w:rPr>
  </w:style>
  <w:style w:type="paragraph" w:styleId="Heading5">
    <w:name w:val="heading 5"/>
    <w:basedOn w:val="Normal"/>
    <w:next w:val="Normal"/>
    <w:link w:val="Heading5Char"/>
    <w:uiPriority w:val="9"/>
    <w:unhideWhenUsed/>
    <w:qFormat/>
    <w:rsid w:val="004323BF"/>
    <w:pPr>
      <w:keepNext/>
      <w:keepLines/>
      <w:spacing w:before="40" w:after="0"/>
      <w:ind w:left="1440"/>
      <w:outlineLvl w:val="4"/>
    </w:pPr>
    <w:rPr>
      <w:rFonts w:eastAsiaTheme="majorEastAsia" w:cstheme="majorBidi"/>
      <w:b/>
      <w:i/>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99"/>
    <w:semiHidden/>
    <w:unhideWhenUsed/>
    <w:rsid w:val="00781846"/>
    <w:pPr>
      <w:spacing w:after="120"/>
    </w:pPr>
  </w:style>
  <w:style w:type="character" w:customStyle="1" w:styleId="BodyTextChar">
    <w:name w:val="Body Text Char"/>
    <w:basedOn w:val="DefaultParagraphFont"/>
    <w:link w:val="BodyText"/>
    <w:uiPriority w:val="99"/>
    <w:semiHidden/>
    <w:rsid w:val="00781846"/>
  </w:style>
  <w:style w:type="paragraph" w:styleId="Footer">
    <w:name w:val="footer"/>
    <w:basedOn w:val="Normal"/>
    <w:link w:val="FooterChar"/>
    <w:uiPriority w:val="99"/>
    <w:unhideWhenUsed/>
    <w:rsid w:val="00781846"/>
    <w:pPr>
      <w:tabs>
        <w:tab w:val="center" w:pos="4680"/>
        <w:tab w:val="right" w:pos="9360"/>
      </w:tabs>
      <w:spacing w:after="0"/>
    </w:pPr>
  </w:style>
  <w:style w:type="character" w:customStyle="1" w:styleId="FooterChar">
    <w:name w:val="Footer Char"/>
    <w:basedOn w:val="DefaultParagraphFont"/>
    <w:link w:val="Footer"/>
    <w:uiPriority w:val="99"/>
    <w:rsid w:val="00781846"/>
  </w:style>
  <w:style w:type="paragraph" w:styleId="Header">
    <w:name w:val="header"/>
    <w:basedOn w:val="Normal"/>
    <w:link w:val="HeaderChar"/>
    <w:uiPriority w:val="99"/>
    <w:unhideWhenUsed/>
    <w:rsid w:val="00781846"/>
    <w:pPr>
      <w:tabs>
        <w:tab w:val="center" w:pos="4680"/>
        <w:tab w:val="right" w:pos="9360"/>
      </w:tabs>
      <w:spacing w:after="0"/>
    </w:pPr>
  </w:style>
  <w:style w:type="character" w:customStyle="1" w:styleId="HeaderChar">
    <w:name w:val="Header Char"/>
    <w:basedOn w:val="DefaultParagraphFont"/>
    <w:link w:val="Header"/>
    <w:uiPriority w:val="99"/>
    <w:rsid w:val="00781846"/>
  </w:style>
  <w:style w:type="paragraph" w:styleId="BalloonText">
    <w:name w:val="Balloon Text"/>
    <w:basedOn w:val="Normal"/>
    <w:link w:val="BalloonTextChar"/>
    <w:uiPriority w:val="99"/>
    <w:semiHidden/>
    <w:unhideWhenUsed/>
    <w:rsid w:val="00D06AD2"/>
    <w:pPr>
      <w:spacing w:after="0"/>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D06AD2"/>
    <w:rPr>
      <w:rFonts w:ascii="Segoe UI" w:hAnsi="Segoe UI" w:cs="Segoe UI"/>
      <w:sz w:val="18"/>
      <w:szCs w:val="18"/>
    </w:rPr>
  </w:style>
  <w:style w:type="character" w:styleId="Hyperlink">
    <w:name w:val="Hyperlink"/>
    <w:basedOn w:val="DefaultParagraphFont"/>
    <w:uiPriority w:val="99"/>
    <w:unhideWhenUsed/>
    <w:rsid w:val="00721000"/>
    <w:rPr>
      <w:color w:val="0563C1" w:themeColor="hyperlink"/>
      <w:u w:val="single"/>
    </w:rPr>
  </w:style>
  <w:style w:type="paragraph" w:styleId="ListParagraph">
    <w:name w:val="List Paragraph"/>
    <w:basedOn w:val="Normal"/>
    <w:uiPriority w:val="34"/>
    <w:qFormat/>
    <w:rsid w:val="008E51AD"/>
    <w:pPr>
      <w:ind w:left="720"/>
      <w:contextualSpacing/>
    </w:pPr>
  </w:style>
  <w:style w:type="character" w:styleId="FollowedHyperlink">
    <w:name w:val="FollowedHyperlink"/>
    <w:basedOn w:val="DefaultParagraphFont"/>
    <w:uiPriority w:val="99"/>
    <w:semiHidden/>
    <w:unhideWhenUsed/>
    <w:rsid w:val="00490015"/>
    <w:rPr>
      <w:color w:val="954F72" w:themeColor="followedHyperlink"/>
      <w:u w:val="single"/>
    </w:rPr>
  </w:style>
  <w:style w:type="character" w:styleId="CommentReference">
    <w:name w:val="annotation reference"/>
    <w:basedOn w:val="DefaultParagraphFont"/>
    <w:uiPriority w:val="99"/>
    <w:semiHidden/>
    <w:unhideWhenUsed/>
    <w:rsid w:val="00CC0FFA"/>
    <w:rPr>
      <w:sz w:val="16"/>
      <w:szCs w:val="16"/>
    </w:rPr>
  </w:style>
  <w:style w:type="paragraph" w:styleId="CommentText">
    <w:name w:val="annotation text"/>
    <w:basedOn w:val="Normal"/>
    <w:link w:val="CommentTextChar"/>
    <w:uiPriority w:val="99"/>
    <w:semiHidden/>
    <w:unhideWhenUsed/>
    <w:rsid w:val="00CC0FFA"/>
    <w:rPr>
      <w:sz w:val="20"/>
      <w:szCs w:val="20"/>
    </w:rPr>
  </w:style>
  <w:style w:type="character" w:customStyle="1" w:styleId="CommentTextChar">
    <w:name w:val="Comment Text Char"/>
    <w:basedOn w:val="DefaultParagraphFont"/>
    <w:link w:val="CommentText"/>
    <w:uiPriority w:val="99"/>
    <w:semiHidden/>
    <w:rsid w:val="00CC0FFA"/>
    <w:rPr>
      <w:sz w:val="20"/>
      <w:szCs w:val="20"/>
    </w:rPr>
  </w:style>
  <w:style w:type="paragraph" w:styleId="CommentSubject">
    <w:name w:val="annotation subject"/>
    <w:basedOn w:val="CommentText"/>
    <w:next w:val="CommentText"/>
    <w:link w:val="CommentSubjectChar"/>
    <w:uiPriority w:val="99"/>
    <w:semiHidden/>
    <w:unhideWhenUsed/>
    <w:rsid w:val="00CC0FFA"/>
    <w:rPr>
      <w:b/>
      <w:bCs/>
    </w:rPr>
  </w:style>
  <w:style w:type="character" w:customStyle="1" w:styleId="CommentSubjectChar">
    <w:name w:val="Comment Subject Char"/>
    <w:basedOn w:val="CommentTextChar"/>
    <w:link w:val="CommentSubject"/>
    <w:uiPriority w:val="99"/>
    <w:semiHidden/>
    <w:rsid w:val="00CC0FFA"/>
    <w:rPr>
      <w:b/>
      <w:bCs/>
      <w:sz w:val="20"/>
      <w:szCs w:val="20"/>
    </w:rPr>
  </w:style>
  <w:style w:type="table" w:customStyle="1" w:styleId="TableNormal1">
    <w:name w:val="Table Normal1"/>
    <w:uiPriority w:val="2"/>
    <w:semiHidden/>
    <w:unhideWhenUsed/>
    <w:qFormat/>
    <w:rsid w:val="00967580"/>
    <w:pPr>
      <w:widowControl w:val="0"/>
      <w:spacing w:after="0" w:line="240" w:lineRule="auto"/>
    </w:pPr>
    <w:rPr>
      <w:rFonts w:ascii="Calibri" w:hAnsi="Calibri"/>
      <w:sz w:val="22"/>
    </w:rPr>
    <w:tblPr>
      <w:tblInd w:w="0" w:type="dxa"/>
      <w:tblCellMar>
        <w:top w:w="0" w:type="dxa"/>
        <w:left w:w="0" w:type="dxa"/>
        <w:bottom w:w="0" w:type="dxa"/>
        <w:right w:w="0" w:type="dxa"/>
      </w:tblCellMar>
    </w:tblPr>
  </w:style>
  <w:style w:type="table" w:customStyle="1" w:styleId="TableNormal10">
    <w:name w:val="Table Normal1"/>
    <w:uiPriority w:val="2"/>
    <w:semiHidden/>
    <w:unhideWhenUsed/>
    <w:qFormat/>
    <w:rsid w:val="00F82C61"/>
    <w:pPr>
      <w:widowControl w:val="0"/>
      <w:spacing w:after="0" w:line="240" w:lineRule="auto"/>
    </w:pPr>
    <w:rPr>
      <w:rFonts w:ascii="Calibri" w:hAnsi="Calibri"/>
      <w:sz w:val="22"/>
    </w:rPr>
    <w:tblPr>
      <w:tblInd w:w="0" w:type="dxa"/>
      <w:tblCellMar>
        <w:top w:w="0" w:type="dxa"/>
        <w:left w:w="0" w:type="dxa"/>
        <w:bottom w:w="0" w:type="dxa"/>
        <w:right w:w="0" w:type="dxa"/>
      </w:tblCellMar>
    </w:tblPr>
  </w:style>
  <w:style w:type="character" w:customStyle="1" w:styleId="Heading1Char">
    <w:name w:val="Heading 1 Char"/>
    <w:basedOn w:val="DefaultParagraphFont"/>
    <w:link w:val="Heading1"/>
    <w:uiPriority w:val="9"/>
    <w:rsid w:val="00587376"/>
    <w:rPr>
      <w:rFonts w:eastAsia="Times New Roman" w:cs="Times New Roman"/>
      <w:b/>
      <w:sz w:val="28"/>
      <w:szCs w:val="24"/>
      <w:lang w:val="es-MX"/>
    </w:rPr>
  </w:style>
  <w:style w:type="paragraph" w:styleId="TOCHeading">
    <w:name w:val="TOC Heading"/>
    <w:basedOn w:val="Heading1"/>
    <w:next w:val="Normal"/>
    <w:uiPriority w:val="39"/>
    <w:unhideWhenUsed/>
    <w:qFormat/>
    <w:rsid w:val="00A62C67"/>
    <w:pPr>
      <w:outlineLvl w:val="9"/>
    </w:pPr>
    <w:rPr>
      <w:lang w:eastAsia="es-MX"/>
    </w:rPr>
  </w:style>
  <w:style w:type="paragraph" w:styleId="TOC3">
    <w:name w:val="toc 3"/>
    <w:basedOn w:val="Normal"/>
    <w:next w:val="Normal"/>
    <w:autoRedefine/>
    <w:uiPriority w:val="39"/>
    <w:unhideWhenUsed/>
    <w:rsid w:val="00302EDB"/>
    <w:pPr>
      <w:spacing w:after="100"/>
      <w:ind w:left="482"/>
    </w:pPr>
  </w:style>
  <w:style w:type="paragraph" w:styleId="TOC1">
    <w:name w:val="toc 1"/>
    <w:basedOn w:val="Normal"/>
    <w:next w:val="Normal"/>
    <w:autoRedefine/>
    <w:uiPriority w:val="39"/>
    <w:unhideWhenUsed/>
    <w:rsid w:val="00302EDB"/>
    <w:pPr>
      <w:spacing w:after="100"/>
    </w:pPr>
  </w:style>
  <w:style w:type="character" w:customStyle="1" w:styleId="Heading2Char">
    <w:name w:val="Heading 2 Char"/>
    <w:basedOn w:val="DefaultParagraphFont"/>
    <w:link w:val="Heading2"/>
    <w:uiPriority w:val="9"/>
    <w:rsid w:val="00302EDB"/>
    <w:rPr>
      <w:rFonts w:eastAsia="Times New Roman" w:cs="Times New Roman"/>
      <w:b/>
      <w:szCs w:val="26"/>
      <w:lang w:val="es-MX"/>
    </w:rPr>
  </w:style>
  <w:style w:type="paragraph" w:styleId="TOC2">
    <w:name w:val="toc 2"/>
    <w:basedOn w:val="Normal"/>
    <w:next w:val="Normal"/>
    <w:autoRedefine/>
    <w:uiPriority w:val="39"/>
    <w:unhideWhenUsed/>
    <w:rsid w:val="00302EDB"/>
    <w:pPr>
      <w:spacing w:after="100"/>
      <w:ind w:left="238"/>
    </w:pPr>
  </w:style>
  <w:style w:type="character" w:customStyle="1" w:styleId="Heading3Char">
    <w:name w:val="Heading 3 Char"/>
    <w:basedOn w:val="DefaultParagraphFont"/>
    <w:link w:val="Heading3"/>
    <w:uiPriority w:val="9"/>
    <w:rsid w:val="00567910"/>
    <w:rPr>
      <w:rFonts w:eastAsiaTheme="majorEastAsia" w:cstheme="majorBidi"/>
      <w:b/>
      <w:i/>
      <w:szCs w:val="24"/>
      <w:lang w:val="es-MX"/>
    </w:rPr>
  </w:style>
  <w:style w:type="character" w:customStyle="1" w:styleId="Heading4Char">
    <w:name w:val="Heading 4 Char"/>
    <w:basedOn w:val="DefaultParagraphFont"/>
    <w:link w:val="Heading4"/>
    <w:uiPriority w:val="9"/>
    <w:rsid w:val="00AE0CE0"/>
    <w:rPr>
      <w:rFonts w:eastAsiaTheme="majorEastAsia" w:cstheme="majorBidi"/>
      <w:b/>
      <w:iCs/>
      <w:lang w:val="es-MX"/>
    </w:rPr>
  </w:style>
  <w:style w:type="character" w:customStyle="1" w:styleId="Heading5Char">
    <w:name w:val="Heading 5 Char"/>
    <w:basedOn w:val="DefaultParagraphFont"/>
    <w:link w:val="Heading5"/>
    <w:uiPriority w:val="9"/>
    <w:rsid w:val="004323BF"/>
    <w:rPr>
      <w:rFonts w:eastAsiaTheme="majorEastAsia" w:cstheme="majorBidi"/>
      <w:b/>
      <w:i/>
      <w:lang w:val="es-MX"/>
    </w:rPr>
  </w:style>
  <w:style w:type="paragraph" w:styleId="Caption">
    <w:name w:val="caption"/>
    <w:basedOn w:val="Normal"/>
    <w:next w:val="Normal"/>
    <w:uiPriority w:val="35"/>
    <w:unhideWhenUsed/>
    <w:qFormat/>
    <w:rsid w:val="002105DF"/>
    <w:pPr>
      <w:spacing w:after="200"/>
    </w:pPr>
    <w:rPr>
      <w:i/>
      <w:iCs/>
      <w:color w:val="44546A" w:themeColor="text2"/>
      <w:sz w:val="18"/>
      <w:szCs w:val="18"/>
    </w:rPr>
  </w:style>
  <w:style w:type="paragraph" w:styleId="TableofFigures">
    <w:name w:val="table of figures"/>
    <w:basedOn w:val="Normal"/>
    <w:next w:val="Normal"/>
    <w:uiPriority w:val="99"/>
    <w:unhideWhenUsed/>
    <w:rsid w:val="00302EDB"/>
    <w:pPr>
      <w:spacing w:after="0"/>
    </w:pPr>
  </w:style>
  <w:style w:type="table" w:customStyle="1" w:styleId="APAReport">
    <w:name w:val="APA Report"/>
    <w:basedOn w:val="TableNormal"/>
    <w:uiPriority w:val="99"/>
    <w:rsid w:val="00176F02"/>
    <w:pPr>
      <w:spacing w:after="0" w:line="240" w:lineRule="auto"/>
    </w:pPr>
    <w:rPr>
      <w:rFonts w:eastAsia="SimSun"/>
      <w:szCs w:val="24"/>
      <w:lang w:eastAsia="ja-JP"/>
    </w:rPr>
    <w:tblPr>
      <w:tblBorders>
        <w:top w:val="single" w:sz="12" w:space="0" w:color="auto"/>
        <w:bottom w:val="single" w:sz="12" w:space="0" w:color="auto"/>
      </w:tblBorders>
    </w:tblPr>
    <w:tblStylePr w:type="firstRow">
      <w:rPr>
        <w:rFonts w:ascii="Times New Roman" w:hAnsi="Times New Roman"/>
      </w:rPr>
      <w:tblPr/>
      <w:trPr>
        <w:tblHeader/>
      </w:trPr>
      <w:tcPr>
        <w:tcBorders>
          <w:top w:val="single" w:sz="12" w:space="0" w:color="auto"/>
          <w:left w:val="nil"/>
          <w:bottom w:val="single" w:sz="12" w:space="0" w:color="auto"/>
          <w:right w:val="nil"/>
          <w:insideH w:val="nil"/>
          <w:insideV w:val="nil"/>
          <w:tl2br w:val="nil"/>
          <w:tr2bl w:val="nil"/>
        </w:tcBorders>
      </w:tcPr>
    </w:tblStylePr>
  </w:style>
  <w:style w:type="character" w:customStyle="1" w:styleId="Mencinsinresolver1">
    <w:name w:val="Mención sin resolver1"/>
    <w:basedOn w:val="DefaultParagraphFont"/>
    <w:uiPriority w:val="99"/>
    <w:semiHidden/>
    <w:unhideWhenUsed/>
    <w:rsid w:val="002D5888"/>
    <w:rPr>
      <w:color w:val="605E5C"/>
      <w:shd w:val="clear" w:color="auto" w:fill="E1DFDD"/>
    </w:rPr>
  </w:style>
  <w:style w:type="paragraph" w:styleId="TOC4">
    <w:name w:val="toc 4"/>
    <w:basedOn w:val="Normal"/>
    <w:next w:val="Normal"/>
    <w:autoRedefine/>
    <w:uiPriority w:val="39"/>
    <w:unhideWhenUsed/>
    <w:rsid w:val="00302EDB"/>
    <w:pPr>
      <w:spacing w:after="100"/>
      <w:ind w:left="720"/>
    </w:pPr>
  </w:style>
  <w:style w:type="paragraph" w:styleId="TOC5">
    <w:name w:val="toc 5"/>
    <w:basedOn w:val="Normal"/>
    <w:next w:val="Normal"/>
    <w:autoRedefine/>
    <w:uiPriority w:val="39"/>
    <w:unhideWhenUsed/>
    <w:rsid w:val="00302EDB"/>
    <w:pPr>
      <w:spacing w:after="100"/>
      <w:ind w:left="958"/>
    </w:pPr>
  </w:style>
  <w:style w:type="paragraph" w:customStyle="1" w:styleId="Default">
    <w:name w:val="Default"/>
    <w:rsid w:val="003C25F6"/>
    <w:pPr>
      <w:autoSpaceDE w:val="0"/>
      <w:autoSpaceDN w:val="0"/>
      <w:adjustRightInd w:val="0"/>
      <w:spacing w:after="0"/>
    </w:pPr>
    <w:rPr>
      <w:rFonts w:cs="Times New Roman"/>
      <w:color w:val="000000"/>
      <w:szCs w:val="24"/>
      <w:lang w:val="es-MX"/>
    </w:rPr>
  </w:style>
  <w:style w:type="character" w:customStyle="1" w:styleId="Encabezadoopiedepgina">
    <w:name w:val="Encabezado o pie de página_"/>
    <w:basedOn w:val="DefaultParagraphFont"/>
    <w:link w:val="Encabezadoopiedepgina0"/>
    <w:rsid w:val="00FB6C23"/>
    <w:rPr>
      <w:rFonts w:eastAsia="Times New Roman" w:cs="Times New Roman"/>
      <w:shd w:val="clear" w:color="auto" w:fill="FFFFFF"/>
      <w:lang w:val="es-ES" w:eastAsia="es-ES" w:bidi="es-ES"/>
    </w:rPr>
  </w:style>
  <w:style w:type="paragraph" w:customStyle="1" w:styleId="Encabezadoopiedepgina0">
    <w:name w:val="Encabezado o pie de página"/>
    <w:basedOn w:val="Normal"/>
    <w:link w:val="Encabezadoopiedepgina"/>
    <w:rsid w:val="00FB6C23"/>
    <w:pPr>
      <w:widowControl w:val="0"/>
      <w:shd w:val="clear" w:color="auto" w:fill="FFFFFF"/>
      <w:spacing w:after="0"/>
    </w:pPr>
    <w:rPr>
      <w:rFonts w:eastAsia="Times New Roman" w:cs="Times New Roman"/>
      <w:lang w:val="es-ES" w:eastAsia="es-ES" w:bidi="es-ES"/>
    </w:rPr>
  </w:style>
  <w:style w:type="character" w:styleId="PlaceholderText">
    <w:name w:val="Placeholder Text"/>
    <w:basedOn w:val="DefaultParagraphFont"/>
    <w:uiPriority w:val="99"/>
    <w:semiHidden/>
    <w:rsid w:val="000F41AE"/>
    <w:rPr>
      <w:color w:val="808080"/>
    </w:rPr>
  </w:style>
  <w:style w:type="table" w:styleId="TableGrid">
    <w:name w:val="Table Grid"/>
    <w:basedOn w:val="TableNormal"/>
    <w:uiPriority w:val="39"/>
    <w:rsid w:val="000F41A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ourceCode">
    <w:name w:val="Source Code"/>
    <w:basedOn w:val="Normal"/>
    <w:pPr>
      <w:shd w:val="clear" w:color="auto" w:fill="F1F3F5"/>
      <w:wordWrap w:val="0"/>
    </w:pPr>
  </w:style>
  <w:style w:type="character" w:customStyle="1" w:styleId="KeywordTok">
    <w:name w:val="KeywordTok"/>
    <w:rPr>
      <w:b/>
      <w:color w:val="003B4F"/>
      <w:shd w:val="clear" w:color="auto" w:fill="F1F3F5"/>
    </w:rPr>
  </w:style>
  <w:style w:type="character" w:customStyle="1" w:styleId="DataTypeTok">
    <w:name w:val="DataTypeTok"/>
    <w:rPr>
      <w:color w:val="AD0000"/>
      <w:shd w:val="clear" w:color="auto" w:fill="F1F3F5"/>
    </w:rPr>
  </w:style>
  <w:style w:type="character" w:customStyle="1" w:styleId="DecValTok">
    <w:name w:val="DecValTok"/>
    <w:rPr>
      <w:color w:val="AD0000"/>
      <w:shd w:val="clear" w:color="auto" w:fill="F1F3F5"/>
    </w:rPr>
  </w:style>
  <w:style w:type="character" w:customStyle="1" w:styleId="BaseNTok">
    <w:name w:val="BaseNTok"/>
    <w:rPr>
      <w:color w:val="AD0000"/>
      <w:shd w:val="clear" w:color="auto" w:fill="F1F3F5"/>
    </w:rPr>
  </w:style>
  <w:style w:type="character" w:customStyle="1" w:styleId="FloatTok">
    <w:name w:val="FloatTok"/>
    <w:rPr>
      <w:color w:val="AD0000"/>
      <w:shd w:val="clear" w:color="auto" w:fill="F1F3F5"/>
    </w:rPr>
  </w:style>
  <w:style w:type="character" w:customStyle="1" w:styleId="ConstantTok">
    <w:name w:val="ConstantTok"/>
    <w:rPr>
      <w:color w:val="8F5902"/>
      <w:shd w:val="clear" w:color="auto" w:fill="F1F3F5"/>
    </w:rPr>
  </w:style>
  <w:style w:type="character" w:customStyle="1" w:styleId="CharTok">
    <w:name w:val="CharTok"/>
    <w:rPr>
      <w:color w:val="20794D"/>
      <w:shd w:val="clear" w:color="auto" w:fill="F1F3F5"/>
    </w:rPr>
  </w:style>
  <w:style w:type="character" w:customStyle="1" w:styleId="SpecialCharTok">
    <w:name w:val="SpecialCharTok"/>
    <w:rPr>
      <w:color w:val="5E5E5E"/>
      <w:shd w:val="clear" w:color="auto" w:fill="F1F3F5"/>
    </w:rPr>
  </w:style>
  <w:style w:type="character" w:customStyle="1" w:styleId="StringTok">
    <w:name w:val="StringTok"/>
    <w:rPr>
      <w:color w:val="20794D"/>
      <w:shd w:val="clear" w:color="auto" w:fill="F1F3F5"/>
    </w:rPr>
  </w:style>
  <w:style w:type="character" w:customStyle="1" w:styleId="VerbatimStringTok">
    <w:name w:val="VerbatimStringTok"/>
    <w:rPr>
      <w:color w:val="20794D"/>
      <w:shd w:val="clear" w:color="auto" w:fill="F1F3F5"/>
    </w:rPr>
  </w:style>
  <w:style w:type="character" w:customStyle="1" w:styleId="SpecialStringTok">
    <w:name w:val="SpecialStringTok"/>
    <w:rPr>
      <w:color w:val="20794D"/>
      <w:shd w:val="clear" w:color="auto" w:fill="F1F3F5"/>
    </w:rPr>
  </w:style>
  <w:style w:type="character" w:customStyle="1" w:styleId="ImportTok">
    <w:name w:val="ImportTok"/>
    <w:rPr>
      <w:color w:val="00769E"/>
      <w:shd w:val="clear" w:color="auto" w:fill="F1F3F5"/>
    </w:rPr>
  </w:style>
  <w:style w:type="character" w:customStyle="1" w:styleId="CommentTok">
    <w:name w:val="CommentTok"/>
    <w:rPr>
      <w:color w:val="5E5E5E"/>
      <w:shd w:val="clear" w:color="auto" w:fill="F1F3F5"/>
    </w:rPr>
  </w:style>
  <w:style w:type="character" w:customStyle="1" w:styleId="DocumentationTok">
    <w:name w:val="DocumentationTok"/>
    <w:rPr>
      <w:i/>
      <w:color w:val="5E5E5E"/>
      <w:shd w:val="clear" w:color="auto" w:fill="F1F3F5"/>
    </w:rPr>
  </w:style>
  <w:style w:type="character" w:customStyle="1" w:styleId="AnnotationTok">
    <w:name w:val="AnnotationTok"/>
    <w:rPr>
      <w:color w:val="5E5E5E"/>
      <w:shd w:val="clear" w:color="auto" w:fill="F1F3F5"/>
    </w:rPr>
  </w:style>
  <w:style w:type="character" w:customStyle="1" w:styleId="CommentVarTok">
    <w:name w:val="CommentVarTok"/>
    <w:rPr>
      <w:i/>
      <w:color w:val="5E5E5E"/>
      <w:shd w:val="clear" w:color="auto" w:fill="F1F3F5"/>
    </w:rPr>
  </w:style>
  <w:style w:type="character" w:customStyle="1" w:styleId="OtherTok">
    <w:name w:val="OtherTok"/>
    <w:rPr>
      <w:color w:val="003B4F"/>
      <w:shd w:val="clear" w:color="auto" w:fill="F1F3F5"/>
    </w:rPr>
  </w:style>
  <w:style w:type="character" w:customStyle="1" w:styleId="FunctionTok">
    <w:name w:val="FunctionTok"/>
    <w:rPr>
      <w:color w:val="4758AB"/>
      <w:shd w:val="clear" w:color="auto" w:fill="F1F3F5"/>
    </w:rPr>
  </w:style>
  <w:style w:type="character" w:customStyle="1" w:styleId="VariableTok">
    <w:name w:val="VariableTok"/>
    <w:rPr>
      <w:color w:val="111111"/>
      <w:shd w:val="clear" w:color="auto" w:fill="F1F3F5"/>
    </w:rPr>
  </w:style>
  <w:style w:type="character" w:customStyle="1" w:styleId="ControlFlowTok">
    <w:name w:val="ControlFlowTok"/>
    <w:rPr>
      <w:b/>
      <w:color w:val="003B4F"/>
      <w:shd w:val="clear" w:color="auto" w:fill="F1F3F5"/>
    </w:rPr>
  </w:style>
  <w:style w:type="character" w:customStyle="1" w:styleId="OperatorTok">
    <w:name w:val="OperatorTok"/>
    <w:rPr>
      <w:color w:val="5E5E5E"/>
      <w:shd w:val="clear" w:color="auto" w:fill="F1F3F5"/>
    </w:rPr>
  </w:style>
  <w:style w:type="character" w:customStyle="1" w:styleId="BuiltInTok">
    <w:name w:val="BuiltInTok"/>
    <w:rPr>
      <w:color w:val="003B4F"/>
      <w:shd w:val="clear" w:color="auto" w:fill="F1F3F5"/>
    </w:rPr>
  </w:style>
  <w:style w:type="character" w:customStyle="1" w:styleId="ExtensionTok">
    <w:name w:val="ExtensionTok"/>
    <w:rPr>
      <w:color w:val="003B4F"/>
      <w:shd w:val="clear" w:color="auto" w:fill="F1F3F5"/>
    </w:rPr>
  </w:style>
  <w:style w:type="character" w:customStyle="1" w:styleId="PreprocessorTok">
    <w:name w:val="PreprocessorTok"/>
    <w:rPr>
      <w:color w:val="AD0000"/>
      <w:shd w:val="clear" w:color="auto" w:fill="F1F3F5"/>
    </w:rPr>
  </w:style>
  <w:style w:type="character" w:customStyle="1" w:styleId="AttributeTok">
    <w:name w:val="AttributeTok"/>
    <w:rPr>
      <w:color w:val="657422"/>
      <w:shd w:val="clear" w:color="auto" w:fill="F1F3F5"/>
    </w:rPr>
  </w:style>
  <w:style w:type="character" w:customStyle="1" w:styleId="RegionMarkerTok">
    <w:name w:val="RegionMarkerTok"/>
    <w:rPr>
      <w:color w:val="003B4F"/>
      <w:shd w:val="clear" w:color="auto" w:fill="F1F3F5"/>
    </w:rPr>
  </w:style>
  <w:style w:type="character" w:customStyle="1" w:styleId="InformationTok">
    <w:name w:val="InformationTok"/>
    <w:rPr>
      <w:color w:val="5E5E5E"/>
      <w:shd w:val="clear" w:color="auto" w:fill="F1F3F5"/>
    </w:rPr>
  </w:style>
  <w:style w:type="character" w:customStyle="1" w:styleId="WarningTok">
    <w:name w:val="WarningTok"/>
    <w:rPr>
      <w:i/>
      <w:color w:val="5E5E5E"/>
      <w:shd w:val="clear" w:color="auto" w:fill="F1F3F5"/>
    </w:rPr>
  </w:style>
  <w:style w:type="character" w:customStyle="1" w:styleId="AlertTok">
    <w:name w:val="AlertTok"/>
    <w:rPr>
      <w:color w:val="AD0000"/>
      <w:shd w:val="clear" w:color="auto" w:fill="F1F3F5"/>
    </w:rPr>
  </w:style>
  <w:style w:type="character" w:customStyle="1" w:styleId="ErrorTok">
    <w:name w:val="ErrorTok"/>
    <w:rPr>
      <w:color w:val="AD0000"/>
      <w:shd w:val="clear" w:color="auto" w:fill="F1F3F5"/>
    </w:rPr>
  </w:style>
  <w:style w:type="character" w:customStyle="1" w:styleId="NormalTok">
    <w:name w:val="NormalTok"/>
    <w:rPr>
      <w:color w:val="003B4F"/>
      <w:shd w:val="clear" w:color="auto" w:fill="F1F3F5"/>
    </w:rPr>
  </w:style>
  <w:style w:type="paragraph" w:styleId="TOC6">
    <w:name w:val="toc 6"/>
    <w:basedOn w:val="Normal"/>
    <w:next w:val="Normal"/>
    <w:autoRedefine/>
    <w:uiPriority w:val="39"/>
    <w:unhideWhenUsed/>
    <w:rsid w:val="00A52D0E"/>
    <w:pPr>
      <w:spacing w:after="100" w:line="278" w:lineRule="auto"/>
      <w:ind w:left="1200"/>
      <w:jc w:val="left"/>
    </w:pPr>
    <w:rPr>
      <w:rFonts w:asciiTheme="minorHAnsi" w:eastAsiaTheme="minorEastAsia" w:hAnsiTheme="minorHAnsi"/>
      <w:kern w:val="2"/>
      <w:szCs w:val="24"/>
      <w:lang w:val="en-US"/>
    </w:rPr>
  </w:style>
  <w:style w:type="paragraph" w:styleId="TOC7">
    <w:name w:val="toc 7"/>
    <w:basedOn w:val="Normal"/>
    <w:next w:val="Normal"/>
    <w:autoRedefine/>
    <w:uiPriority w:val="39"/>
    <w:unhideWhenUsed/>
    <w:rsid w:val="00A52D0E"/>
    <w:pPr>
      <w:spacing w:after="100" w:line="278" w:lineRule="auto"/>
      <w:ind w:left="1440"/>
      <w:jc w:val="left"/>
    </w:pPr>
    <w:rPr>
      <w:rFonts w:asciiTheme="minorHAnsi" w:eastAsiaTheme="minorEastAsia" w:hAnsiTheme="minorHAnsi"/>
      <w:kern w:val="2"/>
      <w:szCs w:val="24"/>
      <w:lang w:val="en-US"/>
    </w:rPr>
  </w:style>
  <w:style w:type="paragraph" w:styleId="TOC8">
    <w:name w:val="toc 8"/>
    <w:basedOn w:val="Normal"/>
    <w:next w:val="Normal"/>
    <w:autoRedefine/>
    <w:uiPriority w:val="39"/>
    <w:unhideWhenUsed/>
    <w:rsid w:val="00A52D0E"/>
    <w:pPr>
      <w:spacing w:after="100" w:line="278" w:lineRule="auto"/>
      <w:ind w:left="1680"/>
      <w:jc w:val="left"/>
    </w:pPr>
    <w:rPr>
      <w:rFonts w:asciiTheme="minorHAnsi" w:eastAsiaTheme="minorEastAsia" w:hAnsiTheme="minorHAnsi"/>
      <w:kern w:val="2"/>
      <w:szCs w:val="24"/>
      <w:lang w:val="en-US"/>
    </w:rPr>
  </w:style>
  <w:style w:type="paragraph" w:styleId="TOC9">
    <w:name w:val="toc 9"/>
    <w:basedOn w:val="Normal"/>
    <w:next w:val="Normal"/>
    <w:autoRedefine/>
    <w:uiPriority w:val="39"/>
    <w:unhideWhenUsed/>
    <w:rsid w:val="00A52D0E"/>
    <w:pPr>
      <w:spacing w:after="100" w:line="278" w:lineRule="auto"/>
      <w:ind w:left="1920"/>
      <w:jc w:val="left"/>
    </w:pPr>
    <w:rPr>
      <w:rFonts w:asciiTheme="minorHAnsi" w:eastAsiaTheme="minorEastAsia" w:hAnsiTheme="minorHAnsi"/>
      <w:kern w:val="2"/>
      <w:szCs w:val="24"/>
      <w:lang w:val="en-US"/>
    </w:rPr>
  </w:style>
  <w:style w:type="character" w:styleId="UnresolvedMention">
    <w:name w:val="Unresolved Mention"/>
    <w:basedOn w:val="DefaultParagraphFont"/>
    <w:uiPriority w:val="99"/>
    <w:semiHidden/>
    <w:unhideWhenUsed/>
    <w:rsid w:val="00A52D0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7106799">
      <w:bodyDiv w:val="1"/>
      <w:marLeft w:val="0"/>
      <w:marRight w:val="0"/>
      <w:marTop w:val="0"/>
      <w:marBottom w:val="0"/>
      <w:divBdr>
        <w:top w:val="none" w:sz="0" w:space="0" w:color="auto"/>
        <w:left w:val="none" w:sz="0" w:space="0" w:color="auto"/>
        <w:bottom w:val="none" w:sz="0" w:space="0" w:color="auto"/>
        <w:right w:val="none" w:sz="0" w:space="0" w:color="auto"/>
      </w:divBdr>
    </w:div>
    <w:div w:id="563610252">
      <w:bodyDiv w:val="1"/>
      <w:marLeft w:val="0"/>
      <w:marRight w:val="0"/>
      <w:marTop w:val="0"/>
      <w:marBottom w:val="0"/>
      <w:divBdr>
        <w:top w:val="none" w:sz="0" w:space="0" w:color="auto"/>
        <w:left w:val="none" w:sz="0" w:space="0" w:color="auto"/>
        <w:bottom w:val="none" w:sz="0" w:space="0" w:color="auto"/>
        <w:right w:val="none" w:sz="0" w:space="0" w:color="auto"/>
      </w:divBdr>
      <w:divsChild>
        <w:div w:id="1067415486">
          <w:marLeft w:val="0"/>
          <w:marRight w:val="0"/>
          <w:marTop w:val="0"/>
          <w:marBottom w:val="0"/>
          <w:divBdr>
            <w:top w:val="none" w:sz="0" w:space="0" w:color="auto"/>
            <w:left w:val="none" w:sz="0" w:space="0" w:color="auto"/>
            <w:bottom w:val="none" w:sz="0" w:space="0" w:color="auto"/>
            <w:right w:val="none" w:sz="0" w:space="0" w:color="auto"/>
          </w:divBdr>
        </w:div>
        <w:div w:id="1409695189">
          <w:marLeft w:val="0"/>
          <w:marRight w:val="0"/>
          <w:marTop w:val="0"/>
          <w:marBottom w:val="0"/>
          <w:divBdr>
            <w:top w:val="none" w:sz="0" w:space="0" w:color="auto"/>
            <w:left w:val="none" w:sz="0" w:space="0" w:color="auto"/>
            <w:bottom w:val="none" w:sz="0" w:space="0" w:color="auto"/>
            <w:right w:val="none" w:sz="0" w:space="0" w:color="auto"/>
          </w:divBdr>
        </w:div>
        <w:div w:id="1024675801">
          <w:marLeft w:val="0"/>
          <w:marRight w:val="0"/>
          <w:marTop w:val="0"/>
          <w:marBottom w:val="0"/>
          <w:divBdr>
            <w:top w:val="none" w:sz="0" w:space="0" w:color="auto"/>
            <w:left w:val="none" w:sz="0" w:space="0" w:color="auto"/>
            <w:bottom w:val="none" w:sz="0" w:space="0" w:color="auto"/>
            <w:right w:val="none" w:sz="0" w:space="0" w:color="auto"/>
          </w:divBdr>
        </w:div>
        <w:div w:id="1420370925">
          <w:marLeft w:val="0"/>
          <w:marRight w:val="0"/>
          <w:marTop w:val="0"/>
          <w:marBottom w:val="0"/>
          <w:divBdr>
            <w:top w:val="none" w:sz="0" w:space="0" w:color="auto"/>
            <w:left w:val="none" w:sz="0" w:space="0" w:color="auto"/>
            <w:bottom w:val="none" w:sz="0" w:space="0" w:color="auto"/>
            <w:right w:val="none" w:sz="0" w:space="0" w:color="auto"/>
          </w:divBdr>
        </w:div>
        <w:div w:id="1080981968">
          <w:marLeft w:val="0"/>
          <w:marRight w:val="0"/>
          <w:marTop w:val="0"/>
          <w:marBottom w:val="0"/>
          <w:divBdr>
            <w:top w:val="none" w:sz="0" w:space="0" w:color="auto"/>
            <w:left w:val="none" w:sz="0" w:space="0" w:color="auto"/>
            <w:bottom w:val="none" w:sz="0" w:space="0" w:color="auto"/>
            <w:right w:val="none" w:sz="0" w:space="0" w:color="auto"/>
          </w:divBdr>
        </w:div>
        <w:div w:id="1454514833">
          <w:marLeft w:val="0"/>
          <w:marRight w:val="0"/>
          <w:marTop w:val="0"/>
          <w:marBottom w:val="0"/>
          <w:divBdr>
            <w:top w:val="none" w:sz="0" w:space="0" w:color="auto"/>
            <w:left w:val="none" w:sz="0" w:space="0" w:color="auto"/>
            <w:bottom w:val="none" w:sz="0" w:space="0" w:color="auto"/>
            <w:right w:val="none" w:sz="0" w:space="0" w:color="auto"/>
          </w:divBdr>
        </w:div>
        <w:div w:id="713384995">
          <w:marLeft w:val="0"/>
          <w:marRight w:val="0"/>
          <w:marTop w:val="0"/>
          <w:marBottom w:val="0"/>
          <w:divBdr>
            <w:top w:val="none" w:sz="0" w:space="0" w:color="auto"/>
            <w:left w:val="none" w:sz="0" w:space="0" w:color="auto"/>
            <w:bottom w:val="none" w:sz="0" w:space="0" w:color="auto"/>
            <w:right w:val="none" w:sz="0" w:space="0" w:color="auto"/>
          </w:divBdr>
        </w:div>
        <w:div w:id="687489495">
          <w:marLeft w:val="0"/>
          <w:marRight w:val="0"/>
          <w:marTop w:val="0"/>
          <w:marBottom w:val="0"/>
          <w:divBdr>
            <w:top w:val="none" w:sz="0" w:space="0" w:color="auto"/>
            <w:left w:val="none" w:sz="0" w:space="0" w:color="auto"/>
            <w:bottom w:val="none" w:sz="0" w:space="0" w:color="auto"/>
            <w:right w:val="none" w:sz="0" w:space="0" w:color="auto"/>
          </w:divBdr>
        </w:div>
        <w:div w:id="2048869229">
          <w:marLeft w:val="0"/>
          <w:marRight w:val="0"/>
          <w:marTop w:val="0"/>
          <w:marBottom w:val="0"/>
          <w:divBdr>
            <w:top w:val="none" w:sz="0" w:space="0" w:color="auto"/>
            <w:left w:val="none" w:sz="0" w:space="0" w:color="auto"/>
            <w:bottom w:val="none" w:sz="0" w:space="0" w:color="auto"/>
            <w:right w:val="none" w:sz="0" w:space="0" w:color="auto"/>
          </w:divBdr>
        </w:div>
        <w:div w:id="1532913656">
          <w:marLeft w:val="0"/>
          <w:marRight w:val="0"/>
          <w:marTop w:val="0"/>
          <w:marBottom w:val="0"/>
          <w:divBdr>
            <w:top w:val="none" w:sz="0" w:space="0" w:color="auto"/>
            <w:left w:val="none" w:sz="0" w:space="0" w:color="auto"/>
            <w:bottom w:val="none" w:sz="0" w:space="0" w:color="auto"/>
            <w:right w:val="none" w:sz="0" w:space="0" w:color="auto"/>
          </w:divBdr>
        </w:div>
        <w:div w:id="1289822737">
          <w:marLeft w:val="0"/>
          <w:marRight w:val="0"/>
          <w:marTop w:val="0"/>
          <w:marBottom w:val="0"/>
          <w:divBdr>
            <w:top w:val="none" w:sz="0" w:space="0" w:color="auto"/>
            <w:left w:val="none" w:sz="0" w:space="0" w:color="auto"/>
            <w:bottom w:val="none" w:sz="0" w:space="0" w:color="auto"/>
            <w:right w:val="none" w:sz="0" w:space="0" w:color="auto"/>
          </w:divBdr>
        </w:div>
        <w:div w:id="1771780617">
          <w:marLeft w:val="0"/>
          <w:marRight w:val="0"/>
          <w:marTop w:val="0"/>
          <w:marBottom w:val="0"/>
          <w:divBdr>
            <w:top w:val="none" w:sz="0" w:space="0" w:color="auto"/>
            <w:left w:val="none" w:sz="0" w:space="0" w:color="auto"/>
            <w:bottom w:val="none" w:sz="0" w:space="0" w:color="auto"/>
            <w:right w:val="none" w:sz="0" w:space="0" w:color="auto"/>
          </w:divBdr>
        </w:div>
        <w:div w:id="165024653">
          <w:marLeft w:val="0"/>
          <w:marRight w:val="0"/>
          <w:marTop w:val="0"/>
          <w:marBottom w:val="0"/>
          <w:divBdr>
            <w:top w:val="none" w:sz="0" w:space="0" w:color="auto"/>
            <w:left w:val="none" w:sz="0" w:space="0" w:color="auto"/>
            <w:bottom w:val="none" w:sz="0" w:space="0" w:color="auto"/>
            <w:right w:val="none" w:sz="0" w:space="0" w:color="auto"/>
          </w:divBdr>
        </w:div>
        <w:div w:id="397632563">
          <w:marLeft w:val="0"/>
          <w:marRight w:val="0"/>
          <w:marTop w:val="0"/>
          <w:marBottom w:val="0"/>
          <w:divBdr>
            <w:top w:val="none" w:sz="0" w:space="0" w:color="auto"/>
            <w:left w:val="none" w:sz="0" w:space="0" w:color="auto"/>
            <w:bottom w:val="none" w:sz="0" w:space="0" w:color="auto"/>
            <w:right w:val="none" w:sz="0" w:space="0" w:color="auto"/>
          </w:divBdr>
        </w:div>
        <w:div w:id="500125027">
          <w:marLeft w:val="0"/>
          <w:marRight w:val="0"/>
          <w:marTop w:val="0"/>
          <w:marBottom w:val="0"/>
          <w:divBdr>
            <w:top w:val="none" w:sz="0" w:space="0" w:color="auto"/>
            <w:left w:val="none" w:sz="0" w:space="0" w:color="auto"/>
            <w:bottom w:val="none" w:sz="0" w:space="0" w:color="auto"/>
            <w:right w:val="none" w:sz="0" w:space="0" w:color="auto"/>
          </w:divBdr>
        </w:div>
        <w:div w:id="1846360183">
          <w:marLeft w:val="0"/>
          <w:marRight w:val="0"/>
          <w:marTop w:val="0"/>
          <w:marBottom w:val="0"/>
          <w:divBdr>
            <w:top w:val="none" w:sz="0" w:space="0" w:color="auto"/>
            <w:left w:val="none" w:sz="0" w:space="0" w:color="auto"/>
            <w:bottom w:val="none" w:sz="0" w:space="0" w:color="auto"/>
            <w:right w:val="none" w:sz="0" w:space="0" w:color="auto"/>
          </w:divBdr>
        </w:div>
        <w:div w:id="916019648">
          <w:marLeft w:val="0"/>
          <w:marRight w:val="0"/>
          <w:marTop w:val="0"/>
          <w:marBottom w:val="0"/>
          <w:divBdr>
            <w:top w:val="none" w:sz="0" w:space="0" w:color="auto"/>
            <w:left w:val="none" w:sz="0" w:space="0" w:color="auto"/>
            <w:bottom w:val="none" w:sz="0" w:space="0" w:color="auto"/>
            <w:right w:val="none" w:sz="0" w:space="0" w:color="auto"/>
          </w:divBdr>
        </w:div>
        <w:div w:id="834301890">
          <w:marLeft w:val="0"/>
          <w:marRight w:val="0"/>
          <w:marTop w:val="0"/>
          <w:marBottom w:val="0"/>
          <w:divBdr>
            <w:top w:val="none" w:sz="0" w:space="0" w:color="auto"/>
            <w:left w:val="none" w:sz="0" w:space="0" w:color="auto"/>
            <w:bottom w:val="none" w:sz="0" w:space="0" w:color="auto"/>
            <w:right w:val="none" w:sz="0" w:space="0" w:color="auto"/>
          </w:divBdr>
        </w:div>
        <w:div w:id="504444357">
          <w:marLeft w:val="0"/>
          <w:marRight w:val="0"/>
          <w:marTop w:val="0"/>
          <w:marBottom w:val="0"/>
          <w:divBdr>
            <w:top w:val="none" w:sz="0" w:space="0" w:color="auto"/>
            <w:left w:val="none" w:sz="0" w:space="0" w:color="auto"/>
            <w:bottom w:val="none" w:sz="0" w:space="0" w:color="auto"/>
            <w:right w:val="none" w:sz="0" w:space="0" w:color="auto"/>
          </w:divBdr>
        </w:div>
        <w:div w:id="1838837027">
          <w:marLeft w:val="0"/>
          <w:marRight w:val="0"/>
          <w:marTop w:val="0"/>
          <w:marBottom w:val="0"/>
          <w:divBdr>
            <w:top w:val="none" w:sz="0" w:space="0" w:color="auto"/>
            <w:left w:val="none" w:sz="0" w:space="0" w:color="auto"/>
            <w:bottom w:val="none" w:sz="0" w:space="0" w:color="auto"/>
            <w:right w:val="none" w:sz="0" w:space="0" w:color="auto"/>
          </w:divBdr>
        </w:div>
        <w:div w:id="2062629338">
          <w:marLeft w:val="0"/>
          <w:marRight w:val="0"/>
          <w:marTop w:val="0"/>
          <w:marBottom w:val="0"/>
          <w:divBdr>
            <w:top w:val="none" w:sz="0" w:space="0" w:color="auto"/>
            <w:left w:val="none" w:sz="0" w:space="0" w:color="auto"/>
            <w:bottom w:val="none" w:sz="0" w:space="0" w:color="auto"/>
            <w:right w:val="none" w:sz="0" w:space="0" w:color="auto"/>
          </w:divBdr>
        </w:div>
        <w:div w:id="67728618">
          <w:marLeft w:val="0"/>
          <w:marRight w:val="0"/>
          <w:marTop w:val="0"/>
          <w:marBottom w:val="0"/>
          <w:divBdr>
            <w:top w:val="none" w:sz="0" w:space="0" w:color="auto"/>
            <w:left w:val="none" w:sz="0" w:space="0" w:color="auto"/>
            <w:bottom w:val="none" w:sz="0" w:space="0" w:color="auto"/>
            <w:right w:val="none" w:sz="0" w:space="0" w:color="auto"/>
          </w:divBdr>
        </w:div>
        <w:div w:id="1862280982">
          <w:marLeft w:val="0"/>
          <w:marRight w:val="0"/>
          <w:marTop w:val="0"/>
          <w:marBottom w:val="0"/>
          <w:divBdr>
            <w:top w:val="none" w:sz="0" w:space="0" w:color="auto"/>
            <w:left w:val="none" w:sz="0" w:space="0" w:color="auto"/>
            <w:bottom w:val="none" w:sz="0" w:space="0" w:color="auto"/>
            <w:right w:val="none" w:sz="0" w:space="0" w:color="auto"/>
          </w:divBdr>
        </w:div>
        <w:div w:id="2088577146">
          <w:marLeft w:val="0"/>
          <w:marRight w:val="0"/>
          <w:marTop w:val="0"/>
          <w:marBottom w:val="0"/>
          <w:divBdr>
            <w:top w:val="none" w:sz="0" w:space="0" w:color="auto"/>
            <w:left w:val="none" w:sz="0" w:space="0" w:color="auto"/>
            <w:bottom w:val="none" w:sz="0" w:space="0" w:color="auto"/>
            <w:right w:val="none" w:sz="0" w:space="0" w:color="auto"/>
          </w:divBdr>
        </w:div>
        <w:div w:id="1482772526">
          <w:marLeft w:val="0"/>
          <w:marRight w:val="0"/>
          <w:marTop w:val="0"/>
          <w:marBottom w:val="0"/>
          <w:divBdr>
            <w:top w:val="none" w:sz="0" w:space="0" w:color="auto"/>
            <w:left w:val="none" w:sz="0" w:space="0" w:color="auto"/>
            <w:bottom w:val="none" w:sz="0" w:space="0" w:color="auto"/>
            <w:right w:val="none" w:sz="0" w:space="0" w:color="auto"/>
          </w:divBdr>
        </w:div>
        <w:div w:id="629628805">
          <w:marLeft w:val="0"/>
          <w:marRight w:val="0"/>
          <w:marTop w:val="0"/>
          <w:marBottom w:val="0"/>
          <w:divBdr>
            <w:top w:val="none" w:sz="0" w:space="0" w:color="auto"/>
            <w:left w:val="none" w:sz="0" w:space="0" w:color="auto"/>
            <w:bottom w:val="none" w:sz="0" w:space="0" w:color="auto"/>
            <w:right w:val="none" w:sz="0" w:space="0" w:color="auto"/>
          </w:divBdr>
        </w:div>
        <w:div w:id="540826907">
          <w:marLeft w:val="0"/>
          <w:marRight w:val="0"/>
          <w:marTop w:val="0"/>
          <w:marBottom w:val="0"/>
          <w:divBdr>
            <w:top w:val="none" w:sz="0" w:space="0" w:color="auto"/>
            <w:left w:val="none" w:sz="0" w:space="0" w:color="auto"/>
            <w:bottom w:val="none" w:sz="0" w:space="0" w:color="auto"/>
            <w:right w:val="none" w:sz="0" w:space="0" w:color="auto"/>
          </w:divBdr>
        </w:div>
        <w:div w:id="95638737">
          <w:marLeft w:val="0"/>
          <w:marRight w:val="0"/>
          <w:marTop w:val="0"/>
          <w:marBottom w:val="0"/>
          <w:divBdr>
            <w:top w:val="none" w:sz="0" w:space="0" w:color="auto"/>
            <w:left w:val="none" w:sz="0" w:space="0" w:color="auto"/>
            <w:bottom w:val="none" w:sz="0" w:space="0" w:color="auto"/>
            <w:right w:val="none" w:sz="0" w:space="0" w:color="auto"/>
          </w:divBdr>
        </w:div>
        <w:div w:id="2117402992">
          <w:marLeft w:val="0"/>
          <w:marRight w:val="0"/>
          <w:marTop w:val="0"/>
          <w:marBottom w:val="0"/>
          <w:divBdr>
            <w:top w:val="none" w:sz="0" w:space="0" w:color="auto"/>
            <w:left w:val="none" w:sz="0" w:space="0" w:color="auto"/>
            <w:bottom w:val="none" w:sz="0" w:space="0" w:color="auto"/>
            <w:right w:val="none" w:sz="0" w:space="0" w:color="auto"/>
          </w:divBdr>
        </w:div>
        <w:div w:id="472331099">
          <w:marLeft w:val="0"/>
          <w:marRight w:val="0"/>
          <w:marTop w:val="0"/>
          <w:marBottom w:val="0"/>
          <w:divBdr>
            <w:top w:val="none" w:sz="0" w:space="0" w:color="auto"/>
            <w:left w:val="none" w:sz="0" w:space="0" w:color="auto"/>
            <w:bottom w:val="none" w:sz="0" w:space="0" w:color="auto"/>
            <w:right w:val="none" w:sz="0" w:space="0" w:color="auto"/>
          </w:divBdr>
        </w:div>
        <w:div w:id="1403332370">
          <w:marLeft w:val="0"/>
          <w:marRight w:val="0"/>
          <w:marTop w:val="0"/>
          <w:marBottom w:val="0"/>
          <w:divBdr>
            <w:top w:val="none" w:sz="0" w:space="0" w:color="auto"/>
            <w:left w:val="none" w:sz="0" w:space="0" w:color="auto"/>
            <w:bottom w:val="none" w:sz="0" w:space="0" w:color="auto"/>
            <w:right w:val="none" w:sz="0" w:space="0" w:color="auto"/>
          </w:divBdr>
        </w:div>
        <w:div w:id="1578244271">
          <w:marLeft w:val="0"/>
          <w:marRight w:val="0"/>
          <w:marTop w:val="0"/>
          <w:marBottom w:val="0"/>
          <w:divBdr>
            <w:top w:val="none" w:sz="0" w:space="0" w:color="auto"/>
            <w:left w:val="none" w:sz="0" w:space="0" w:color="auto"/>
            <w:bottom w:val="none" w:sz="0" w:space="0" w:color="auto"/>
            <w:right w:val="none" w:sz="0" w:space="0" w:color="auto"/>
          </w:divBdr>
        </w:div>
        <w:div w:id="2102600740">
          <w:marLeft w:val="0"/>
          <w:marRight w:val="0"/>
          <w:marTop w:val="0"/>
          <w:marBottom w:val="0"/>
          <w:divBdr>
            <w:top w:val="none" w:sz="0" w:space="0" w:color="auto"/>
            <w:left w:val="none" w:sz="0" w:space="0" w:color="auto"/>
            <w:bottom w:val="none" w:sz="0" w:space="0" w:color="auto"/>
            <w:right w:val="none" w:sz="0" w:space="0" w:color="auto"/>
          </w:divBdr>
        </w:div>
        <w:div w:id="212080021">
          <w:marLeft w:val="0"/>
          <w:marRight w:val="0"/>
          <w:marTop w:val="0"/>
          <w:marBottom w:val="0"/>
          <w:divBdr>
            <w:top w:val="none" w:sz="0" w:space="0" w:color="auto"/>
            <w:left w:val="none" w:sz="0" w:space="0" w:color="auto"/>
            <w:bottom w:val="none" w:sz="0" w:space="0" w:color="auto"/>
            <w:right w:val="none" w:sz="0" w:space="0" w:color="auto"/>
          </w:divBdr>
        </w:div>
        <w:div w:id="337776423">
          <w:marLeft w:val="0"/>
          <w:marRight w:val="0"/>
          <w:marTop w:val="0"/>
          <w:marBottom w:val="0"/>
          <w:divBdr>
            <w:top w:val="none" w:sz="0" w:space="0" w:color="auto"/>
            <w:left w:val="none" w:sz="0" w:space="0" w:color="auto"/>
            <w:bottom w:val="none" w:sz="0" w:space="0" w:color="auto"/>
            <w:right w:val="none" w:sz="0" w:space="0" w:color="auto"/>
          </w:divBdr>
        </w:div>
        <w:div w:id="1610045972">
          <w:marLeft w:val="0"/>
          <w:marRight w:val="0"/>
          <w:marTop w:val="0"/>
          <w:marBottom w:val="0"/>
          <w:divBdr>
            <w:top w:val="none" w:sz="0" w:space="0" w:color="auto"/>
            <w:left w:val="none" w:sz="0" w:space="0" w:color="auto"/>
            <w:bottom w:val="none" w:sz="0" w:space="0" w:color="auto"/>
            <w:right w:val="none" w:sz="0" w:space="0" w:color="auto"/>
          </w:divBdr>
        </w:div>
        <w:div w:id="1375957631">
          <w:marLeft w:val="0"/>
          <w:marRight w:val="0"/>
          <w:marTop w:val="0"/>
          <w:marBottom w:val="0"/>
          <w:divBdr>
            <w:top w:val="none" w:sz="0" w:space="0" w:color="auto"/>
            <w:left w:val="none" w:sz="0" w:space="0" w:color="auto"/>
            <w:bottom w:val="none" w:sz="0" w:space="0" w:color="auto"/>
            <w:right w:val="none" w:sz="0" w:space="0" w:color="auto"/>
          </w:divBdr>
        </w:div>
        <w:div w:id="495342607">
          <w:marLeft w:val="0"/>
          <w:marRight w:val="0"/>
          <w:marTop w:val="0"/>
          <w:marBottom w:val="0"/>
          <w:divBdr>
            <w:top w:val="none" w:sz="0" w:space="0" w:color="auto"/>
            <w:left w:val="none" w:sz="0" w:space="0" w:color="auto"/>
            <w:bottom w:val="none" w:sz="0" w:space="0" w:color="auto"/>
            <w:right w:val="none" w:sz="0" w:space="0" w:color="auto"/>
          </w:divBdr>
        </w:div>
        <w:div w:id="1920824876">
          <w:marLeft w:val="0"/>
          <w:marRight w:val="0"/>
          <w:marTop w:val="0"/>
          <w:marBottom w:val="0"/>
          <w:divBdr>
            <w:top w:val="none" w:sz="0" w:space="0" w:color="auto"/>
            <w:left w:val="none" w:sz="0" w:space="0" w:color="auto"/>
            <w:bottom w:val="none" w:sz="0" w:space="0" w:color="auto"/>
            <w:right w:val="none" w:sz="0" w:space="0" w:color="auto"/>
          </w:divBdr>
        </w:div>
        <w:div w:id="706218720">
          <w:marLeft w:val="0"/>
          <w:marRight w:val="0"/>
          <w:marTop w:val="0"/>
          <w:marBottom w:val="0"/>
          <w:divBdr>
            <w:top w:val="none" w:sz="0" w:space="0" w:color="auto"/>
            <w:left w:val="none" w:sz="0" w:space="0" w:color="auto"/>
            <w:bottom w:val="none" w:sz="0" w:space="0" w:color="auto"/>
            <w:right w:val="none" w:sz="0" w:space="0" w:color="auto"/>
          </w:divBdr>
        </w:div>
        <w:div w:id="932007393">
          <w:marLeft w:val="0"/>
          <w:marRight w:val="0"/>
          <w:marTop w:val="0"/>
          <w:marBottom w:val="0"/>
          <w:divBdr>
            <w:top w:val="none" w:sz="0" w:space="0" w:color="auto"/>
            <w:left w:val="none" w:sz="0" w:space="0" w:color="auto"/>
            <w:bottom w:val="none" w:sz="0" w:space="0" w:color="auto"/>
            <w:right w:val="none" w:sz="0" w:space="0" w:color="auto"/>
          </w:divBdr>
        </w:div>
        <w:div w:id="1367605435">
          <w:marLeft w:val="0"/>
          <w:marRight w:val="0"/>
          <w:marTop w:val="0"/>
          <w:marBottom w:val="0"/>
          <w:divBdr>
            <w:top w:val="none" w:sz="0" w:space="0" w:color="auto"/>
            <w:left w:val="none" w:sz="0" w:space="0" w:color="auto"/>
            <w:bottom w:val="none" w:sz="0" w:space="0" w:color="auto"/>
            <w:right w:val="none" w:sz="0" w:space="0" w:color="auto"/>
          </w:divBdr>
        </w:div>
        <w:div w:id="544679468">
          <w:marLeft w:val="0"/>
          <w:marRight w:val="0"/>
          <w:marTop w:val="0"/>
          <w:marBottom w:val="0"/>
          <w:divBdr>
            <w:top w:val="none" w:sz="0" w:space="0" w:color="auto"/>
            <w:left w:val="none" w:sz="0" w:space="0" w:color="auto"/>
            <w:bottom w:val="none" w:sz="0" w:space="0" w:color="auto"/>
            <w:right w:val="none" w:sz="0" w:space="0" w:color="auto"/>
          </w:divBdr>
        </w:div>
        <w:div w:id="2042778307">
          <w:marLeft w:val="0"/>
          <w:marRight w:val="0"/>
          <w:marTop w:val="0"/>
          <w:marBottom w:val="0"/>
          <w:divBdr>
            <w:top w:val="none" w:sz="0" w:space="0" w:color="auto"/>
            <w:left w:val="none" w:sz="0" w:space="0" w:color="auto"/>
            <w:bottom w:val="none" w:sz="0" w:space="0" w:color="auto"/>
            <w:right w:val="none" w:sz="0" w:space="0" w:color="auto"/>
          </w:divBdr>
        </w:div>
        <w:div w:id="282418450">
          <w:marLeft w:val="0"/>
          <w:marRight w:val="0"/>
          <w:marTop w:val="0"/>
          <w:marBottom w:val="0"/>
          <w:divBdr>
            <w:top w:val="none" w:sz="0" w:space="0" w:color="auto"/>
            <w:left w:val="none" w:sz="0" w:space="0" w:color="auto"/>
            <w:bottom w:val="none" w:sz="0" w:space="0" w:color="auto"/>
            <w:right w:val="none" w:sz="0" w:space="0" w:color="auto"/>
          </w:divBdr>
        </w:div>
        <w:div w:id="743458480">
          <w:marLeft w:val="0"/>
          <w:marRight w:val="0"/>
          <w:marTop w:val="0"/>
          <w:marBottom w:val="0"/>
          <w:divBdr>
            <w:top w:val="none" w:sz="0" w:space="0" w:color="auto"/>
            <w:left w:val="none" w:sz="0" w:space="0" w:color="auto"/>
            <w:bottom w:val="none" w:sz="0" w:space="0" w:color="auto"/>
            <w:right w:val="none" w:sz="0" w:space="0" w:color="auto"/>
          </w:divBdr>
        </w:div>
        <w:div w:id="1811247122">
          <w:marLeft w:val="0"/>
          <w:marRight w:val="0"/>
          <w:marTop w:val="0"/>
          <w:marBottom w:val="0"/>
          <w:divBdr>
            <w:top w:val="none" w:sz="0" w:space="0" w:color="auto"/>
            <w:left w:val="none" w:sz="0" w:space="0" w:color="auto"/>
            <w:bottom w:val="none" w:sz="0" w:space="0" w:color="auto"/>
            <w:right w:val="none" w:sz="0" w:space="0" w:color="auto"/>
          </w:divBdr>
        </w:div>
        <w:div w:id="455877780">
          <w:marLeft w:val="0"/>
          <w:marRight w:val="0"/>
          <w:marTop w:val="0"/>
          <w:marBottom w:val="0"/>
          <w:divBdr>
            <w:top w:val="none" w:sz="0" w:space="0" w:color="auto"/>
            <w:left w:val="none" w:sz="0" w:space="0" w:color="auto"/>
            <w:bottom w:val="none" w:sz="0" w:space="0" w:color="auto"/>
            <w:right w:val="none" w:sz="0" w:space="0" w:color="auto"/>
          </w:divBdr>
        </w:div>
        <w:div w:id="1297492586">
          <w:marLeft w:val="0"/>
          <w:marRight w:val="0"/>
          <w:marTop w:val="0"/>
          <w:marBottom w:val="0"/>
          <w:divBdr>
            <w:top w:val="none" w:sz="0" w:space="0" w:color="auto"/>
            <w:left w:val="none" w:sz="0" w:space="0" w:color="auto"/>
            <w:bottom w:val="none" w:sz="0" w:space="0" w:color="auto"/>
            <w:right w:val="none" w:sz="0" w:space="0" w:color="auto"/>
          </w:divBdr>
        </w:div>
        <w:div w:id="1103188170">
          <w:marLeft w:val="0"/>
          <w:marRight w:val="0"/>
          <w:marTop w:val="0"/>
          <w:marBottom w:val="0"/>
          <w:divBdr>
            <w:top w:val="none" w:sz="0" w:space="0" w:color="auto"/>
            <w:left w:val="none" w:sz="0" w:space="0" w:color="auto"/>
            <w:bottom w:val="none" w:sz="0" w:space="0" w:color="auto"/>
            <w:right w:val="none" w:sz="0" w:space="0" w:color="auto"/>
          </w:divBdr>
        </w:div>
        <w:div w:id="1867479598">
          <w:marLeft w:val="0"/>
          <w:marRight w:val="0"/>
          <w:marTop w:val="0"/>
          <w:marBottom w:val="0"/>
          <w:divBdr>
            <w:top w:val="none" w:sz="0" w:space="0" w:color="auto"/>
            <w:left w:val="none" w:sz="0" w:space="0" w:color="auto"/>
            <w:bottom w:val="none" w:sz="0" w:space="0" w:color="auto"/>
            <w:right w:val="none" w:sz="0" w:space="0" w:color="auto"/>
          </w:divBdr>
        </w:div>
        <w:div w:id="1642417812">
          <w:marLeft w:val="0"/>
          <w:marRight w:val="0"/>
          <w:marTop w:val="0"/>
          <w:marBottom w:val="0"/>
          <w:divBdr>
            <w:top w:val="none" w:sz="0" w:space="0" w:color="auto"/>
            <w:left w:val="none" w:sz="0" w:space="0" w:color="auto"/>
            <w:bottom w:val="none" w:sz="0" w:space="0" w:color="auto"/>
            <w:right w:val="none" w:sz="0" w:space="0" w:color="auto"/>
          </w:divBdr>
        </w:div>
        <w:div w:id="724648326">
          <w:marLeft w:val="0"/>
          <w:marRight w:val="0"/>
          <w:marTop w:val="0"/>
          <w:marBottom w:val="0"/>
          <w:divBdr>
            <w:top w:val="none" w:sz="0" w:space="0" w:color="auto"/>
            <w:left w:val="none" w:sz="0" w:space="0" w:color="auto"/>
            <w:bottom w:val="none" w:sz="0" w:space="0" w:color="auto"/>
            <w:right w:val="none" w:sz="0" w:space="0" w:color="auto"/>
          </w:divBdr>
        </w:div>
        <w:div w:id="1538196964">
          <w:marLeft w:val="0"/>
          <w:marRight w:val="0"/>
          <w:marTop w:val="0"/>
          <w:marBottom w:val="0"/>
          <w:divBdr>
            <w:top w:val="none" w:sz="0" w:space="0" w:color="auto"/>
            <w:left w:val="none" w:sz="0" w:space="0" w:color="auto"/>
            <w:bottom w:val="none" w:sz="0" w:space="0" w:color="auto"/>
            <w:right w:val="none" w:sz="0" w:space="0" w:color="auto"/>
          </w:divBdr>
        </w:div>
        <w:div w:id="117531955">
          <w:marLeft w:val="0"/>
          <w:marRight w:val="0"/>
          <w:marTop w:val="0"/>
          <w:marBottom w:val="0"/>
          <w:divBdr>
            <w:top w:val="none" w:sz="0" w:space="0" w:color="auto"/>
            <w:left w:val="none" w:sz="0" w:space="0" w:color="auto"/>
            <w:bottom w:val="none" w:sz="0" w:space="0" w:color="auto"/>
            <w:right w:val="none" w:sz="0" w:space="0" w:color="auto"/>
          </w:divBdr>
        </w:div>
        <w:div w:id="2093157126">
          <w:marLeft w:val="0"/>
          <w:marRight w:val="0"/>
          <w:marTop w:val="0"/>
          <w:marBottom w:val="0"/>
          <w:divBdr>
            <w:top w:val="none" w:sz="0" w:space="0" w:color="auto"/>
            <w:left w:val="none" w:sz="0" w:space="0" w:color="auto"/>
            <w:bottom w:val="none" w:sz="0" w:space="0" w:color="auto"/>
            <w:right w:val="none" w:sz="0" w:space="0" w:color="auto"/>
          </w:divBdr>
        </w:div>
        <w:div w:id="1776709213">
          <w:marLeft w:val="0"/>
          <w:marRight w:val="0"/>
          <w:marTop w:val="0"/>
          <w:marBottom w:val="0"/>
          <w:divBdr>
            <w:top w:val="none" w:sz="0" w:space="0" w:color="auto"/>
            <w:left w:val="none" w:sz="0" w:space="0" w:color="auto"/>
            <w:bottom w:val="none" w:sz="0" w:space="0" w:color="auto"/>
            <w:right w:val="none" w:sz="0" w:space="0" w:color="auto"/>
          </w:divBdr>
        </w:div>
        <w:div w:id="280764855">
          <w:marLeft w:val="0"/>
          <w:marRight w:val="0"/>
          <w:marTop w:val="0"/>
          <w:marBottom w:val="0"/>
          <w:divBdr>
            <w:top w:val="none" w:sz="0" w:space="0" w:color="auto"/>
            <w:left w:val="none" w:sz="0" w:space="0" w:color="auto"/>
            <w:bottom w:val="none" w:sz="0" w:space="0" w:color="auto"/>
            <w:right w:val="none" w:sz="0" w:space="0" w:color="auto"/>
          </w:divBdr>
        </w:div>
        <w:div w:id="2124222926">
          <w:marLeft w:val="0"/>
          <w:marRight w:val="0"/>
          <w:marTop w:val="0"/>
          <w:marBottom w:val="0"/>
          <w:divBdr>
            <w:top w:val="none" w:sz="0" w:space="0" w:color="auto"/>
            <w:left w:val="none" w:sz="0" w:space="0" w:color="auto"/>
            <w:bottom w:val="none" w:sz="0" w:space="0" w:color="auto"/>
            <w:right w:val="none" w:sz="0" w:space="0" w:color="auto"/>
          </w:divBdr>
        </w:div>
        <w:div w:id="165756829">
          <w:marLeft w:val="0"/>
          <w:marRight w:val="0"/>
          <w:marTop w:val="0"/>
          <w:marBottom w:val="0"/>
          <w:divBdr>
            <w:top w:val="none" w:sz="0" w:space="0" w:color="auto"/>
            <w:left w:val="none" w:sz="0" w:space="0" w:color="auto"/>
            <w:bottom w:val="none" w:sz="0" w:space="0" w:color="auto"/>
            <w:right w:val="none" w:sz="0" w:space="0" w:color="auto"/>
          </w:divBdr>
        </w:div>
        <w:div w:id="286352535">
          <w:marLeft w:val="0"/>
          <w:marRight w:val="0"/>
          <w:marTop w:val="0"/>
          <w:marBottom w:val="0"/>
          <w:divBdr>
            <w:top w:val="none" w:sz="0" w:space="0" w:color="auto"/>
            <w:left w:val="none" w:sz="0" w:space="0" w:color="auto"/>
            <w:bottom w:val="none" w:sz="0" w:space="0" w:color="auto"/>
            <w:right w:val="none" w:sz="0" w:space="0" w:color="auto"/>
          </w:divBdr>
        </w:div>
        <w:div w:id="427118617">
          <w:marLeft w:val="0"/>
          <w:marRight w:val="0"/>
          <w:marTop w:val="0"/>
          <w:marBottom w:val="0"/>
          <w:divBdr>
            <w:top w:val="none" w:sz="0" w:space="0" w:color="auto"/>
            <w:left w:val="none" w:sz="0" w:space="0" w:color="auto"/>
            <w:bottom w:val="none" w:sz="0" w:space="0" w:color="auto"/>
            <w:right w:val="none" w:sz="0" w:space="0" w:color="auto"/>
          </w:divBdr>
        </w:div>
        <w:div w:id="1938319738">
          <w:marLeft w:val="0"/>
          <w:marRight w:val="0"/>
          <w:marTop w:val="0"/>
          <w:marBottom w:val="0"/>
          <w:divBdr>
            <w:top w:val="none" w:sz="0" w:space="0" w:color="auto"/>
            <w:left w:val="none" w:sz="0" w:space="0" w:color="auto"/>
            <w:bottom w:val="none" w:sz="0" w:space="0" w:color="auto"/>
            <w:right w:val="none" w:sz="0" w:space="0" w:color="auto"/>
          </w:divBdr>
        </w:div>
        <w:div w:id="563638813">
          <w:marLeft w:val="0"/>
          <w:marRight w:val="0"/>
          <w:marTop w:val="0"/>
          <w:marBottom w:val="0"/>
          <w:divBdr>
            <w:top w:val="none" w:sz="0" w:space="0" w:color="auto"/>
            <w:left w:val="none" w:sz="0" w:space="0" w:color="auto"/>
            <w:bottom w:val="none" w:sz="0" w:space="0" w:color="auto"/>
            <w:right w:val="none" w:sz="0" w:space="0" w:color="auto"/>
          </w:divBdr>
        </w:div>
        <w:div w:id="1578631335">
          <w:marLeft w:val="0"/>
          <w:marRight w:val="0"/>
          <w:marTop w:val="0"/>
          <w:marBottom w:val="0"/>
          <w:divBdr>
            <w:top w:val="none" w:sz="0" w:space="0" w:color="auto"/>
            <w:left w:val="none" w:sz="0" w:space="0" w:color="auto"/>
            <w:bottom w:val="none" w:sz="0" w:space="0" w:color="auto"/>
            <w:right w:val="none" w:sz="0" w:space="0" w:color="auto"/>
          </w:divBdr>
        </w:div>
        <w:div w:id="73016266">
          <w:marLeft w:val="0"/>
          <w:marRight w:val="0"/>
          <w:marTop w:val="0"/>
          <w:marBottom w:val="0"/>
          <w:divBdr>
            <w:top w:val="none" w:sz="0" w:space="0" w:color="auto"/>
            <w:left w:val="none" w:sz="0" w:space="0" w:color="auto"/>
            <w:bottom w:val="none" w:sz="0" w:space="0" w:color="auto"/>
            <w:right w:val="none" w:sz="0" w:space="0" w:color="auto"/>
          </w:divBdr>
        </w:div>
        <w:div w:id="32116185">
          <w:marLeft w:val="0"/>
          <w:marRight w:val="0"/>
          <w:marTop w:val="0"/>
          <w:marBottom w:val="0"/>
          <w:divBdr>
            <w:top w:val="none" w:sz="0" w:space="0" w:color="auto"/>
            <w:left w:val="none" w:sz="0" w:space="0" w:color="auto"/>
            <w:bottom w:val="none" w:sz="0" w:space="0" w:color="auto"/>
            <w:right w:val="none" w:sz="0" w:space="0" w:color="auto"/>
          </w:divBdr>
        </w:div>
        <w:div w:id="1274551927">
          <w:marLeft w:val="0"/>
          <w:marRight w:val="0"/>
          <w:marTop w:val="0"/>
          <w:marBottom w:val="0"/>
          <w:divBdr>
            <w:top w:val="none" w:sz="0" w:space="0" w:color="auto"/>
            <w:left w:val="none" w:sz="0" w:space="0" w:color="auto"/>
            <w:bottom w:val="none" w:sz="0" w:space="0" w:color="auto"/>
            <w:right w:val="none" w:sz="0" w:space="0" w:color="auto"/>
          </w:divBdr>
        </w:div>
        <w:div w:id="1187909086">
          <w:marLeft w:val="0"/>
          <w:marRight w:val="0"/>
          <w:marTop w:val="0"/>
          <w:marBottom w:val="0"/>
          <w:divBdr>
            <w:top w:val="none" w:sz="0" w:space="0" w:color="auto"/>
            <w:left w:val="none" w:sz="0" w:space="0" w:color="auto"/>
            <w:bottom w:val="none" w:sz="0" w:space="0" w:color="auto"/>
            <w:right w:val="none" w:sz="0" w:space="0" w:color="auto"/>
          </w:divBdr>
        </w:div>
        <w:div w:id="2029328293">
          <w:marLeft w:val="0"/>
          <w:marRight w:val="0"/>
          <w:marTop w:val="0"/>
          <w:marBottom w:val="0"/>
          <w:divBdr>
            <w:top w:val="none" w:sz="0" w:space="0" w:color="auto"/>
            <w:left w:val="none" w:sz="0" w:space="0" w:color="auto"/>
            <w:bottom w:val="none" w:sz="0" w:space="0" w:color="auto"/>
            <w:right w:val="none" w:sz="0" w:space="0" w:color="auto"/>
          </w:divBdr>
        </w:div>
      </w:divsChild>
    </w:div>
    <w:div w:id="1377511553">
      <w:bodyDiv w:val="1"/>
      <w:marLeft w:val="0"/>
      <w:marRight w:val="0"/>
      <w:marTop w:val="0"/>
      <w:marBottom w:val="0"/>
      <w:divBdr>
        <w:top w:val="none" w:sz="0" w:space="0" w:color="auto"/>
        <w:left w:val="none" w:sz="0" w:space="0" w:color="auto"/>
        <w:bottom w:val="none" w:sz="0" w:space="0" w:color="auto"/>
        <w:right w:val="none" w:sz="0" w:space="0" w:color="auto"/>
      </w:divBdr>
    </w:div>
    <w:div w:id="1412891359">
      <w:bodyDiv w:val="1"/>
      <w:marLeft w:val="0"/>
      <w:marRight w:val="0"/>
      <w:marTop w:val="0"/>
      <w:marBottom w:val="0"/>
      <w:divBdr>
        <w:top w:val="none" w:sz="0" w:space="0" w:color="auto"/>
        <w:left w:val="none" w:sz="0" w:space="0" w:color="auto"/>
        <w:bottom w:val="none" w:sz="0" w:space="0" w:color="auto"/>
        <w:right w:val="none" w:sz="0" w:space="0" w:color="auto"/>
      </w:divBdr>
      <w:divsChild>
        <w:div w:id="1083719780">
          <w:marLeft w:val="0"/>
          <w:marRight w:val="0"/>
          <w:marTop w:val="0"/>
          <w:marBottom w:val="0"/>
          <w:divBdr>
            <w:top w:val="none" w:sz="0" w:space="0" w:color="auto"/>
            <w:left w:val="none" w:sz="0" w:space="0" w:color="auto"/>
            <w:bottom w:val="none" w:sz="0" w:space="0" w:color="auto"/>
            <w:right w:val="none" w:sz="0" w:space="0" w:color="auto"/>
          </w:divBdr>
        </w:div>
        <w:div w:id="1212614932">
          <w:marLeft w:val="0"/>
          <w:marRight w:val="0"/>
          <w:marTop w:val="0"/>
          <w:marBottom w:val="0"/>
          <w:divBdr>
            <w:top w:val="none" w:sz="0" w:space="0" w:color="auto"/>
            <w:left w:val="none" w:sz="0" w:space="0" w:color="auto"/>
            <w:bottom w:val="none" w:sz="0" w:space="0" w:color="auto"/>
            <w:right w:val="none" w:sz="0" w:space="0" w:color="auto"/>
          </w:divBdr>
        </w:div>
        <w:div w:id="1049261102">
          <w:marLeft w:val="0"/>
          <w:marRight w:val="0"/>
          <w:marTop w:val="0"/>
          <w:marBottom w:val="0"/>
          <w:divBdr>
            <w:top w:val="none" w:sz="0" w:space="0" w:color="auto"/>
            <w:left w:val="none" w:sz="0" w:space="0" w:color="auto"/>
            <w:bottom w:val="none" w:sz="0" w:space="0" w:color="auto"/>
            <w:right w:val="none" w:sz="0" w:space="0" w:color="auto"/>
          </w:divBdr>
        </w:div>
        <w:div w:id="1179126073">
          <w:marLeft w:val="0"/>
          <w:marRight w:val="0"/>
          <w:marTop w:val="0"/>
          <w:marBottom w:val="0"/>
          <w:divBdr>
            <w:top w:val="none" w:sz="0" w:space="0" w:color="auto"/>
            <w:left w:val="none" w:sz="0" w:space="0" w:color="auto"/>
            <w:bottom w:val="none" w:sz="0" w:space="0" w:color="auto"/>
            <w:right w:val="none" w:sz="0" w:space="0" w:color="auto"/>
          </w:divBdr>
        </w:div>
        <w:div w:id="1428773708">
          <w:marLeft w:val="0"/>
          <w:marRight w:val="0"/>
          <w:marTop w:val="0"/>
          <w:marBottom w:val="0"/>
          <w:divBdr>
            <w:top w:val="none" w:sz="0" w:space="0" w:color="auto"/>
            <w:left w:val="none" w:sz="0" w:space="0" w:color="auto"/>
            <w:bottom w:val="none" w:sz="0" w:space="0" w:color="auto"/>
            <w:right w:val="none" w:sz="0" w:space="0" w:color="auto"/>
          </w:divBdr>
        </w:div>
        <w:div w:id="641496028">
          <w:marLeft w:val="0"/>
          <w:marRight w:val="0"/>
          <w:marTop w:val="0"/>
          <w:marBottom w:val="0"/>
          <w:divBdr>
            <w:top w:val="none" w:sz="0" w:space="0" w:color="auto"/>
            <w:left w:val="none" w:sz="0" w:space="0" w:color="auto"/>
            <w:bottom w:val="none" w:sz="0" w:space="0" w:color="auto"/>
            <w:right w:val="none" w:sz="0" w:space="0" w:color="auto"/>
          </w:divBdr>
        </w:div>
        <w:div w:id="1616212700">
          <w:marLeft w:val="0"/>
          <w:marRight w:val="0"/>
          <w:marTop w:val="0"/>
          <w:marBottom w:val="0"/>
          <w:divBdr>
            <w:top w:val="none" w:sz="0" w:space="0" w:color="auto"/>
            <w:left w:val="none" w:sz="0" w:space="0" w:color="auto"/>
            <w:bottom w:val="none" w:sz="0" w:space="0" w:color="auto"/>
            <w:right w:val="none" w:sz="0" w:space="0" w:color="auto"/>
          </w:divBdr>
        </w:div>
        <w:div w:id="56519940">
          <w:marLeft w:val="0"/>
          <w:marRight w:val="0"/>
          <w:marTop w:val="0"/>
          <w:marBottom w:val="0"/>
          <w:divBdr>
            <w:top w:val="none" w:sz="0" w:space="0" w:color="auto"/>
            <w:left w:val="none" w:sz="0" w:space="0" w:color="auto"/>
            <w:bottom w:val="none" w:sz="0" w:space="0" w:color="auto"/>
            <w:right w:val="none" w:sz="0" w:space="0" w:color="auto"/>
          </w:divBdr>
        </w:div>
        <w:div w:id="1382441804">
          <w:marLeft w:val="0"/>
          <w:marRight w:val="0"/>
          <w:marTop w:val="0"/>
          <w:marBottom w:val="0"/>
          <w:divBdr>
            <w:top w:val="none" w:sz="0" w:space="0" w:color="auto"/>
            <w:left w:val="none" w:sz="0" w:space="0" w:color="auto"/>
            <w:bottom w:val="none" w:sz="0" w:space="0" w:color="auto"/>
            <w:right w:val="none" w:sz="0" w:space="0" w:color="auto"/>
          </w:divBdr>
        </w:div>
        <w:div w:id="259723959">
          <w:marLeft w:val="0"/>
          <w:marRight w:val="0"/>
          <w:marTop w:val="0"/>
          <w:marBottom w:val="0"/>
          <w:divBdr>
            <w:top w:val="none" w:sz="0" w:space="0" w:color="auto"/>
            <w:left w:val="none" w:sz="0" w:space="0" w:color="auto"/>
            <w:bottom w:val="none" w:sz="0" w:space="0" w:color="auto"/>
            <w:right w:val="none" w:sz="0" w:space="0" w:color="auto"/>
          </w:divBdr>
        </w:div>
        <w:div w:id="2068257646">
          <w:marLeft w:val="0"/>
          <w:marRight w:val="0"/>
          <w:marTop w:val="0"/>
          <w:marBottom w:val="0"/>
          <w:divBdr>
            <w:top w:val="none" w:sz="0" w:space="0" w:color="auto"/>
            <w:left w:val="none" w:sz="0" w:space="0" w:color="auto"/>
            <w:bottom w:val="none" w:sz="0" w:space="0" w:color="auto"/>
            <w:right w:val="none" w:sz="0" w:space="0" w:color="auto"/>
          </w:divBdr>
        </w:div>
        <w:div w:id="1667854174">
          <w:marLeft w:val="0"/>
          <w:marRight w:val="0"/>
          <w:marTop w:val="0"/>
          <w:marBottom w:val="0"/>
          <w:divBdr>
            <w:top w:val="none" w:sz="0" w:space="0" w:color="auto"/>
            <w:left w:val="none" w:sz="0" w:space="0" w:color="auto"/>
            <w:bottom w:val="none" w:sz="0" w:space="0" w:color="auto"/>
            <w:right w:val="none" w:sz="0" w:space="0" w:color="auto"/>
          </w:divBdr>
        </w:div>
        <w:div w:id="477964428">
          <w:marLeft w:val="0"/>
          <w:marRight w:val="0"/>
          <w:marTop w:val="0"/>
          <w:marBottom w:val="0"/>
          <w:divBdr>
            <w:top w:val="none" w:sz="0" w:space="0" w:color="auto"/>
            <w:left w:val="none" w:sz="0" w:space="0" w:color="auto"/>
            <w:bottom w:val="none" w:sz="0" w:space="0" w:color="auto"/>
            <w:right w:val="none" w:sz="0" w:space="0" w:color="auto"/>
          </w:divBdr>
        </w:div>
        <w:div w:id="122621202">
          <w:marLeft w:val="0"/>
          <w:marRight w:val="0"/>
          <w:marTop w:val="0"/>
          <w:marBottom w:val="0"/>
          <w:divBdr>
            <w:top w:val="none" w:sz="0" w:space="0" w:color="auto"/>
            <w:left w:val="none" w:sz="0" w:space="0" w:color="auto"/>
            <w:bottom w:val="none" w:sz="0" w:space="0" w:color="auto"/>
            <w:right w:val="none" w:sz="0" w:space="0" w:color="auto"/>
          </w:divBdr>
        </w:div>
        <w:div w:id="1847747359">
          <w:marLeft w:val="0"/>
          <w:marRight w:val="0"/>
          <w:marTop w:val="0"/>
          <w:marBottom w:val="0"/>
          <w:divBdr>
            <w:top w:val="none" w:sz="0" w:space="0" w:color="auto"/>
            <w:left w:val="none" w:sz="0" w:space="0" w:color="auto"/>
            <w:bottom w:val="none" w:sz="0" w:space="0" w:color="auto"/>
            <w:right w:val="none" w:sz="0" w:space="0" w:color="auto"/>
          </w:divBdr>
        </w:div>
        <w:div w:id="990866318">
          <w:marLeft w:val="0"/>
          <w:marRight w:val="0"/>
          <w:marTop w:val="0"/>
          <w:marBottom w:val="0"/>
          <w:divBdr>
            <w:top w:val="none" w:sz="0" w:space="0" w:color="auto"/>
            <w:left w:val="none" w:sz="0" w:space="0" w:color="auto"/>
            <w:bottom w:val="none" w:sz="0" w:space="0" w:color="auto"/>
            <w:right w:val="none" w:sz="0" w:space="0" w:color="auto"/>
          </w:divBdr>
        </w:div>
        <w:div w:id="1166286251">
          <w:marLeft w:val="0"/>
          <w:marRight w:val="0"/>
          <w:marTop w:val="0"/>
          <w:marBottom w:val="0"/>
          <w:divBdr>
            <w:top w:val="none" w:sz="0" w:space="0" w:color="auto"/>
            <w:left w:val="none" w:sz="0" w:space="0" w:color="auto"/>
            <w:bottom w:val="none" w:sz="0" w:space="0" w:color="auto"/>
            <w:right w:val="none" w:sz="0" w:space="0" w:color="auto"/>
          </w:divBdr>
        </w:div>
        <w:div w:id="1031300102">
          <w:marLeft w:val="0"/>
          <w:marRight w:val="0"/>
          <w:marTop w:val="0"/>
          <w:marBottom w:val="0"/>
          <w:divBdr>
            <w:top w:val="none" w:sz="0" w:space="0" w:color="auto"/>
            <w:left w:val="none" w:sz="0" w:space="0" w:color="auto"/>
            <w:bottom w:val="none" w:sz="0" w:space="0" w:color="auto"/>
            <w:right w:val="none" w:sz="0" w:space="0" w:color="auto"/>
          </w:divBdr>
        </w:div>
        <w:div w:id="1371414717">
          <w:marLeft w:val="0"/>
          <w:marRight w:val="0"/>
          <w:marTop w:val="0"/>
          <w:marBottom w:val="0"/>
          <w:divBdr>
            <w:top w:val="none" w:sz="0" w:space="0" w:color="auto"/>
            <w:left w:val="none" w:sz="0" w:space="0" w:color="auto"/>
            <w:bottom w:val="none" w:sz="0" w:space="0" w:color="auto"/>
            <w:right w:val="none" w:sz="0" w:space="0" w:color="auto"/>
          </w:divBdr>
        </w:div>
        <w:div w:id="1976568706">
          <w:marLeft w:val="0"/>
          <w:marRight w:val="0"/>
          <w:marTop w:val="0"/>
          <w:marBottom w:val="0"/>
          <w:divBdr>
            <w:top w:val="none" w:sz="0" w:space="0" w:color="auto"/>
            <w:left w:val="none" w:sz="0" w:space="0" w:color="auto"/>
            <w:bottom w:val="none" w:sz="0" w:space="0" w:color="auto"/>
            <w:right w:val="none" w:sz="0" w:space="0" w:color="auto"/>
          </w:divBdr>
        </w:div>
        <w:div w:id="242833551">
          <w:marLeft w:val="0"/>
          <w:marRight w:val="0"/>
          <w:marTop w:val="0"/>
          <w:marBottom w:val="0"/>
          <w:divBdr>
            <w:top w:val="none" w:sz="0" w:space="0" w:color="auto"/>
            <w:left w:val="none" w:sz="0" w:space="0" w:color="auto"/>
            <w:bottom w:val="none" w:sz="0" w:space="0" w:color="auto"/>
            <w:right w:val="none" w:sz="0" w:space="0" w:color="auto"/>
          </w:divBdr>
        </w:div>
        <w:div w:id="207880262">
          <w:marLeft w:val="0"/>
          <w:marRight w:val="0"/>
          <w:marTop w:val="0"/>
          <w:marBottom w:val="0"/>
          <w:divBdr>
            <w:top w:val="none" w:sz="0" w:space="0" w:color="auto"/>
            <w:left w:val="none" w:sz="0" w:space="0" w:color="auto"/>
            <w:bottom w:val="none" w:sz="0" w:space="0" w:color="auto"/>
            <w:right w:val="none" w:sz="0" w:space="0" w:color="auto"/>
          </w:divBdr>
        </w:div>
        <w:div w:id="1934166093">
          <w:marLeft w:val="0"/>
          <w:marRight w:val="0"/>
          <w:marTop w:val="0"/>
          <w:marBottom w:val="0"/>
          <w:divBdr>
            <w:top w:val="none" w:sz="0" w:space="0" w:color="auto"/>
            <w:left w:val="none" w:sz="0" w:space="0" w:color="auto"/>
            <w:bottom w:val="none" w:sz="0" w:space="0" w:color="auto"/>
            <w:right w:val="none" w:sz="0" w:space="0" w:color="auto"/>
          </w:divBdr>
        </w:div>
        <w:div w:id="136723570">
          <w:marLeft w:val="0"/>
          <w:marRight w:val="0"/>
          <w:marTop w:val="0"/>
          <w:marBottom w:val="0"/>
          <w:divBdr>
            <w:top w:val="none" w:sz="0" w:space="0" w:color="auto"/>
            <w:left w:val="none" w:sz="0" w:space="0" w:color="auto"/>
            <w:bottom w:val="none" w:sz="0" w:space="0" w:color="auto"/>
            <w:right w:val="none" w:sz="0" w:space="0" w:color="auto"/>
          </w:divBdr>
        </w:div>
        <w:div w:id="1968122472">
          <w:marLeft w:val="0"/>
          <w:marRight w:val="0"/>
          <w:marTop w:val="0"/>
          <w:marBottom w:val="0"/>
          <w:divBdr>
            <w:top w:val="none" w:sz="0" w:space="0" w:color="auto"/>
            <w:left w:val="none" w:sz="0" w:space="0" w:color="auto"/>
            <w:bottom w:val="none" w:sz="0" w:space="0" w:color="auto"/>
            <w:right w:val="none" w:sz="0" w:space="0" w:color="auto"/>
          </w:divBdr>
        </w:div>
        <w:div w:id="1528987323">
          <w:marLeft w:val="0"/>
          <w:marRight w:val="0"/>
          <w:marTop w:val="0"/>
          <w:marBottom w:val="0"/>
          <w:divBdr>
            <w:top w:val="none" w:sz="0" w:space="0" w:color="auto"/>
            <w:left w:val="none" w:sz="0" w:space="0" w:color="auto"/>
            <w:bottom w:val="none" w:sz="0" w:space="0" w:color="auto"/>
            <w:right w:val="none" w:sz="0" w:space="0" w:color="auto"/>
          </w:divBdr>
        </w:div>
        <w:div w:id="2057385743">
          <w:marLeft w:val="0"/>
          <w:marRight w:val="0"/>
          <w:marTop w:val="0"/>
          <w:marBottom w:val="0"/>
          <w:divBdr>
            <w:top w:val="none" w:sz="0" w:space="0" w:color="auto"/>
            <w:left w:val="none" w:sz="0" w:space="0" w:color="auto"/>
            <w:bottom w:val="none" w:sz="0" w:space="0" w:color="auto"/>
            <w:right w:val="none" w:sz="0" w:space="0" w:color="auto"/>
          </w:divBdr>
        </w:div>
        <w:div w:id="1089932327">
          <w:marLeft w:val="0"/>
          <w:marRight w:val="0"/>
          <w:marTop w:val="0"/>
          <w:marBottom w:val="0"/>
          <w:divBdr>
            <w:top w:val="none" w:sz="0" w:space="0" w:color="auto"/>
            <w:left w:val="none" w:sz="0" w:space="0" w:color="auto"/>
            <w:bottom w:val="none" w:sz="0" w:space="0" w:color="auto"/>
            <w:right w:val="none" w:sz="0" w:space="0" w:color="auto"/>
          </w:divBdr>
        </w:div>
        <w:div w:id="1251156391">
          <w:marLeft w:val="0"/>
          <w:marRight w:val="0"/>
          <w:marTop w:val="0"/>
          <w:marBottom w:val="0"/>
          <w:divBdr>
            <w:top w:val="none" w:sz="0" w:space="0" w:color="auto"/>
            <w:left w:val="none" w:sz="0" w:space="0" w:color="auto"/>
            <w:bottom w:val="none" w:sz="0" w:space="0" w:color="auto"/>
            <w:right w:val="none" w:sz="0" w:space="0" w:color="auto"/>
          </w:divBdr>
        </w:div>
        <w:div w:id="520244653">
          <w:marLeft w:val="0"/>
          <w:marRight w:val="0"/>
          <w:marTop w:val="0"/>
          <w:marBottom w:val="0"/>
          <w:divBdr>
            <w:top w:val="none" w:sz="0" w:space="0" w:color="auto"/>
            <w:left w:val="none" w:sz="0" w:space="0" w:color="auto"/>
            <w:bottom w:val="none" w:sz="0" w:space="0" w:color="auto"/>
            <w:right w:val="none" w:sz="0" w:space="0" w:color="auto"/>
          </w:divBdr>
        </w:div>
        <w:div w:id="381291112">
          <w:marLeft w:val="0"/>
          <w:marRight w:val="0"/>
          <w:marTop w:val="0"/>
          <w:marBottom w:val="0"/>
          <w:divBdr>
            <w:top w:val="none" w:sz="0" w:space="0" w:color="auto"/>
            <w:left w:val="none" w:sz="0" w:space="0" w:color="auto"/>
            <w:bottom w:val="none" w:sz="0" w:space="0" w:color="auto"/>
            <w:right w:val="none" w:sz="0" w:space="0" w:color="auto"/>
          </w:divBdr>
        </w:div>
        <w:div w:id="1358041136">
          <w:marLeft w:val="0"/>
          <w:marRight w:val="0"/>
          <w:marTop w:val="0"/>
          <w:marBottom w:val="0"/>
          <w:divBdr>
            <w:top w:val="none" w:sz="0" w:space="0" w:color="auto"/>
            <w:left w:val="none" w:sz="0" w:space="0" w:color="auto"/>
            <w:bottom w:val="none" w:sz="0" w:space="0" w:color="auto"/>
            <w:right w:val="none" w:sz="0" w:space="0" w:color="auto"/>
          </w:divBdr>
        </w:div>
        <w:div w:id="171603592">
          <w:marLeft w:val="0"/>
          <w:marRight w:val="0"/>
          <w:marTop w:val="0"/>
          <w:marBottom w:val="0"/>
          <w:divBdr>
            <w:top w:val="none" w:sz="0" w:space="0" w:color="auto"/>
            <w:left w:val="none" w:sz="0" w:space="0" w:color="auto"/>
            <w:bottom w:val="none" w:sz="0" w:space="0" w:color="auto"/>
            <w:right w:val="none" w:sz="0" w:space="0" w:color="auto"/>
          </w:divBdr>
        </w:div>
        <w:div w:id="2008286050">
          <w:marLeft w:val="0"/>
          <w:marRight w:val="0"/>
          <w:marTop w:val="0"/>
          <w:marBottom w:val="0"/>
          <w:divBdr>
            <w:top w:val="none" w:sz="0" w:space="0" w:color="auto"/>
            <w:left w:val="none" w:sz="0" w:space="0" w:color="auto"/>
            <w:bottom w:val="none" w:sz="0" w:space="0" w:color="auto"/>
            <w:right w:val="none" w:sz="0" w:space="0" w:color="auto"/>
          </w:divBdr>
        </w:div>
        <w:div w:id="1637904650">
          <w:marLeft w:val="0"/>
          <w:marRight w:val="0"/>
          <w:marTop w:val="0"/>
          <w:marBottom w:val="0"/>
          <w:divBdr>
            <w:top w:val="none" w:sz="0" w:space="0" w:color="auto"/>
            <w:left w:val="none" w:sz="0" w:space="0" w:color="auto"/>
            <w:bottom w:val="none" w:sz="0" w:space="0" w:color="auto"/>
            <w:right w:val="none" w:sz="0" w:space="0" w:color="auto"/>
          </w:divBdr>
        </w:div>
        <w:div w:id="1023677621">
          <w:marLeft w:val="0"/>
          <w:marRight w:val="0"/>
          <w:marTop w:val="0"/>
          <w:marBottom w:val="0"/>
          <w:divBdr>
            <w:top w:val="none" w:sz="0" w:space="0" w:color="auto"/>
            <w:left w:val="none" w:sz="0" w:space="0" w:color="auto"/>
            <w:bottom w:val="none" w:sz="0" w:space="0" w:color="auto"/>
            <w:right w:val="none" w:sz="0" w:space="0" w:color="auto"/>
          </w:divBdr>
        </w:div>
        <w:div w:id="1785730611">
          <w:marLeft w:val="0"/>
          <w:marRight w:val="0"/>
          <w:marTop w:val="0"/>
          <w:marBottom w:val="0"/>
          <w:divBdr>
            <w:top w:val="none" w:sz="0" w:space="0" w:color="auto"/>
            <w:left w:val="none" w:sz="0" w:space="0" w:color="auto"/>
            <w:bottom w:val="none" w:sz="0" w:space="0" w:color="auto"/>
            <w:right w:val="none" w:sz="0" w:space="0" w:color="auto"/>
          </w:divBdr>
        </w:div>
        <w:div w:id="966861834">
          <w:marLeft w:val="0"/>
          <w:marRight w:val="0"/>
          <w:marTop w:val="0"/>
          <w:marBottom w:val="0"/>
          <w:divBdr>
            <w:top w:val="none" w:sz="0" w:space="0" w:color="auto"/>
            <w:left w:val="none" w:sz="0" w:space="0" w:color="auto"/>
            <w:bottom w:val="none" w:sz="0" w:space="0" w:color="auto"/>
            <w:right w:val="none" w:sz="0" w:space="0" w:color="auto"/>
          </w:divBdr>
        </w:div>
        <w:div w:id="881092294">
          <w:marLeft w:val="0"/>
          <w:marRight w:val="0"/>
          <w:marTop w:val="0"/>
          <w:marBottom w:val="0"/>
          <w:divBdr>
            <w:top w:val="none" w:sz="0" w:space="0" w:color="auto"/>
            <w:left w:val="none" w:sz="0" w:space="0" w:color="auto"/>
            <w:bottom w:val="none" w:sz="0" w:space="0" w:color="auto"/>
            <w:right w:val="none" w:sz="0" w:space="0" w:color="auto"/>
          </w:divBdr>
        </w:div>
        <w:div w:id="1359772552">
          <w:marLeft w:val="0"/>
          <w:marRight w:val="0"/>
          <w:marTop w:val="0"/>
          <w:marBottom w:val="0"/>
          <w:divBdr>
            <w:top w:val="none" w:sz="0" w:space="0" w:color="auto"/>
            <w:left w:val="none" w:sz="0" w:space="0" w:color="auto"/>
            <w:bottom w:val="none" w:sz="0" w:space="0" w:color="auto"/>
            <w:right w:val="none" w:sz="0" w:space="0" w:color="auto"/>
          </w:divBdr>
        </w:div>
        <w:div w:id="925380889">
          <w:marLeft w:val="0"/>
          <w:marRight w:val="0"/>
          <w:marTop w:val="0"/>
          <w:marBottom w:val="0"/>
          <w:divBdr>
            <w:top w:val="none" w:sz="0" w:space="0" w:color="auto"/>
            <w:left w:val="none" w:sz="0" w:space="0" w:color="auto"/>
            <w:bottom w:val="none" w:sz="0" w:space="0" w:color="auto"/>
            <w:right w:val="none" w:sz="0" w:space="0" w:color="auto"/>
          </w:divBdr>
        </w:div>
        <w:div w:id="720593212">
          <w:marLeft w:val="0"/>
          <w:marRight w:val="0"/>
          <w:marTop w:val="0"/>
          <w:marBottom w:val="0"/>
          <w:divBdr>
            <w:top w:val="none" w:sz="0" w:space="0" w:color="auto"/>
            <w:left w:val="none" w:sz="0" w:space="0" w:color="auto"/>
            <w:bottom w:val="none" w:sz="0" w:space="0" w:color="auto"/>
            <w:right w:val="none" w:sz="0" w:space="0" w:color="auto"/>
          </w:divBdr>
        </w:div>
        <w:div w:id="1295405088">
          <w:marLeft w:val="0"/>
          <w:marRight w:val="0"/>
          <w:marTop w:val="0"/>
          <w:marBottom w:val="0"/>
          <w:divBdr>
            <w:top w:val="none" w:sz="0" w:space="0" w:color="auto"/>
            <w:left w:val="none" w:sz="0" w:space="0" w:color="auto"/>
            <w:bottom w:val="none" w:sz="0" w:space="0" w:color="auto"/>
            <w:right w:val="none" w:sz="0" w:space="0" w:color="auto"/>
          </w:divBdr>
        </w:div>
        <w:div w:id="180318066">
          <w:marLeft w:val="0"/>
          <w:marRight w:val="0"/>
          <w:marTop w:val="0"/>
          <w:marBottom w:val="0"/>
          <w:divBdr>
            <w:top w:val="none" w:sz="0" w:space="0" w:color="auto"/>
            <w:left w:val="none" w:sz="0" w:space="0" w:color="auto"/>
            <w:bottom w:val="none" w:sz="0" w:space="0" w:color="auto"/>
            <w:right w:val="none" w:sz="0" w:space="0" w:color="auto"/>
          </w:divBdr>
        </w:div>
        <w:div w:id="520631452">
          <w:marLeft w:val="0"/>
          <w:marRight w:val="0"/>
          <w:marTop w:val="0"/>
          <w:marBottom w:val="0"/>
          <w:divBdr>
            <w:top w:val="none" w:sz="0" w:space="0" w:color="auto"/>
            <w:left w:val="none" w:sz="0" w:space="0" w:color="auto"/>
            <w:bottom w:val="none" w:sz="0" w:space="0" w:color="auto"/>
            <w:right w:val="none" w:sz="0" w:space="0" w:color="auto"/>
          </w:divBdr>
        </w:div>
        <w:div w:id="1306622971">
          <w:marLeft w:val="0"/>
          <w:marRight w:val="0"/>
          <w:marTop w:val="0"/>
          <w:marBottom w:val="0"/>
          <w:divBdr>
            <w:top w:val="none" w:sz="0" w:space="0" w:color="auto"/>
            <w:left w:val="none" w:sz="0" w:space="0" w:color="auto"/>
            <w:bottom w:val="none" w:sz="0" w:space="0" w:color="auto"/>
            <w:right w:val="none" w:sz="0" w:space="0" w:color="auto"/>
          </w:divBdr>
        </w:div>
        <w:div w:id="1999839868">
          <w:marLeft w:val="0"/>
          <w:marRight w:val="0"/>
          <w:marTop w:val="0"/>
          <w:marBottom w:val="0"/>
          <w:divBdr>
            <w:top w:val="none" w:sz="0" w:space="0" w:color="auto"/>
            <w:left w:val="none" w:sz="0" w:space="0" w:color="auto"/>
            <w:bottom w:val="none" w:sz="0" w:space="0" w:color="auto"/>
            <w:right w:val="none" w:sz="0" w:space="0" w:color="auto"/>
          </w:divBdr>
        </w:div>
        <w:div w:id="201326849">
          <w:marLeft w:val="0"/>
          <w:marRight w:val="0"/>
          <w:marTop w:val="0"/>
          <w:marBottom w:val="0"/>
          <w:divBdr>
            <w:top w:val="none" w:sz="0" w:space="0" w:color="auto"/>
            <w:left w:val="none" w:sz="0" w:space="0" w:color="auto"/>
            <w:bottom w:val="none" w:sz="0" w:space="0" w:color="auto"/>
            <w:right w:val="none" w:sz="0" w:space="0" w:color="auto"/>
          </w:divBdr>
        </w:div>
        <w:div w:id="256259334">
          <w:marLeft w:val="0"/>
          <w:marRight w:val="0"/>
          <w:marTop w:val="0"/>
          <w:marBottom w:val="0"/>
          <w:divBdr>
            <w:top w:val="none" w:sz="0" w:space="0" w:color="auto"/>
            <w:left w:val="none" w:sz="0" w:space="0" w:color="auto"/>
            <w:bottom w:val="none" w:sz="0" w:space="0" w:color="auto"/>
            <w:right w:val="none" w:sz="0" w:space="0" w:color="auto"/>
          </w:divBdr>
        </w:div>
        <w:div w:id="758257997">
          <w:marLeft w:val="0"/>
          <w:marRight w:val="0"/>
          <w:marTop w:val="0"/>
          <w:marBottom w:val="0"/>
          <w:divBdr>
            <w:top w:val="none" w:sz="0" w:space="0" w:color="auto"/>
            <w:left w:val="none" w:sz="0" w:space="0" w:color="auto"/>
            <w:bottom w:val="none" w:sz="0" w:space="0" w:color="auto"/>
            <w:right w:val="none" w:sz="0" w:space="0" w:color="auto"/>
          </w:divBdr>
        </w:div>
        <w:div w:id="1071005430">
          <w:marLeft w:val="0"/>
          <w:marRight w:val="0"/>
          <w:marTop w:val="0"/>
          <w:marBottom w:val="0"/>
          <w:divBdr>
            <w:top w:val="none" w:sz="0" w:space="0" w:color="auto"/>
            <w:left w:val="none" w:sz="0" w:space="0" w:color="auto"/>
            <w:bottom w:val="none" w:sz="0" w:space="0" w:color="auto"/>
            <w:right w:val="none" w:sz="0" w:space="0" w:color="auto"/>
          </w:divBdr>
        </w:div>
        <w:div w:id="148636198">
          <w:marLeft w:val="0"/>
          <w:marRight w:val="0"/>
          <w:marTop w:val="0"/>
          <w:marBottom w:val="0"/>
          <w:divBdr>
            <w:top w:val="none" w:sz="0" w:space="0" w:color="auto"/>
            <w:left w:val="none" w:sz="0" w:space="0" w:color="auto"/>
            <w:bottom w:val="none" w:sz="0" w:space="0" w:color="auto"/>
            <w:right w:val="none" w:sz="0" w:space="0" w:color="auto"/>
          </w:divBdr>
        </w:div>
        <w:div w:id="1991865062">
          <w:marLeft w:val="0"/>
          <w:marRight w:val="0"/>
          <w:marTop w:val="0"/>
          <w:marBottom w:val="0"/>
          <w:divBdr>
            <w:top w:val="none" w:sz="0" w:space="0" w:color="auto"/>
            <w:left w:val="none" w:sz="0" w:space="0" w:color="auto"/>
            <w:bottom w:val="none" w:sz="0" w:space="0" w:color="auto"/>
            <w:right w:val="none" w:sz="0" w:space="0" w:color="auto"/>
          </w:divBdr>
        </w:div>
        <w:div w:id="387264132">
          <w:marLeft w:val="0"/>
          <w:marRight w:val="0"/>
          <w:marTop w:val="0"/>
          <w:marBottom w:val="0"/>
          <w:divBdr>
            <w:top w:val="none" w:sz="0" w:space="0" w:color="auto"/>
            <w:left w:val="none" w:sz="0" w:space="0" w:color="auto"/>
            <w:bottom w:val="none" w:sz="0" w:space="0" w:color="auto"/>
            <w:right w:val="none" w:sz="0" w:space="0" w:color="auto"/>
          </w:divBdr>
        </w:div>
        <w:div w:id="399864164">
          <w:marLeft w:val="0"/>
          <w:marRight w:val="0"/>
          <w:marTop w:val="0"/>
          <w:marBottom w:val="0"/>
          <w:divBdr>
            <w:top w:val="none" w:sz="0" w:space="0" w:color="auto"/>
            <w:left w:val="none" w:sz="0" w:space="0" w:color="auto"/>
            <w:bottom w:val="none" w:sz="0" w:space="0" w:color="auto"/>
            <w:right w:val="none" w:sz="0" w:space="0" w:color="auto"/>
          </w:divBdr>
        </w:div>
        <w:div w:id="1136949481">
          <w:marLeft w:val="0"/>
          <w:marRight w:val="0"/>
          <w:marTop w:val="0"/>
          <w:marBottom w:val="0"/>
          <w:divBdr>
            <w:top w:val="none" w:sz="0" w:space="0" w:color="auto"/>
            <w:left w:val="none" w:sz="0" w:space="0" w:color="auto"/>
            <w:bottom w:val="none" w:sz="0" w:space="0" w:color="auto"/>
            <w:right w:val="none" w:sz="0" w:space="0" w:color="auto"/>
          </w:divBdr>
        </w:div>
        <w:div w:id="711420090">
          <w:marLeft w:val="0"/>
          <w:marRight w:val="0"/>
          <w:marTop w:val="0"/>
          <w:marBottom w:val="0"/>
          <w:divBdr>
            <w:top w:val="none" w:sz="0" w:space="0" w:color="auto"/>
            <w:left w:val="none" w:sz="0" w:space="0" w:color="auto"/>
            <w:bottom w:val="none" w:sz="0" w:space="0" w:color="auto"/>
            <w:right w:val="none" w:sz="0" w:space="0" w:color="auto"/>
          </w:divBdr>
        </w:div>
        <w:div w:id="1313557143">
          <w:marLeft w:val="0"/>
          <w:marRight w:val="0"/>
          <w:marTop w:val="0"/>
          <w:marBottom w:val="0"/>
          <w:divBdr>
            <w:top w:val="none" w:sz="0" w:space="0" w:color="auto"/>
            <w:left w:val="none" w:sz="0" w:space="0" w:color="auto"/>
            <w:bottom w:val="none" w:sz="0" w:space="0" w:color="auto"/>
            <w:right w:val="none" w:sz="0" w:space="0" w:color="auto"/>
          </w:divBdr>
        </w:div>
        <w:div w:id="624585014">
          <w:marLeft w:val="0"/>
          <w:marRight w:val="0"/>
          <w:marTop w:val="0"/>
          <w:marBottom w:val="0"/>
          <w:divBdr>
            <w:top w:val="none" w:sz="0" w:space="0" w:color="auto"/>
            <w:left w:val="none" w:sz="0" w:space="0" w:color="auto"/>
            <w:bottom w:val="none" w:sz="0" w:space="0" w:color="auto"/>
            <w:right w:val="none" w:sz="0" w:space="0" w:color="auto"/>
          </w:divBdr>
        </w:div>
        <w:div w:id="1463694161">
          <w:marLeft w:val="0"/>
          <w:marRight w:val="0"/>
          <w:marTop w:val="0"/>
          <w:marBottom w:val="0"/>
          <w:divBdr>
            <w:top w:val="none" w:sz="0" w:space="0" w:color="auto"/>
            <w:left w:val="none" w:sz="0" w:space="0" w:color="auto"/>
            <w:bottom w:val="none" w:sz="0" w:space="0" w:color="auto"/>
            <w:right w:val="none" w:sz="0" w:space="0" w:color="auto"/>
          </w:divBdr>
        </w:div>
        <w:div w:id="1222450195">
          <w:marLeft w:val="0"/>
          <w:marRight w:val="0"/>
          <w:marTop w:val="0"/>
          <w:marBottom w:val="0"/>
          <w:divBdr>
            <w:top w:val="none" w:sz="0" w:space="0" w:color="auto"/>
            <w:left w:val="none" w:sz="0" w:space="0" w:color="auto"/>
            <w:bottom w:val="none" w:sz="0" w:space="0" w:color="auto"/>
            <w:right w:val="none" w:sz="0" w:space="0" w:color="auto"/>
          </w:divBdr>
        </w:div>
        <w:div w:id="476412981">
          <w:marLeft w:val="0"/>
          <w:marRight w:val="0"/>
          <w:marTop w:val="0"/>
          <w:marBottom w:val="0"/>
          <w:divBdr>
            <w:top w:val="none" w:sz="0" w:space="0" w:color="auto"/>
            <w:left w:val="none" w:sz="0" w:space="0" w:color="auto"/>
            <w:bottom w:val="none" w:sz="0" w:space="0" w:color="auto"/>
            <w:right w:val="none" w:sz="0" w:space="0" w:color="auto"/>
          </w:divBdr>
        </w:div>
        <w:div w:id="593631252">
          <w:marLeft w:val="0"/>
          <w:marRight w:val="0"/>
          <w:marTop w:val="0"/>
          <w:marBottom w:val="0"/>
          <w:divBdr>
            <w:top w:val="none" w:sz="0" w:space="0" w:color="auto"/>
            <w:left w:val="none" w:sz="0" w:space="0" w:color="auto"/>
            <w:bottom w:val="none" w:sz="0" w:space="0" w:color="auto"/>
            <w:right w:val="none" w:sz="0" w:space="0" w:color="auto"/>
          </w:divBdr>
        </w:div>
        <w:div w:id="1095370282">
          <w:marLeft w:val="0"/>
          <w:marRight w:val="0"/>
          <w:marTop w:val="0"/>
          <w:marBottom w:val="0"/>
          <w:divBdr>
            <w:top w:val="none" w:sz="0" w:space="0" w:color="auto"/>
            <w:left w:val="none" w:sz="0" w:space="0" w:color="auto"/>
            <w:bottom w:val="none" w:sz="0" w:space="0" w:color="auto"/>
            <w:right w:val="none" w:sz="0" w:space="0" w:color="auto"/>
          </w:divBdr>
        </w:div>
        <w:div w:id="2080518521">
          <w:marLeft w:val="0"/>
          <w:marRight w:val="0"/>
          <w:marTop w:val="0"/>
          <w:marBottom w:val="0"/>
          <w:divBdr>
            <w:top w:val="none" w:sz="0" w:space="0" w:color="auto"/>
            <w:left w:val="none" w:sz="0" w:space="0" w:color="auto"/>
            <w:bottom w:val="none" w:sz="0" w:space="0" w:color="auto"/>
            <w:right w:val="none" w:sz="0" w:space="0" w:color="auto"/>
          </w:divBdr>
        </w:div>
        <w:div w:id="2076584717">
          <w:marLeft w:val="0"/>
          <w:marRight w:val="0"/>
          <w:marTop w:val="0"/>
          <w:marBottom w:val="0"/>
          <w:divBdr>
            <w:top w:val="none" w:sz="0" w:space="0" w:color="auto"/>
            <w:left w:val="none" w:sz="0" w:space="0" w:color="auto"/>
            <w:bottom w:val="none" w:sz="0" w:space="0" w:color="auto"/>
            <w:right w:val="none" w:sz="0" w:space="0" w:color="auto"/>
          </w:divBdr>
        </w:div>
        <w:div w:id="591662599">
          <w:marLeft w:val="0"/>
          <w:marRight w:val="0"/>
          <w:marTop w:val="0"/>
          <w:marBottom w:val="0"/>
          <w:divBdr>
            <w:top w:val="none" w:sz="0" w:space="0" w:color="auto"/>
            <w:left w:val="none" w:sz="0" w:space="0" w:color="auto"/>
            <w:bottom w:val="none" w:sz="0" w:space="0" w:color="auto"/>
            <w:right w:val="none" w:sz="0" w:space="0" w:color="auto"/>
          </w:divBdr>
        </w:div>
        <w:div w:id="826288223">
          <w:marLeft w:val="0"/>
          <w:marRight w:val="0"/>
          <w:marTop w:val="0"/>
          <w:marBottom w:val="0"/>
          <w:divBdr>
            <w:top w:val="none" w:sz="0" w:space="0" w:color="auto"/>
            <w:left w:val="none" w:sz="0" w:space="0" w:color="auto"/>
            <w:bottom w:val="none" w:sz="0" w:space="0" w:color="auto"/>
            <w:right w:val="none" w:sz="0" w:space="0" w:color="auto"/>
          </w:divBdr>
        </w:div>
        <w:div w:id="1706366431">
          <w:marLeft w:val="0"/>
          <w:marRight w:val="0"/>
          <w:marTop w:val="0"/>
          <w:marBottom w:val="0"/>
          <w:divBdr>
            <w:top w:val="none" w:sz="0" w:space="0" w:color="auto"/>
            <w:left w:val="none" w:sz="0" w:space="0" w:color="auto"/>
            <w:bottom w:val="none" w:sz="0" w:space="0" w:color="auto"/>
            <w:right w:val="none" w:sz="0" w:space="0" w:color="auto"/>
          </w:divBdr>
        </w:div>
        <w:div w:id="481386248">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doi.org/10.1145/3677374" TargetMode="External"/><Relationship Id="rId21" Type="http://schemas.openxmlformats.org/officeDocument/2006/relationships/hyperlink" Target="https://doi.org/10.1007/978-3-032-06744-9_14" TargetMode="External"/><Relationship Id="rId42" Type="http://schemas.openxmlformats.org/officeDocument/2006/relationships/hyperlink" Target="https://doi.org/10.1177/001316446002000104" TargetMode="External"/><Relationship Id="rId63" Type="http://schemas.openxmlformats.org/officeDocument/2006/relationships/hyperlink" Target="https://doi.org/10.1007/s12559-023-10179-8" TargetMode="External"/><Relationship Id="rId84" Type="http://schemas.openxmlformats.org/officeDocument/2006/relationships/hyperlink" Target="https://doi.org/10.48550/arxiv.1705.07874" TargetMode="External"/><Relationship Id="rId138" Type="http://schemas.openxmlformats.org/officeDocument/2006/relationships/theme" Target="theme/theme1.xml"/><Relationship Id="rId16" Type="http://schemas.openxmlformats.org/officeDocument/2006/relationships/hyperlink" Target="https://doi.org/10.2139/ssrn.4710037" TargetMode="External"/><Relationship Id="rId107" Type="http://schemas.openxmlformats.org/officeDocument/2006/relationships/hyperlink" Target="https://doi.org/10.1073/pnas.2426766122" TargetMode="External"/><Relationship Id="rId11" Type="http://schemas.openxmlformats.org/officeDocument/2006/relationships/image" Target="media/image5.png"/><Relationship Id="rId32" Type="http://schemas.openxmlformats.org/officeDocument/2006/relationships/hyperlink" Target="https://doi.org/10.1145/3670685" TargetMode="External"/><Relationship Id="rId37" Type="http://schemas.openxmlformats.org/officeDocument/2006/relationships/hyperlink" Target="https://doi.org/10.1145/3672359.3672363" TargetMode="External"/><Relationship Id="rId53" Type="http://schemas.openxmlformats.org/officeDocument/2006/relationships/hyperlink" Target="https://doi.org/10.1007/s11023-018-9482-5" TargetMode="External"/><Relationship Id="rId58" Type="http://schemas.openxmlformats.org/officeDocument/2006/relationships/hyperlink" Target="https://doi.org/10.1109/dsaa.2018.00018" TargetMode="External"/><Relationship Id="rId74" Type="http://schemas.openxmlformats.org/officeDocument/2006/relationships/hyperlink" Target="https://doi.org/10.1145/3613905.3638184" TargetMode="External"/><Relationship Id="rId79" Type="http://schemas.openxmlformats.org/officeDocument/2006/relationships/hyperlink" Target="https://doi.org/10.1016/j.artint.2021.103473" TargetMode="External"/><Relationship Id="rId102" Type="http://schemas.openxmlformats.org/officeDocument/2006/relationships/hyperlink" Target="https://doi.org/10.1038/s41467-022-33417-3" TargetMode="External"/><Relationship Id="rId123" Type="http://schemas.openxmlformats.org/officeDocument/2006/relationships/hyperlink" Target="https://doi.org/10.1145/3580305.3599337" TargetMode="External"/><Relationship Id="rId128" Type="http://schemas.openxmlformats.org/officeDocument/2006/relationships/hyperlink" Target="https://doi.org/10.1145/3705724" TargetMode="External"/><Relationship Id="rId5" Type="http://schemas.openxmlformats.org/officeDocument/2006/relationships/footnotes" Target="footnotes.xml"/><Relationship Id="rId90" Type="http://schemas.openxmlformats.org/officeDocument/2006/relationships/hyperlink" Target="https://doi.org/10.1145/3287560.3287574" TargetMode="External"/><Relationship Id="rId95" Type="http://schemas.openxmlformats.org/officeDocument/2006/relationships/hyperlink" Target="https://doi.org/10.1145/3704522.3704524" TargetMode="External"/><Relationship Id="rId22" Type="http://schemas.openxmlformats.org/officeDocument/2006/relationships/hyperlink" Target="https://doi.org/10.1146/annurev-statistics-040120-030919" TargetMode="External"/><Relationship Id="rId27" Type="http://schemas.openxmlformats.org/officeDocument/2006/relationships/hyperlink" Target="https://doi.org/10.1111/rssb.12377" TargetMode="External"/><Relationship Id="rId43" Type="http://schemas.openxmlformats.org/officeDocument/2006/relationships/hyperlink" Target="https://doi.org/10.1145/3638380.3638426" TargetMode="External"/><Relationship Id="rId48" Type="http://schemas.openxmlformats.org/officeDocument/2006/relationships/hyperlink" Target="https://doi.org/10.1145/3561048" TargetMode="External"/><Relationship Id="rId64" Type="http://schemas.openxmlformats.org/officeDocument/2006/relationships/hyperlink" Target="https://doi.org/10.1007/s13218-023-00806-9" TargetMode="External"/><Relationship Id="rId69" Type="http://schemas.openxmlformats.org/officeDocument/2006/relationships/hyperlink" Target="https://doi.org/10.1145/3571730" TargetMode="External"/><Relationship Id="rId113" Type="http://schemas.openxmlformats.org/officeDocument/2006/relationships/hyperlink" Target="https://doi.org/10.1038/s42256-019-0048-x" TargetMode="External"/><Relationship Id="rId118" Type="http://schemas.openxmlformats.org/officeDocument/2006/relationships/hyperlink" Target="https://doi.org/10.1007/s10618-022-00867-8" TargetMode="External"/><Relationship Id="rId134" Type="http://schemas.openxmlformats.org/officeDocument/2006/relationships/hyperlink" Target="https://trustai4s-lab.github.io/ffidelity" TargetMode="External"/><Relationship Id="rId80" Type="http://schemas.openxmlformats.org/officeDocument/2006/relationships/hyperlink" Target="https://doi.org/10.24963/ijcai.2019/388" TargetMode="External"/><Relationship Id="rId85" Type="http://schemas.openxmlformats.org/officeDocument/2006/relationships/hyperlink" Target="https://doi.org/10.1145/3647444.3647912" TargetMode="External"/><Relationship Id="rId12" Type="http://schemas.openxmlformats.org/officeDocument/2006/relationships/image" Target="media/image6.png"/><Relationship Id="rId17" Type="http://schemas.openxmlformats.org/officeDocument/2006/relationships/hyperlink" Target="https://doi.org/10.1109/access.2018.2870052" TargetMode="External"/><Relationship Id="rId33" Type="http://schemas.openxmlformats.org/officeDocument/2006/relationships/hyperlink" Target="https://doi.org/10.1145/3643834.3660722" TargetMode="External"/><Relationship Id="rId38" Type="http://schemas.openxmlformats.org/officeDocument/2006/relationships/hyperlink" Target="https://doi.org/10.18653/v1/2023.emnlp-main.792" TargetMode="External"/><Relationship Id="rId59" Type="http://schemas.openxmlformats.org/officeDocument/2006/relationships/hyperlink" Target="https://doi.org/10.1080/10618600.2014.907095" TargetMode="External"/><Relationship Id="rId103" Type="http://schemas.openxmlformats.org/officeDocument/2006/relationships/hyperlink" Target="https://doi.org/10.1016/j.neucom.2024.128282" TargetMode="External"/><Relationship Id="rId108" Type="http://schemas.openxmlformats.org/officeDocument/2006/relationships/hyperlink" Target="https://doi.org/10.1145/2939672.2939778" TargetMode="External"/><Relationship Id="rId124" Type="http://schemas.openxmlformats.org/officeDocument/2006/relationships/hyperlink" Target="https://doi.org/10.1109/TNNLS.2020.3027314" TargetMode="External"/><Relationship Id="rId129" Type="http://schemas.openxmlformats.org/officeDocument/2006/relationships/hyperlink" Target="https://doi.org/10.1145/3599974" TargetMode="External"/><Relationship Id="rId54" Type="http://schemas.openxmlformats.org/officeDocument/2006/relationships/hyperlink" Target="https://doi.org/10.1214/07-aoas148" TargetMode="External"/><Relationship Id="rId70" Type="http://schemas.openxmlformats.org/officeDocument/2006/relationships/hyperlink" Target="https://doi.org/10.1109/access.2025.3546681" TargetMode="External"/><Relationship Id="rId75" Type="http://schemas.openxmlformats.org/officeDocument/2006/relationships/hyperlink" Target="https://archive.ics.uci.edu/dataset/2/adult" TargetMode="External"/><Relationship Id="rId91" Type="http://schemas.openxmlformats.org/officeDocument/2006/relationships/hyperlink" Target="https://doi.org/10.1145/3387166" TargetMode="External"/><Relationship Id="rId96" Type="http://schemas.openxmlformats.org/officeDocument/2006/relationships/hyperlink" Target="https://doi.org/10.1073/pnas.1900654116" TargetMode="External"/><Relationship Id="rId1" Type="http://schemas.openxmlformats.org/officeDocument/2006/relationships/numbering" Target="numbering.xml"/><Relationship Id="rId6" Type="http://schemas.openxmlformats.org/officeDocument/2006/relationships/endnotes" Target="endnotes.xml"/><Relationship Id="rId23" Type="http://schemas.openxmlformats.org/officeDocument/2006/relationships/hyperlink" Target="https://doi.org/10.3390/technologies13030093" TargetMode="External"/><Relationship Id="rId28" Type="http://schemas.openxmlformats.org/officeDocument/2006/relationships/hyperlink" Target="https://doi.org/10.1016/j.inffus.2019.12.012" TargetMode="External"/><Relationship Id="rId49" Type="http://schemas.openxmlformats.org/officeDocument/2006/relationships/hyperlink" Target="https://doi.org/10.1145/3686169.3686185" TargetMode="External"/><Relationship Id="rId114" Type="http://schemas.openxmlformats.org/officeDocument/2006/relationships/hyperlink" Target="https://doi.org/10.3390/app14198884" TargetMode="External"/><Relationship Id="rId119" Type="http://schemas.openxmlformats.org/officeDocument/2006/relationships/hyperlink" Target="https://www.rand.org/pubs/papers/P0295.html" TargetMode="External"/><Relationship Id="rId44" Type="http://schemas.openxmlformats.org/officeDocument/2006/relationships/hyperlink" Target="https://doi.org/10.1145/3702038.3702093" TargetMode="External"/><Relationship Id="rId60" Type="http://schemas.openxmlformats.org/officeDocument/2006/relationships/hyperlink" Target="https://doi.org/10.1145/3605098.3636109" TargetMode="External"/><Relationship Id="rId65" Type="http://schemas.openxmlformats.org/officeDocument/2006/relationships/hyperlink" Target="https://doi.org/10.1007/978-3-031-04083-2_2" TargetMode="External"/><Relationship Id="rId81" Type="http://schemas.openxmlformats.org/officeDocument/2006/relationships/hyperlink" Target="https://doi.org/10.3390/e23010018" TargetMode="External"/><Relationship Id="rId86" Type="http://schemas.openxmlformats.org/officeDocument/2006/relationships/hyperlink" Target="https://doi.org/10.1002/widm.1493" TargetMode="External"/><Relationship Id="rId130" Type="http://schemas.openxmlformats.org/officeDocument/2006/relationships/hyperlink" Target="https://doi.org/10.1613/jair.1.13283" TargetMode="External"/><Relationship Id="rId135" Type="http://schemas.openxmlformats.org/officeDocument/2006/relationships/header" Target="header1.xml"/><Relationship Id="rId13" Type="http://schemas.openxmlformats.org/officeDocument/2006/relationships/image" Target="media/image7.png"/><Relationship Id="rId18" Type="http://schemas.openxmlformats.org/officeDocument/2006/relationships/hyperlink" Target="https://doi.org/10.1145/3533381" TargetMode="External"/><Relationship Id="rId39" Type="http://schemas.openxmlformats.org/officeDocument/2006/relationships/hyperlink" Target="https://doi.org/10.1145/3737445" TargetMode="External"/><Relationship Id="rId109" Type="http://schemas.openxmlformats.org/officeDocument/2006/relationships/hyperlink" Target="https://doi.org/10.1609/aaai.v32i1.11491" TargetMode="External"/><Relationship Id="rId34" Type="http://schemas.openxmlformats.org/officeDocument/2006/relationships/hyperlink" Target="https://doi.org/10.1145/3631700.3664911" TargetMode="External"/><Relationship Id="rId50" Type="http://schemas.openxmlformats.org/officeDocument/2006/relationships/hyperlink" Target="https://doi.org/10.1145/3544549.3573832" TargetMode="External"/><Relationship Id="rId55" Type="http://schemas.openxmlformats.org/officeDocument/2006/relationships/hyperlink" Target="https://doi.org/10.1214/aos/1013203451" TargetMode="External"/><Relationship Id="rId76" Type="http://schemas.openxmlformats.org/officeDocument/2006/relationships/hyperlink" Target="https://doi.org/10.1016/j.jcm.2016.02.012" TargetMode="External"/><Relationship Id="rId97" Type="http://schemas.openxmlformats.org/officeDocument/2006/relationships/hyperlink" Target="https://doi.org/10.1007/s10676-024-09773-7" TargetMode="External"/><Relationship Id="rId104" Type="http://schemas.openxmlformats.org/officeDocument/2006/relationships/hyperlink" Target="https://doi.org/10.1613/jair.1.14888" TargetMode="External"/><Relationship Id="rId120" Type="http://schemas.openxmlformats.org/officeDocument/2006/relationships/hyperlink" Target="https://doi.org/10.1007/978-3-031-63787-2_23" TargetMode="External"/><Relationship Id="rId125" Type="http://schemas.openxmlformats.org/officeDocument/2006/relationships/hyperlink" Target="https://doi.org/10.1609/aaai.v34i04.6064" TargetMode="External"/><Relationship Id="rId7" Type="http://schemas.openxmlformats.org/officeDocument/2006/relationships/image" Target="media/image1.png"/><Relationship Id="rId71" Type="http://schemas.openxmlformats.org/officeDocument/2006/relationships/hyperlink" Target="https://doi.org/10.1145/3527848" TargetMode="External"/><Relationship Id="rId92" Type="http://schemas.openxmlformats.org/officeDocument/2006/relationships/hyperlink" Target="https://doi.org/10.1007/978-3-030-65965-3_28" TargetMode="External"/><Relationship Id="rId2" Type="http://schemas.openxmlformats.org/officeDocument/2006/relationships/styles" Target="styles.xml"/><Relationship Id="rId29" Type="http://schemas.openxmlformats.org/officeDocument/2006/relationships/hyperlink" Target="https://doi.org/10.1145/3649144" TargetMode="External"/><Relationship Id="rId24" Type="http://schemas.openxmlformats.org/officeDocument/2006/relationships/hyperlink" Target="https://arxiv.org/abs/1806.08049" TargetMode="External"/><Relationship Id="rId40" Type="http://schemas.openxmlformats.org/officeDocument/2006/relationships/hyperlink" Target="https://doi.org/10.3390/electronics8080832" TargetMode="External"/><Relationship Id="rId45" Type="http://schemas.openxmlformats.org/officeDocument/2006/relationships/hyperlink" Target="https://www.jmlr.org/papers/v7/demsar06a.html" TargetMode="External"/><Relationship Id="rId66" Type="http://schemas.openxmlformats.org/officeDocument/2006/relationships/hyperlink" Target="https://doi.org/10.1016/j.array.2025.100399" TargetMode="External"/><Relationship Id="rId87" Type="http://schemas.openxmlformats.org/officeDocument/2006/relationships/hyperlink" Target="https://doi.org/10.1007/978-3-031-75387-9_12" TargetMode="External"/><Relationship Id="rId110" Type="http://schemas.openxmlformats.org/officeDocument/2006/relationships/hyperlink" Target="https://doi.org/10.65109/vllw9552" TargetMode="External"/><Relationship Id="rId115" Type="http://schemas.openxmlformats.org/officeDocument/2006/relationships/hyperlink" Target="https://doi.org/10.1016/j.knosys.2023.110273" TargetMode="External"/><Relationship Id="rId131" Type="http://schemas.openxmlformats.org/officeDocument/2006/relationships/hyperlink" Target="https://doi.org/10.1007/978-3-319-57959-7" TargetMode="External"/><Relationship Id="rId136" Type="http://schemas.openxmlformats.org/officeDocument/2006/relationships/header" Target="header2.xml"/><Relationship Id="rId61" Type="http://schemas.openxmlformats.org/officeDocument/2006/relationships/hyperlink" Target="https://doi.org/10.1145/3236009" TargetMode="External"/><Relationship Id="rId82" Type="http://schemas.openxmlformats.org/officeDocument/2006/relationships/hyperlink" Target="https://doi.org/10.1145/3236386.3241340" TargetMode="External"/><Relationship Id="rId19" Type="http://schemas.openxmlformats.org/officeDocument/2006/relationships/hyperlink" Target="https://doi.org/10.1038/s41597-023-01974-x" TargetMode="External"/><Relationship Id="rId14" Type="http://schemas.openxmlformats.org/officeDocument/2006/relationships/hyperlink" Target="https://doi.org/10.1145/3173574.3174156" TargetMode="External"/><Relationship Id="rId30" Type="http://schemas.openxmlformats.org/officeDocument/2006/relationships/hyperlink" Target="https://doi.org/10.18653/v1/2020.blackboxnlp-1.14" TargetMode="External"/><Relationship Id="rId35" Type="http://schemas.openxmlformats.org/officeDocument/2006/relationships/hyperlink" Target="https://doi.org/10.3390/electronics13112198" TargetMode="External"/><Relationship Id="rId56" Type="http://schemas.openxmlformats.org/officeDocument/2006/relationships/hyperlink" Target="https://doi.org/10.1080/01621459.1937.10503522" TargetMode="External"/><Relationship Id="rId77" Type="http://schemas.openxmlformats.org/officeDocument/2006/relationships/hyperlink" Target="https://doi.org/10.1145/3592307.3592342" TargetMode="External"/><Relationship Id="rId100" Type="http://schemas.openxmlformats.org/officeDocument/2006/relationships/hyperlink" Target="https://doi.org/10.1145/3711123" TargetMode="External"/><Relationship Id="rId105" Type="http://schemas.openxmlformats.org/officeDocument/2006/relationships/hyperlink" Target="https://doi.org/10.1145/3678884.3682046" TargetMode="External"/><Relationship Id="rId126" Type="http://schemas.openxmlformats.org/officeDocument/2006/relationships/hyperlink" Target="https://doi.org/10.1201/9781003442509" TargetMode="External"/><Relationship Id="rId8" Type="http://schemas.openxmlformats.org/officeDocument/2006/relationships/image" Target="media/image2.png"/><Relationship Id="rId51" Type="http://schemas.openxmlformats.org/officeDocument/2006/relationships/hyperlink" Target="https://doi.org/10.2139/ssrn.6847479" TargetMode="External"/><Relationship Id="rId72" Type="http://schemas.openxmlformats.org/officeDocument/2006/relationships/hyperlink" Target="https://doi.org/10.1145/3651593" TargetMode="External"/><Relationship Id="rId93" Type="http://schemas.openxmlformats.org/officeDocument/2006/relationships/hyperlink" Target="https://doi.org/10.1145/3610064" TargetMode="External"/><Relationship Id="rId98" Type="http://schemas.openxmlformats.org/officeDocument/2006/relationships/hyperlink" Target="https://doi.org/10.1145/3583558" TargetMode="External"/><Relationship Id="rId121" Type="http://schemas.openxmlformats.org/officeDocument/2006/relationships/hyperlink" Target="https://doi.org/10.1145/3375627.3375830" TargetMode="External"/><Relationship Id="rId3" Type="http://schemas.openxmlformats.org/officeDocument/2006/relationships/settings" Target="settings.xml"/><Relationship Id="rId25" Type="http://schemas.openxmlformats.org/officeDocument/2006/relationships/hyperlink" Target="https://doi.org/10.1609/aimag.v35i4.2513" TargetMode="External"/><Relationship Id="rId46" Type="http://schemas.openxmlformats.org/officeDocument/2006/relationships/hyperlink" Target="https://doi.org/10.48550/arxiv.1702.08608" TargetMode="External"/><Relationship Id="rId67" Type="http://schemas.openxmlformats.org/officeDocument/2006/relationships/hyperlink" Target="https://doi.org/10.1126/science.359.6377.725" TargetMode="External"/><Relationship Id="rId116" Type="http://schemas.openxmlformats.org/officeDocument/2006/relationships/hyperlink" Target="https://doi.org/10.1007/978-3-030-28954-6" TargetMode="External"/><Relationship Id="rId137" Type="http://schemas.openxmlformats.org/officeDocument/2006/relationships/fontTable" Target="fontTable.xml"/><Relationship Id="rId20" Type="http://schemas.openxmlformats.org/officeDocument/2006/relationships/hyperlink" Target="https://doi.org/10.1016/j.inffus.2023.101805" TargetMode="External"/><Relationship Id="rId41" Type="http://schemas.openxmlformats.org/officeDocument/2006/relationships/hyperlink" Target="https://doi.org/10.2139/ssrn.5040613" TargetMode="External"/><Relationship Id="rId62" Type="http://schemas.openxmlformats.org/officeDocument/2006/relationships/hyperlink" Target="https://doi.org/10.18653/v1/2020.acl-main.491" TargetMode="External"/><Relationship Id="rId83" Type="http://schemas.openxmlformats.org/officeDocument/2006/relationships/hyperlink" Target="https://doi.org/10.1016/j.inffus.2024.102301" TargetMode="External"/><Relationship Id="rId88" Type="http://schemas.openxmlformats.org/officeDocument/2006/relationships/hyperlink" Target="https://doi.org/10.1016/j.artint.2018.07.007" TargetMode="External"/><Relationship Id="rId111" Type="http://schemas.openxmlformats.org/officeDocument/2006/relationships/hyperlink" Target="https://doi.org/10.1109/TPAMI.2023.3331846" TargetMode="External"/><Relationship Id="rId132" Type="http://schemas.openxmlformats.org/officeDocument/2006/relationships/hyperlink" Target="https://doi.org/10.2139/ssrn.3063289" TargetMode="External"/><Relationship Id="rId15" Type="http://schemas.openxmlformats.org/officeDocument/2006/relationships/hyperlink" Target="https://doi.org/10.1109/INES59045.2023.1030000" TargetMode="External"/><Relationship Id="rId36" Type="http://schemas.openxmlformats.org/officeDocument/2006/relationships/hyperlink" Target="https://doi.org/10.1023/a:1010933404324" TargetMode="External"/><Relationship Id="rId57" Type="http://schemas.openxmlformats.org/officeDocument/2006/relationships/hyperlink" Target="https://doi.org/10.1145/3626203.3670522" TargetMode="External"/><Relationship Id="rId106" Type="http://schemas.openxmlformats.org/officeDocument/2006/relationships/hyperlink" Target="https://doi.org/10.1145/3375627.3375850" TargetMode="External"/><Relationship Id="rId127" Type="http://schemas.openxmlformats.org/officeDocument/2006/relationships/hyperlink" Target="https://doi.org/10.1145/3643491.3660292" TargetMode="External"/><Relationship Id="rId10" Type="http://schemas.openxmlformats.org/officeDocument/2006/relationships/image" Target="media/image4.png"/><Relationship Id="rId31" Type="http://schemas.openxmlformats.org/officeDocument/2006/relationships/hyperlink" Target="https://doi.org/10.3389/fdata.2021.688969" TargetMode="External"/><Relationship Id="rId52" Type="http://schemas.openxmlformats.org/officeDocument/2006/relationships/hyperlink" Target="https://doi.org/10.1145/3573900.3591114" TargetMode="External"/><Relationship Id="rId73" Type="http://schemas.openxmlformats.org/officeDocument/2006/relationships/hyperlink" Target="https://doi.org/10.1145/3313831.3376219" TargetMode="External"/><Relationship Id="rId78" Type="http://schemas.openxmlformats.org/officeDocument/2006/relationships/hyperlink" Target="https://doi.org/10.3389/fpsyg.2013.00863" TargetMode="External"/><Relationship Id="rId94" Type="http://schemas.openxmlformats.org/officeDocument/2006/relationships/hyperlink" Target="https://doi.org/10.1145/3351095.3372850" TargetMode="External"/><Relationship Id="rId99" Type="http://schemas.openxmlformats.org/officeDocument/2006/relationships/hyperlink" Target="https://catalog.princeton.edu/catalog/2081365" TargetMode="External"/><Relationship Id="rId101" Type="http://schemas.openxmlformats.org/officeDocument/2006/relationships/hyperlink" Target="https://doi.org/10.1145/3613904.3642352" TargetMode="External"/><Relationship Id="rId122" Type="http://schemas.openxmlformats.org/officeDocument/2006/relationships/hyperlink" Target="https://doi.org/10.1007/s13218-020-00637-y" TargetMode="External"/><Relationship Id="rId4" Type="http://schemas.openxmlformats.org/officeDocument/2006/relationships/webSettings" Target="webSettings.xml"/><Relationship Id="rId9" Type="http://schemas.openxmlformats.org/officeDocument/2006/relationships/image" Target="media/image3.png"/><Relationship Id="rId26" Type="http://schemas.openxmlformats.org/officeDocument/2006/relationships/hyperlink" Target="https://doi.org/10.1002/widm.1424" TargetMode="External"/><Relationship Id="rId47" Type="http://schemas.openxmlformats.org/officeDocument/2006/relationships/hyperlink" Target="http://archive.ics.uci.edu/ml" TargetMode="External"/><Relationship Id="rId68" Type="http://schemas.openxmlformats.org/officeDocument/2006/relationships/hyperlink" Target="https://doi.org/10.1145/3631908.3631925" TargetMode="External"/><Relationship Id="rId89" Type="http://schemas.openxmlformats.org/officeDocument/2006/relationships/hyperlink" Target="https://doi.org/10.1145/3607947.3608059" TargetMode="External"/><Relationship Id="rId112" Type="http://schemas.openxmlformats.org/officeDocument/2006/relationships/hyperlink" Target="https://doi.org/10.1214/21-ss133" TargetMode="External"/><Relationship Id="rId133" Type="http://schemas.openxmlformats.org/officeDocument/2006/relationships/hyperlink" Target="https://doi.org/10.2307/3001968" TargetMode="External"/></Relationships>
</file>

<file path=word/_rels/header2.xml.rels><?xml version="1.0" encoding="UTF-8" standalone="yes"?>
<Relationships xmlns="http://schemas.openxmlformats.org/package/2006/relationships"><Relationship Id="rId1" Type="http://schemas.openxmlformats.org/officeDocument/2006/relationships/image" Target="media/image8.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137</TotalTime>
  <Pages>164</Pages>
  <Words>46988</Words>
  <Characters>267838</Characters>
  <Application>Microsoft Office Word</Application>
  <DocSecurity>0</DocSecurity>
  <Lines>2231</Lines>
  <Paragraphs>628</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314198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Marco para la Evaluación Multinivel de la Explicabilidad en IA</dc:title>
  <dc:creator>J. Herrera</dc:creator>
  <cp:keywords/>
  <cp:lastModifiedBy>Jonathan Herrera</cp:lastModifiedBy>
  <cp:revision>5</cp:revision>
  <dcterms:created xsi:type="dcterms:W3CDTF">2026-08-30T01:31:00Z</dcterms:created>
  <dcterms:modified xsi:type="dcterms:W3CDTF">2026-08-30T02:40:00Z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rossref">
    <vt:lpwstr/>
  </property>
  <property fmtid="{D5CDD505-2E9C-101B-9397-08002B2CF9AE}" pid="8" name="date">
    <vt:lpwstr>2026-04-19</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subtitle">
    <vt:lpwstr>Integración de Benchmarking Técnico, Protocolo Reproducible (FOM-7) y Taxonomía de Métricas</vt:lpwstr>
  </property>
  <property fmtid="{D5CDD505-2E9C-101B-9397-08002B2CF9AE}" pid="15" name="template-partials">
    <vt:lpwstr/>
  </property>
  <property fmtid="{D5CDD505-2E9C-101B-9397-08002B2CF9AE}" pid="16" name="toc-title">
    <vt:lpwstr>Table of contents</vt:lpwstr>
  </property>
</Properties>
</file>