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B6AD2" w14:textId="77777777" w:rsidR="000A4CDF" w:rsidRDefault="00000000">
      <w:r>
        <w:t xml:space="preserve">Marco para la Evaluación Multinivel de la </w:t>
      </w:r>
      <w:proofErr w:type="spellStart"/>
      <w:r>
        <w:t>Explicabilidad</w:t>
      </w:r>
      <w:proofErr w:type="spellEnd"/>
      <w:r>
        <w:t xml:space="preserve"> en IA</w:t>
      </w:r>
    </w:p>
    <w:p w14:paraId="39CDF1E0" w14:textId="77777777" w:rsidR="000A4CDF" w:rsidRDefault="00000000">
      <w:r>
        <w:t>Integración de Benchmarking Técnico, Protocolo Reproducible (FOM-7) y Taxonomía de Métricas</w:t>
      </w:r>
    </w:p>
    <w:p w14:paraId="2CC4F452" w14:textId="77777777" w:rsidR="000A4CDF" w:rsidRDefault="00000000">
      <w:r>
        <w:t>J. Herrera</w:t>
      </w:r>
    </w:p>
    <w:p w14:paraId="1ADDAE61" w14:textId="77777777" w:rsidR="000A4CDF" w:rsidRDefault="00000000">
      <w:r>
        <w:t>2026-04-19</w:t>
      </w:r>
    </w:p>
    <w:sdt>
      <w:sdtPr>
        <w:rPr>
          <w:rFonts w:eastAsiaTheme="minorHAnsi" w:cstheme="minorBidi"/>
          <w:b w:val="0"/>
          <w:sz w:val="24"/>
          <w:szCs w:val="22"/>
          <w:lang w:eastAsia="en-US"/>
        </w:rPr>
        <w:id w:val="-1645192649"/>
        <w:docPartObj>
          <w:docPartGallery w:val="Table of Contents"/>
          <w:docPartUnique/>
        </w:docPartObj>
      </w:sdtPr>
      <w:sdtContent>
        <w:p w14:paraId="457788BE" w14:textId="77777777" w:rsidR="000A4CDF" w:rsidRDefault="00000000">
          <w:pPr>
            <w:pStyle w:val="TOCHeading"/>
          </w:pPr>
          <w:r>
            <w:t xml:space="preserve">Table </w:t>
          </w:r>
          <w:proofErr w:type="spellStart"/>
          <w:r>
            <w:t>of</w:t>
          </w:r>
          <w:proofErr w:type="spellEnd"/>
          <w:r>
            <w:t xml:space="preserve"> </w:t>
          </w:r>
          <w:proofErr w:type="spellStart"/>
          <w:r>
            <w:t>contents</w:t>
          </w:r>
          <w:proofErr w:type="spellEnd"/>
        </w:p>
        <w:p w14:paraId="15C5C222" w14:textId="77777777" w:rsidR="0058197F" w:rsidRDefault="00000000">
          <w:pPr>
            <w:pStyle w:val="TOC1"/>
            <w:tabs>
              <w:tab w:val="right" w:leader="dot" w:pos="9350"/>
            </w:tabs>
            <w:rPr>
              <w:rFonts w:asciiTheme="minorHAnsi" w:eastAsiaTheme="minorEastAsia" w:hAnsiTheme="minorHAnsi"/>
              <w:noProof/>
              <w:kern w:val="2"/>
              <w:szCs w:val="24"/>
              <w:lang w:val="en-US"/>
              <w14:ligatures w14:val="standardContextual"/>
            </w:rPr>
          </w:pPr>
          <w:r>
            <w:fldChar w:fldCharType="begin"/>
          </w:r>
          <w:r>
            <w:instrText>TOC \o "1-3" \h \z \u</w:instrText>
          </w:r>
          <w:r>
            <w:fldChar w:fldCharType="separate"/>
          </w:r>
          <w:hyperlink w:anchor="_Toc228522527" w:history="1">
            <w:r w:rsidR="0058197F" w:rsidRPr="00790532">
              <w:rPr>
                <w:rStyle w:val="Hyperlink"/>
                <w:noProof/>
              </w:rPr>
              <w:t>Marco para la Evaluación Multinivel de la Explicabilidad en IA</w:t>
            </w:r>
            <w:r w:rsidR="0058197F">
              <w:rPr>
                <w:noProof/>
                <w:webHidden/>
              </w:rPr>
              <w:tab/>
            </w:r>
            <w:r w:rsidR="0058197F">
              <w:rPr>
                <w:noProof/>
                <w:webHidden/>
              </w:rPr>
              <w:fldChar w:fldCharType="begin"/>
            </w:r>
            <w:r w:rsidR="0058197F">
              <w:rPr>
                <w:noProof/>
                <w:webHidden/>
              </w:rPr>
              <w:instrText xml:space="preserve"> PAGEREF _Toc228522527 \h </w:instrText>
            </w:r>
            <w:r w:rsidR="0058197F">
              <w:rPr>
                <w:noProof/>
                <w:webHidden/>
              </w:rPr>
            </w:r>
            <w:r w:rsidR="0058197F">
              <w:rPr>
                <w:noProof/>
                <w:webHidden/>
              </w:rPr>
              <w:fldChar w:fldCharType="separate"/>
            </w:r>
            <w:r w:rsidR="0058197F">
              <w:rPr>
                <w:noProof/>
                <w:webHidden/>
              </w:rPr>
              <w:t>vii</w:t>
            </w:r>
            <w:r w:rsidR="0058197F">
              <w:rPr>
                <w:noProof/>
                <w:webHidden/>
              </w:rPr>
              <w:fldChar w:fldCharType="end"/>
            </w:r>
          </w:hyperlink>
        </w:p>
        <w:p w14:paraId="5EB55569"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28" w:history="1">
            <w:r w:rsidRPr="00790532">
              <w:rPr>
                <w:rStyle w:val="Hyperlink"/>
                <w:noProof/>
              </w:rPr>
              <w:t>Resumen</w:t>
            </w:r>
            <w:r>
              <w:rPr>
                <w:noProof/>
                <w:webHidden/>
              </w:rPr>
              <w:tab/>
            </w:r>
            <w:r>
              <w:rPr>
                <w:noProof/>
                <w:webHidden/>
              </w:rPr>
              <w:fldChar w:fldCharType="begin"/>
            </w:r>
            <w:r>
              <w:rPr>
                <w:noProof/>
                <w:webHidden/>
              </w:rPr>
              <w:instrText xml:space="preserve"> PAGEREF _Toc228522528 \h </w:instrText>
            </w:r>
            <w:r>
              <w:rPr>
                <w:noProof/>
                <w:webHidden/>
              </w:rPr>
            </w:r>
            <w:r>
              <w:rPr>
                <w:noProof/>
                <w:webHidden/>
              </w:rPr>
              <w:fldChar w:fldCharType="separate"/>
            </w:r>
            <w:r>
              <w:rPr>
                <w:noProof/>
                <w:webHidden/>
              </w:rPr>
              <w:t>viii</w:t>
            </w:r>
            <w:r>
              <w:rPr>
                <w:noProof/>
                <w:webHidden/>
              </w:rPr>
              <w:fldChar w:fldCharType="end"/>
            </w:r>
          </w:hyperlink>
        </w:p>
        <w:p w14:paraId="6D9A8CC9"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29" w:history="1">
            <w:r w:rsidRPr="00790532">
              <w:rPr>
                <w:rStyle w:val="Hyperlink"/>
                <w:noProof/>
              </w:rPr>
              <w:t>Abstract</w:t>
            </w:r>
            <w:r>
              <w:rPr>
                <w:noProof/>
                <w:webHidden/>
              </w:rPr>
              <w:tab/>
            </w:r>
            <w:r>
              <w:rPr>
                <w:noProof/>
                <w:webHidden/>
              </w:rPr>
              <w:fldChar w:fldCharType="begin"/>
            </w:r>
            <w:r>
              <w:rPr>
                <w:noProof/>
                <w:webHidden/>
              </w:rPr>
              <w:instrText xml:space="preserve"> PAGEREF _Toc228522529 \h </w:instrText>
            </w:r>
            <w:r>
              <w:rPr>
                <w:noProof/>
                <w:webHidden/>
              </w:rPr>
            </w:r>
            <w:r>
              <w:rPr>
                <w:noProof/>
                <w:webHidden/>
              </w:rPr>
              <w:fldChar w:fldCharType="separate"/>
            </w:r>
            <w:r>
              <w:rPr>
                <w:noProof/>
                <w:webHidden/>
              </w:rPr>
              <w:t>ix</w:t>
            </w:r>
            <w:r>
              <w:rPr>
                <w:noProof/>
                <w:webHidden/>
              </w:rPr>
              <w:fldChar w:fldCharType="end"/>
            </w:r>
          </w:hyperlink>
        </w:p>
        <w:p w14:paraId="5D17ED95"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30" w:history="1">
            <w:r w:rsidRPr="00790532">
              <w:rPr>
                <w:rStyle w:val="Hyperlink"/>
                <w:noProof/>
              </w:rPr>
              <w:t>Introducción</w:t>
            </w:r>
            <w:r>
              <w:rPr>
                <w:noProof/>
                <w:webHidden/>
              </w:rPr>
              <w:tab/>
            </w:r>
            <w:r>
              <w:rPr>
                <w:noProof/>
                <w:webHidden/>
              </w:rPr>
              <w:fldChar w:fldCharType="begin"/>
            </w:r>
            <w:r>
              <w:rPr>
                <w:noProof/>
                <w:webHidden/>
              </w:rPr>
              <w:instrText xml:space="preserve"> PAGEREF _Toc228522530 \h </w:instrText>
            </w:r>
            <w:r>
              <w:rPr>
                <w:noProof/>
                <w:webHidden/>
              </w:rPr>
            </w:r>
            <w:r>
              <w:rPr>
                <w:noProof/>
                <w:webHidden/>
              </w:rPr>
              <w:fldChar w:fldCharType="separate"/>
            </w:r>
            <w:r>
              <w:rPr>
                <w:noProof/>
                <w:webHidden/>
              </w:rPr>
              <w:t>x</w:t>
            </w:r>
            <w:r>
              <w:rPr>
                <w:noProof/>
                <w:webHidden/>
              </w:rPr>
              <w:fldChar w:fldCharType="end"/>
            </w:r>
          </w:hyperlink>
        </w:p>
        <w:p w14:paraId="7A0262FD"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31" w:history="1">
            <w:r w:rsidRPr="00790532">
              <w:rPr>
                <w:rStyle w:val="Hyperlink"/>
                <w:noProof/>
              </w:rPr>
              <w:t>Marco Metodológico</w:t>
            </w:r>
            <w:r>
              <w:rPr>
                <w:noProof/>
                <w:webHidden/>
              </w:rPr>
              <w:tab/>
            </w:r>
            <w:r>
              <w:rPr>
                <w:noProof/>
                <w:webHidden/>
              </w:rPr>
              <w:fldChar w:fldCharType="begin"/>
            </w:r>
            <w:r>
              <w:rPr>
                <w:noProof/>
                <w:webHidden/>
              </w:rPr>
              <w:instrText xml:space="preserve"> PAGEREF _Toc228522531 \h </w:instrText>
            </w:r>
            <w:r>
              <w:rPr>
                <w:noProof/>
                <w:webHidden/>
              </w:rPr>
            </w:r>
            <w:r>
              <w:rPr>
                <w:noProof/>
                <w:webHidden/>
              </w:rPr>
              <w:fldChar w:fldCharType="separate"/>
            </w:r>
            <w:r>
              <w:rPr>
                <w:noProof/>
                <w:webHidden/>
              </w:rPr>
              <w:t>xiii</w:t>
            </w:r>
            <w:r>
              <w:rPr>
                <w:noProof/>
                <w:webHidden/>
              </w:rPr>
              <w:fldChar w:fldCharType="end"/>
            </w:r>
          </w:hyperlink>
        </w:p>
        <w:p w14:paraId="489C7966"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32" w:history="1">
            <w:r w:rsidRPr="00790532">
              <w:rPr>
                <w:rStyle w:val="Hyperlink"/>
                <w:noProof/>
              </w:rPr>
              <w:t>Problema de investigación</w:t>
            </w:r>
            <w:r>
              <w:rPr>
                <w:noProof/>
                <w:webHidden/>
              </w:rPr>
              <w:tab/>
            </w:r>
            <w:r>
              <w:rPr>
                <w:noProof/>
                <w:webHidden/>
              </w:rPr>
              <w:fldChar w:fldCharType="begin"/>
            </w:r>
            <w:r>
              <w:rPr>
                <w:noProof/>
                <w:webHidden/>
              </w:rPr>
              <w:instrText xml:space="preserve"> PAGEREF _Toc228522532 \h </w:instrText>
            </w:r>
            <w:r>
              <w:rPr>
                <w:noProof/>
                <w:webHidden/>
              </w:rPr>
            </w:r>
            <w:r>
              <w:rPr>
                <w:noProof/>
                <w:webHidden/>
              </w:rPr>
              <w:fldChar w:fldCharType="separate"/>
            </w:r>
            <w:r>
              <w:rPr>
                <w:noProof/>
                <w:webHidden/>
              </w:rPr>
              <w:t>xiii</w:t>
            </w:r>
            <w:r>
              <w:rPr>
                <w:noProof/>
                <w:webHidden/>
              </w:rPr>
              <w:fldChar w:fldCharType="end"/>
            </w:r>
          </w:hyperlink>
        </w:p>
        <w:p w14:paraId="35EA10B4"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33" w:history="1">
            <w:r w:rsidRPr="00790532">
              <w:rPr>
                <w:rStyle w:val="Hyperlink"/>
                <w:noProof/>
              </w:rPr>
              <w:t>Justificación científica y práctica</w:t>
            </w:r>
            <w:r>
              <w:rPr>
                <w:noProof/>
                <w:webHidden/>
              </w:rPr>
              <w:tab/>
            </w:r>
            <w:r>
              <w:rPr>
                <w:noProof/>
                <w:webHidden/>
              </w:rPr>
              <w:fldChar w:fldCharType="begin"/>
            </w:r>
            <w:r>
              <w:rPr>
                <w:noProof/>
                <w:webHidden/>
              </w:rPr>
              <w:instrText xml:space="preserve"> PAGEREF _Toc228522533 \h </w:instrText>
            </w:r>
            <w:r>
              <w:rPr>
                <w:noProof/>
                <w:webHidden/>
              </w:rPr>
            </w:r>
            <w:r>
              <w:rPr>
                <w:noProof/>
                <w:webHidden/>
              </w:rPr>
              <w:fldChar w:fldCharType="separate"/>
            </w:r>
            <w:r>
              <w:rPr>
                <w:noProof/>
                <w:webHidden/>
              </w:rPr>
              <w:t>xv</w:t>
            </w:r>
            <w:r>
              <w:rPr>
                <w:noProof/>
                <w:webHidden/>
              </w:rPr>
              <w:fldChar w:fldCharType="end"/>
            </w:r>
          </w:hyperlink>
        </w:p>
        <w:p w14:paraId="6F8F8A47"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34" w:history="1">
            <w:r w:rsidRPr="00790532">
              <w:rPr>
                <w:rStyle w:val="Hyperlink"/>
                <w:noProof/>
              </w:rPr>
              <w:t>Objetivos e hipótesis</w:t>
            </w:r>
            <w:r>
              <w:rPr>
                <w:noProof/>
                <w:webHidden/>
              </w:rPr>
              <w:tab/>
            </w:r>
            <w:r>
              <w:rPr>
                <w:noProof/>
                <w:webHidden/>
              </w:rPr>
              <w:fldChar w:fldCharType="begin"/>
            </w:r>
            <w:r>
              <w:rPr>
                <w:noProof/>
                <w:webHidden/>
              </w:rPr>
              <w:instrText xml:space="preserve"> PAGEREF _Toc228522534 \h </w:instrText>
            </w:r>
            <w:r>
              <w:rPr>
                <w:noProof/>
                <w:webHidden/>
              </w:rPr>
            </w:r>
            <w:r>
              <w:rPr>
                <w:noProof/>
                <w:webHidden/>
              </w:rPr>
              <w:fldChar w:fldCharType="separate"/>
            </w:r>
            <w:r>
              <w:rPr>
                <w:noProof/>
                <w:webHidden/>
              </w:rPr>
              <w:t>xvi</w:t>
            </w:r>
            <w:r>
              <w:rPr>
                <w:noProof/>
                <w:webHidden/>
              </w:rPr>
              <w:fldChar w:fldCharType="end"/>
            </w:r>
          </w:hyperlink>
        </w:p>
        <w:p w14:paraId="70B8AB2B"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35" w:history="1">
            <w:r w:rsidRPr="00790532">
              <w:rPr>
                <w:rStyle w:val="Hyperlink"/>
                <w:noProof/>
              </w:rPr>
              <w:t>Objetivo general</w:t>
            </w:r>
            <w:r>
              <w:rPr>
                <w:noProof/>
                <w:webHidden/>
              </w:rPr>
              <w:tab/>
            </w:r>
            <w:r>
              <w:rPr>
                <w:noProof/>
                <w:webHidden/>
              </w:rPr>
              <w:fldChar w:fldCharType="begin"/>
            </w:r>
            <w:r>
              <w:rPr>
                <w:noProof/>
                <w:webHidden/>
              </w:rPr>
              <w:instrText xml:space="preserve"> PAGEREF _Toc228522535 \h </w:instrText>
            </w:r>
            <w:r>
              <w:rPr>
                <w:noProof/>
                <w:webHidden/>
              </w:rPr>
            </w:r>
            <w:r>
              <w:rPr>
                <w:noProof/>
                <w:webHidden/>
              </w:rPr>
              <w:fldChar w:fldCharType="separate"/>
            </w:r>
            <w:r>
              <w:rPr>
                <w:noProof/>
                <w:webHidden/>
              </w:rPr>
              <w:t>xvi</w:t>
            </w:r>
            <w:r>
              <w:rPr>
                <w:noProof/>
                <w:webHidden/>
              </w:rPr>
              <w:fldChar w:fldCharType="end"/>
            </w:r>
          </w:hyperlink>
        </w:p>
        <w:p w14:paraId="778B87A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36" w:history="1">
            <w:r w:rsidRPr="00790532">
              <w:rPr>
                <w:rStyle w:val="Hyperlink"/>
                <w:noProof/>
              </w:rPr>
              <w:t>Objetivos específicos</w:t>
            </w:r>
            <w:r>
              <w:rPr>
                <w:noProof/>
                <w:webHidden/>
              </w:rPr>
              <w:tab/>
            </w:r>
            <w:r>
              <w:rPr>
                <w:noProof/>
                <w:webHidden/>
              </w:rPr>
              <w:fldChar w:fldCharType="begin"/>
            </w:r>
            <w:r>
              <w:rPr>
                <w:noProof/>
                <w:webHidden/>
              </w:rPr>
              <w:instrText xml:space="preserve"> PAGEREF _Toc228522536 \h </w:instrText>
            </w:r>
            <w:r>
              <w:rPr>
                <w:noProof/>
                <w:webHidden/>
              </w:rPr>
            </w:r>
            <w:r>
              <w:rPr>
                <w:noProof/>
                <w:webHidden/>
              </w:rPr>
              <w:fldChar w:fldCharType="separate"/>
            </w:r>
            <w:r>
              <w:rPr>
                <w:noProof/>
                <w:webHidden/>
              </w:rPr>
              <w:t>xvi</w:t>
            </w:r>
            <w:r>
              <w:rPr>
                <w:noProof/>
                <w:webHidden/>
              </w:rPr>
              <w:fldChar w:fldCharType="end"/>
            </w:r>
          </w:hyperlink>
        </w:p>
        <w:p w14:paraId="3EE1102D"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37" w:history="1">
            <w:r w:rsidRPr="00790532">
              <w:rPr>
                <w:rStyle w:val="Hyperlink"/>
                <w:noProof/>
              </w:rPr>
              <w:t>Hipótesis o proposiciones de trabajo</w:t>
            </w:r>
            <w:r>
              <w:rPr>
                <w:noProof/>
                <w:webHidden/>
              </w:rPr>
              <w:tab/>
            </w:r>
            <w:r>
              <w:rPr>
                <w:noProof/>
                <w:webHidden/>
              </w:rPr>
              <w:fldChar w:fldCharType="begin"/>
            </w:r>
            <w:r>
              <w:rPr>
                <w:noProof/>
                <w:webHidden/>
              </w:rPr>
              <w:instrText xml:space="preserve"> PAGEREF _Toc228522537 \h </w:instrText>
            </w:r>
            <w:r>
              <w:rPr>
                <w:noProof/>
                <w:webHidden/>
              </w:rPr>
            </w:r>
            <w:r>
              <w:rPr>
                <w:noProof/>
                <w:webHidden/>
              </w:rPr>
              <w:fldChar w:fldCharType="separate"/>
            </w:r>
            <w:r>
              <w:rPr>
                <w:noProof/>
                <w:webHidden/>
              </w:rPr>
              <w:t>xvii</w:t>
            </w:r>
            <w:r>
              <w:rPr>
                <w:noProof/>
                <w:webHidden/>
              </w:rPr>
              <w:fldChar w:fldCharType="end"/>
            </w:r>
          </w:hyperlink>
        </w:p>
        <w:p w14:paraId="5B3672D3"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38" w:history="1">
            <w:r w:rsidRPr="00790532">
              <w:rPr>
                <w:rStyle w:val="Hyperlink"/>
                <w:noProof/>
              </w:rPr>
              <w:t>Metodología general de la investigación</w:t>
            </w:r>
            <w:r>
              <w:rPr>
                <w:noProof/>
                <w:webHidden/>
              </w:rPr>
              <w:tab/>
            </w:r>
            <w:r>
              <w:rPr>
                <w:noProof/>
                <w:webHidden/>
              </w:rPr>
              <w:fldChar w:fldCharType="begin"/>
            </w:r>
            <w:r>
              <w:rPr>
                <w:noProof/>
                <w:webHidden/>
              </w:rPr>
              <w:instrText xml:space="preserve"> PAGEREF _Toc228522538 \h </w:instrText>
            </w:r>
            <w:r>
              <w:rPr>
                <w:noProof/>
                <w:webHidden/>
              </w:rPr>
            </w:r>
            <w:r>
              <w:rPr>
                <w:noProof/>
                <w:webHidden/>
              </w:rPr>
              <w:fldChar w:fldCharType="separate"/>
            </w:r>
            <w:r>
              <w:rPr>
                <w:noProof/>
                <w:webHidden/>
              </w:rPr>
              <w:t>xviii</w:t>
            </w:r>
            <w:r>
              <w:rPr>
                <w:noProof/>
                <w:webHidden/>
              </w:rPr>
              <w:fldChar w:fldCharType="end"/>
            </w:r>
          </w:hyperlink>
        </w:p>
        <w:p w14:paraId="52DFF8B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39" w:history="1">
            <w:r w:rsidRPr="00790532">
              <w:rPr>
                <w:rStyle w:val="Hyperlink"/>
                <w:noProof/>
              </w:rPr>
              <w:t>Enfoque</w:t>
            </w:r>
            <w:r>
              <w:rPr>
                <w:noProof/>
                <w:webHidden/>
              </w:rPr>
              <w:tab/>
            </w:r>
            <w:r>
              <w:rPr>
                <w:noProof/>
                <w:webHidden/>
              </w:rPr>
              <w:fldChar w:fldCharType="begin"/>
            </w:r>
            <w:r>
              <w:rPr>
                <w:noProof/>
                <w:webHidden/>
              </w:rPr>
              <w:instrText xml:space="preserve"> PAGEREF _Toc228522539 \h </w:instrText>
            </w:r>
            <w:r>
              <w:rPr>
                <w:noProof/>
                <w:webHidden/>
              </w:rPr>
            </w:r>
            <w:r>
              <w:rPr>
                <w:noProof/>
                <w:webHidden/>
              </w:rPr>
              <w:fldChar w:fldCharType="separate"/>
            </w:r>
            <w:r>
              <w:rPr>
                <w:noProof/>
                <w:webHidden/>
              </w:rPr>
              <w:t>xviii</w:t>
            </w:r>
            <w:r>
              <w:rPr>
                <w:noProof/>
                <w:webHidden/>
              </w:rPr>
              <w:fldChar w:fldCharType="end"/>
            </w:r>
          </w:hyperlink>
        </w:p>
        <w:p w14:paraId="7556870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0" w:history="1">
            <w:r w:rsidRPr="00790532">
              <w:rPr>
                <w:rStyle w:val="Hyperlink"/>
                <w:noProof/>
              </w:rPr>
              <w:t>Tipo de investigación</w:t>
            </w:r>
            <w:r>
              <w:rPr>
                <w:noProof/>
                <w:webHidden/>
              </w:rPr>
              <w:tab/>
            </w:r>
            <w:r>
              <w:rPr>
                <w:noProof/>
                <w:webHidden/>
              </w:rPr>
              <w:fldChar w:fldCharType="begin"/>
            </w:r>
            <w:r>
              <w:rPr>
                <w:noProof/>
                <w:webHidden/>
              </w:rPr>
              <w:instrText xml:space="preserve"> PAGEREF _Toc228522540 \h </w:instrText>
            </w:r>
            <w:r>
              <w:rPr>
                <w:noProof/>
                <w:webHidden/>
              </w:rPr>
            </w:r>
            <w:r>
              <w:rPr>
                <w:noProof/>
                <w:webHidden/>
              </w:rPr>
              <w:fldChar w:fldCharType="separate"/>
            </w:r>
            <w:r>
              <w:rPr>
                <w:noProof/>
                <w:webHidden/>
              </w:rPr>
              <w:t>xix</w:t>
            </w:r>
            <w:r>
              <w:rPr>
                <w:noProof/>
                <w:webHidden/>
              </w:rPr>
              <w:fldChar w:fldCharType="end"/>
            </w:r>
          </w:hyperlink>
        </w:p>
        <w:p w14:paraId="1387415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1" w:history="1">
            <w:r w:rsidRPr="00790532">
              <w:rPr>
                <w:rStyle w:val="Hyperlink"/>
                <w:noProof/>
              </w:rPr>
              <w:t>Universo y contexto experimental</w:t>
            </w:r>
            <w:r>
              <w:rPr>
                <w:noProof/>
                <w:webHidden/>
              </w:rPr>
              <w:tab/>
            </w:r>
            <w:r>
              <w:rPr>
                <w:noProof/>
                <w:webHidden/>
              </w:rPr>
              <w:fldChar w:fldCharType="begin"/>
            </w:r>
            <w:r>
              <w:rPr>
                <w:noProof/>
                <w:webHidden/>
              </w:rPr>
              <w:instrText xml:space="preserve"> PAGEREF _Toc228522541 \h </w:instrText>
            </w:r>
            <w:r>
              <w:rPr>
                <w:noProof/>
                <w:webHidden/>
              </w:rPr>
            </w:r>
            <w:r>
              <w:rPr>
                <w:noProof/>
                <w:webHidden/>
              </w:rPr>
              <w:fldChar w:fldCharType="separate"/>
            </w:r>
            <w:r>
              <w:rPr>
                <w:noProof/>
                <w:webHidden/>
              </w:rPr>
              <w:t>xix</w:t>
            </w:r>
            <w:r>
              <w:rPr>
                <w:noProof/>
                <w:webHidden/>
              </w:rPr>
              <w:fldChar w:fldCharType="end"/>
            </w:r>
          </w:hyperlink>
        </w:p>
        <w:p w14:paraId="46E2246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2" w:history="1">
            <w:r w:rsidRPr="00790532">
              <w:rPr>
                <w:rStyle w:val="Hyperlink"/>
                <w:noProof/>
              </w:rPr>
              <w:t>Muestra de datasets, modelos y métodos XAI</w:t>
            </w:r>
            <w:r>
              <w:rPr>
                <w:noProof/>
                <w:webHidden/>
              </w:rPr>
              <w:tab/>
            </w:r>
            <w:r>
              <w:rPr>
                <w:noProof/>
                <w:webHidden/>
              </w:rPr>
              <w:fldChar w:fldCharType="begin"/>
            </w:r>
            <w:r>
              <w:rPr>
                <w:noProof/>
                <w:webHidden/>
              </w:rPr>
              <w:instrText xml:space="preserve"> PAGEREF _Toc228522542 \h </w:instrText>
            </w:r>
            <w:r>
              <w:rPr>
                <w:noProof/>
                <w:webHidden/>
              </w:rPr>
            </w:r>
            <w:r>
              <w:rPr>
                <w:noProof/>
                <w:webHidden/>
              </w:rPr>
              <w:fldChar w:fldCharType="separate"/>
            </w:r>
            <w:r>
              <w:rPr>
                <w:noProof/>
                <w:webHidden/>
              </w:rPr>
              <w:t>xix</w:t>
            </w:r>
            <w:r>
              <w:rPr>
                <w:noProof/>
                <w:webHidden/>
              </w:rPr>
              <w:fldChar w:fldCharType="end"/>
            </w:r>
          </w:hyperlink>
        </w:p>
        <w:p w14:paraId="6C9C85E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3" w:history="1">
            <w:r w:rsidRPr="00790532">
              <w:rPr>
                <w:rStyle w:val="Hyperlink"/>
                <w:noProof/>
              </w:rPr>
              <w:t>Criterios de inclusión y exclusión</w:t>
            </w:r>
            <w:r>
              <w:rPr>
                <w:noProof/>
                <w:webHidden/>
              </w:rPr>
              <w:tab/>
            </w:r>
            <w:r>
              <w:rPr>
                <w:noProof/>
                <w:webHidden/>
              </w:rPr>
              <w:fldChar w:fldCharType="begin"/>
            </w:r>
            <w:r>
              <w:rPr>
                <w:noProof/>
                <w:webHidden/>
              </w:rPr>
              <w:instrText xml:space="preserve"> PAGEREF _Toc228522543 \h </w:instrText>
            </w:r>
            <w:r>
              <w:rPr>
                <w:noProof/>
                <w:webHidden/>
              </w:rPr>
            </w:r>
            <w:r>
              <w:rPr>
                <w:noProof/>
                <w:webHidden/>
              </w:rPr>
              <w:fldChar w:fldCharType="separate"/>
            </w:r>
            <w:r>
              <w:rPr>
                <w:noProof/>
                <w:webHidden/>
              </w:rPr>
              <w:t>xx</w:t>
            </w:r>
            <w:r>
              <w:rPr>
                <w:noProof/>
                <w:webHidden/>
              </w:rPr>
              <w:fldChar w:fldCharType="end"/>
            </w:r>
          </w:hyperlink>
        </w:p>
        <w:p w14:paraId="4BC99EA6"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4" w:history="1">
            <w:r w:rsidRPr="00790532">
              <w:rPr>
                <w:rStyle w:val="Hyperlink"/>
                <w:noProof/>
              </w:rPr>
              <w:t>Variables, dimensiones y métricas</w:t>
            </w:r>
            <w:r>
              <w:rPr>
                <w:noProof/>
                <w:webHidden/>
              </w:rPr>
              <w:tab/>
            </w:r>
            <w:r>
              <w:rPr>
                <w:noProof/>
                <w:webHidden/>
              </w:rPr>
              <w:fldChar w:fldCharType="begin"/>
            </w:r>
            <w:r>
              <w:rPr>
                <w:noProof/>
                <w:webHidden/>
              </w:rPr>
              <w:instrText xml:space="preserve"> PAGEREF _Toc228522544 \h </w:instrText>
            </w:r>
            <w:r>
              <w:rPr>
                <w:noProof/>
                <w:webHidden/>
              </w:rPr>
            </w:r>
            <w:r>
              <w:rPr>
                <w:noProof/>
                <w:webHidden/>
              </w:rPr>
              <w:fldChar w:fldCharType="separate"/>
            </w:r>
            <w:r>
              <w:rPr>
                <w:noProof/>
                <w:webHidden/>
              </w:rPr>
              <w:t>xxi</w:t>
            </w:r>
            <w:r>
              <w:rPr>
                <w:noProof/>
                <w:webHidden/>
              </w:rPr>
              <w:fldChar w:fldCharType="end"/>
            </w:r>
          </w:hyperlink>
        </w:p>
        <w:p w14:paraId="10D814E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45" w:history="1">
            <w:r w:rsidRPr="00790532">
              <w:rPr>
                <w:rStyle w:val="Hyperlink"/>
                <w:noProof/>
              </w:rPr>
              <w:t>Estrategia procedimental</w:t>
            </w:r>
            <w:r>
              <w:rPr>
                <w:noProof/>
                <w:webHidden/>
              </w:rPr>
              <w:tab/>
            </w:r>
            <w:r>
              <w:rPr>
                <w:noProof/>
                <w:webHidden/>
              </w:rPr>
              <w:fldChar w:fldCharType="begin"/>
            </w:r>
            <w:r>
              <w:rPr>
                <w:noProof/>
                <w:webHidden/>
              </w:rPr>
              <w:instrText xml:space="preserve"> PAGEREF _Toc228522545 \h </w:instrText>
            </w:r>
            <w:r>
              <w:rPr>
                <w:noProof/>
                <w:webHidden/>
              </w:rPr>
            </w:r>
            <w:r>
              <w:rPr>
                <w:noProof/>
                <w:webHidden/>
              </w:rPr>
              <w:fldChar w:fldCharType="separate"/>
            </w:r>
            <w:r>
              <w:rPr>
                <w:noProof/>
                <w:webHidden/>
              </w:rPr>
              <w:t>xxii</w:t>
            </w:r>
            <w:r>
              <w:rPr>
                <w:noProof/>
                <w:webHidden/>
              </w:rPr>
              <w:fldChar w:fldCharType="end"/>
            </w:r>
          </w:hyperlink>
        </w:p>
        <w:p w14:paraId="4CA6D083"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46" w:history="1">
            <w:r w:rsidRPr="00790532">
              <w:rPr>
                <w:rStyle w:val="Hyperlink"/>
                <w:noProof/>
              </w:rPr>
              <w:t>Marco teórico específico / fundamentos conceptuales</w:t>
            </w:r>
            <w:r>
              <w:rPr>
                <w:noProof/>
                <w:webHidden/>
              </w:rPr>
              <w:tab/>
            </w:r>
            <w:r>
              <w:rPr>
                <w:noProof/>
                <w:webHidden/>
              </w:rPr>
              <w:fldChar w:fldCharType="begin"/>
            </w:r>
            <w:r>
              <w:rPr>
                <w:noProof/>
                <w:webHidden/>
              </w:rPr>
              <w:instrText xml:space="preserve"> PAGEREF _Toc228522546 \h </w:instrText>
            </w:r>
            <w:r>
              <w:rPr>
                <w:noProof/>
                <w:webHidden/>
              </w:rPr>
            </w:r>
            <w:r>
              <w:rPr>
                <w:noProof/>
                <w:webHidden/>
              </w:rPr>
              <w:fldChar w:fldCharType="separate"/>
            </w:r>
            <w:r>
              <w:rPr>
                <w:noProof/>
                <w:webHidden/>
              </w:rPr>
              <w:t>xxiii</w:t>
            </w:r>
            <w:r>
              <w:rPr>
                <w:noProof/>
                <w:webHidden/>
              </w:rPr>
              <w:fldChar w:fldCharType="end"/>
            </w:r>
          </w:hyperlink>
        </w:p>
        <w:p w14:paraId="369A0F53"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47" w:history="1">
            <w:r w:rsidRPr="00790532">
              <w:rPr>
                <w:rStyle w:val="Hyperlink"/>
                <w:noProof/>
              </w:rPr>
              <w:t>Estado del arte en XAI e interpretabilidad agnóstica</w:t>
            </w:r>
            <w:r>
              <w:rPr>
                <w:noProof/>
                <w:webHidden/>
              </w:rPr>
              <w:tab/>
            </w:r>
            <w:r>
              <w:rPr>
                <w:noProof/>
                <w:webHidden/>
              </w:rPr>
              <w:fldChar w:fldCharType="begin"/>
            </w:r>
            <w:r>
              <w:rPr>
                <w:noProof/>
                <w:webHidden/>
              </w:rPr>
              <w:instrText xml:space="preserve"> PAGEREF _Toc228522547 \h </w:instrText>
            </w:r>
            <w:r>
              <w:rPr>
                <w:noProof/>
                <w:webHidden/>
              </w:rPr>
            </w:r>
            <w:r>
              <w:rPr>
                <w:noProof/>
                <w:webHidden/>
              </w:rPr>
              <w:fldChar w:fldCharType="separate"/>
            </w:r>
            <w:r>
              <w:rPr>
                <w:noProof/>
                <w:webHidden/>
              </w:rPr>
              <w:t>xxiii</w:t>
            </w:r>
            <w:r>
              <w:rPr>
                <w:noProof/>
                <w:webHidden/>
              </w:rPr>
              <w:fldChar w:fldCharType="end"/>
            </w:r>
          </w:hyperlink>
        </w:p>
        <w:p w14:paraId="4F4AC5E8"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48" w:history="1">
            <w:r w:rsidRPr="00790532">
              <w:rPr>
                <w:rStyle w:val="Hyperlink"/>
                <w:noProof/>
              </w:rPr>
              <w:t>Fundamentos de IA de caja negra</w:t>
            </w:r>
            <w:r>
              <w:rPr>
                <w:noProof/>
                <w:webHidden/>
              </w:rPr>
              <w:tab/>
            </w:r>
            <w:r>
              <w:rPr>
                <w:noProof/>
                <w:webHidden/>
              </w:rPr>
              <w:fldChar w:fldCharType="begin"/>
            </w:r>
            <w:r>
              <w:rPr>
                <w:noProof/>
                <w:webHidden/>
              </w:rPr>
              <w:instrText xml:space="preserve"> PAGEREF _Toc228522548 \h </w:instrText>
            </w:r>
            <w:r>
              <w:rPr>
                <w:noProof/>
                <w:webHidden/>
              </w:rPr>
            </w:r>
            <w:r>
              <w:rPr>
                <w:noProof/>
                <w:webHidden/>
              </w:rPr>
              <w:fldChar w:fldCharType="separate"/>
            </w:r>
            <w:r>
              <w:rPr>
                <w:noProof/>
                <w:webHidden/>
              </w:rPr>
              <w:t>xxiv</w:t>
            </w:r>
            <w:r>
              <w:rPr>
                <w:noProof/>
                <w:webHidden/>
              </w:rPr>
              <w:fldChar w:fldCharType="end"/>
            </w:r>
          </w:hyperlink>
        </w:p>
        <w:p w14:paraId="02973E8F"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49" w:history="1">
            <w:r w:rsidRPr="00790532">
              <w:rPr>
                <w:rStyle w:val="Hyperlink"/>
                <w:noProof/>
              </w:rPr>
              <w:t>Interpretabilidad y explicabilidad</w:t>
            </w:r>
            <w:r>
              <w:rPr>
                <w:noProof/>
                <w:webHidden/>
              </w:rPr>
              <w:tab/>
            </w:r>
            <w:r>
              <w:rPr>
                <w:noProof/>
                <w:webHidden/>
              </w:rPr>
              <w:fldChar w:fldCharType="begin"/>
            </w:r>
            <w:r>
              <w:rPr>
                <w:noProof/>
                <w:webHidden/>
              </w:rPr>
              <w:instrText xml:space="preserve"> PAGEREF _Toc228522549 \h </w:instrText>
            </w:r>
            <w:r>
              <w:rPr>
                <w:noProof/>
                <w:webHidden/>
              </w:rPr>
            </w:r>
            <w:r>
              <w:rPr>
                <w:noProof/>
                <w:webHidden/>
              </w:rPr>
              <w:fldChar w:fldCharType="separate"/>
            </w:r>
            <w:r>
              <w:rPr>
                <w:noProof/>
                <w:webHidden/>
              </w:rPr>
              <w:t>xxv</w:t>
            </w:r>
            <w:r>
              <w:rPr>
                <w:noProof/>
                <w:webHidden/>
              </w:rPr>
              <w:fldChar w:fldCharType="end"/>
            </w:r>
          </w:hyperlink>
        </w:p>
        <w:p w14:paraId="7F47AF4A"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50" w:history="1">
            <w:r w:rsidRPr="00790532">
              <w:rPr>
                <w:rStyle w:val="Hyperlink"/>
                <w:noProof/>
              </w:rPr>
              <w:t>Criterios de evaluación de explicaciones</w:t>
            </w:r>
            <w:r>
              <w:rPr>
                <w:noProof/>
                <w:webHidden/>
              </w:rPr>
              <w:tab/>
            </w:r>
            <w:r>
              <w:rPr>
                <w:noProof/>
                <w:webHidden/>
              </w:rPr>
              <w:fldChar w:fldCharType="begin"/>
            </w:r>
            <w:r>
              <w:rPr>
                <w:noProof/>
                <w:webHidden/>
              </w:rPr>
              <w:instrText xml:space="preserve"> PAGEREF _Toc228522550 \h </w:instrText>
            </w:r>
            <w:r>
              <w:rPr>
                <w:noProof/>
                <w:webHidden/>
              </w:rPr>
            </w:r>
            <w:r>
              <w:rPr>
                <w:noProof/>
                <w:webHidden/>
              </w:rPr>
              <w:fldChar w:fldCharType="separate"/>
            </w:r>
            <w:r>
              <w:rPr>
                <w:noProof/>
                <w:webHidden/>
              </w:rPr>
              <w:t>xxvi</w:t>
            </w:r>
            <w:r>
              <w:rPr>
                <w:noProof/>
                <w:webHidden/>
              </w:rPr>
              <w:fldChar w:fldCharType="end"/>
            </w:r>
          </w:hyperlink>
        </w:p>
        <w:p w14:paraId="7C1CA4B0"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1" w:history="1">
            <w:r w:rsidRPr="00790532">
              <w:rPr>
                <w:rStyle w:val="Hyperlink"/>
                <w:noProof/>
              </w:rPr>
              <w:t>Fidelidad</w:t>
            </w:r>
            <w:r>
              <w:rPr>
                <w:noProof/>
                <w:webHidden/>
              </w:rPr>
              <w:tab/>
            </w:r>
            <w:r>
              <w:rPr>
                <w:noProof/>
                <w:webHidden/>
              </w:rPr>
              <w:fldChar w:fldCharType="begin"/>
            </w:r>
            <w:r>
              <w:rPr>
                <w:noProof/>
                <w:webHidden/>
              </w:rPr>
              <w:instrText xml:space="preserve"> PAGEREF _Toc228522551 \h </w:instrText>
            </w:r>
            <w:r>
              <w:rPr>
                <w:noProof/>
                <w:webHidden/>
              </w:rPr>
            </w:r>
            <w:r>
              <w:rPr>
                <w:noProof/>
                <w:webHidden/>
              </w:rPr>
              <w:fldChar w:fldCharType="separate"/>
            </w:r>
            <w:r>
              <w:rPr>
                <w:noProof/>
                <w:webHidden/>
              </w:rPr>
              <w:t>xxvi</w:t>
            </w:r>
            <w:r>
              <w:rPr>
                <w:noProof/>
                <w:webHidden/>
              </w:rPr>
              <w:fldChar w:fldCharType="end"/>
            </w:r>
          </w:hyperlink>
        </w:p>
        <w:p w14:paraId="71E6FFF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2" w:history="1">
            <w:r w:rsidRPr="00790532">
              <w:rPr>
                <w:rStyle w:val="Hyperlink"/>
                <w:noProof/>
              </w:rPr>
              <w:t>Estabilidad</w:t>
            </w:r>
            <w:r>
              <w:rPr>
                <w:noProof/>
                <w:webHidden/>
              </w:rPr>
              <w:tab/>
            </w:r>
            <w:r>
              <w:rPr>
                <w:noProof/>
                <w:webHidden/>
              </w:rPr>
              <w:fldChar w:fldCharType="begin"/>
            </w:r>
            <w:r>
              <w:rPr>
                <w:noProof/>
                <w:webHidden/>
              </w:rPr>
              <w:instrText xml:space="preserve"> PAGEREF _Toc228522552 \h </w:instrText>
            </w:r>
            <w:r>
              <w:rPr>
                <w:noProof/>
                <w:webHidden/>
              </w:rPr>
            </w:r>
            <w:r>
              <w:rPr>
                <w:noProof/>
                <w:webHidden/>
              </w:rPr>
              <w:fldChar w:fldCharType="separate"/>
            </w:r>
            <w:r>
              <w:rPr>
                <w:noProof/>
                <w:webHidden/>
              </w:rPr>
              <w:t>xxvi</w:t>
            </w:r>
            <w:r>
              <w:rPr>
                <w:noProof/>
                <w:webHidden/>
              </w:rPr>
              <w:fldChar w:fldCharType="end"/>
            </w:r>
          </w:hyperlink>
        </w:p>
        <w:p w14:paraId="45F7066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3" w:history="1">
            <w:r w:rsidRPr="00790532">
              <w:rPr>
                <w:rStyle w:val="Hyperlink"/>
                <w:noProof/>
              </w:rPr>
              <w:t>Robustez</w:t>
            </w:r>
            <w:r>
              <w:rPr>
                <w:noProof/>
                <w:webHidden/>
              </w:rPr>
              <w:tab/>
            </w:r>
            <w:r>
              <w:rPr>
                <w:noProof/>
                <w:webHidden/>
              </w:rPr>
              <w:fldChar w:fldCharType="begin"/>
            </w:r>
            <w:r>
              <w:rPr>
                <w:noProof/>
                <w:webHidden/>
              </w:rPr>
              <w:instrText xml:space="preserve"> PAGEREF _Toc228522553 \h </w:instrText>
            </w:r>
            <w:r>
              <w:rPr>
                <w:noProof/>
                <w:webHidden/>
              </w:rPr>
            </w:r>
            <w:r>
              <w:rPr>
                <w:noProof/>
                <w:webHidden/>
              </w:rPr>
              <w:fldChar w:fldCharType="separate"/>
            </w:r>
            <w:r>
              <w:rPr>
                <w:noProof/>
                <w:webHidden/>
              </w:rPr>
              <w:t>xxvii</w:t>
            </w:r>
            <w:r>
              <w:rPr>
                <w:noProof/>
                <w:webHidden/>
              </w:rPr>
              <w:fldChar w:fldCharType="end"/>
            </w:r>
          </w:hyperlink>
        </w:p>
        <w:p w14:paraId="30BD0BD0"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4" w:history="1">
            <w:r w:rsidRPr="00790532">
              <w:rPr>
                <w:rStyle w:val="Hyperlink"/>
                <w:noProof/>
              </w:rPr>
              <w:t>Sparsity / complejidad</w:t>
            </w:r>
            <w:r>
              <w:rPr>
                <w:noProof/>
                <w:webHidden/>
              </w:rPr>
              <w:tab/>
            </w:r>
            <w:r>
              <w:rPr>
                <w:noProof/>
                <w:webHidden/>
              </w:rPr>
              <w:fldChar w:fldCharType="begin"/>
            </w:r>
            <w:r>
              <w:rPr>
                <w:noProof/>
                <w:webHidden/>
              </w:rPr>
              <w:instrText xml:space="preserve"> PAGEREF _Toc228522554 \h </w:instrText>
            </w:r>
            <w:r>
              <w:rPr>
                <w:noProof/>
                <w:webHidden/>
              </w:rPr>
            </w:r>
            <w:r>
              <w:rPr>
                <w:noProof/>
                <w:webHidden/>
              </w:rPr>
              <w:fldChar w:fldCharType="separate"/>
            </w:r>
            <w:r>
              <w:rPr>
                <w:noProof/>
                <w:webHidden/>
              </w:rPr>
              <w:t>xxvii</w:t>
            </w:r>
            <w:r>
              <w:rPr>
                <w:noProof/>
                <w:webHidden/>
              </w:rPr>
              <w:fldChar w:fldCharType="end"/>
            </w:r>
          </w:hyperlink>
        </w:p>
        <w:p w14:paraId="5F7AEA1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5" w:history="1">
            <w:r w:rsidRPr="00790532">
              <w:rPr>
                <w:rStyle w:val="Hyperlink"/>
                <w:noProof/>
              </w:rPr>
              <w:t>Coste computacional</w:t>
            </w:r>
            <w:r>
              <w:rPr>
                <w:noProof/>
                <w:webHidden/>
              </w:rPr>
              <w:tab/>
            </w:r>
            <w:r>
              <w:rPr>
                <w:noProof/>
                <w:webHidden/>
              </w:rPr>
              <w:fldChar w:fldCharType="begin"/>
            </w:r>
            <w:r>
              <w:rPr>
                <w:noProof/>
                <w:webHidden/>
              </w:rPr>
              <w:instrText xml:space="preserve"> PAGEREF _Toc228522555 \h </w:instrText>
            </w:r>
            <w:r>
              <w:rPr>
                <w:noProof/>
                <w:webHidden/>
              </w:rPr>
            </w:r>
            <w:r>
              <w:rPr>
                <w:noProof/>
                <w:webHidden/>
              </w:rPr>
              <w:fldChar w:fldCharType="separate"/>
            </w:r>
            <w:r>
              <w:rPr>
                <w:noProof/>
                <w:webHidden/>
              </w:rPr>
              <w:t>xxvii</w:t>
            </w:r>
            <w:r>
              <w:rPr>
                <w:noProof/>
                <w:webHidden/>
              </w:rPr>
              <w:fldChar w:fldCharType="end"/>
            </w:r>
          </w:hyperlink>
        </w:p>
        <w:p w14:paraId="0973C27D"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6" w:history="1">
            <w:r w:rsidRPr="00790532">
              <w:rPr>
                <w:rStyle w:val="Hyperlink"/>
                <w:noProof/>
              </w:rPr>
              <w:t>Alineación causal y sensibilidad contrafactual</w:t>
            </w:r>
            <w:r>
              <w:rPr>
                <w:noProof/>
                <w:webHidden/>
              </w:rPr>
              <w:tab/>
            </w:r>
            <w:r>
              <w:rPr>
                <w:noProof/>
                <w:webHidden/>
              </w:rPr>
              <w:fldChar w:fldCharType="begin"/>
            </w:r>
            <w:r>
              <w:rPr>
                <w:noProof/>
                <w:webHidden/>
              </w:rPr>
              <w:instrText xml:space="preserve"> PAGEREF _Toc228522556 \h </w:instrText>
            </w:r>
            <w:r>
              <w:rPr>
                <w:noProof/>
                <w:webHidden/>
              </w:rPr>
            </w:r>
            <w:r>
              <w:rPr>
                <w:noProof/>
                <w:webHidden/>
              </w:rPr>
              <w:fldChar w:fldCharType="separate"/>
            </w:r>
            <w:r>
              <w:rPr>
                <w:noProof/>
                <w:webHidden/>
              </w:rPr>
              <w:t>xxviii</w:t>
            </w:r>
            <w:r>
              <w:rPr>
                <w:noProof/>
                <w:webHidden/>
              </w:rPr>
              <w:fldChar w:fldCharType="end"/>
            </w:r>
          </w:hyperlink>
        </w:p>
        <w:p w14:paraId="38F8DD1F"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57" w:history="1">
            <w:r w:rsidRPr="00790532">
              <w:rPr>
                <w:rStyle w:val="Hyperlink"/>
                <w:noProof/>
              </w:rPr>
              <w:t>Marco empírico y diseño experimental</w:t>
            </w:r>
            <w:r>
              <w:rPr>
                <w:noProof/>
                <w:webHidden/>
              </w:rPr>
              <w:tab/>
            </w:r>
            <w:r>
              <w:rPr>
                <w:noProof/>
                <w:webHidden/>
              </w:rPr>
              <w:fldChar w:fldCharType="begin"/>
            </w:r>
            <w:r>
              <w:rPr>
                <w:noProof/>
                <w:webHidden/>
              </w:rPr>
              <w:instrText xml:space="preserve"> PAGEREF _Toc228522557 \h </w:instrText>
            </w:r>
            <w:r>
              <w:rPr>
                <w:noProof/>
                <w:webHidden/>
              </w:rPr>
            </w:r>
            <w:r>
              <w:rPr>
                <w:noProof/>
                <w:webHidden/>
              </w:rPr>
              <w:fldChar w:fldCharType="separate"/>
            </w:r>
            <w:r>
              <w:rPr>
                <w:noProof/>
                <w:webHidden/>
              </w:rPr>
              <w:t>xxviii</w:t>
            </w:r>
            <w:r>
              <w:rPr>
                <w:noProof/>
                <w:webHidden/>
              </w:rPr>
              <w:fldChar w:fldCharType="end"/>
            </w:r>
          </w:hyperlink>
        </w:p>
        <w:p w14:paraId="3E47D271"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58" w:history="1">
            <w:r w:rsidRPr="00790532">
              <w:rPr>
                <w:rStyle w:val="Hyperlink"/>
                <w:noProof/>
              </w:rPr>
              <w:t>Fases experimentales: EXP1, EXP2 y EXP3</w:t>
            </w:r>
            <w:r>
              <w:rPr>
                <w:noProof/>
                <w:webHidden/>
              </w:rPr>
              <w:tab/>
            </w:r>
            <w:r>
              <w:rPr>
                <w:noProof/>
                <w:webHidden/>
              </w:rPr>
              <w:fldChar w:fldCharType="begin"/>
            </w:r>
            <w:r>
              <w:rPr>
                <w:noProof/>
                <w:webHidden/>
              </w:rPr>
              <w:instrText xml:space="preserve"> PAGEREF _Toc228522558 \h </w:instrText>
            </w:r>
            <w:r>
              <w:rPr>
                <w:noProof/>
                <w:webHidden/>
              </w:rPr>
            </w:r>
            <w:r>
              <w:rPr>
                <w:noProof/>
                <w:webHidden/>
              </w:rPr>
              <w:fldChar w:fldCharType="separate"/>
            </w:r>
            <w:r>
              <w:rPr>
                <w:noProof/>
                <w:webHidden/>
              </w:rPr>
              <w:t>xxix</w:t>
            </w:r>
            <w:r>
              <w:rPr>
                <w:noProof/>
                <w:webHidden/>
              </w:rPr>
              <w:fldChar w:fldCharType="end"/>
            </w:r>
          </w:hyperlink>
        </w:p>
        <w:p w14:paraId="64610D4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59" w:history="1">
            <w:r w:rsidRPr="00790532">
              <w:rPr>
                <w:rStyle w:val="Hyperlink"/>
                <w:noProof/>
              </w:rPr>
              <w:t>Fase de calibración y reproducibilidad (EXP1)</w:t>
            </w:r>
            <w:r>
              <w:rPr>
                <w:noProof/>
                <w:webHidden/>
              </w:rPr>
              <w:tab/>
            </w:r>
            <w:r>
              <w:rPr>
                <w:noProof/>
                <w:webHidden/>
              </w:rPr>
              <w:fldChar w:fldCharType="begin"/>
            </w:r>
            <w:r>
              <w:rPr>
                <w:noProof/>
                <w:webHidden/>
              </w:rPr>
              <w:instrText xml:space="preserve"> PAGEREF _Toc228522559 \h </w:instrText>
            </w:r>
            <w:r>
              <w:rPr>
                <w:noProof/>
                <w:webHidden/>
              </w:rPr>
            </w:r>
            <w:r>
              <w:rPr>
                <w:noProof/>
                <w:webHidden/>
              </w:rPr>
              <w:fldChar w:fldCharType="separate"/>
            </w:r>
            <w:r>
              <w:rPr>
                <w:noProof/>
                <w:webHidden/>
              </w:rPr>
              <w:t>xxix</w:t>
            </w:r>
            <w:r>
              <w:rPr>
                <w:noProof/>
                <w:webHidden/>
              </w:rPr>
              <w:fldChar w:fldCharType="end"/>
            </w:r>
          </w:hyperlink>
        </w:p>
        <w:p w14:paraId="7A46F032"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0" w:history="1">
            <w:r w:rsidRPr="00790532">
              <w:rPr>
                <w:rStyle w:val="Hyperlink"/>
                <w:noProof/>
              </w:rPr>
              <w:t>Fase de benchmark primario de robustez (EXP2)</w:t>
            </w:r>
            <w:r>
              <w:rPr>
                <w:noProof/>
                <w:webHidden/>
              </w:rPr>
              <w:tab/>
            </w:r>
            <w:r>
              <w:rPr>
                <w:noProof/>
                <w:webHidden/>
              </w:rPr>
              <w:fldChar w:fldCharType="begin"/>
            </w:r>
            <w:r>
              <w:rPr>
                <w:noProof/>
                <w:webHidden/>
              </w:rPr>
              <w:instrText xml:space="preserve"> PAGEREF _Toc228522560 \h </w:instrText>
            </w:r>
            <w:r>
              <w:rPr>
                <w:noProof/>
                <w:webHidden/>
              </w:rPr>
            </w:r>
            <w:r>
              <w:rPr>
                <w:noProof/>
                <w:webHidden/>
              </w:rPr>
              <w:fldChar w:fldCharType="separate"/>
            </w:r>
            <w:r>
              <w:rPr>
                <w:noProof/>
                <w:webHidden/>
              </w:rPr>
              <w:t>xxxi</w:t>
            </w:r>
            <w:r>
              <w:rPr>
                <w:noProof/>
                <w:webHidden/>
              </w:rPr>
              <w:fldChar w:fldCharType="end"/>
            </w:r>
          </w:hyperlink>
        </w:p>
        <w:p w14:paraId="0E79B01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1" w:history="1">
            <w:r w:rsidRPr="00790532">
              <w:rPr>
                <w:rStyle w:val="Hyperlink"/>
                <w:noProof/>
              </w:rPr>
              <w:t>Fase de validación externa compacta (EXP3)</w:t>
            </w:r>
            <w:r>
              <w:rPr>
                <w:noProof/>
                <w:webHidden/>
              </w:rPr>
              <w:tab/>
            </w:r>
            <w:r>
              <w:rPr>
                <w:noProof/>
                <w:webHidden/>
              </w:rPr>
              <w:fldChar w:fldCharType="begin"/>
            </w:r>
            <w:r>
              <w:rPr>
                <w:noProof/>
                <w:webHidden/>
              </w:rPr>
              <w:instrText xml:space="preserve"> PAGEREF _Toc228522561 \h </w:instrText>
            </w:r>
            <w:r>
              <w:rPr>
                <w:noProof/>
                <w:webHidden/>
              </w:rPr>
            </w:r>
            <w:r>
              <w:rPr>
                <w:noProof/>
                <w:webHidden/>
              </w:rPr>
              <w:fldChar w:fldCharType="separate"/>
            </w:r>
            <w:r>
              <w:rPr>
                <w:noProof/>
                <w:webHidden/>
              </w:rPr>
              <w:t>xxxi</w:t>
            </w:r>
            <w:r>
              <w:rPr>
                <w:noProof/>
                <w:webHidden/>
              </w:rPr>
              <w:fldChar w:fldCharType="end"/>
            </w:r>
          </w:hyperlink>
        </w:p>
        <w:p w14:paraId="6D653AFE"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62" w:history="1">
            <w:r w:rsidRPr="00790532">
              <w:rPr>
                <w:rStyle w:val="Hyperlink"/>
                <w:noProof/>
              </w:rPr>
              <w:t>Conjuntos de datos y protocolo de preprocesamiento</w:t>
            </w:r>
            <w:r>
              <w:rPr>
                <w:noProof/>
                <w:webHidden/>
              </w:rPr>
              <w:tab/>
            </w:r>
            <w:r>
              <w:rPr>
                <w:noProof/>
                <w:webHidden/>
              </w:rPr>
              <w:fldChar w:fldCharType="begin"/>
            </w:r>
            <w:r>
              <w:rPr>
                <w:noProof/>
                <w:webHidden/>
              </w:rPr>
              <w:instrText xml:space="preserve"> PAGEREF _Toc228522562 \h </w:instrText>
            </w:r>
            <w:r>
              <w:rPr>
                <w:noProof/>
                <w:webHidden/>
              </w:rPr>
            </w:r>
            <w:r>
              <w:rPr>
                <w:noProof/>
                <w:webHidden/>
              </w:rPr>
              <w:fldChar w:fldCharType="separate"/>
            </w:r>
            <w:r>
              <w:rPr>
                <w:noProof/>
                <w:webHidden/>
              </w:rPr>
              <w:t>xxxiii</w:t>
            </w:r>
            <w:r>
              <w:rPr>
                <w:noProof/>
                <w:webHidden/>
              </w:rPr>
              <w:fldChar w:fldCharType="end"/>
            </w:r>
          </w:hyperlink>
        </w:p>
        <w:p w14:paraId="5F951DE7"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3" w:history="1">
            <w:r w:rsidRPr="00790532">
              <w:rPr>
                <w:rStyle w:val="Hyperlink"/>
                <w:noProof/>
              </w:rPr>
              <w:t>Descripción del conjunto de datos</w:t>
            </w:r>
            <w:r>
              <w:rPr>
                <w:noProof/>
                <w:webHidden/>
              </w:rPr>
              <w:tab/>
            </w:r>
            <w:r>
              <w:rPr>
                <w:noProof/>
                <w:webHidden/>
              </w:rPr>
              <w:fldChar w:fldCharType="begin"/>
            </w:r>
            <w:r>
              <w:rPr>
                <w:noProof/>
                <w:webHidden/>
              </w:rPr>
              <w:instrText xml:space="preserve"> PAGEREF _Toc228522563 \h </w:instrText>
            </w:r>
            <w:r>
              <w:rPr>
                <w:noProof/>
                <w:webHidden/>
              </w:rPr>
            </w:r>
            <w:r>
              <w:rPr>
                <w:noProof/>
                <w:webHidden/>
              </w:rPr>
              <w:fldChar w:fldCharType="separate"/>
            </w:r>
            <w:r>
              <w:rPr>
                <w:noProof/>
                <w:webHidden/>
              </w:rPr>
              <w:t>xxxiii</w:t>
            </w:r>
            <w:r>
              <w:rPr>
                <w:noProof/>
                <w:webHidden/>
              </w:rPr>
              <w:fldChar w:fldCharType="end"/>
            </w:r>
          </w:hyperlink>
        </w:p>
        <w:p w14:paraId="76A91C07"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4" w:history="1">
            <w:r w:rsidRPr="00790532">
              <w:rPr>
                <w:rStyle w:val="Hyperlink"/>
                <w:noProof/>
              </w:rPr>
              <w:t>Carga, limpieza y partición</w:t>
            </w:r>
            <w:r>
              <w:rPr>
                <w:noProof/>
                <w:webHidden/>
              </w:rPr>
              <w:tab/>
            </w:r>
            <w:r>
              <w:rPr>
                <w:noProof/>
                <w:webHidden/>
              </w:rPr>
              <w:fldChar w:fldCharType="begin"/>
            </w:r>
            <w:r>
              <w:rPr>
                <w:noProof/>
                <w:webHidden/>
              </w:rPr>
              <w:instrText xml:space="preserve"> PAGEREF _Toc228522564 \h </w:instrText>
            </w:r>
            <w:r>
              <w:rPr>
                <w:noProof/>
                <w:webHidden/>
              </w:rPr>
            </w:r>
            <w:r>
              <w:rPr>
                <w:noProof/>
                <w:webHidden/>
              </w:rPr>
              <w:fldChar w:fldCharType="separate"/>
            </w:r>
            <w:r>
              <w:rPr>
                <w:noProof/>
                <w:webHidden/>
              </w:rPr>
              <w:t>xxxiii</w:t>
            </w:r>
            <w:r>
              <w:rPr>
                <w:noProof/>
                <w:webHidden/>
              </w:rPr>
              <w:fldChar w:fldCharType="end"/>
            </w:r>
          </w:hyperlink>
        </w:p>
        <w:p w14:paraId="50A53513"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5" w:history="1">
            <w:r w:rsidRPr="00790532">
              <w:rPr>
                <w:rStyle w:val="Hyperlink"/>
                <w:noProof/>
              </w:rPr>
              <w:t>Controles de fuga de datos</w:t>
            </w:r>
            <w:r>
              <w:rPr>
                <w:noProof/>
                <w:webHidden/>
              </w:rPr>
              <w:tab/>
            </w:r>
            <w:r>
              <w:rPr>
                <w:noProof/>
                <w:webHidden/>
              </w:rPr>
              <w:fldChar w:fldCharType="begin"/>
            </w:r>
            <w:r>
              <w:rPr>
                <w:noProof/>
                <w:webHidden/>
              </w:rPr>
              <w:instrText xml:space="preserve"> PAGEREF _Toc228522565 \h </w:instrText>
            </w:r>
            <w:r>
              <w:rPr>
                <w:noProof/>
                <w:webHidden/>
              </w:rPr>
            </w:r>
            <w:r>
              <w:rPr>
                <w:noProof/>
                <w:webHidden/>
              </w:rPr>
              <w:fldChar w:fldCharType="separate"/>
            </w:r>
            <w:r>
              <w:rPr>
                <w:noProof/>
                <w:webHidden/>
              </w:rPr>
              <w:t>xxxiv</w:t>
            </w:r>
            <w:r>
              <w:rPr>
                <w:noProof/>
                <w:webHidden/>
              </w:rPr>
              <w:fldChar w:fldCharType="end"/>
            </w:r>
          </w:hyperlink>
        </w:p>
        <w:p w14:paraId="6CF1EF8B"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66" w:history="1">
            <w:r w:rsidRPr="00790532">
              <w:rPr>
                <w:rStyle w:val="Hyperlink"/>
                <w:noProof/>
              </w:rPr>
              <w:t>Diseño factorial del benchmark primario (EXP2)</w:t>
            </w:r>
            <w:r>
              <w:rPr>
                <w:noProof/>
                <w:webHidden/>
              </w:rPr>
              <w:tab/>
            </w:r>
            <w:r>
              <w:rPr>
                <w:noProof/>
                <w:webHidden/>
              </w:rPr>
              <w:fldChar w:fldCharType="begin"/>
            </w:r>
            <w:r>
              <w:rPr>
                <w:noProof/>
                <w:webHidden/>
              </w:rPr>
              <w:instrText xml:space="preserve"> PAGEREF _Toc228522566 \h </w:instrText>
            </w:r>
            <w:r>
              <w:rPr>
                <w:noProof/>
                <w:webHidden/>
              </w:rPr>
            </w:r>
            <w:r>
              <w:rPr>
                <w:noProof/>
                <w:webHidden/>
              </w:rPr>
              <w:fldChar w:fldCharType="separate"/>
            </w:r>
            <w:r>
              <w:rPr>
                <w:noProof/>
                <w:webHidden/>
              </w:rPr>
              <w:t>xxxiv</w:t>
            </w:r>
            <w:r>
              <w:rPr>
                <w:noProof/>
                <w:webHidden/>
              </w:rPr>
              <w:fldChar w:fldCharType="end"/>
            </w:r>
          </w:hyperlink>
        </w:p>
        <w:p w14:paraId="187F98F1"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7" w:history="1">
            <w:r w:rsidRPr="00790532">
              <w:rPr>
                <w:rStyle w:val="Hyperlink"/>
                <w:noProof/>
              </w:rPr>
              <w:t>Jerarquía de análisis y unidad inferencial</w:t>
            </w:r>
            <w:r>
              <w:rPr>
                <w:noProof/>
                <w:webHidden/>
              </w:rPr>
              <w:tab/>
            </w:r>
            <w:r>
              <w:rPr>
                <w:noProof/>
                <w:webHidden/>
              </w:rPr>
              <w:fldChar w:fldCharType="begin"/>
            </w:r>
            <w:r>
              <w:rPr>
                <w:noProof/>
                <w:webHidden/>
              </w:rPr>
              <w:instrText xml:space="preserve"> PAGEREF _Toc228522567 \h </w:instrText>
            </w:r>
            <w:r>
              <w:rPr>
                <w:noProof/>
                <w:webHidden/>
              </w:rPr>
            </w:r>
            <w:r>
              <w:rPr>
                <w:noProof/>
                <w:webHidden/>
              </w:rPr>
              <w:fldChar w:fldCharType="separate"/>
            </w:r>
            <w:r>
              <w:rPr>
                <w:noProof/>
                <w:webHidden/>
              </w:rPr>
              <w:t>xxxv</w:t>
            </w:r>
            <w:r>
              <w:rPr>
                <w:noProof/>
                <w:webHidden/>
              </w:rPr>
              <w:fldChar w:fldCharType="end"/>
            </w:r>
          </w:hyperlink>
        </w:p>
        <w:p w14:paraId="721B0953"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68" w:history="1">
            <w:r w:rsidRPr="00790532">
              <w:rPr>
                <w:rStyle w:val="Hyperlink"/>
                <w:noProof/>
              </w:rPr>
              <w:t>Protocolo de muestreo de instancias y configuración de explicadores</w:t>
            </w:r>
            <w:r>
              <w:rPr>
                <w:noProof/>
                <w:webHidden/>
              </w:rPr>
              <w:tab/>
            </w:r>
            <w:r>
              <w:rPr>
                <w:noProof/>
                <w:webHidden/>
              </w:rPr>
              <w:fldChar w:fldCharType="begin"/>
            </w:r>
            <w:r>
              <w:rPr>
                <w:noProof/>
                <w:webHidden/>
              </w:rPr>
              <w:instrText xml:space="preserve"> PAGEREF _Toc228522568 \h </w:instrText>
            </w:r>
            <w:r>
              <w:rPr>
                <w:noProof/>
                <w:webHidden/>
              </w:rPr>
            </w:r>
            <w:r>
              <w:rPr>
                <w:noProof/>
                <w:webHidden/>
              </w:rPr>
              <w:fldChar w:fldCharType="separate"/>
            </w:r>
            <w:r>
              <w:rPr>
                <w:noProof/>
                <w:webHidden/>
              </w:rPr>
              <w:t>xxxvi</w:t>
            </w:r>
            <w:r>
              <w:rPr>
                <w:noProof/>
                <w:webHidden/>
              </w:rPr>
              <w:fldChar w:fldCharType="end"/>
            </w:r>
          </w:hyperlink>
        </w:p>
        <w:p w14:paraId="1241A2B3"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69" w:history="1">
            <w:r w:rsidRPr="00790532">
              <w:rPr>
                <w:rStyle w:val="Hyperlink"/>
                <w:noProof/>
              </w:rPr>
              <w:t>Muestreo estratificado por cuadrante de error</w:t>
            </w:r>
            <w:r>
              <w:rPr>
                <w:noProof/>
                <w:webHidden/>
              </w:rPr>
              <w:tab/>
            </w:r>
            <w:r>
              <w:rPr>
                <w:noProof/>
                <w:webHidden/>
              </w:rPr>
              <w:fldChar w:fldCharType="begin"/>
            </w:r>
            <w:r>
              <w:rPr>
                <w:noProof/>
                <w:webHidden/>
              </w:rPr>
              <w:instrText xml:space="preserve"> PAGEREF _Toc228522569 \h </w:instrText>
            </w:r>
            <w:r>
              <w:rPr>
                <w:noProof/>
                <w:webHidden/>
              </w:rPr>
            </w:r>
            <w:r>
              <w:rPr>
                <w:noProof/>
                <w:webHidden/>
              </w:rPr>
              <w:fldChar w:fldCharType="separate"/>
            </w:r>
            <w:r>
              <w:rPr>
                <w:noProof/>
                <w:webHidden/>
              </w:rPr>
              <w:t>xxxvi</w:t>
            </w:r>
            <w:r>
              <w:rPr>
                <w:noProof/>
                <w:webHidden/>
              </w:rPr>
              <w:fldChar w:fldCharType="end"/>
            </w:r>
          </w:hyperlink>
        </w:p>
        <w:p w14:paraId="7B0B761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0" w:history="1">
            <w:r w:rsidRPr="00790532">
              <w:rPr>
                <w:rStyle w:val="Hyperlink"/>
                <w:noProof/>
              </w:rPr>
              <w:t>Configuración de los explicadores</w:t>
            </w:r>
            <w:r>
              <w:rPr>
                <w:noProof/>
                <w:webHidden/>
              </w:rPr>
              <w:tab/>
            </w:r>
            <w:r>
              <w:rPr>
                <w:noProof/>
                <w:webHidden/>
              </w:rPr>
              <w:fldChar w:fldCharType="begin"/>
            </w:r>
            <w:r>
              <w:rPr>
                <w:noProof/>
                <w:webHidden/>
              </w:rPr>
              <w:instrText xml:space="preserve"> PAGEREF _Toc228522570 \h </w:instrText>
            </w:r>
            <w:r>
              <w:rPr>
                <w:noProof/>
                <w:webHidden/>
              </w:rPr>
            </w:r>
            <w:r>
              <w:rPr>
                <w:noProof/>
                <w:webHidden/>
              </w:rPr>
              <w:fldChar w:fldCharType="separate"/>
            </w:r>
            <w:r>
              <w:rPr>
                <w:noProof/>
                <w:webHidden/>
              </w:rPr>
              <w:t>xxxvi</w:t>
            </w:r>
            <w:r>
              <w:rPr>
                <w:noProof/>
                <w:webHidden/>
              </w:rPr>
              <w:fldChar w:fldCharType="end"/>
            </w:r>
          </w:hyperlink>
        </w:p>
        <w:p w14:paraId="01BDE14B"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71" w:history="1">
            <w:r w:rsidRPr="00790532">
              <w:rPr>
                <w:rStyle w:val="Hyperlink"/>
                <w:noProof/>
              </w:rPr>
              <w:t>Operacionalización de las métricas</w:t>
            </w:r>
            <w:r>
              <w:rPr>
                <w:noProof/>
                <w:webHidden/>
              </w:rPr>
              <w:tab/>
            </w:r>
            <w:r>
              <w:rPr>
                <w:noProof/>
                <w:webHidden/>
              </w:rPr>
              <w:fldChar w:fldCharType="begin"/>
            </w:r>
            <w:r>
              <w:rPr>
                <w:noProof/>
                <w:webHidden/>
              </w:rPr>
              <w:instrText xml:space="preserve"> PAGEREF _Toc228522571 \h </w:instrText>
            </w:r>
            <w:r>
              <w:rPr>
                <w:noProof/>
                <w:webHidden/>
              </w:rPr>
            </w:r>
            <w:r>
              <w:rPr>
                <w:noProof/>
                <w:webHidden/>
              </w:rPr>
              <w:fldChar w:fldCharType="separate"/>
            </w:r>
            <w:r>
              <w:rPr>
                <w:noProof/>
                <w:webHidden/>
              </w:rPr>
              <w:t>xxxvii</w:t>
            </w:r>
            <w:r>
              <w:rPr>
                <w:noProof/>
                <w:webHidden/>
              </w:rPr>
              <w:fldChar w:fldCharType="end"/>
            </w:r>
          </w:hyperlink>
        </w:p>
        <w:p w14:paraId="6C78AFD1"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2" w:history="1">
            <w:r w:rsidRPr="00790532">
              <w:rPr>
                <w:rStyle w:val="Hyperlink"/>
                <w:noProof/>
              </w:rPr>
              <w:t>Fidelidad</w:t>
            </w:r>
            <w:r>
              <w:rPr>
                <w:noProof/>
                <w:webHidden/>
              </w:rPr>
              <w:tab/>
            </w:r>
            <w:r>
              <w:rPr>
                <w:noProof/>
                <w:webHidden/>
              </w:rPr>
              <w:fldChar w:fldCharType="begin"/>
            </w:r>
            <w:r>
              <w:rPr>
                <w:noProof/>
                <w:webHidden/>
              </w:rPr>
              <w:instrText xml:space="preserve"> PAGEREF _Toc228522572 \h </w:instrText>
            </w:r>
            <w:r>
              <w:rPr>
                <w:noProof/>
                <w:webHidden/>
              </w:rPr>
            </w:r>
            <w:r>
              <w:rPr>
                <w:noProof/>
                <w:webHidden/>
              </w:rPr>
              <w:fldChar w:fldCharType="separate"/>
            </w:r>
            <w:r>
              <w:rPr>
                <w:noProof/>
                <w:webHidden/>
              </w:rPr>
              <w:t>xxxvii</w:t>
            </w:r>
            <w:r>
              <w:rPr>
                <w:noProof/>
                <w:webHidden/>
              </w:rPr>
              <w:fldChar w:fldCharType="end"/>
            </w:r>
          </w:hyperlink>
        </w:p>
        <w:p w14:paraId="6CFDE042"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3" w:history="1">
            <w:r w:rsidRPr="00790532">
              <w:rPr>
                <w:rStyle w:val="Hyperlink"/>
                <w:noProof/>
              </w:rPr>
              <w:t>Estabilidad</w:t>
            </w:r>
            <w:r>
              <w:rPr>
                <w:noProof/>
                <w:webHidden/>
              </w:rPr>
              <w:tab/>
            </w:r>
            <w:r>
              <w:rPr>
                <w:noProof/>
                <w:webHidden/>
              </w:rPr>
              <w:fldChar w:fldCharType="begin"/>
            </w:r>
            <w:r>
              <w:rPr>
                <w:noProof/>
                <w:webHidden/>
              </w:rPr>
              <w:instrText xml:space="preserve"> PAGEREF _Toc228522573 \h </w:instrText>
            </w:r>
            <w:r>
              <w:rPr>
                <w:noProof/>
                <w:webHidden/>
              </w:rPr>
            </w:r>
            <w:r>
              <w:rPr>
                <w:noProof/>
                <w:webHidden/>
              </w:rPr>
              <w:fldChar w:fldCharType="separate"/>
            </w:r>
            <w:r>
              <w:rPr>
                <w:noProof/>
                <w:webHidden/>
              </w:rPr>
              <w:t>xxxvii</w:t>
            </w:r>
            <w:r>
              <w:rPr>
                <w:noProof/>
                <w:webHidden/>
              </w:rPr>
              <w:fldChar w:fldCharType="end"/>
            </w:r>
          </w:hyperlink>
        </w:p>
        <w:p w14:paraId="6291342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4" w:history="1">
            <w:r w:rsidRPr="00790532">
              <w:rPr>
                <w:rStyle w:val="Hyperlink"/>
                <w:noProof/>
              </w:rPr>
              <w:t>Parsimonia</w:t>
            </w:r>
            <w:r>
              <w:rPr>
                <w:noProof/>
                <w:webHidden/>
              </w:rPr>
              <w:tab/>
            </w:r>
            <w:r>
              <w:rPr>
                <w:noProof/>
                <w:webHidden/>
              </w:rPr>
              <w:fldChar w:fldCharType="begin"/>
            </w:r>
            <w:r>
              <w:rPr>
                <w:noProof/>
                <w:webHidden/>
              </w:rPr>
              <w:instrText xml:space="preserve"> PAGEREF _Toc228522574 \h </w:instrText>
            </w:r>
            <w:r>
              <w:rPr>
                <w:noProof/>
                <w:webHidden/>
              </w:rPr>
            </w:r>
            <w:r>
              <w:rPr>
                <w:noProof/>
                <w:webHidden/>
              </w:rPr>
              <w:fldChar w:fldCharType="separate"/>
            </w:r>
            <w:r>
              <w:rPr>
                <w:noProof/>
                <w:webHidden/>
              </w:rPr>
              <w:t>xxxviii</w:t>
            </w:r>
            <w:r>
              <w:rPr>
                <w:noProof/>
                <w:webHidden/>
              </w:rPr>
              <w:fldChar w:fldCharType="end"/>
            </w:r>
          </w:hyperlink>
        </w:p>
        <w:p w14:paraId="778A4621"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5" w:history="1">
            <w:r w:rsidRPr="00790532">
              <w:rPr>
                <w:rStyle w:val="Hyperlink"/>
                <w:noProof/>
              </w:rPr>
              <w:t>Brecha de fidelidad</w:t>
            </w:r>
            <w:r>
              <w:rPr>
                <w:noProof/>
                <w:webHidden/>
              </w:rPr>
              <w:tab/>
            </w:r>
            <w:r>
              <w:rPr>
                <w:noProof/>
                <w:webHidden/>
              </w:rPr>
              <w:fldChar w:fldCharType="begin"/>
            </w:r>
            <w:r>
              <w:rPr>
                <w:noProof/>
                <w:webHidden/>
              </w:rPr>
              <w:instrText xml:space="preserve"> PAGEREF _Toc228522575 \h </w:instrText>
            </w:r>
            <w:r>
              <w:rPr>
                <w:noProof/>
                <w:webHidden/>
              </w:rPr>
            </w:r>
            <w:r>
              <w:rPr>
                <w:noProof/>
                <w:webHidden/>
              </w:rPr>
              <w:fldChar w:fldCharType="separate"/>
            </w:r>
            <w:r>
              <w:rPr>
                <w:noProof/>
                <w:webHidden/>
              </w:rPr>
              <w:t>xxxviii</w:t>
            </w:r>
            <w:r>
              <w:rPr>
                <w:noProof/>
                <w:webHidden/>
              </w:rPr>
              <w:fldChar w:fldCharType="end"/>
            </w:r>
          </w:hyperlink>
        </w:p>
        <w:p w14:paraId="0EB16643"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6" w:history="1">
            <w:r w:rsidRPr="00790532">
              <w:rPr>
                <w:rStyle w:val="Hyperlink"/>
                <w:noProof/>
              </w:rPr>
              <w:t>Coste computacional</w:t>
            </w:r>
            <w:r>
              <w:rPr>
                <w:noProof/>
                <w:webHidden/>
              </w:rPr>
              <w:tab/>
            </w:r>
            <w:r>
              <w:rPr>
                <w:noProof/>
                <w:webHidden/>
              </w:rPr>
              <w:fldChar w:fldCharType="begin"/>
            </w:r>
            <w:r>
              <w:rPr>
                <w:noProof/>
                <w:webHidden/>
              </w:rPr>
              <w:instrText xml:space="preserve"> PAGEREF _Toc228522576 \h </w:instrText>
            </w:r>
            <w:r>
              <w:rPr>
                <w:noProof/>
                <w:webHidden/>
              </w:rPr>
            </w:r>
            <w:r>
              <w:rPr>
                <w:noProof/>
                <w:webHidden/>
              </w:rPr>
              <w:fldChar w:fldCharType="separate"/>
            </w:r>
            <w:r>
              <w:rPr>
                <w:noProof/>
                <w:webHidden/>
              </w:rPr>
              <w:t>xxxviii</w:t>
            </w:r>
            <w:r>
              <w:rPr>
                <w:noProof/>
                <w:webHidden/>
              </w:rPr>
              <w:fldChar w:fldCharType="end"/>
            </w:r>
          </w:hyperlink>
        </w:p>
        <w:p w14:paraId="46ACDEF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77" w:history="1">
            <w:r w:rsidRPr="00790532">
              <w:rPr>
                <w:rStyle w:val="Hyperlink"/>
                <w:noProof/>
              </w:rPr>
              <w:t>Resumen de métricas primarias</w:t>
            </w:r>
            <w:r>
              <w:rPr>
                <w:noProof/>
                <w:webHidden/>
              </w:rPr>
              <w:tab/>
            </w:r>
            <w:r>
              <w:rPr>
                <w:noProof/>
                <w:webHidden/>
              </w:rPr>
              <w:fldChar w:fldCharType="begin"/>
            </w:r>
            <w:r>
              <w:rPr>
                <w:noProof/>
                <w:webHidden/>
              </w:rPr>
              <w:instrText xml:space="preserve"> PAGEREF _Toc228522577 \h </w:instrText>
            </w:r>
            <w:r>
              <w:rPr>
                <w:noProof/>
                <w:webHidden/>
              </w:rPr>
            </w:r>
            <w:r>
              <w:rPr>
                <w:noProof/>
                <w:webHidden/>
              </w:rPr>
              <w:fldChar w:fldCharType="separate"/>
            </w:r>
            <w:r>
              <w:rPr>
                <w:noProof/>
                <w:webHidden/>
              </w:rPr>
              <w:t>xxxix</w:t>
            </w:r>
            <w:r>
              <w:rPr>
                <w:noProof/>
                <w:webHidden/>
              </w:rPr>
              <w:fldChar w:fldCharType="end"/>
            </w:r>
          </w:hyperlink>
        </w:p>
        <w:p w14:paraId="70F3C17D"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78" w:history="1">
            <w:r w:rsidRPr="00790532">
              <w:rPr>
                <w:rStyle w:val="Hyperlink"/>
                <w:noProof/>
              </w:rPr>
              <w:t>Protocolo de operación FOM-7</w:t>
            </w:r>
            <w:r>
              <w:rPr>
                <w:noProof/>
                <w:webHidden/>
              </w:rPr>
              <w:tab/>
            </w:r>
            <w:r>
              <w:rPr>
                <w:noProof/>
                <w:webHidden/>
              </w:rPr>
              <w:fldChar w:fldCharType="begin"/>
            </w:r>
            <w:r>
              <w:rPr>
                <w:noProof/>
                <w:webHidden/>
              </w:rPr>
              <w:instrText xml:space="preserve"> PAGEREF _Toc228522578 \h </w:instrText>
            </w:r>
            <w:r>
              <w:rPr>
                <w:noProof/>
                <w:webHidden/>
              </w:rPr>
            </w:r>
            <w:r>
              <w:rPr>
                <w:noProof/>
                <w:webHidden/>
              </w:rPr>
              <w:fldChar w:fldCharType="separate"/>
            </w:r>
            <w:r>
              <w:rPr>
                <w:noProof/>
                <w:webHidden/>
              </w:rPr>
              <w:t>xxxix</w:t>
            </w:r>
            <w:r>
              <w:rPr>
                <w:noProof/>
                <w:webHidden/>
              </w:rPr>
              <w:fldChar w:fldCharType="end"/>
            </w:r>
          </w:hyperlink>
        </w:p>
        <w:p w14:paraId="5252C4FB"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79" w:history="1">
            <w:r w:rsidRPr="00790532">
              <w:rPr>
                <w:rStyle w:val="Hyperlink"/>
                <w:noProof/>
              </w:rPr>
              <w:t>Cobertura de artefactos y análisis del impacto de datos faltantes</w:t>
            </w:r>
            <w:r>
              <w:rPr>
                <w:noProof/>
                <w:webHidden/>
              </w:rPr>
              <w:tab/>
            </w:r>
            <w:r>
              <w:rPr>
                <w:noProof/>
                <w:webHidden/>
              </w:rPr>
              <w:fldChar w:fldCharType="begin"/>
            </w:r>
            <w:r>
              <w:rPr>
                <w:noProof/>
                <w:webHidden/>
              </w:rPr>
              <w:instrText xml:space="preserve"> PAGEREF _Toc228522579 \h </w:instrText>
            </w:r>
            <w:r>
              <w:rPr>
                <w:noProof/>
                <w:webHidden/>
              </w:rPr>
            </w:r>
            <w:r>
              <w:rPr>
                <w:noProof/>
                <w:webHidden/>
              </w:rPr>
              <w:fldChar w:fldCharType="separate"/>
            </w:r>
            <w:r>
              <w:rPr>
                <w:noProof/>
                <w:webHidden/>
              </w:rPr>
              <w:t>xli</w:t>
            </w:r>
            <w:r>
              <w:rPr>
                <w:noProof/>
                <w:webHidden/>
              </w:rPr>
              <w:fldChar w:fldCharType="end"/>
            </w:r>
          </w:hyperlink>
        </w:p>
        <w:p w14:paraId="4C5BB2A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0" w:history="1">
            <w:r w:rsidRPr="00790532">
              <w:rPr>
                <w:rStyle w:val="Hyperlink"/>
                <w:noProof/>
              </w:rPr>
              <w:t>Inventario de cobertura</w:t>
            </w:r>
            <w:r>
              <w:rPr>
                <w:noProof/>
                <w:webHidden/>
              </w:rPr>
              <w:tab/>
            </w:r>
            <w:r>
              <w:rPr>
                <w:noProof/>
                <w:webHidden/>
              </w:rPr>
              <w:fldChar w:fldCharType="begin"/>
            </w:r>
            <w:r>
              <w:rPr>
                <w:noProof/>
                <w:webHidden/>
              </w:rPr>
              <w:instrText xml:space="preserve"> PAGEREF _Toc228522580 \h </w:instrText>
            </w:r>
            <w:r>
              <w:rPr>
                <w:noProof/>
                <w:webHidden/>
              </w:rPr>
            </w:r>
            <w:r>
              <w:rPr>
                <w:noProof/>
                <w:webHidden/>
              </w:rPr>
              <w:fldChar w:fldCharType="separate"/>
            </w:r>
            <w:r>
              <w:rPr>
                <w:noProof/>
                <w:webHidden/>
              </w:rPr>
              <w:t>xli</w:t>
            </w:r>
            <w:r>
              <w:rPr>
                <w:noProof/>
                <w:webHidden/>
              </w:rPr>
              <w:fldChar w:fldCharType="end"/>
            </w:r>
          </w:hyperlink>
        </w:p>
        <w:p w14:paraId="74E209A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1" w:history="1">
            <w:r w:rsidRPr="00790532">
              <w:rPr>
                <w:rStyle w:val="Hyperlink"/>
                <w:noProof/>
              </w:rPr>
              <w:t>Evaluación cuantitativa del impacto estadístico</w:t>
            </w:r>
            <w:r>
              <w:rPr>
                <w:noProof/>
                <w:webHidden/>
              </w:rPr>
              <w:tab/>
            </w:r>
            <w:r>
              <w:rPr>
                <w:noProof/>
                <w:webHidden/>
              </w:rPr>
              <w:fldChar w:fldCharType="begin"/>
            </w:r>
            <w:r>
              <w:rPr>
                <w:noProof/>
                <w:webHidden/>
              </w:rPr>
              <w:instrText xml:space="preserve"> PAGEREF _Toc228522581 \h </w:instrText>
            </w:r>
            <w:r>
              <w:rPr>
                <w:noProof/>
                <w:webHidden/>
              </w:rPr>
            </w:r>
            <w:r>
              <w:rPr>
                <w:noProof/>
                <w:webHidden/>
              </w:rPr>
              <w:fldChar w:fldCharType="separate"/>
            </w:r>
            <w:r>
              <w:rPr>
                <w:noProof/>
                <w:webHidden/>
              </w:rPr>
              <w:t>xlii</w:t>
            </w:r>
            <w:r>
              <w:rPr>
                <w:noProof/>
                <w:webHidden/>
              </w:rPr>
              <w:fldChar w:fldCharType="end"/>
            </w:r>
          </w:hyperlink>
        </w:p>
        <w:p w14:paraId="1E99736F"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82" w:history="1">
            <w:r w:rsidRPr="00790532">
              <w:rPr>
                <w:rStyle w:val="Hyperlink"/>
                <w:noProof/>
              </w:rPr>
              <w:t>Plan de inferencia estadística</w:t>
            </w:r>
            <w:r>
              <w:rPr>
                <w:noProof/>
                <w:webHidden/>
              </w:rPr>
              <w:tab/>
            </w:r>
            <w:r>
              <w:rPr>
                <w:noProof/>
                <w:webHidden/>
              </w:rPr>
              <w:fldChar w:fldCharType="begin"/>
            </w:r>
            <w:r>
              <w:rPr>
                <w:noProof/>
                <w:webHidden/>
              </w:rPr>
              <w:instrText xml:space="preserve"> PAGEREF _Toc228522582 \h </w:instrText>
            </w:r>
            <w:r>
              <w:rPr>
                <w:noProof/>
                <w:webHidden/>
              </w:rPr>
            </w:r>
            <w:r>
              <w:rPr>
                <w:noProof/>
                <w:webHidden/>
              </w:rPr>
              <w:fldChar w:fldCharType="separate"/>
            </w:r>
            <w:r>
              <w:rPr>
                <w:noProof/>
                <w:webHidden/>
              </w:rPr>
              <w:t>xliv</w:t>
            </w:r>
            <w:r>
              <w:rPr>
                <w:noProof/>
                <w:webHidden/>
              </w:rPr>
              <w:fldChar w:fldCharType="end"/>
            </w:r>
          </w:hyperlink>
        </w:p>
        <w:p w14:paraId="7FEE3779"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3" w:history="1">
            <w:r w:rsidRPr="00790532">
              <w:rPr>
                <w:rStyle w:val="Hyperlink"/>
                <w:noProof/>
              </w:rPr>
              <w:t>Estudio A: test omnibus de Friedman</w:t>
            </w:r>
            <w:r>
              <w:rPr>
                <w:noProof/>
                <w:webHidden/>
              </w:rPr>
              <w:tab/>
            </w:r>
            <w:r>
              <w:rPr>
                <w:noProof/>
                <w:webHidden/>
              </w:rPr>
              <w:fldChar w:fldCharType="begin"/>
            </w:r>
            <w:r>
              <w:rPr>
                <w:noProof/>
                <w:webHidden/>
              </w:rPr>
              <w:instrText xml:space="preserve"> PAGEREF _Toc228522583 \h </w:instrText>
            </w:r>
            <w:r>
              <w:rPr>
                <w:noProof/>
                <w:webHidden/>
              </w:rPr>
            </w:r>
            <w:r>
              <w:rPr>
                <w:noProof/>
                <w:webHidden/>
              </w:rPr>
              <w:fldChar w:fldCharType="separate"/>
            </w:r>
            <w:r>
              <w:rPr>
                <w:noProof/>
                <w:webHidden/>
              </w:rPr>
              <w:t>xliv</w:t>
            </w:r>
            <w:r>
              <w:rPr>
                <w:noProof/>
                <w:webHidden/>
              </w:rPr>
              <w:fldChar w:fldCharType="end"/>
            </w:r>
          </w:hyperlink>
        </w:p>
        <w:p w14:paraId="70D3081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4" w:history="1">
            <w:r w:rsidRPr="00790532">
              <w:rPr>
                <w:rStyle w:val="Hyperlink"/>
                <w:noProof/>
              </w:rPr>
              <w:t>Localización post-hoc: Nemenyi</w:t>
            </w:r>
            <w:r>
              <w:rPr>
                <w:noProof/>
                <w:webHidden/>
              </w:rPr>
              <w:tab/>
            </w:r>
            <w:r>
              <w:rPr>
                <w:noProof/>
                <w:webHidden/>
              </w:rPr>
              <w:fldChar w:fldCharType="begin"/>
            </w:r>
            <w:r>
              <w:rPr>
                <w:noProof/>
                <w:webHidden/>
              </w:rPr>
              <w:instrText xml:space="preserve"> PAGEREF _Toc228522584 \h </w:instrText>
            </w:r>
            <w:r>
              <w:rPr>
                <w:noProof/>
                <w:webHidden/>
              </w:rPr>
            </w:r>
            <w:r>
              <w:rPr>
                <w:noProof/>
                <w:webHidden/>
              </w:rPr>
              <w:fldChar w:fldCharType="separate"/>
            </w:r>
            <w:r>
              <w:rPr>
                <w:noProof/>
                <w:webHidden/>
              </w:rPr>
              <w:t>xliv</w:t>
            </w:r>
            <w:r>
              <w:rPr>
                <w:noProof/>
                <w:webHidden/>
              </w:rPr>
              <w:fldChar w:fldCharType="end"/>
            </w:r>
          </w:hyperlink>
        </w:p>
        <w:p w14:paraId="6AEAC40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5" w:history="1">
            <w:r w:rsidRPr="00790532">
              <w:rPr>
                <w:rStyle w:val="Hyperlink"/>
                <w:noProof/>
              </w:rPr>
              <w:t>Wilcoxon pareado: conjuntos de 45 y 75 celdas</w:t>
            </w:r>
            <w:r>
              <w:rPr>
                <w:noProof/>
                <w:webHidden/>
              </w:rPr>
              <w:tab/>
            </w:r>
            <w:r>
              <w:rPr>
                <w:noProof/>
                <w:webHidden/>
              </w:rPr>
              <w:fldChar w:fldCharType="begin"/>
            </w:r>
            <w:r>
              <w:rPr>
                <w:noProof/>
                <w:webHidden/>
              </w:rPr>
              <w:instrText xml:space="preserve"> PAGEREF _Toc228522585 \h </w:instrText>
            </w:r>
            <w:r>
              <w:rPr>
                <w:noProof/>
                <w:webHidden/>
              </w:rPr>
            </w:r>
            <w:r>
              <w:rPr>
                <w:noProof/>
                <w:webHidden/>
              </w:rPr>
              <w:fldChar w:fldCharType="separate"/>
            </w:r>
            <w:r>
              <w:rPr>
                <w:noProof/>
                <w:webHidden/>
              </w:rPr>
              <w:t>xlv</w:t>
            </w:r>
            <w:r>
              <w:rPr>
                <w:noProof/>
                <w:webHidden/>
              </w:rPr>
              <w:fldChar w:fldCharType="end"/>
            </w:r>
          </w:hyperlink>
        </w:p>
        <w:p w14:paraId="4B703B9B"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6" w:history="1">
            <w:r w:rsidRPr="00790532">
              <w:rPr>
                <w:rStyle w:val="Hyperlink"/>
                <w:noProof/>
              </w:rPr>
              <w:t>Control de multiplicidad</w:t>
            </w:r>
            <w:r>
              <w:rPr>
                <w:noProof/>
                <w:webHidden/>
              </w:rPr>
              <w:tab/>
            </w:r>
            <w:r>
              <w:rPr>
                <w:noProof/>
                <w:webHidden/>
              </w:rPr>
              <w:fldChar w:fldCharType="begin"/>
            </w:r>
            <w:r>
              <w:rPr>
                <w:noProof/>
                <w:webHidden/>
              </w:rPr>
              <w:instrText xml:space="preserve"> PAGEREF _Toc228522586 \h </w:instrText>
            </w:r>
            <w:r>
              <w:rPr>
                <w:noProof/>
                <w:webHidden/>
              </w:rPr>
            </w:r>
            <w:r>
              <w:rPr>
                <w:noProof/>
                <w:webHidden/>
              </w:rPr>
              <w:fldChar w:fldCharType="separate"/>
            </w:r>
            <w:r>
              <w:rPr>
                <w:noProof/>
                <w:webHidden/>
              </w:rPr>
              <w:t>xlv</w:t>
            </w:r>
            <w:r>
              <w:rPr>
                <w:noProof/>
                <w:webHidden/>
              </w:rPr>
              <w:fldChar w:fldCharType="end"/>
            </w:r>
          </w:hyperlink>
        </w:p>
        <w:p w14:paraId="2BAB8027"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87" w:history="1">
            <w:r w:rsidRPr="00790532">
              <w:rPr>
                <w:rStyle w:val="Hyperlink"/>
                <w:noProof/>
              </w:rPr>
              <w:t>Resumen del plan estadístico por hipótesis</w:t>
            </w:r>
            <w:r>
              <w:rPr>
                <w:noProof/>
                <w:webHidden/>
              </w:rPr>
              <w:tab/>
            </w:r>
            <w:r>
              <w:rPr>
                <w:noProof/>
                <w:webHidden/>
              </w:rPr>
              <w:fldChar w:fldCharType="begin"/>
            </w:r>
            <w:r>
              <w:rPr>
                <w:noProof/>
                <w:webHidden/>
              </w:rPr>
              <w:instrText xml:space="preserve"> PAGEREF _Toc228522587 \h </w:instrText>
            </w:r>
            <w:r>
              <w:rPr>
                <w:noProof/>
                <w:webHidden/>
              </w:rPr>
            </w:r>
            <w:r>
              <w:rPr>
                <w:noProof/>
                <w:webHidden/>
              </w:rPr>
              <w:fldChar w:fldCharType="separate"/>
            </w:r>
            <w:r>
              <w:rPr>
                <w:noProof/>
                <w:webHidden/>
              </w:rPr>
              <w:t>xlvi</w:t>
            </w:r>
            <w:r>
              <w:rPr>
                <w:noProof/>
                <w:webHidden/>
              </w:rPr>
              <w:fldChar w:fldCharType="end"/>
            </w:r>
          </w:hyperlink>
        </w:p>
        <w:p w14:paraId="6D601FA6"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88" w:history="1">
            <w:r w:rsidRPr="00790532">
              <w:rPr>
                <w:rStyle w:val="Hyperlink"/>
                <w:noProof/>
              </w:rPr>
              <w:t>Trazabilidad y reproducibilidad</w:t>
            </w:r>
            <w:r>
              <w:rPr>
                <w:noProof/>
                <w:webHidden/>
              </w:rPr>
              <w:tab/>
            </w:r>
            <w:r>
              <w:rPr>
                <w:noProof/>
                <w:webHidden/>
              </w:rPr>
              <w:fldChar w:fldCharType="begin"/>
            </w:r>
            <w:r>
              <w:rPr>
                <w:noProof/>
                <w:webHidden/>
              </w:rPr>
              <w:instrText xml:space="preserve"> PAGEREF _Toc228522588 \h </w:instrText>
            </w:r>
            <w:r>
              <w:rPr>
                <w:noProof/>
                <w:webHidden/>
              </w:rPr>
            </w:r>
            <w:r>
              <w:rPr>
                <w:noProof/>
                <w:webHidden/>
              </w:rPr>
              <w:fldChar w:fldCharType="separate"/>
            </w:r>
            <w:r>
              <w:rPr>
                <w:noProof/>
                <w:webHidden/>
              </w:rPr>
              <w:t>xlvi</w:t>
            </w:r>
            <w:r>
              <w:rPr>
                <w:noProof/>
                <w:webHidden/>
              </w:rPr>
              <w:fldChar w:fldCharType="end"/>
            </w:r>
          </w:hyperlink>
        </w:p>
        <w:p w14:paraId="1BAB0816"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589" w:history="1">
            <w:r w:rsidRPr="00790532">
              <w:rPr>
                <w:rStyle w:val="Hyperlink"/>
                <w:noProof/>
              </w:rPr>
              <w:t>Resultados y discusión</w:t>
            </w:r>
            <w:r>
              <w:rPr>
                <w:noProof/>
                <w:webHidden/>
              </w:rPr>
              <w:tab/>
            </w:r>
            <w:r>
              <w:rPr>
                <w:noProof/>
                <w:webHidden/>
              </w:rPr>
              <w:fldChar w:fldCharType="begin"/>
            </w:r>
            <w:r>
              <w:rPr>
                <w:noProof/>
                <w:webHidden/>
              </w:rPr>
              <w:instrText xml:space="preserve"> PAGEREF _Toc228522589 \h </w:instrText>
            </w:r>
            <w:r>
              <w:rPr>
                <w:noProof/>
                <w:webHidden/>
              </w:rPr>
            </w:r>
            <w:r>
              <w:rPr>
                <w:noProof/>
                <w:webHidden/>
              </w:rPr>
              <w:fldChar w:fldCharType="separate"/>
            </w:r>
            <w:r>
              <w:rPr>
                <w:noProof/>
                <w:webHidden/>
              </w:rPr>
              <w:t>xlviii</w:t>
            </w:r>
            <w:r>
              <w:rPr>
                <w:noProof/>
                <w:webHidden/>
              </w:rPr>
              <w:fldChar w:fldCharType="end"/>
            </w:r>
          </w:hyperlink>
        </w:p>
        <w:p w14:paraId="0B61F34F"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90" w:history="1">
            <w:r w:rsidRPr="00790532">
              <w:rPr>
                <w:rStyle w:val="Hyperlink"/>
                <w:noProof/>
              </w:rPr>
              <w:t>Descripción general de la cobertura analítica</w:t>
            </w:r>
            <w:r>
              <w:rPr>
                <w:noProof/>
                <w:webHidden/>
              </w:rPr>
              <w:tab/>
            </w:r>
            <w:r>
              <w:rPr>
                <w:noProof/>
                <w:webHidden/>
              </w:rPr>
              <w:fldChar w:fldCharType="begin"/>
            </w:r>
            <w:r>
              <w:rPr>
                <w:noProof/>
                <w:webHidden/>
              </w:rPr>
              <w:instrText xml:space="preserve"> PAGEREF _Toc228522590 \h </w:instrText>
            </w:r>
            <w:r>
              <w:rPr>
                <w:noProof/>
                <w:webHidden/>
              </w:rPr>
            </w:r>
            <w:r>
              <w:rPr>
                <w:noProof/>
                <w:webHidden/>
              </w:rPr>
              <w:fldChar w:fldCharType="separate"/>
            </w:r>
            <w:r>
              <w:rPr>
                <w:noProof/>
                <w:webHidden/>
              </w:rPr>
              <w:t>xlix</w:t>
            </w:r>
            <w:r>
              <w:rPr>
                <w:noProof/>
                <w:webHidden/>
              </w:rPr>
              <w:fldChar w:fldCharType="end"/>
            </w:r>
          </w:hyperlink>
        </w:p>
        <w:p w14:paraId="47BFE3D5"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91" w:history="1">
            <w:r w:rsidRPr="00790532">
              <w:rPr>
                <w:rStyle w:val="Hyperlink"/>
                <w:noProof/>
              </w:rPr>
              <w:t>Estudio A: Análisis omnibus multimétrico (H1 y H2)</w:t>
            </w:r>
            <w:r>
              <w:rPr>
                <w:noProof/>
                <w:webHidden/>
              </w:rPr>
              <w:tab/>
            </w:r>
            <w:r>
              <w:rPr>
                <w:noProof/>
                <w:webHidden/>
              </w:rPr>
              <w:fldChar w:fldCharType="begin"/>
            </w:r>
            <w:r>
              <w:rPr>
                <w:noProof/>
                <w:webHidden/>
              </w:rPr>
              <w:instrText xml:space="preserve"> PAGEREF _Toc228522591 \h </w:instrText>
            </w:r>
            <w:r>
              <w:rPr>
                <w:noProof/>
                <w:webHidden/>
              </w:rPr>
            </w:r>
            <w:r>
              <w:rPr>
                <w:noProof/>
                <w:webHidden/>
              </w:rPr>
              <w:fldChar w:fldCharType="separate"/>
            </w:r>
            <w:r>
              <w:rPr>
                <w:noProof/>
                <w:webHidden/>
              </w:rPr>
              <w:t>l</w:t>
            </w:r>
            <w:r>
              <w:rPr>
                <w:noProof/>
                <w:webHidden/>
              </w:rPr>
              <w:fldChar w:fldCharType="end"/>
            </w:r>
          </w:hyperlink>
        </w:p>
        <w:p w14:paraId="27943CD2"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92" w:history="1">
            <w:r w:rsidRPr="00790532">
              <w:rPr>
                <w:rStyle w:val="Hyperlink"/>
                <w:noProof/>
              </w:rPr>
              <w:t>H1: Diferencias entre métodos en fidelidad</w:t>
            </w:r>
            <w:r>
              <w:rPr>
                <w:noProof/>
                <w:webHidden/>
              </w:rPr>
              <w:tab/>
            </w:r>
            <w:r>
              <w:rPr>
                <w:noProof/>
                <w:webHidden/>
              </w:rPr>
              <w:fldChar w:fldCharType="begin"/>
            </w:r>
            <w:r>
              <w:rPr>
                <w:noProof/>
                <w:webHidden/>
              </w:rPr>
              <w:instrText xml:space="preserve"> PAGEREF _Toc228522592 \h </w:instrText>
            </w:r>
            <w:r>
              <w:rPr>
                <w:noProof/>
                <w:webHidden/>
              </w:rPr>
            </w:r>
            <w:r>
              <w:rPr>
                <w:noProof/>
                <w:webHidden/>
              </w:rPr>
              <w:fldChar w:fldCharType="separate"/>
            </w:r>
            <w:r>
              <w:rPr>
                <w:noProof/>
                <w:webHidden/>
              </w:rPr>
              <w:t>l</w:t>
            </w:r>
            <w:r>
              <w:rPr>
                <w:noProof/>
                <w:webHidden/>
              </w:rPr>
              <w:fldChar w:fldCharType="end"/>
            </w:r>
          </w:hyperlink>
        </w:p>
        <w:p w14:paraId="7CEE00F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93" w:history="1">
            <w:r w:rsidRPr="00790532">
              <w:rPr>
                <w:rStyle w:val="Hyperlink"/>
                <w:noProof/>
              </w:rPr>
              <w:t>H2: Diferencias entre métodos en estabilidad</w:t>
            </w:r>
            <w:r>
              <w:rPr>
                <w:noProof/>
                <w:webHidden/>
              </w:rPr>
              <w:tab/>
            </w:r>
            <w:r>
              <w:rPr>
                <w:noProof/>
                <w:webHidden/>
              </w:rPr>
              <w:fldChar w:fldCharType="begin"/>
            </w:r>
            <w:r>
              <w:rPr>
                <w:noProof/>
                <w:webHidden/>
              </w:rPr>
              <w:instrText xml:space="preserve"> PAGEREF _Toc228522593 \h </w:instrText>
            </w:r>
            <w:r>
              <w:rPr>
                <w:noProof/>
                <w:webHidden/>
              </w:rPr>
            </w:r>
            <w:r>
              <w:rPr>
                <w:noProof/>
                <w:webHidden/>
              </w:rPr>
              <w:fldChar w:fldCharType="separate"/>
            </w:r>
            <w:r>
              <w:rPr>
                <w:noProof/>
                <w:webHidden/>
              </w:rPr>
              <w:t>lii</w:t>
            </w:r>
            <w:r>
              <w:rPr>
                <w:noProof/>
                <w:webHidden/>
              </w:rPr>
              <w:fldChar w:fldCharType="end"/>
            </w:r>
          </w:hyperlink>
        </w:p>
        <w:p w14:paraId="51A87BF8"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94" w:history="1">
            <w:r w:rsidRPr="00790532">
              <w:rPr>
                <w:rStyle w:val="Hyperlink"/>
                <w:noProof/>
              </w:rPr>
              <w:t>Estudio B: Análisis pareado SHAP-LIME y trade-off calidad-coste (H3)</w:t>
            </w:r>
            <w:r>
              <w:rPr>
                <w:noProof/>
                <w:webHidden/>
              </w:rPr>
              <w:tab/>
            </w:r>
            <w:r>
              <w:rPr>
                <w:noProof/>
                <w:webHidden/>
              </w:rPr>
              <w:fldChar w:fldCharType="begin"/>
            </w:r>
            <w:r>
              <w:rPr>
                <w:noProof/>
                <w:webHidden/>
              </w:rPr>
              <w:instrText xml:space="preserve"> PAGEREF _Toc228522594 \h </w:instrText>
            </w:r>
            <w:r>
              <w:rPr>
                <w:noProof/>
                <w:webHidden/>
              </w:rPr>
            </w:r>
            <w:r>
              <w:rPr>
                <w:noProof/>
                <w:webHidden/>
              </w:rPr>
              <w:fldChar w:fldCharType="separate"/>
            </w:r>
            <w:r>
              <w:rPr>
                <w:noProof/>
                <w:webHidden/>
              </w:rPr>
              <w:t>liv</w:t>
            </w:r>
            <w:r>
              <w:rPr>
                <w:noProof/>
                <w:webHidden/>
              </w:rPr>
              <w:fldChar w:fldCharType="end"/>
            </w:r>
          </w:hyperlink>
        </w:p>
        <w:p w14:paraId="47A8AA6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95" w:history="1">
            <w:r w:rsidRPr="00790532">
              <w:rPr>
                <w:rStyle w:val="Hyperlink"/>
                <w:noProof/>
              </w:rPr>
              <w:t>Diferencias en métricas de calidad</w:t>
            </w:r>
            <w:r>
              <w:rPr>
                <w:noProof/>
                <w:webHidden/>
              </w:rPr>
              <w:tab/>
            </w:r>
            <w:r>
              <w:rPr>
                <w:noProof/>
                <w:webHidden/>
              </w:rPr>
              <w:fldChar w:fldCharType="begin"/>
            </w:r>
            <w:r>
              <w:rPr>
                <w:noProof/>
                <w:webHidden/>
              </w:rPr>
              <w:instrText xml:space="preserve"> PAGEREF _Toc228522595 \h </w:instrText>
            </w:r>
            <w:r>
              <w:rPr>
                <w:noProof/>
                <w:webHidden/>
              </w:rPr>
            </w:r>
            <w:r>
              <w:rPr>
                <w:noProof/>
                <w:webHidden/>
              </w:rPr>
              <w:fldChar w:fldCharType="separate"/>
            </w:r>
            <w:r>
              <w:rPr>
                <w:noProof/>
                <w:webHidden/>
              </w:rPr>
              <w:t>liv</w:t>
            </w:r>
            <w:r>
              <w:rPr>
                <w:noProof/>
                <w:webHidden/>
              </w:rPr>
              <w:fldChar w:fldCharType="end"/>
            </w:r>
          </w:hyperlink>
        </w:p>
        <w:p w14:paraId="2C9D9B3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96" w:history="1">
            <w:r w:rsidRPr="00790532">
              <w:rPr>
                <w:rStyle w:val="Hyperlink"/>
                <w:noProof/>
              </w:rPr>
              <w:t>Verificación del requisito de multiplicidad</w:t>
            </w:r>
            <w:r>
              <w:rPr>
                <w:noProof/>
                <w:webHidden/>
              </w:rPr>
              <w:tab/>
            </w:r>
            <w:r>
              <w:rPr>
                <w:noProof/>
                <w:webHidden/>
              </w:rPr>
              <w:fldChar w:fldCharType="begin"/>
            </w:r>
            <w:r>
              <w:rPr>
                <w:noProof/>
                <w:webHidden/>
              </w:rPr>
              <w:instrText xml:space="preserve"> PAGEREF _Toc228522596 \h </w:instrText>
            </w:r>
            <w:r>
              <w:rPr>
                <w:noProof/>
                <w:webHidden/>
              </w:rPr>
            </w:r>
            <w:r>
              <w:rPr>
                <w:noProof/>
                <w:webHidden/>
              </w:rPr>
              <w:fldChar w:fldCharType="separate"/>
            </w:r>
            <w:r>
              <w:rPr>
                <w:noProof/>
                <w:webHidden/>
              </w:rPr>
              <w:t>lvi</w:t>
            </w:r>
            <w:r>
              <w:rPr>
                <w:noProof/>
                <w:webHidden/>
              </w:rPr>
              <w:fldChar w:fldCharType="end"/>
            </w:r>
          </w:hyperlink>
        </w:p>
        <w:p w14:paraId="355955FE"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97" w:history="1">
            <w:r w:rsidRPr="00790532">
              <w:rPr>
                <w:rStyle w:val="Hyperlink"/>
                <w:noProof/>
              </w:rPr>
              <w:t>Proposición P1: Reproducibilidad del protocolo FOM-7</w:t>
            </w:r>
            <w:r>
              <w:rPr>
                <w:noProof/>
                <w:webHidden/>
              </w:rPr>
              <w:tab/>
            </w:r>
            <w:r>
              <w:rPr>
                <w:noProof/>
                <w:webHidden/>
              </w:rPr>
              <w:fldChar w:fldCharType="begin"/>
            </w:r>
            <w:r>
              <w:rPr>
                <w:noProof/>
                <w:webHidden/>
              </w:rPr>
              <w:instrText xml:space="preserve"> PAGEREF _Toc228522597 \h </w:instrText>
            </w:r>
            <w:r>
              <w:rPr>
                <w:noProof/>
                <w:webHidden/>
              </w:rPr>
            </w:r>
            <w:r>
              <w:rPr>
                <w:noProof/>
                <w:webHidden/>
              </w:rPr>
              <w:fldChar w:fldCharType="separate"/>
            </w:r>
            <w:r>
              <w:rPr>
                <w:noProof/>
                <w:webHidden/>
              </w:rPr>
              <w:t>lvii</w:t>
            </w:r>
            <w:r>
              <w:rPr>
                <w:noProof/>
                <w:webHidden/>
              </w:rPr>
              <w:fldChar w:fldCharType="end"/>
            </w:r>
          </w:hyperlink>
        </w:p>
        <w:p w14:paraId="3F44BB27"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598" w:history="1">
            <w:r w:rsidRPr="00790532">
              <w:rPr>
                <w:rStyle w:val="Hyperlink"/>
                <w:noProof/>
              </w:rPr>
              <w:t>Perfil multidimensional por método</w:t>
            </w:r>
            <w:r>
              <w:rPr>
                <w:noProof/>
                <w:webHidden/>
              </w:rPr>
              <w:tab/>
            </w:r>
            <w:r>
              <w:rPr>
                <w:noProof/>
                <w:webHidden/>
              </w:rPr>
              <w:fldChar w:fldCharType="begin"/>
            </w:r>
            <w:r>
              <w:rPr>
                <w:noProof/>
                <w:webHidden/>
              </w:rPr>
              <w:instrText xml:space="preserve"> PAGEREF _Toc228522598 \h </w:instrText>
            </w:r>
            <w:r>
              <w:rPr>
                <w:noProof/>
                <w:webHidden/>
              </w:rPr>
            </w:r>
            <w:r>
              <w:rPr>
                <w:noProof/>
                <w:webHidden/>
              </w:rPr>
              <w:fldChar w:fldCharType="separate"/>
            </w:r>
            <w:r>
              <w:rPr>
                <w:noProof/>
                <w:webHidden/>
              </w:rPr>
              <w:t>lviii</w:t>
            </w:r>
            <w:r>
              <w:rPr>
                <w:noProof/>
                <w:webHidden/>
              </w:rPr>
              <w:fldChar w:fldCharType="end"/>
            </w:r>
          </w:hyperlink>
        </w:p>
        <w:p w14:paraId="4ACCA4C1"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599" w:history="1">
            <w:r w:rsidRPr="00790532">
              <w:rPr>
                <w:rStyle w:val="Hyperlink"/>
                <w:noProof/>
              </w:rPr>
              <w:t>SHAP</w:t>
            </w:r>
            <w:r>
              <w:rPr>
                <w:noProof/>
                <w:webHidden/>
              </w:rPr>
              <w:tab/>
            </w:r>
            <w:r>
              <w:rPr>
                <w:noProof/>
                <w:webHidden/>
              </w:rPr>
              <w:fldChar w:fldCharType="begin"/>
            </w:r>
            <w:r>
              <w:rPr>
                <w:noProof/>
                <w:webHidden/>
              </w:rPr>
              <w:instrText xml:space="preserve"> PAGEREF _Toc228522599 \h </w:instrText>
            </w:r>
            <w:r>
              <w:rPr>
                <w:noProof/>
                <w:webHidden/>
              </w:rPr>
            </w:r>
            <w:r>
              <w:rPr>
                <w:noProof/>
                <w:webHidden/>
              </w:rPr>
              <w:fldChar w:fldCharType="separate"/>
            </w:r>
            <w:r>
              <w:rPr>
                <w:noProof/>
                <w:webHidden/>
              </w:rPr>
              <w:t>lix</w:t>
            </w:r>
            <w:r>
              <w:rPr>
                <w:noProof/>
                <w:webHidden/>
              </w:rPr>
              <w:fldChar w:fldCharType="end"/>
            </w:r>
          </w:hyperlink>
        </w:p>
        <w:p w14:paraId="27D954E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0" w:history="1">
            <w:r w:rsidRPr="00790532">
              <w:rPr>
                <w:rStyle w:val="Hyperlink"/>
                <w:noProof/>
              </w:rPr>
              <w:t>LIME</w:t>
            </w:r>
            <w:r>
              <w:rPr>
                <w:noProof/>
                <w:webHidden/>
              </w:rPr>
              <w:tab/>
            </w:r>
            <w:r>
              <w:rPr>
                <w:noProof/>
                <w:webHidden/>
              </w:rPr>
              <w:fldChar w:fldCharType="begin"/>
            </w:r>
            <w:r>
              <w:rPr>
                <w:noProof/>
                <w:webHidden/>
              </w:rPr>
              <w:instrText xml:space="preserve"> PAGEREF _Toc228522600 \h </w:instrText>
            </w:r>
            <w:r>
              <w:rPr>
                <w:noProof/>
                <w:webHidden/>
              </w:rPr>
            </w:r>
            <w:r>
              <w:rPr>
                <w:noProof/>
                <w:webHidden/>
              </w:rPr>
              <w:fldChar w:fldCharType="separate"/>
            </w:r>
            <w:r>
              <w:rPr>
                <w:noProof/>
                <w:webHidden/>
              </w:rPr>
              <w:t>lix</w:t>
            </w:r>
            <w:r>
              <w:rPr>
                <w:noProof/>
                <w:webHidden/>
              </w:rPr>
              <w:fldChar w:fldCharType="end"/>
            </w:r>
          </w:hyperlink>
        </w:p>
        <w:p w14:paraId="579C1FF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1" w:history="1">
            <w:r w:rsidRPr="00790532">
              <w:rPr>
                <w:rStyle w:val="Hyperlink"/>
                <w:noProof/>
              </w:rPr>
              <w:t>Anchors</w:t>
            </w:r>
            <w:r>
              <w:rPr>
                <w:noProof/>
                <w:webHidden/>
              </w:rPr>
              <w:tab/>
            </w:r>
            <w:r>
              <w:rPr>
                <w:noProof/>
                <w:webHidden/>
              </w:rPr>
              <w:fldChar w:fldCharType="begin"/>
            </w:r>
            <w:r>
              <w:rPr>
                <w:noProof/>
                <w:webHidden/>
              </w:rPr>
              <w:instrText xml:space="preserve"> PAGEREF _Toc228522601 \h </w:instrText>
            </w:r>
            <w:r>
              <w:rPr>
                <w:noProof/>
                <w:webHidden/>
              </w:rPr>
            </w:r>
            <w:r>
              <w:rPr>
                <w:noProof/>
                <w:webHidden/>
              </w:rPr>
              <w:fldChar w:fldCharType="separate"/>
            </w:r>
            <w:r>
              <w:rPr>
                <w:noProof/>
                <w:webHidden/>
              </w:rPr>
              <w:t>lx</w:t>
            </w:r>
            <w:r>
              <w:rPr>
                <w:noProof/>
                <w:webHidden/>
              </w:rPr>
              <w:fldChar w:fldCharType="end"/>
            </w:r>
          </w:hyperlink>
        </w:p>
        <w:p w14:paraId="1B839AC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2" w:history="1">
            <w:r w:rsidRPr="00790532">
              <w:rPr>
                <w:rStyle w:val="Hyperlink"/>
                <w:noProof/>
              </w:rPr>
              <w:t>DiCE</w:t>
            </w:r>
            <w:r>
              <w:rPr>
                <w:noProof/>
                <w:webHidden/>
              </w:rPr>
              <w:tab/>
            </w:r>
            <w:r>
              <w:rPr>
                <w:noProof/>
                <w:webHidden/>
              </w:rPr>
              <w:fldChar w:fldCharType="begin"/>
            </w:r>
            <w:r>
              <w:rPr>
                <w:noProof/>
                <w:webHidden/>
              </w:rPr>
              <w:instrText xml:space="preserve"> PAGEREF _Toc228522602 \h </w:instrText>
            </w:r>
            <w:r>
              <w:rPr>
                <w:noProof/>
                <w:webHidden/>
              </w:rPr>
            </w:r>
            <w:r>
              <w:rPr>
                <w:noProof/>
                <w:webHidden/>
              </w:rPr>
              <w:fldChar w:fldCharType="separate"/>
            </w:r>
            <w:r>
              <w:rPr>
                <w:noProof/>
                <w:webHidden/>
              </w:rPr>
              <w:t>lxi</w:t>
            </w:r>
            <w:r>
              <w:rPr>
                <w:noProof/>
                <w:webHidden/>
              </w:rPr>
              <w:fldChar w:fldCharType="end"/>
            </w:r>
          </w:hyperlink>
        </w:p>
        <w:p w14:paraId="22D59FC8"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03" w:history="1">
            <w:r w:rsidRPr="00790532">
              <w:rPr>
                <w:rStyle w:val="Hyperlink"/>
                <w:noProof/>
              </w:rPr>
              <w:t>Análisis transversal: efecto del modelo base y del tamaño de muestra</w:t>
            </w:r>
            <w:r>
              <w:rPr>
                <w:noProof/>
                <w:webHidden/>
              </w:rPr>
              <w:tab/>
            </w:r>
            <w:r>
              <w:rPr>
                <w:noProof/>
                <w:webHidden/>
              </w:rPr>
              <w:fldChar w:fldCharType="begin"/>
            </w:r>
            <w:r>
              <w:rPr>
                <w:noProof/>
                <w:webHidden/>
              </w:rPr>
              <w:instrText xml:space="preserve"> PAGEREF _Toc228522603 \h </w:instrText>
            </w:r>
            <w:r>
              <w:rPr>
                <w:noProof/>
                <w:webHidden/>
              </w:rPr>
            </w:r>
            <w:r>
              <w:rPr>
                <w:noProof/>
                <w:webHidden/>
              </w:rPr>
              <w:fldChar w:fldCharType="separate"/>
            </w:r>
            <w:r>
              <w:rPr>
                <w:noProof/>
                <w:webHidden/>
              </w:rPr>
              <w:t>lxii</w:t>
            </w:r>
            <w:r>
              <w:rPr>
                <w:noProof/>
                <w:webHidden/>
              </w:rPr>
              <w:fldChar w:fldCharType="end"/>
            </w:r>
          </w:hyperlink>
        </w:p>
        <w:p w14:paraId="785F8D2D"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4" w:history="1">
            <w:r w:rsidRPr="00790532">
              <w:rPr>
                <w:rStyle w:val="Hyperlink"/>
                <w:noProof/>
              </w:rPr>
              <w:t>Efecto del modelo base sobre las métricas</w:t>
            </w:r>
            <w:r>
              <w:rPr>
                <w:noProof/>
                <w:webHidden/>
              </w:rPr>
              <w:tab/>
            </w:r>
            <w:r>
              <w:rPr>
                <w:noProof/>
                <w:webHidden/>
              </w:rPr>
              <w:fldChar w:fldCharType="begin"/>
            </w:r>
            <w:r>
              <w:rPr>
                <w:noProof/>
                <w:webHidden/>
              </w:rPr>
              <w:instrText xml:space="preserve"> PAGEREF _Toc228522604 \h </w:instrText>
            </w:r>
            <w:r>
              <w:rPr>
                <w:noProof/>
                <w:webHidden/>
              </w:rPr>
            </w:r>
            <w:r>
              <w:rPr>
                <w:noProof/>
                <w:webHidden/>
              </w:rPr>
              <w:fldChar w:fldCharType="separate"/>
            </w:r>
            <w:r>
              <w:rPr>
                <w:noProof/>
                <w:webHidden/>
              </w:rPr>
              <w:t>lxii</w:t>
            </w:r>
            <w:r>
              <w:rPr>
                <w:noProof/>
                <w:webHidden/>
              </w:rPr>
              <w:fldChar w:fldCharType="end"/>
            </w:r>
          </w:hyperlink>
        </w:p>
        <w:p w14:paraId="04B7E92B"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5" w:history="1">
            <w:r w:rsidRPr="00790532">
              <w:rPr>
                <w:rStyle w:val="Hyperlink"/>
                <w:noProof/>
              </w:rPr>
              <w:t>Efecto del tamaño de muestra estratificado</w:t>
            </w:r>
            <w:r>
              <w:rPr>
                <w:noProof/>
                <w:webHidden/>
              </w:rPr>
              <w:tab/>
            </w:r>
            <w:r>
              <w:rPr>
                <w:noProof/>
                <w:webHidden/>
              </w:rPr>
              <w:fldChar w:fldCharType="begin"/>
            </w:r>
            <w:r>
              <w:rPr>
                <w:noProof/>
                <w:webHidden/>
              </w:rPr>
              <w:instrText xml:space="preserve"> PAGEREF _Toc228522605 \h </w:instrText>
            </w:r>
            <w:r>
              <w:rPr>
                <w:noProof/>
                <w:webHidden/>
              </w:rPr>
            </w:r>
            <w:r>
              <w:rPr>
                <w:noProof/>
                <w:webHidden/>
              </w:rPr>
              <w:fldChar w:fldCharType="separate"/>
            </w:r>
            <w:r>
              <w:rPr>
                <w:noProof/>
                <w:webHidden/>
              </w:rPr>
              <w:t>lxiii</w:t>
            </w:r>
            <w:r>
              <w:rPr>
                <w:noProof/>
                <w:webHidden/>
              </w:rPr>
              <w:fldChar w:fldCharType="end"/>
            </w:r>
          </w:hyperlink>
        </w:p>
        <w:p w14:paraId="1E78C6CD"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06" w:history="1">
            <w:r w:rsidRPr="00790532">
              <w:rPr>
                <w:rStyle w:val="Hyperlink"/>
                <w:noProof/>
              </w:rPr>
              <w:t>Estudio D: Evaluación semántica proxy mediante LLMs (EXP4)</w:t>
            </w:r>
            <w:r>
              <w:rPr>
                <w:noProof/>
                <w:webHidden/>
              </w:rPr>
              <w:tab/>
            </w:r>
            <w:r>
              <w:rPr>
                <w:noProof/>
                <w:webHidden/>
              </w:rPr>
              <w:fldChar w:fldCharType="begin"/>
            </w:r>
            <w:r>
              <w:rPr>
                <w:noProof/>
                <w:webHidden/>
              </w:rPr>
              <w:instrText xml:space="preserve"> PAGEREF _Toc228522606 \h </w:instrText>
            </w:r>
            <w:r>
              <w:rPr>
                <w:noProof/>
                <w:webHidden/>
              </w:rPr>
            </w:r>
            <w:r>
              <w:rPr>
                <w:noProof/>
                <w:webHidden/>
              </w:rPr>
              <w:fldChar w:fldCharType="separate"/>
            </w:r>
            <w:r>
              <w:rPr>
                <w:noProof/>
                <w:webHidden/>
              </w:rPr>
              <w:t>lxiii</w:t>
            </w:r>
            <w:r>
              <w:rPr>
                <w:noProof/>
                <w:webHidden/>
              </w:rPr>
              <w:fldChar w:fldCharType="end"/>
            </w:r>
          </w:hyperlink>
        </w:p>
        <w:p w14:paraId="1A6F7872"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7" w:history="1">
            <w:r w:rsidRPr="00790532">
              <w:rPr>
                <w:rStyle w:val="Hyperlink"/>
                <w:noProof/>
              </w:rPr>
              <w:t>Diseño y corpus de evaluación</w:t>
            </w:r>
            <w:r>
              <w:rPr>
                <w:noProof/>
                <w:webHidden/>
              </w:rPr>
              <w:tab/>
            </w:r>
            <w:r>
              <w:rPr>
                <w:noProof/>
                <w:webHidden/>
              </w:rPr>
              <w:fldChar w:fldCharType="begin"/>
            </w:r>
            <w:r>
              <w:rPr>
                <w:noProof/>
                <w:webHidden/>
              </w:rPr>
              <w:instrText xml:space="preserve"> PAGEREF _Toc228522607 \h </w:instrText>
            </w:r>
            <w:r>
              <w:rPr>
                <w:noProof/>
                <w:webHidden/>
              </w:rPr>
            </w:r>
            <w:r>
              <w:rPr>
                <w:noProof/>
                <w:webHidden/>
              </w:rPr>
              <w:fldChar w:fldCharType="separate"/>
            </w:r>
            <w:r>
              <w:rPr>
                <w:noProof/>
                <w:webHidden/>
              </w:rPr>
              <w:t>lxiii</w:t>
            </w:r>
            <w:r>
              <w:rPr>
                <w:noProof/>
                <w:webHidden/>
              </w:rPr>
              <w:fldChar w:fldCharType="end"/>
            </w:r>
          </w:hyperlink>
        </w:p>
        <w:p w14:paraId="416C7C50"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8" w:history="1">
            <w:r w:rsidRPr="00790532">
              <w:rPr>
                <w:rStyle w:val="Hyperlink"/>
                <w:noProof/>
              </w:rPr>
              <w:t>Acuerdo inter-juez: ICC(2,1) y α de Krippendorff</w:t>
            </w:r>
            <w:r>
              <w:rPr>
                <w:noProof/>
                <w:webHidden/>
              </w:rPr>
              <w:tab/>
            </w:r>
            <w:r>
              <w:rPr>
                <w:noProof/>
                <w:webHidden/>
              </w:rPr>
              <w:fldChar w:fldCharType="begin"/>
            </w:r>
            <w:r>
              <w:rPr>
                <w:noProof/>
                <w:webHidden/>
              </w:rPr>
              <w:instrText xml:space="preserve"> PAGEREF _Toc228522608 \h </w:instrText>
            </w:r>
            <w:r>
              <w:rPr>
                <w:noProof/>
                <w:webHidden/>
              </w:rPr>
            </w:r>
            <w:r>
              <w:rPr>
                <w:noProof/>
                <w:webHidden/>
              </w:rPr>
              <w:fldChar w:fldCharType="separate"/>
            </w:r>
            <w:r>
              <w:rPr>
                <w:noProof/>
                <w:webHidden/>
              </w:rPr>
              <w:t>lxiv</w:t>
            </w:r>
            <w:r>
              <w:rPr>
                <w:noProof/>
                <w:webHidden/>
              </w:rPr>
              <w:fldChar w:fldCharType="end"/>
            </w:r>
          </w:hyperlink>
        </w:p>
        <w:p w14:paraId="79E9ED2A"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09" w:history="1">
            <w:r w:rsidRPr="00790532">
              <w:rPr>
                <w:rStyle w:val="Hyperlink"/>
                <w:noProof/>
              </w:rPr>
              <w:t>Perfiles semánticos por método explicador</w:t>
            </w:r>
            <w:r>
              <w:rPr>
                <w:noProof/>
                <w:webHidden/>
              </w:rPr>
              <w:tab/>
            </w:r>
            <w:r>
              <w:rPr>
                <w:noProof/>
                <w:webHidden/>
              </w:rPr>
              <w:fldChar w:fldCharType="begin"/>
            </w:r>
            <w:r>
              <w:rPr>
                <w:noProof/>
                <w:webHidden/>
              </w:rPr>
              <w:instrText xml:space="preserve"> PAGEREF _Toc228522609 \h </w:instrText>
            </w:r>
            <w:r>
              <w:rPr>
                <w:noProof/>
                <w:webHidden/>
              </w:rPr>
            </w:r>
            <w:r>
              <w:rPr>
                <w:noProof/>
                <w:webHidden/>
              </w:rPr>
              <w:fldChar w:fldCharType="separate"/>
            </w:r>
            <w:r>
              <w:rPr>
                <w:noProof/>
                <w:webHidden/>
              </w:rPr>
              <w:t>lxv</w:t>
            </w:r>
            <w:r>
              <w:rPr>
                <w:noProof/>
                <w:webHidden/>
              </w:rPr>
              <w:fldChar w:fldCharType="end"/>
            </w:r>
          </w:hyperlink>
        </w:p>
        <w:p w14:paraId="1E3C57E0"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0" w:history="1">
            <w:r w:rsidRPr="00790532">
              <w:rPr>
                <w:rStyle w:val="Hyperlink"/>
                <w:noProof/>
              </w:rPr>
              <w:t>Alineación LLM–métricas técnicas</w:t>
            </w:r>
            <w:r>
              <w:rPr>
                <w:noProof/>
                <w:webHidden/>
              </w:rPr>
              <w:tab/>
            </w:r>
            <w:r>
              <w:rPr>
                <w:noProof/>
                <w:webHidden/>
              </w:rPr>
              <w:fldChar w:fldCharType="begin"/>
            </w:r>
            <w:r>
              <w:rPr>
                <w:noProof/>
                <w:webHidden/>
              </w:rPr>
              <w:instrText xml:space="preserve"> PAGEREF _Toc228522610 \h </w:instrText>
            </w:r>
            <w:r>
              <w:rPr>
                <w:noProof/>
                <w:webHidden/>
              </w:rPr>
            </w:r>
            <w:r>
              <w:rPr>
                <w:noProof/>
                <w:webHidden/>
              </w:rPr>
              <w:fldChar w:fldCharType="separate"/>
            </w:r>
            <w:r>
              <w:rPr>
                <w:noProof/>
                <w:webHidden/>
              </w:rPr>
              <w:t>lxvi</w:t>
            </w:r>
            <w:r>
              <w:rPr>
                <w:noProof/>
                <w:webHidden/>
              </w:rPr>
              <w:fldChar w:fldCharType="end"/>
            </w:r>
          </w:hyperlink>
        </w:p>
        <w:p w14:paraId="0C03EA5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1" w:history="1">
            <w:r w:rsidRPr="00790532">
              <w:rPr>
                <w:rStyle w:val="Hyperlink"/>
                <w:noProof/>
              </w:rPr>
              <w:t>Diagnóstico de sesgo por visibilidad de etiqueta</w:t>
            </w:r>
            <w:r>
              <w:rPr>
                <w:noProof/>
                <w:webHidden/>
              </w:rPr>
              <w:tab/>
            </w:r>
            <w:r>
              <w:rPr>
                <w:noProof/>
                <w:webHidden/>
              </w:rPr>
              <w:fldChar w:fldCharType="begin"/>
            </w:r>
            <w:r>
              <w:rPr>
                <w:noProof/>
                <w:webHidden/>
              </w:rPr>
              <w:instrText xml:space="preserve"> PAGEREF _Toc228522611 \h </w:instrText>
            </w:r>
            <w:r>
              <w:rPr>
                <w:noProof/>
                <w:webHidden/>
              </w:rPr>
            </w:r>
            <w:r>
              <w:rPr>
                <w:noProof/>
                <w:webHidden/>
              </w:rPr>
              <w:fldChar w:fldCharType="separate"/>
            </w:r>
            <w:r>
              <w:rPr>
                <w:noProof/>
                <w:webHidden/>
              </w:rPr>
              <w:t>lxvi</w:t>
            </w:r>
            <w:r>
              <w:rPr>
                <w:noProof/>
                <w:webHidden/>
              </w:rPr>
              <w:fldChar w:fldCharType="end"/>
            </w:r>
          </w:hyperlink>
        </w:p>
        <w:p w14:paraId="0D41EDC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2" w:history="1">
            <w:r w:rsidRPr="00790532">
              <w:rPr>
                <w:rStyle w:val="Hyperlink"/>
                <w:noProof/>
              </w:rPr>
              <w:t>Síntesis integradora EXP1–EXP4</w:t>
            </w:r>
            <w:r>
              <w:rPr>
                <w:noProof/>
                <w:webHidden/>
              </w:rPr>
              <w:tab/>
            </w:r>
            <w:r>
              <w:rPr>
                <w:noProof/>
                <w:webHidden/>
              </w:rPr>
              <w:fldChar w:fldCharType="begin"/>
            </w:r>
            <w:r>
              <w:rPr>
                <w:noProof/>
                <w:webHidden/>
              </w:rPr>
              <w:instrText xml:space="preserve"> PAGEREF _Toc228522612 \h </w:instrText>
            </w:r>
            <w:r>
              <w:rPr>
                <w:noProof/>
                <w:webHidden/>
              </w:rPr>
            </w:r>
            <w:r>
              <w:rPr>
                <w:noProof/>
                <w:webHidden/>
              </w:rPr>
              <w:fldChar w:fldCharType="separate"/>
            </w:r>
            <w:r>
              <w:rPr>
                <w:noProof/>
                <w:webHidden/>
              </w:rPr>
              <w:t>lxvii</w:t>
            </w:r>
            <w:r>
              <w:rPr>
                <w:noProof/>
                <w:webHidden/>
              </w:rPr>
              <w:fldChar w:fldCharType="end"/>
            </w:r>
          </w:hyperlink>
        </w:p>
        <w:p w14:paraId="354B29BB"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13" w:history="1">
            <w:r w:rsidRPr="00790532">
              <w:rPr>
                <w:rStyle w:val="Hyperlink"/>
                <w:noProof/>
              </w:rPr>
              <w:t>Discusión</w:t>
            </w:r>
            <w:r>
              <w:rPr>
                <w:noProof/>
                <w:webHidden/>
              </w:rPr>
              <w:tab/>
            </w:r>
            <w:r>
              <w:rPr>
                <w:noProof/>
                <w:webHidden/>
              </w:rPr>
              <w:fldChar w:fldCharType="begin"/>
            </w:r>
            <w:r>
              <w:rPr>
                <w:noProof/>
                <w:webHidden/>
              </w:rPr>
              <w:instrText xml:space="preserve"> PAGEREF _Toc228522613 \h </w:instrText>
            </w:r>
            <w:r>
              <w:rPr>
                <w:noProof/>
                <w:webHidden/>
              </w:rPr>
            </w:r>
            <w:r>
              <w:rPr>
                <w:noProof/>
                <w:webHidden/>
              </w:rPr>
              <w:fldChar w:fldCharType="separate"/>
            </w:r>
            <w:r>
              <w:rPr>
                <w:noProof/>
                <w:webHidden/>
              </w:rPr>
              <w:t>lxvii</w:t>
            </w:r>
            <w:r>
              <w:rPr>
                <w:noProof/>
                <w:webHidden/>
              </w:rPr>
              <w:fldChar w:fldCharType="end"/>
            </w:r>
          </w:hyperlink>
        </w:p>
        <w:p w14:paraId="1F8CC73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4" w:history="1">
            <w:r w:rsidRPr="00790532">
              <w:rPr>
                <w:rStyle w:val="Hyperlink"/>
                <w:noProof/>
              </w:rPr>
              <w:t>Interpretación conjunta de H1, H2 y H3</w:t>
            </w:r>
            <w:r>
              <w:rPr>
                <w:noProof/>
                <w:webHidden/>
              </w:rPr>
              <w:tab/>
            </w:r>
            <w:r>
              <w:rPr>
                <w:noProof/>
                <w:webHidden/>
              </w:rPr>
              <w:fldChar w:fldCharType="begin"/>
            </w:r>
            <w:r>
              <w:rPr>
                <w:noProof/>
                <w:webHidden/>
              </w:rPr>
              <w:instrText xml:space="preserve"> PAGEREF _Toc228522614 \h </w:instrText>
            </w:r>
            <w:r>
              <w:rPr>
                <w:noProof/>
                <w:webHidden/>
              </w:rPr>
            </w:r>
            <w:r>
              <w:rPr>
                <w:noProof/>
                <w:webHidden/>
              </w:rPr>
              <w:fldChar w:fldCharType="separate"/>
            </w:r>
            <w:r>
              <w:rPr>
                <w:noProof/>
                <w:webHidden/>
              </w:rPr>
              <w:t>lxvii</w:t>
            </w:r>
            <w:r>
              <w:rPr>
                <w:noProof/>
                <w:webHidden/>
              </w:rPr>
              <w:fldChar w:fldCharType="end"/>
            </w:r>
          </w:hyperlink>
        </w:p>
        <w:p w14:paraId="76C48D5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5" w:history="1">
            <w:r w:rsidRPr="00790532">
              <w:rPr>
                <w:rStyle w:val="Hyperlink"/>
                <w:noProof/>
              </w:rPr>
              <w:t>Trade-off calidad-coste y criterios de selección operativa</w:t>
            </w:r>
            <w:r>
              <w:rPr>
                <w:noProof/>
                <w:webHidden/>
              </w:rPr>
              <w:tab/>
            </w:r>
            <w:r>
              <w:rPr>
                <w:noProof/>
                <w:webHidden/>
              </w:rPr>
              <w:fldChar w:fldCharType="begin"/>
            </w:r>
            <w:r>
              <w:rPr>
                <w:noProof/>
                <w:webHidden/>
              </w:rPr>
              <w:instrText xml:space="preserve"> PAGEREF _Toc228522615 \h </w:instrText>
            </w:r>
            <w:r>
              <w:rPr>
                <w:noProof/>
                <w:webHidden/>
              </w:rPr>
            </w:r>
            <w:r>
              <w:rPr>
                <w:noProof/>
                <w:webHidden/>
              </w:rPr>
              <w:fldChar w:fldCharType="separate"/>
            </w:r>
            <w:r>
              <w:rPr>
                <w:noProof/>
                <w:webHidden/>
              </w:rPr>
              <w:t>lxviii</w:t>
            </w:r>
            <w:r>
              <w:rPr>
                <w:noProof/>
                <w:webHidden/>
              </w:rPr>
              <w:fldChar w:fldCharType="end"/>
            </w:r>
          </w:hyperlink>
        </w:p>
        <w:p w14:paraId="6D6EE0B9"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6" w:history="1">
            <w:r w:rsidRPr="00790532">
              <w:rPr>
                <w:rStyle w:val="Hyperlink"/>
                <w:noProof/>
              </w:rPr>
              <w:t>Validación externa EXP3: integración con EXP1 y EXP2</w:t>
            </w:r>
            <w:r>
              <w:rPr>
                <w:noProof/>
                <w:webHidden/>
              </w:rPr>
              <w:tab/>
            </w:r>
            <w:r>
              <w:rPr>
                <w:noProof/>
                <w:webHidden/>
              </w:rPr>
              <w:fldChar w:fldCharType="begin"/>
            </w:r>
            <w:r>
              <w:rPr>
                <w:noProof/>
                <w:webHidden/>
              </w:rPr>
              <w:instrText xml:space="preserve"> PAGEREF _Toc228522616 \h </w:instrText>
            </w:r>
            <w:r>
              <w:rPr>
                <w:noProof/>
                <w:webHidden/>
              </w:rPr>
            </w:r>
            <w:r>
              <w:rPr>
                <w:noProof/>
                <w:webHidden/>
              </w:rPr>
              <w:fldChar w:fldCharType="separate"/>
            </w:r>
            <w:r>
              <w:rPr>
                <w:noProof/>
                <w:webHidden/>
              </w:rPr>
              <w:t>lxix</w:t>
            </w:r>
            <w:r>
              <w:rPr>
                <w:noProof/>
                <w:webHidden/>
              </w:rPr>
              <w:fldChar w:fldCharType="end"/>
            </w:r>
          </w:hyperlink>
        </w:p>
        <w:p w14:paraId="51B01A4F"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17" w:history="1">
            <w:r w:rsidRPr="00790532">
              <w:rPr>
                <w:rStyle w:val="Hyperlink"/>
                <w:noProof/>
              </w:rPr>
              <w:t>Contribuciones, limitaciones y extensiones</w:t>
            </w:r>
            <w:r>
              <w:rPr>
                <w:noProof/>
                <w:webHidden/>
              </w:rPr>
              <w:tab/>
            </w:r>
            <w:r>
              <w:rPr>
                <w:noProof/>
                <w:webHidden/>
              </w:rPr>
              <w:fldChar w:fldCharType="begin"/>
            </w:r>
            <w:r>
              <w:rPr>
                <w:noProof/>
                <w:webHidden/>
              </w:rPr>
              <w:instrText xml:space="preserve"> PAGEREF _Toc228522617 \h </w:instrText>
            </w:r>
            <w:r>
              <w:rPr>
                <w:noProof/>
                <w:webHidden/>
              </w:rPr>
            </w:r>
            <w:r>
              <w:rPr>
                <w:noProof/>
                <w:webHidden/>
              </w:rPr>
              <w:fldChar w:fldCharType="separate"/>
            </w:r>
            <w:r>
              <w:rPr>
                <w:noProof/>
                <w:webHidden/>
              </w:rPr>
              <w:t>lxx</w:t>
            </w:r>
            <w:r>
              <w:rPr>
                <w:noProof/>
                <w:webHidden/>
              </w:rPr>
              <w:fldChar w:fldCharType="end"/>
            </w:r>
          </w:hyperlink>
        </w:p>
        <w:p w14:paraId="6BEE2156"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618" w:history="1">
            <w:r w:rsidRPr="00790532">
              <w:rPr>
                <w:rStyle w:val="Hyperlink"/>
                <w:noProof/>
              </w:rPr>
              <w:t>Conclusiones</w:t>
            </w:r>
            <w:r>
              <w:rPr>
                <w:noProof/>
                <w:webHidden/>
              </w:rPr>
              <w:tab/>
            </w:r>
            <w:r>
              <w:rPr>
                <w:noProof/>
                <w:webHidden/>
              </w:rPr>
              <w:fldChar w:fldCharType="begin"/>
            </w:r>
            <w:r>
              <w:rPr>
                <w:noProof/>
                <w:webHidden/>
              </w:rPr>
              <w:instrText xml:space="preserve"> PAGEREF _Toc228522618 \h </w:instrText>
            </w:r>
            <w:r>
              <w:rPr>
                <w:noProof/>
                <w:webHidden/>
              </w:rPr>
            </w:r>
            <w:r>
              <w:rPr>
                <w:noProof/>
                <w:webHidden/>
              </w:rPr>
              <w:fldChar w:fldCharType="separate"/>
            </w:r>
            <w:r>
              <w:rPr>
                <w:noProof/>
                <w:webHidden/>
              </w:rPr>
              <w:t>lxxii</w:t>
            </w:r>
            <w:r>
              <w:rPr>
                <w:noProof/>
                <w:webHidden/>
              </w:rPr>
              <w:fldChar w:fldCharType="end"/>
            </w:r>
          </w:hyperlink>
        </w:p>
        <w:p w14:paraId="2981DBE0"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19" w:history="1">
            <w:r w:rsidRPr="00790532">
              <w:rPr>
                <w:rStyle w:val="Hyperlink"/>
                <w:noProof/>
              </w:rPr>
              <w:t>Respuesta al problema de investigación e hipótesis</w:t>
            </w:r>
            <w:r>
              <w:rPr>
                <w:noProof/>
                <w:webHidden/>
              </w:rPr>
              <w:tab/>
            </w:r>
            <w:r>
              <w:rPr>
                <w:noProof/>
                <w:webHidden/>
              </w:rPr>
              <w:fldChar w:fldCharType="begin"/>
            </w:r>
            <w:r>
              <w:rPr>
                <w:noProof/>
                <w:webHidden/>
              </w:rPr>
              <w:instrText xml:space="preserve"> PAGEREF _Toc228522619 \h </w:instrText>
            </w:r>
            <w:r>
              <w:rPr>
                <w:noProof/>
                <w:webHidden/>
              </w:rPr>
            </w:r>
            <w:r>
              <w:rPr>
                <w:noProof/>
                <w:webHidden/>
              </w:rPr>
              <w:fldChar w:fldCharType="separate"/>
            </w:r>
            <w:r>
              <w:rPr>
                <w:noProof/>
                <w:webHidden/>
              </w:rPr>
              <w:t>lxxii</w:t>
            </w:r>
            <w:r>
              <w:rPr>
                <w:noProof/>
                <w:webHidden/>
              </w:rPr>
              <w:fldChar w:fldCharType="end"/>
            </w:r>
          </w:hyperlink>
        </w:p>
        <w:p w14:paraId="75DCEF1F"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20" w:history="1">
            <w:r w:rsidRPr="00790532">
              <w:rPr>
                <w:rStyle w:val="Hyperlink"/>
                <w:noProof/>
              </w:rPr>
              <w:t>Estudio C: Taxonomía estructurada del espacio de métricas de evaluación XAI</w:t>
            </w:r>
            <w:r>
              <w:rPr>
                <w:noProof/>
                <w:webHidden/>
              </w:rPr>
              <w:tab/>
            </w:r>
            <w:r>
              <w:rPr>
                <w:noProof/>
                <w:webHidden/>
              </w:rPr>
              <w:fldChar w:fldCharType="begin"/>
            </w:r>
            <w:r>
              <w:rPr>
                <w:noProof/>
                <w:webHidden/>
              </w:rPr>
              <w:instrText xml:space="preserve"> PAGEREF _Toc228522620 \h </w:instrText>
            </w:r>
            <w:r>
              <w:rPr>
                <w:noProof/>
                <w:webHidden/>
              </w:rPr>
            </w:r>
            <w:r>
              <w:rPr>
                <w:noProof/>
                <w:webHidden/>
              </w:rPr>
              <w:fldChar w:fldCharType="separate"/>
            </w:r>
            <w:r>
              <w:rPr>
                <w:noProof/>
                <w:webHidden/>
              </w:rPr>
              <w:t>lxxv</w:t>
            </w:r>
            <w:r>
              <w:rPr>
                <w:noProof/>
                <w:webHidden/>
              </w:rPr>
              <w:fldChar w:fldCharType="end"/>
            </w:r>
          </w:hyperlink>
        </w:p>
        <w:p w14:paraId="37CE74CB"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1" w:history="1">
            <w:r w:rsidRPr="00790532">
              <w:rPr>
                <w:rStyle w:val="Hyperlink"/>
                <w:noProof/>
              </w:rPr>
              <w:t>Motivación y posicionamiento</w:t>
            </w:r>
            <w:r>
              <w:rPr>
                <w:noProof/>
                <w:webHidden/>
              </w:rPr>
              <w:tab/>
            </w:r>
            <w:r>
              <w:rPr>
                <w:noProof/>
                <w:webHidden/>
              </w:rPr>
              <w:fldChar w:fldCharType="begin"/>
            </w:r>
            <w:r>
              <w:rPr>
                <w:noProof/>
                <w:webHidden/>
              </w:rPr>
              <w:instrText xml:space="preserve"> PAGEREF _Toc228522621 \h </w:instrText>
            </w:r>
            <w:r>
              <w:rPr>
                <w:noProof/>
                <w:webHidden/>
              </w:rPr>
            </w:r>
            <w:r>
              <w:rPr>
                <w:noProof/>
                <w:webHidden/>
              </w:rPr>
              <w:fldChar w:fldCharType="separate"/>
            </w:r>
            <w:r>
              <w:rPr>
                <w:noProof/>
                <w:webHidden/>
              </w:rPr>
              <w:t>lxxv</w:t>
            </w:r>
            <w:r>
              <w:rPr>
                <w:noProof/>
                <w:webHidden/>
              </w:rPr>
              <w:fldChar w:fldCharType="end"/>
            </w:r>
          </w:hyperlink>
        </w:p>
        <w:p w14:paraId="0663656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2" w:history="1">
            <w:r w:rsidRPr="00790532">
              <w:rPr>
                <w:rStyle w:val="Hyperlink"/>
                <w:noProof/>
              </w:rPr>
              <w:t>Los cuatro ejes de la taxonomía</w:t>
            </w:r>
            <w:r>
              <w:rPr>
                <w:noProof/>
                <w:webHidden/>
              </w:rPr>
              <w:tab/>
            </w:r>
            <w:r>
              <w:rPr>
                <w:noProof/>
                <w:webHidden/>
              </w:rPr>
              <w:fldChar w:fldCharType="begin"/>
            </w:r>
            <w:r>
              <w:rPr>
                <w:noProof/>
                <w:webHidden/>
              </w:rPr>
              <w:instrText xml:space="preserve"> PAGEREF _Toc228522622 \h </w:instrText>
            </w:r>
            <w:r>
              <w:rPr>
                <w:noProof/>
                <w:webHidden/>
              </w:rPr>
            </w:r>
            <w:r>
              <w:rPr>
                <w:noProof/>
                <w:webHidden/>
              </w:rPr>
              <w:fldChar w:fldCharType="separate"/>
            </w:r>
            <w:r>
              <w:rPr>
                <w:noProof/>
                <w:webHidden/>
              </w:rPr>
              <w:t>lxxvi</w:t>
            </w:r>
            <w:r>
              <w:rPr>
                <w:noProof/>
                <w:webHidden/>
              </w:rPr>
              <w:fldChar w:fldCharType="end"/>
            </w:r>
          </w:hyperlink>
        </w:p>
        <w:p w14:paraId="2E357868"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3" w:history="1">
            <w:r w:rsidRPr="00790532">
              <w:rPr>
                <w:rStyle w:val="Hyperlink"/>
                <w:noProof/>
              </w:rPr>
              <w:t>Mapeo de las métricas del benchmark a la taxonomía</w:t>
            </w:r>
            <w:r>
              <w:rPr>
                <w:noProof/>
                <w:webHidden/>
              </w:rPr>
              <w:tab/>
            </w:r>
            <w:r>
              <w:rPr>
                <w:noProof/>
                <w:webHidden/>
              </w:rPr>
              <w:fldChar w:fldCharType="begin"/>
            </w:r>
            <w:r>
              <w:rPr>
                <w:noProof/>
                <w:webHidden/>
              </w:rPr>
              <w:instrText xml:space="preserve"> PAGEREF _Toc228522623 \h </w:instrText>
            </w:r>
            <w:r>
              <w:rPr>
                <w:noProof/>
                <w:webHidden/>
              </w:rPr>
            </w:r>
            <w:r>
              <w:rPr>
                <w:noProof/>
                <w:webHidden/>
              </w:rPr>
              <w:fldChar w:fldCharType="separate"/>
            </w:r>
            <w:r>
              <w:rPr>
                <w:noProof/>
                <w:webHidden/>
              </w:rPr>
              <w:t>lxxix</w:t>
            </w:r>
            <w:r>
              <w:rPr>
                <w:noProof/>
                <w:webHidden/>
              </w:rPr>
              <w:fldChar w:fldCharType="end"/>
            </w:r>
          </w:hyperlink>
        </w:p>
        <w:p w14:paraId="545907C5"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4" w:history="1">
            <w:r w:rsidRPr="00790532">
              <w:rPr>
                <w:rStyle w:val="Hyperlink"/>
                <w:noProof/>
              </w:rPr>
              <w:t>Contribución teórica de la taxonomía</w:t>
            </w:r>
            <w:r>
              <w:rPr>
                <w:noProof/>
                <w:webHidden/>
              </w:rPr>
              <w:tab/>
            </w:r>
            <w:r>
              <w:rPr>
                <w:noProof/>
                <w:webHidden/>
              </w:rPr>
              <w:fldChar w:fldCharType="begin"/>
            </w:r>
            <w:r>
              <w:rPr>
                <w:noProof/>
                <w:webHidden/>
              </w:rPr>
              <w:instrText xml:space="preserve"> PAGEREF _Toc228522624 \h </w:instrText>
            </w:r>
            <w:r>
              <w:rPr>
                <w:noProof/>
                <w:webHidden/>
              </w:rPr>
            </w:r>
            <w:r>
              <w:rPr>
                <w:noProof/>
                <w:webHidden/>
              </w:rPr>
              <w:fldChar w:fldCharType="separate"/>
            </w:r>
            <w:r>
              <w:rPr>
                <w:noProof/>
                <w:webHidden/>
              </w:rPr>
              <w:t>lxxx</w:t>
            </w:r>
            <w:r>
              <w:rPr>
                <w:noProof/>
                <w:webHidden/>
              </w:rPr>
              <w:fldChar w:fldCharType="end"/>
            </w:r>
          </w:hyperlink>
        </w:p>
        <w:p w14:paraId="768BF02C"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25" w:history="1">
            <w:r w:rsidRPr="00790532">
              <w:rPr>
                <w:rStyle w:val="Hyperlink"/>
                <w:noProof/>
              </w:rPr>
              <w:t>Contribuciones científicas</w:t>
            </w:r>
            <w:r>
              <w:rPr>
                <w:noProof/>
                <w:webHidden/>
              </w:rPr>
              <w:tab/>
            </w:r>
            <w:r>
              <w:rPr>
                <w:noProof/>
                <w:webHidden/>
              </w:rPr>
              <w:fldChar w:fldCharType="begin"/>
            </w:r>
            <w:r>
              <w:rPr>
                <w:noProof/>
                <w:webHidden/>
              </w:rPr>
              <w:instrText xml:space="preserve"> PAGEREF _Toc228522625 \h </w:instrText>
            </w:r>
            <w:r>
              <w:rPr>
                <w:noProof/>
                <w:webHidden/>
              </w:rPr>
            </w:r>
            <w:r>
              <w:rPr>
                <w:noProof/>
                <w:webHidden/>
              </w:rPr>
              <w:fldChar w:fldCharType="separate"/>
            </w:r>
            <w:r>
              <w:rPr>
                <w:noProof/>
                <w:webHidden/>
              </w:rPr>
              <w:t>lxxxi</w:t>
            </w:r>
            <w:r>
              <w:rPr>
                <w:noProof/>
                <w:webHidden/>
              </w:rPr>
              <w:fldChar w:fldCharType="end"/>
            </w:r>
          </w:hyperlink>
        </w:p>
        <w:p w14:paraId="7189BF7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6" w:history="1">
            <w:r w:rsidRPr="00790532">
              <w:rPr>
                <w:rStyle w:val="Hyperlink"/>
                <w:noProof/>
              </w:rPr>
              <w:t>Contribución metodológica: protocolo FOM-7</w:t>
            </w:r>
            <w:r>
              <w:rPr>
                <w:noProof/>
                <w:webHidden/>
              </w:rPr>
              <w:tab/>
            </w:r>
            <w:r>
              <w:rPr>
                <w:noProof/>
                <w:webHidden/>
              </w:rPr>
              <w:fldChar w:fldCharType="begin"/>
            </w:r>
            <w:r>
              <w:rPr>
                <w:noProof/>
                <w:webHidden/>
              </w:rPr>
              <w:instrText xml:space="preserve"> PAGEREF _Toc228522626 \h </w:instrText>
            </w:r>
            <w:r>
              <w:rPr>
                <w:noProof/>
                <w:webHidden/>
              </w:rPr>
            </w:r>
            <w:r>
              <w:rPr>
                <w:noProof/>
                <w:webHidden/>
              </w:rPr>
              <w:fldChar w:fldCharType="separate"/>
            </w:r>
            <w:r>
              <w:rPr>
                <w:noProof/>
                <w:webHidden/>
              </w:rPr>
              <w:t>lxxxi</w:t>
            </w:r>
            <w:r>
              <w:rPr>
                <w:noProof/>
                <w:webHidden/>
              </w:rPr>
              <w:fldChar w:fldCharType="end"/>
            </w:r>
          </w:hyperlink>
        </w:p>
        <w:p w14:paraId="4C843A30"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7" w:history="1">
            <w:r w:rsidRPr="00790532">
              <w:rPr>
                <w:rStyle w:val="Hyperlink"/>
                <w:noProof/>
              </w:rPr>
              <w:t>Contribución teórica: disociación fidelidad-estabilidad y taxonomía de métricas</w:t>
            </w:r>
            <w:r>
              <w:rPr>
                <w:noProof/>
                <w:webHidden/>
              </w:rPr>
              <w:tab/>
            </w:r>
            <w:r>
              <w:rPr>
                <w:noProof/>
                <w:webHidden/>
              </w:rPr>
              <w:fldChar w:fldCharType="begin"/>
            </w:r>
            <w:r>
              <w:rPr>
                <w:noProof/>
                <w:webHidden/>
              </w:rPr>
              <w:instrText xml:space="preserve"> PAGEREF _Toc228522627 \h </w:instrText>
            </w:r>
            <w:r>
              <w:rPr>
                <w:noProof/>
                <w:webHidden/>
              </w:rPr>
            </w:r>
            <w:r>
              <w:rPr>
                <w:noProof/>
                <w:webHidden/>
              </w:rPr>
              <w:fldChar w:fldCharType="separate"/>
            </w:r>
            <w:r>
              <w:rPr>
                <w:noProof/>
                <w:webHidden/>
              </w:rPr>
              <w:t>lxxxii</w:t>
            </w:r>
            <w:r>
              <w:rPr>
                <w:noProof/>
                <w:webHidden/>
              </w:rPr>
              <w:fldChar w:fldCharType="end"/>
            </w:r>
          </w:hyperlink>
        </w:p>
        <w:p w14:paraId="07B90F32"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28" w:history="1">
            <w:r w:rsidRPr="00790532">
              <w:rPr>
                <w:rStyle w:val="Hyperlink"/>
                <w:noProof/>
              </w:rPr>
              <w:t>Contribución aplicada: criterios prescriptivos de selección de métodos XAI</w:t>
            </w:r>
            <w:r>
              <w:rPr>
                <w:noProof/>
                <w:webHidden/>
              </w:rPr>
              <w:tab/>
            </w:r>
            <w:r>
              <w:rPr>
                <w:noProof/>
                <w:webHidden/>
              </w:rPr>
              <w:fldChar w:fldCharType="begin"/>
            </w:r>
            <w:r>
              <w:rPr>
                <w:noProof/>
                <w:webHidden/>
              </w:rPr>
              <w:instrText xml:space="preserve"> PAGEREF _Toc228522628 \h </w:instrText>
            </w:r>
            <w:r>
              <w:rPr>
                <w:noProof/>
                <w:webHidden/>
              </w:rPr>
            </w:r>
            <w:r>
              <w:rPr>
                <w:noProof/>
                <w:webHidden/>
              </w:rPr>
              <w:fldChar w:fldCharType="separate"/>
            </w:r>
            <w:r>
              <w:rPr>
                <w:noProof/>
                <w:webHidden/>
              </w:rPr>
              <w:t>lxxxii</w:t>
            </w:r>
            <w:r>
              <w:rPr>
                <w:noProof/>
                <w:webHidden/>
              </w:rPr>
              <w:fldChar w:fldCharType="end"/>
            </w:r>
          </w:hyperlink>
        </w:p>
        <w:p w14:paraId="618896C7"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29" w:history="1">
            <w:r w:rsidRPr="00790532">
              <w:rPr>
                <w:rStyle w:val="Hyperlink"/>
                <w:noProof/>
              </w:rPr>
              <w:t>Limitaciones del estudio</w:t>
            </w:r>
            <w:r>
              <w:rPr>
                <w:noProof/>
                <w:webHidden/>
              </w:rPr>
              <w:tab/>
            </w:r>
            <w:r>
              <w:rPr>
                <w:noProof/>
                <w:webHidden/>
              </w:rPr>
              <w:fldChar w:fldCharType="begin"/>
            </w:r>
            <w:r>
              <w:rPr>
                <w:noProof/>
                <w:webHidden/>
              </w:rPr>
              <w:instrText xml:space="preserve"> PAGEREF _Toc228522629 \h </w:instrText>
            </w:r>
            <w:r>
              <w:rPr>
                <w:noProof/>
                <w:webHidden/>
              </w:rPr>
            </w:r>
            <w:r>
              <w:rPr>
                <w:noProof/>
                <w:webHidden/>
              </w:rPr>
              <w:fldChar w:fldCharType="separate"/>
            </w:r>
            <w:r>
              <w:rPr>
                <w:noProof/>
                <w:webHidden/>
              </w:rPr>
              <w:t>lxxxiii</w:t>
            </w:r>
            <w:r>
              <w:rPr>
                <w:noProof/>
                <w:webHidden/>
              </w:rPr>
              <w:fldChar w:fldCharType="end"/>
            </w:r>
          </w:hyperlink>
        </w:p>
        <w:p w14:paraId="500D312D"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0" w:history="1">
            <w:r w:rsidRPr="00790532">
              <w:rPr>
                <w:rStyle w:val="Hyperlink"/>
                <w:noProof/>
              </w:rPr>
              <w:t>Líneas de investigación futura</w:t>
            </w:r>
            <w:r>
              <w:rPr>
                <w:noProof/>
                <w:webHidden/>
              </w:rPr>
              <w:tab/>
            </w:r>
            <w:r>
              <w:rPr>
                <w:noProof/>
                <w:webHidden/>
              </w:rPr>
              <w:fldChar w:fldCharType="begin"/>
            </w:r>
            <w:r>
              <w:rPr>
                <w:noProof/>
                <w:webHidden/>
              </w:rPr>
              <w:instrText xml:space="preserve"> PAGEREF _Toc228522630 \h </w:instrText>
            </w:r>
            <w:r>
              <w:rPr>
                <w:noProof/>
                <w:webHidden/>
              </w:rPr>
            </w:r>
            <w:r>
              <w:rPr>
                <w:noProof/>
                <w:webHidden/>
              </w:rPr>
              <w:fldChar w:fldCharType="separate"/>
            </w:r>
            <w:r>
              <w:rPr>
                <w:noProof/>
                <w:webHidden/>
              </w:rPr>
              <w:t>lxxxiv</w:t>
            </w:r>
            <w:r>
              <w:rPr>
                <w:noProof/>
                <w:webHidden/>
              </w:rPr>
              <w:fldChar w:fldCharType="end"/>
            </w:r>
          </w:hyperlink>
        </w:p>
        <w:p w14:paraId="25245FDE"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1" w:history="1">
            <w:r w:rsidRPr="00790532">
              <w:rPr>
                <w:rStyle w:val="Hyperlink"/>
                <w:noProof/>
              </w:rPr>
              <w:t>Síntesis final</w:t>
            </w:r>
            <w:r>
              <w:rPr>
                <w:noProof/>
                <w:webHidden/>
              </w:rPr>
              <w:tab/>
            </w:r>
            <w:r>
              <w:rPr>
                <w:noProof/>
                <w:webHidden/>
              </w:rPr>
              <w:fldChar w:fldCharType="begin"/>
            </w:r>
            <w:r>
              <w:rPr>
                <w:noProof/>
                <w:webHidden/>
              </w:rPr>
              <w:instrText xml:space="preserve"> PAGEREF _Toc228522631 \h </w:instrText>
            </w:r>
            <w:r>
              <w:rPr>
                <w:noProof/>
                <w:webHidden/>
              </w:rPr>
            </w:r>
            <w:r>
              <w:rPr>
                <w:noProof/>
                <w:webHidden/>
              </w:rPr>
              <w:fldChar w:fldCharType="separate"/>
            </w:r>
            <w:r>
              <w:rPr>
                <w:noProof/>
                <w:webHidden/>
              </w:rPr>
              <w:t>lxxxvii</w:t>
            </w:r>
            <w:r>
              <w:rPr>
                <w:noProof/>
                <w:webHidden/>
              </w:rPr>
              <w:fldChar w:fldCharType="end"/>
            </w:r>
          </w:hyperlink>
        </w:p>
        <w:p w14:paraId="7F7E9D4A"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632" w:history="1">
            <w:r w:rsidRPr="00790532">
              <w:rPr>
                <w:rStyle w:val="Hyperlink"/>
                <w:noProof/>
              </w:rPr>
              <w:t>Referencias</w:t>
            </w:r>
            <w:r>
              <w:rPr>
                <w:noProof/>
                <w:webHidden/>
              </w:rPr>
              <w:tab/>
            </w:r>
            <w:r>
              <w:rPr>
                <w:noProof/>
                <w:webHidden/>
              </w:rPr>
              <w:fldChar w:fldCharType="begin"/>
            </w:r>
            <w:r>
              <w:rPr>
                <w:noProof/>
                <w:webHidden/>
              </w:rPr>
              <w:instrText xml:space="preserve"> PAGEREF _Toc228522632 \h </w:instrText>
            </w:r>
            <w:r>
              <w:rPr>
                <w:noProof/>
                <w:webHidden/>
              </w:rPr>
            </w:r>
            <w:r>
              <w:rPr>
                <w:noProof/>
                <w:webHidden/>
              </w:rPr>
              <w:fldChar w:fldCharType="separate"/>
            </w:r>
            <w:r>
              <w:rPr>
                <w:noProof/>
                <w:webHidden/>
              </w:rPr>
              <w:t>lxxxvii</w:t>
            </w:r>
            <w:r>
              <w:rPr>
                <w:noProof/>
                <w:webHidden/>
              </w:rPr>
              <w:fldChar w:fldCharType="end"/>
            </w:r>
          </w:hyperlink>
        </w:p>
        <w:p w14:paraId="37651153" w14:textId="77777777" w:rsidR="0058197F" w:rsidRDefault="0058197F">
          <w:pPr>
            <w:pStyle w:val="TOC1"/>
            <w:tabs>
              <w:tab w:val="right" w:leader="dot" w:pos="9350"/>
            </w:tabs>
            <w:rPr>
              <w:rFonts w:asciiTheme="minorHAnsi" w:eastAsiaTheme="minorEastAsia" w:hAnsiTheme="minorHAnsi"/>
              <w:noProof/>
              <w:kern w:val="2"/>
              <w:szCs w:val="24"/>
              <w:lang w:val="en-US"/>
              <w14:ligatures w14:val="standardContextual"/>
            </w:rPr>
          </w:pPr>
          <w:hyperlink w:anchor="_Toc228522633" w:history="1">
            <w:r w:rsidRPr="00790532">
              <w:rPr>
                <w:rStyle w:val="Hyperlink"/>
                <w:noProof/>
              </w:rPr>
              <w:t>Apéndices</w:t>
            </w:r>
            <w:r>
              <w:rPr>
                <w:noProof/>
                <w:webHidden/>
              </w:rPr>
              <w:tab/>
            </w:r>
            <w:r>
              <w:rPr>
                <w:noProof/>
                <w:webHidden/>
              </w:rPr>
              <w:fldChar w:fldCharType="begin"/>
            </w:r>
            <w:r>
              <w:rPr>
                <w:noProof/>
                <w:webHidden/>
              </w:rPr>
              <w:instrText xml:space="preserve"> PAGEREF _Toc228522633 \h </w:instrText>
            </w:r>
            <w:r>
              <w:rPr>
                <w:noProof/>
                <w:webHidden/>
              </w:rPr>
            </w:r>
            <w:r>
              <w:rPr>
                <w:noProof/>
                <w:webHidden/>
              </w:rPr>
              <w:fldChar w:fldCharType="separate"/>
            </w:r>
            <w:r>
              <w:rPr>
                <w:noProof/>
                <w:webHidden/>
              </w:rPr>
              <w:t>xciv</w:t>
            </w:r>
            <w:r>
              <w:rPr>
                <w:noProof/>
                <w:webHidden/>
              </w:rPr>
              <w:fldChar w:fldCharType="end"/>
            </w:r>
          </w:hyperlink>
        </w:p>
        <w:p w14:paraId="3B56774B"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4" w:history="1">
            <w:r w:rsidRPr="00790532">
              <w:rPr>
                <w:rStyle w:val="Hyperlink"/>
                <w:noProof/>
              </w:rPr>
              <w:t>Apéndice A: Detalles del corpus de datos</w:t>
            </w:r>
            <w:r>
              <w:rPr>
                <w:noProof/>
                <w:webHidden/>
              </w:rPr>
              <w:tab/>
            </w:r>
            <w:r>
              <w:rPr>
                <w:noProof/>
                <w:webHidden/>
              </w:rPr>
              <w:fldChar w:fldCharType="begin"/>
            </w:r>
            <w:r>
              <w:rPr>
                <w:noProof/>
                <w:webHidden/>
              </w:rPr>
              <w:instrText xml:space="preserve"> PAGEREF _Toc228522634 \h </w:instrText>
            </w:r>
            <w:r>
              <w:rPr>
                <w:noProof/>
                <w:webHidden/>
              </w:rPr>
            </w:r>
            <w:r>
              <w:rPr>
                <w:noProof/>
                <w:webHidden/>
              </w:rPr>
              <w:fldChar w:fldCharType="separate"/>
            </w:r>
            <w:r>
              <w:rPr>
                <w:noProof/>
                <w:webHidden/>
              </w:rPr>
              <w:t>xciv</w:t>
            </w:r>
            <w:r>
              <w:rPr>
                <w:noProof/>
                <w:webHidden/>
              </w:rPr>
              <w:fldChar w:fldCharType="end"/>
            </w:r>
          </w:hyperlink>
        </w:p>
        <w:p w14:paraId="7F2B3F6D"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5" w:history="1">
            <w:r w:rsidRPr="00790532">
              <w:rPr>
                <w:rStyle w:val="Hyperlink"/>
                <w:noProof/>
              </w:rPr>
              <w:t>Apéndice B: Configuración de los modelos de caja negra</w:t>
            </w:r>
            <w:r>
              <w:rPr>
                <w:noProof/>
                <w:webHidden/>
              </w:rPr>
              <w:tab/>
            </w:r>
            <w:r>
              <w:rPr>
                <w:noProof/>
                <w:webHidden/>
              </w:rPr>
              <w:fldChar w:fldCharType="begin"/>
            </w:r>
            <w:r>
              <w:rPr>
                <w:noProof/>
                <w:webHidden/>
              </w:rPr>
              <w:instrText xml:space="preserve"> PAGEREF _Toc228522635 \h </w:instrText>
            </w:r>
            <w:r>
              <w:rPr>
                <w:noProof/>
                <w:webHidden/>
              </w:rPr>
            </w:r>
            <w:r>
              <w:rPr>
                <w:noProof/>
                <w:webHidden/>
              </w:rPr>
              <w:fldChar w:fldCharType="separate"/>
            </w:r>
            <w:r>
              <w:rPr>
                <w:noProof/>
                <w:webHidden/>
              </w:rPr>
              <w:t>xciv</w:t>
            </w:r>
            <w:r>
              <w:rPr>
                <w:noProof/>
                <w:webHidden/>
              </w:rPr>
              <w:fldChar w:fldCharType="end"/>
            </w:r>
          </w:hyperlink>
        </w:p>
        <w:p w14:paraId="392D27DE"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6" w:history="1">
            <w:r w:rsidRPr="00790532">
              <w:rPr>
                <w:rStyle w:val="Hyperlink"/>
                <w:noProof/>
              </w:rPr>
              <w:t>Apéndice C: Trazabilidad de evidencias y afirmaciones</w:t>
            </w:r>
            <w:r>
              <w:rPr>
                <w:noProof/>
                <w:webHidden/>
              </w:rPr>
              <w:tab/>
            </w:r>
            <w:r>
              <w:rPr>
                <w:noProof/>
                <w:webHidden/>
              </w:rPr>
              <w:fldChar w:fldCharType="begin"/>
            </w:r>
            <w:r>
              <w:rPr>
                <w:noProof/>
                <w:webHidden/>
              </w:rPr>
              <w:instrText xml:space="preserve"> PAGEREF _Toc228522636 \h </w:instrText>
            </w:r>
            <w:r>
              <w:rPr>
                <w:noProof/>
                <w:webHidden/>
              </w:rPr>
            </w:r>
            <w:r>
              <w:rPr>
                <w:noProof/>
                <w:webHidden/>
              </w:rPr>
              <w:fldChar w:fldCharType="separate"/>
            </w:r>
            <w:r>
              <w:rPr>
                <w:noProof/>
                <w:webHidden/>
              </w:rPr>
              <w:t>xciv</w:t>
            </w:r>
            <w:r>
              <w:rPr>
                <w:noProof/>
                <w:webHidden/>
              </w:rPr>
              <w:fldChar w:fldCharType="end"/>
            </w:r>
          </w:hyperlink>
        </w:p>
        <w:p w14:paraId="145F3F73"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7" w:history="1">
            <w:r w:rsidRPr="00790532">
              <w:rPr>
                <w:rStyle w:val="Hyperlink"/>
                <w:noProof/>
              </w:rPr>
              <w:t>Apéndice D: Mapa de contribuciones</w:t>
            </w:r>
            <w:r>
              <w:rPr>
                <w:noProof/>
                <w:webHidden/>
              </w:rPr>
              <w:tab/>
            </w:r>
            <w:r>
              <w:rPr>
                <w:noProof/>
                <w:webHidden/>
              </w:rPr>
              <w:fldChar w:fldCharType="begin"/>
            </w:r>
            <w:r>
              <w:rPr>
                <w:noProof/>
                <w:webHidden/>
              </w:rPr>
              <w:instrText xml:space="preserve"> PAGEREF _Toc228522637 \h </w:instrText>
            </w:r>
            <w:r>
              <w:rPr>
                <w:noProof/>
                <w:webHidden/>
              </w:rPr>
            </w:r>
            <w:r>
              <w:rPr>
                <w:noProof/>
                <w:webHidden/>
              </w:rPr>
              <w:fldChar w:fldCharType="separate"/>
            </w:r>
            <w:r>
              <w:rPr>
                <w:noProof/>
                <w:webHidden/>
              </w:rPr>
              <w:t>xcvi</w:t>
            </w:r>
            <w:r>
              <w:rPr>
                <w:noProof/>
                <w:webHidden/>
              </w:rPr>
              <w:fldChar w:fldCharType="end"/>
            </w:r>
          </w:hyperlink>
        </w:p>
        <w:p w14:paraId="2511E36A"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8" w:history="1">
            <w:r w:rsidRPr="00790532">
              <w:rPr>
                <w:rStyle w:val="Hyperlink"/>
                <w:noProof/>
              </w:rPr>
              <w:t>Apéndice E: Inventario de celdas EXP2 no analizables</w:t>
            </w:r>
            <w:r>
              <w:rPr>
                <w:noProof/>
                <w:webHidden/>
              </w:rPr>
              <w:tab/>
            </w:r>
            <w:r>
              <w:rPr>
                <w:noProof/>
                <w:webHidden/>
              </w:rPr>
              <w:fldChar w:fldCharType="begin"/>
            </w:r>
            <w:r>
              <w:rPr>
                <w:noProof/>
                <w:webHidden/>
              </w:rPr>
              <w:instrText xml:space="preserve"> PAGEREF _Toc228522638 \h </w:instrText>
            </w:r>
            <w:r>
              <w:rPr>
                <w:noProof/>
                <w:webHidden/>
              </w:rPr>
            </w:r>
            <w:r>
              <w:rPr>
                <w:noProof/>
                <w:webHidden/>
              </w:rPr>
              <w:fldChar w:fldCharType="separate"/>
            </w:r>
            <w:r>
              <w:rPr>
                <w:noProof/>
                <w:webHidden/>
              </w:rPr>
              <w:t>xcvii</w:t>
            </w:r>
            <w:r>
              <w:rPr>
                <w:noProof/>
                <w:webHidden/>
              </w:rPr>
              <w:fldChar w:fldCharType="end"/>
            </w:r>
          </w:hyperlink>
        </w:p>
        <w:p w14:paraId="3A4E1BAC" w14:textId="77777777" w:rsidR="0058197F" w:rsidRDefault="0058197F">
          <w:pPr>
            <w:pStyle w:val="TOC2"/>
            <w:tabs>
              <w:tab w:val="right" w:leader="dot" w:pos="9350"/>
            </w:tabs>
            <w:rPr>
              <w:rFonts w:asciiTheme="minorHAnsi" w:eastAsiaTheme="minorEastAsia" w:hAnsiTheme="minorHAnsi"/>
              <w:noProof/>
              <w:kern w:val="2"/>
              <w:szCs w:val="24"/>
              <w:lang w:val="en-US"/>
              <w14:ligatures w14:val="standardContextual"/>
            </w:rPr>
          </w:pPr>
          <w:hyperlink w:anchor="_Toc228522639" w:history="1">
            <w:r w:rsidRPr="00790532">
              <w:rPr>
                <w:rStyle w:val="Hyperlink"/>
                <w:noProof/>
              </w:rPr>
              <w:t>Apéndice F: Prompts y protocolo de evaluación con LLMs (EXP4)</w:t>
            </w:r>
            <w:r>
              <w:rPr>
                <w:noProof/>
                <w:webHidden/>
              </w:rPr>
              <w:tab/>
            </w:r>
            <w:r>
              <w:rPr>
                <w:noProof/>
                <w:webHidden/>
              </w:rPr>
              <w:fldChar w:fldCharType="begin"/>
            </w:r>
            <w:r>
              <w:rPr>
                <w:noProof/>
                <w:webHidden/>
              </w:rPr>
              <w:instrText xml:space="preserve"> PAGEREF _Toc228522639 \h </w:instrText>
            </w:r>
            <w:r>
              <w:rPr>
                <w:noProof/>
                <w:webHidden/>
              </w:rPr>
            </w:r>
            <w:r>
              <w:rPr>
                <w:noProof/>
                <w:webHidden/>
              </w:rPr>
              <w:fldChar w:fldCharType="separate"/>
            </w:r>
            <w:r>
              <w:rPr>
                <w:noProof/>
                <w:webHidden/>
              </w:rPr>
              <w:t>c</w:t>
            </w:r>
            <w:r>
              <w:rPr>
                <w:noProof/>
                <w:webHidden/>
              </w:rPr>
              <w:fldChar w:fldCharType="end"/>
            </w:r>
          </w:hyperlink>
        </w:p>
        <w:p w14:paraId="618857D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0" w:history="1">
            <w:r w:rsidRPr="00790532">
              <w:rPr>
                <w:rStyle w:val="Hyperlink"/>
                <w:noProof/>
              </w:rPr>
              <w:t>F.1 Diseño general del protocolo de evaluación</w:t>
            </w:r>
            <w:r>
              <w:rPr>
                <w:noProof/>
                <w:webHidden/>
              </w:rPr>
              <w:tab/>
            </w:r>
            <w:r>
              <w:rPr>
                <w:noProof/>
                <w:webHidden/>
              </w:rPr>
              <w:fldChar w:fldCharType="begin"/>
            </w:r>
            <w:r>
              <w:rPr>
                <w:noProof/>
                <w:webHidden/>
              </w:rPr>
              <w:instrText xml:space="preserve"> PAGEREF _Toc228522640 \h </w:instrText>
            </w:r>
            <w:r>
              <w:rPr>
                <w:noProof/>
                <w:webHidden/>
              </w:rPr>
            </w:r>
            <w:r>
              <w:rPr>
                <w:noProof/>
                <w:webHidden/>
              </w:rPr>
              <w:fldChar w:fldCharType="separate"/>
            </w:r>
            <w:r>
              <w:rPr>
                <w:noProof/>
                <w:webHidden/>
              </w:rPr>
              <w:t>c</w:t>
            </w:r>
            <w:r>
              <w:rPr>
                <w:noProof/>
                <w:webHidden/>
              </w:rPr>
              <w:fldChar w:fldCharType="end"/>
            </w:r>
          </w:hyperlink>
        </w:p>
        <w:p w14:paraId="469FDD4E"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1" w:history="1">
            <w:r w:rsidRPr="00790532">
              <w:rPr>
                <w:rStyle w:val="Hyperlink"/>
                <w:noProof/>
              </w:rPr>
              <w:t>F.2 Condiciones de prompt</w:t>
            </w:r>
            <w:r>
              <w:rPr>
                <w:noProof/>
                <w:webHidden/>
              </w:rPr>
              <w:tab/>
            </w:r>
            <w:r>
              <w:rPr>
                <w:noProof/>
                <w:webHidden/>
              </w:rPr>
              <w:fldChar w:fldCharType="begin"/>
            </w:r>
            <w:r>
              <w:rPr>
                <w:noProof/>
                <w:webHidden/>
              </w:rPr>
              <w:instrText xml:space="preserve"> PAGEREF _Toc228522641 \h </w:instrText>
            </w:r>
            <w:r>
              <w:rPr>
                <w:noProof/>
                <w:webHidden/>
              </w:rPr>
            </w:r>
            <w:r>
              <w:rPr>
                <w:noProof/>
                <w:webHidden/>
              </w:rPr>
              <w:fldChar w:fldCharType="separate"/>
            </w:r>
            <w:r>
              <w:rPr>
                <w:noProof/>
                <w:webHidden/>
              </w:rPr>
              <w:t>c</w:t>
            </w:r>
            <w:r>
              <w:rPr>
                <w:noProof/>
                <w:webHidden/>
              </w:rPr>
              <w:fldChar w:fldCharType="end"/>
            </w:r>
          </w:hyperlink>
        </w:p>
        <w:p w14:paraId="7DF9C443"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2" w:history="1">
            <w:r w:rsidRPr="00790532">
              <w:rPr>
                <w:rStyle w:val="Hyperlink"/>
                <w:noProof/>
              </w:rPr>
              <w:t>F.3 Plantilla de prompt (condición hidden_label_primary)</w:t>
            </w:r>
            <w:r>
              <w:rPr>
                <w:noProof/>
                <w:webHidden/>
              </w:rPr>
              <w:tab/>
            </w:r>
            <w:r>
              <w:rPr>
                <w:noProof/>
                <w:webHidden/>
              </w:rPr>
              <w:fldChar w:fldCharType="begin"/>
            </w:r>
            <w:r>
              <w:rPr>
                <w:noProof/>
                <w:webHidden/>
              </w:rPr>
              <w:instrText xml:space="preserve"> PAGEREF _Toc228522642 \h </w:instrText>
            </w:r>
            <w:r>
              <w:rPr>
                <w:noProof/>
                <w:webHidden/>
              </w:rPr>
            </w:r>
            <w:r>
              <w:rPr>
                <w:noProof/>
                <w:webHidden/>
              </w:rPr>
              <w:fldChar w:fldCharType="separate"/>
            </w:r>
            <w:r>
              <w:rPr>
                <w:noProof/>
                <w:webHidden/>
              </w:rPr>
              <w:t>ci</w:t>
            </w:r>
            <w:r>
              <w:rPr>
                <w:noProof/>
                <w:webHidden/>
              </w:rPr>
              <w:fldChar w:fldCharType="end"/>
            </w:r>
          </w:hyperlink>
        </w:p>
        <w:p w14:paraId="71EB30C1"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3" w:history="1">
            <w:r w:rsidRPr="00790532">
              <w:rPr>
                <w:rStyle w:val="Hyperlink"/>
                <w:noProof/>
              </w:rPr>
              <w:t>F.4 Rúbrica de puntuación (RUBRIC_V1)</w:t>
            </w:r>
            <w:r>
              <w:rPr>
                <w:noProof/>
                <w:webHidden/>
              </w:rPr>
              <w:tab/>
            </w:r>
            <w:r>
              <w:rPr>
                <w:noProof/>
                <w:webHidden/>
              </w:rPr>
              <w:fldChar w:fldCharType="begin"/>
            </w:r>
            <w:r>
              <w:rPr>
                <w:noProof/>
                <w:webHidden/>
              </w:rPr>
              <w:instrText xml:space="preserve"> PAGEREF _Toc228522643 \h </w:instrText>
            </w:r>
            <w:r>
              <w:rPr>
                <w:noProof/>
                <w:webHidden/>
              </w:rPr>
            </w:r>
            <w:r>
              <w:rPr>
                <w:noProof/>
                <w:webHidden/>
              </w:rPr>
              <w:fldChar w:fldCharType="separate"/>
            </w:r>
            <w:r>
              <w:rPr>
                <w:noProof/>
                <w:webHidden/>
              </w:rPr>
              <w:t>ciii</w:t>
            </w:r>
            <w:r>
              <w:rPr>
                <w:noProof/>
                <w:webHidden/>
              </w:rPr>
              <w:fldChar w:fldCharType="end"/>
            </w:r>
          </w:hyperlink>
        </w:p>
        <w:p w14:paraId="66BA4409"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4" w:history="1">
            <w:r w:rsidRPr="00790532">
              <w:rPr>
                <w:rStyle w:val="Hyperlink"/>
                <w:noProof/>
              </w:rPr>
              <w:t>F.5 Controles de sesgo del evaluador</w:t>
            </w:r>
            <w:r>
              <w:rPr>
                <w:noProof/>
                <w:webHidden/>
              </w:rPr>
              <w:tab/>
            </w:r>
            <w:r>
              <w:rPr>
                <w:noProof/>
                <w:webHidden/>
              </w:rPr>
              <w:fldChar w:fldCharType="begin"/>
            </w:r>
            <w:r>
              <w:rPr>
                <w:noProof/>
                <w:webHidden/>
              </w:rPr>
              <w:instrText xml:space="preserve"> PAGEREF _Toc228522644 \h </w:instrText>
            </w:r>
            <w:r>
              <w:rPr>
                <w:noProof/>
                <w:webHidden/>
              </w:rPr>
            </w:r>
            <w:r>
              <w:rPr>
                <w:noProof/>
                <w:webHidden/>
              </w:rPr>
              <w:fldChar w:fldCharType="separate"/>
            </w:r>
            <w:r>
              <w:rPr>
                <w:noProof/>
                <w:webHidden/>
              </w:rPr>
              <w:t>civ</w:t>
            </w:r>
            <w:r>
              <w:rPr>
                <w:noProof/>
                <w:webHidden/>
              </w:rPr>
              <w:fldChar w:fldCharType="end"/>
            </w:r>
          </w:hyperlink>
        </w:p>
        <w:p w14:paraId="12D10B14" w14:textId="77777777" w:rsidR="0058197F" w:rsidRDefault="0058197F">
          <w:pPr>
            <w:pStyle w:val="TOC3"/>
            <w:tabs>
              <w:tab w:val="right" w:leader="dot" w:pos="9350"/>
            </w:tabs>
            <w:rPr>
              <w:rFonts w:asciiTheme="minorHAnsi" w:eastAsiaTheme="minorEastAsia" w:hAnsiTheme="minorHAnsi"/>
              <w:noProof/>
              <w:kern w:val="2"/>
              <w:szCs w:val="24"/>
              <w:lang w:val="en-US"/>
              <w14:ligatures w14:val="standardContextual"/>
            </w:rPr>
          </w:pPr>
          <w:hyperlink w:anchor="_Toc228522645" w:history="1">
            <w:r w:rsidRPr="00790532">
              <w:rPr>
                <w:rStyle w:val="Hyperlink"/>
                <w:noProof/>
              </w:rPr>
              <w:t>F.6 Almacenamiento y trazabilidad</w:t>
            </w:r>
            <w:r>
              <w:rPr>
                <w:noProof/>
                <w:webHidden/>
              </w:rPr>
              <w:tab/>
            </w:r>
            <w:r>
              <w:rPr>
                <w:noProof/>
                <w:webHidden/>
              </w:rPr>
              <w:fldChar w:fldCharType="begin"/>
            </w:r>
            <w:r>
              <w:rPr>
                <w:noProof/>
                <w:webHidden/>
              </w:rPr>
              <w:instrText xml:space="preserve"> PAGEREF _Toc228522645 \h </w:instrText>
            </w:r>
            <w:r>
              <w:rPr>
                <w:noProof/>
                <w:webHidden/>
              </w:rPr>
            </w:r>
            <w:r>
              <w:rPr>
                <w:noProof/>
                <w:webHidden/>
              </w:rPr>
              <w:fldChar w:fldCharType="separate"/>
            </w:r>
            <w:r>
              <w:rPr>
                <w:noProof/>
                <w:webHidden/>
              </w:rPr>
              <w:t>civ</w:t>
            </w:r>
            <w:r>
              <w:rPr>
                <w:noProof/>
                <w:webHidden/>
              </w:rPr>
              <w:fldChar w:fldCharType="end"/>
            </w:r>
          </w:hyperlink>
        </w:p>
        <w:p w14:paraId="78A2B0C4" w14:textId="77777777" w:rsidR="000A4CDF" w:rsidRDefault="00000000">
          <w:r>
            <w:fldChar w:fldCharType="end"/>
          </w:r>
        </w:p>
      </w:sdtContent>
    </w:sdt>
    <w:p w14:paraId="14643961" w14:textId="77777777" w:rsidR="000A4CDF" w:rsidRDefault="00000000">
      <w:pPr>
        <w:pStyle w:val="Heading1"/>
      </w:pPr>
      <w:bookmarkStart w:id="0" w:name="X9879de00516a950326abd0572f192803626eb50"/>
      <w:bookmarkStart w:id="1" w:name="_Toc228522527"/>
      <w:r>
        <w:t>Marco para la Evaluación Multinivel de la Explicabilidad en IA</w:t>
      </w:r>
      <w:bookmarkEnd w:id="1"/>
    </w:p>
    <w:p w14:paraId="63FA008C" w14:textId="77777777" w:rsidR="000A4CDF" w:rsidRDefault="00000000">
      <w:r>
        <w:t>Integración de Benchmarking Técnico, Protocolo Reproducible (FOM-7) y Taxonomía de Métricas</w:t>
      </w:r>
    </w:p>
    <w:p w14:paraId="08F3F18D" w14:textId="77777777" w:rsidR="000A4CDF" w:rsidRDefault="00000000">
      <w:pPr>
        <w:pStyle w:val="BodyText"/>
      </w:pPr>
      <w:r>
        <w:br/>
      </w:r>
    </w:p>
    <w:p w14:paraId="118656E9" w14:textId="77777777" w:rsidR="000A4CDF" w:rsidRDefault="00000000">
      <w:pPr>
        <w:pStyle w:val="Heading1"/>
      </w:pPr>
      <w:bookmarkStart w:id="2" w:name="resumen"/>
      <w:bookmarkStart w:id="3" w:name="_Toc228522528"/>
      <w:bookmarkEnd w:id="0"/>
      <w:r>
        <w:lastRenderedPageBreak/>
        <w:t>Resumen</w:t>
      </w:r>
      <w:bookmarkEnd w:id="3"/>
    </w:p>
    <w:p w14:paraId="69C0F452" w14:textId="77777777" w:rsidR="000A4CDF" w:rsidRDefault="00000000">
      <w:r>
        <w:t>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14:paraId="2A69D92A" w14:textId="77777777" w:rsidR="000A4CDF" w:rsidRDefault="00000000">
      <w:pPr>
        <w:pStyle w:val="BodyText"/>
      </w:pPr>
      <w:r>
        <w:t>El estudio empírico integra tres fases. EXP1 calibra la reproducibilidad del protocolo; EXP2 ejecuta el benchmark confirmativo sobre UCI Adult Income y operacionaliza cinco métricas primarias: fidelidad, estabilidad, parsimonia, brecha de fidelidad (</w:t>
      </w:r>
      <w:r>
        <w:rPr>
          <w:i/>
          <w:iCs/>
        </w:rPr>
        <w:t>faithfulness gap</w:t>
      </w:r>
      <w:r>
        <w:t xml:space="preserve">) y coste computacional; y EXP3 añade una validación externa compacta sobre Breast Cancer y German Credit. La inferencia confirmativa de EXP2 se apoya en comparaciones no paramétricas con control de multiplicidad y en un análisis pareado SHAP–LIME para cuantificar el trade-off calidad–coste, mientras que EXP3 se reporta como evidencia descriptiva de portabilidad. Los resultados muestran diferencias grandes y consistentes entre métodos: SHAP domina en fidelidad y estabilidad en Adult y conserva esa ventaja en EXP3 (fidelidad media 0.702 y estabilidad 0.873 frente a 0.319 y 0.533 para Anchors). LIME resulta competitivo cuando la latencia es crítica, a costa de explicaciones estructuralmente inestables, y Anchors y DiCE se posicionan como enfoques con objetivos explicativos cualitativamente distintos a la atribución </w:t>
      </w:r>
      <w:r>
        <w:lastRenderedPageBreak/>
        <w:t>de características. En conjunto, la tesis aporta un protocolo portable y un marco conceptual que permiten seleccionar métodos XAI en función de objetivos operativos y acumular evidencia de forma reproducible.</w:t>
      </w:r>
    </w:p>
    <w:p w14:paraId="39BCDEE6" w14:textId="77777777" w:rsidR="000A4CDF" w:rsidRDefault="00000000">
      <w:pPr>
        <w:pStyle w:val="BodyText"/>
      </w:pPr>
      <w:r>
        <w:rPr>
          <w:b/>
          <w:bCs/>
        </w:rPr>
        <w:t>Palabras clave:</w:t>
      </w:r>
      <w:r>
        <w:t xml:space="preserve"> inteligencia artificial explicable (XAI); evaluación multimétrica; benchmarking reproducible; protocolo FOM-7; atribución de características; explicaciones contrafactuales; datos tabulares.</w:t>
      </w:r>
    </w:p>
    <w:p w14:paraId="1DBFF1B4" w14:textId="77777777" w:rsidR="000A4CDF" w:rsidRPr="001B51D7" w:rsidRDefault="00000000">
      <w:pPr>
        <w:pStyle w:val="Heading1"/>
        <w:rPr>
          <w:lang w:val="en-US"/>
        </w:rPr>
      </w:pPr>
      <w:bookmarkStart w:id="4" w:name="abstract"/>
      <w:bookmarkStart w:id="5" w:name="_Toc228522529"/>
      <w:bookmarkEnd w:id="2"/>
      <w:r w:rsidRPr="001B51D7">
        <w:rPr>
          <w:lang w:val="en-US"/>
        </w:rPr>
        <w:t>Abstract</w:t>
      </w:r>
      <w:bookmarkEnd w:id="5"/>
    </w:p>
    <w:p w14:paraId="67A83931" w14:textId="77777777" w:rsidR="000A4CDF" w:rsidRPr="001B51D7" w:rsidRDefault="00000000">
      <w:pPr>
        <w:rPr>
          <w:lang w:val="en-US"/>
        </w:rPr>
      </w:pPr>
      <w:r w:rsidRPr="001B51D7">
        <w:rPr>
          <w:lang w:val="en-US"/>
        </w:rPr>
        <w:t>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w:t>
      </w:r>
      <w:proofErr w:type="spellStart"/>
      <w:r w:rsidRPr="001B51D7">
        <w:rPr>
          <w:lang w:val="en-US"/>
        </w:rPr>
        <w:t>i</w:t>
      </w:r>
      <w:proofErr w:type="spellEnd"/>
      <w:r w:rsidRPr="001B51D7">
        <w:rPr>
          <w:lang w:val="en-US"/>
        </w:rPr>
        <w:t xml:space="preserve">) a seven-gate operational protocol (FOM-7) that links experimental design, artifact qualification, and statistically admissible inference; (ii) a multi-metric quantitative benchmark on real-world tabular data evaluating SHAP, LIME, Anchors, and </w:t>
      </w:r>
      <w:proofErr w:type="spellStart"/>
      <w:r w:rsidRPr="001B51D7">
        <w:rPr>
          <w:lang w:val="en-US"/>
        </w:rPr>
        <w:t>DiCE</w:t>
      </w:r>
      <w:proofErr w:type="spellEnd"/>
      <w:r w:rsidRPr="001B51D7">
        <w:rPr>
          <w:lang w:val="en-US"/>
        </w:rPr>
        <w:t xml:space="preserve"> across five model families; and (iii) a structured taxonomy of XAI evaluation metrics organized along four axes (evaluation target, evidence source, quality property, and task context).</w:t>
      </w:r>
    </w:p>
    <w:p w14:paraId="3BA6EC7C" w14:textId="77777777" w:rsidR="000A4CDF" w:rsidRPr="001B51D7" w:rsidRDefault="00000000">
      <w:pPr>
        <w:pStyle w:val="BodyText"/>
        <w:rPr>
          <w:lang w:val="en-US"/>
        </w:rPr>
      </w:pPr>
      <w:r w:rsidRPr="001B51D7">
        <w:rPr>
          <w:lang w:val="en-US"/>
        </w:rPr>
        <w:t xml:space="preserve">The empirical study integrates three phases. EXP1 calibrates protocol reproducibility; EXP2 conducts the confirmatory benchmark on UCI Adult Income and operationalizes five primary metrics: faithfulness, stability, parsimony, faithfulness gap, and computational cost; and EXP3 adds compact external validation on Breast Cancer and German Credit. Confirmatory inference for EXP2 relies on nonparametric comparisons with multiplicity control and on a paired SHAP–LIME analysis to quantify the quality–cost trade-off, whereas EXP3 is reported as descriptive </w:t>
      </w:r>
      <w:r w:rsidRPr="001B51D7">
        <w:rPr>
          <w:lang w:val="en-US"/>
        </w:rPr>
        <w:lastRenderedPageBreak/>
        <w:t xml:space="preserve">portability evidence. Results show large and consistent differences across methods: SHAP dominates in faithfulness and stability on </w:t>
      </w:r>
      <w:proofErr w:type="gramStart"/>
      <w:r w:rsidRPr="001B51D7">
        <w:rPr>
          <w:lang w:val="en-US"/>
        </w:rPr>
        <w:t>Adult</w:t>
      </w:r>
      <w:proofErr w:type="gramEnd"/>
      <w:r w:rsidRPr="001B51D7">
        <w:rPr>
          <w:lang w:val="en-US"/>
        </w:rPr>
        <w:t xml:space="preserve"> and preserves that advantage in EXP3 (mean faithfulness 0.702 and stability 0.873 versus 0.319 and 0.533 for Anchors). LIME becomes attractive when latency constraints dominate, at the cost of structurally unstable explanations, and Anchors and </w:t>
      </w:r>
      <w:proofErr w:type="spellStart"/>
      <w:r w:rsidRPr="001B51D7">
        <w:rPr>
          <w:lang w:val="en-US"/>
        </w:rPr>
        <w:t>DiCE</w:t>
      </w:r>
      <w:proofErr w:type="spellEnd"/>
      <w:r w:rsidRPr="001B51D7">
        <w:rPr>
          <w:lang w:val="en-US"/>
        </w:rPr>
        <w:t xml:space="preserve"> address qualitatively different explanatory objectives than feature attribution. Overall, the thesis contributes a portable protocol and a conceptual framework to support operationally grounded XAI method selection and reproducible evidence accumulation.</w:t>
      </w:r>
    </w:p>
    <w:p w14:paraId="0DCB292A" w14:textId="77777777" w:rsidR="000A4CDF" w:rsidRPr="001B51D7" w:rsidRDefault="00000000">
      <w:pPr>
        <w:pStyle w:val="BodyText"/>
        <w:rPr>
          <w:lang w:val="en-US"/>
        </w:rPr>
      </w:pPr>
      <w:r w:rsidRPr="001B51D7">
        <w:rPr>
          <w:b/>
          <w:bCs/>
          <w:lang w:val="en-US"/>
        </w:rPr>
        <w:t>Keywords:</w:t>
      </w:r>
      <w:r w:rsidRPr="001B51D7">
        <w:rPr>
          <w:lang w:val="en-US"/>
        </w:rPr>
        <w:t xml:space="preserve"> explainable AI (XAI); multi-metric evaluation; reproducible benchmarking; FOM-7 protocol; feature attribution; counterfactual explanations; tabular data.</w:t>
      </w:r>
    </w:p>
    <w:p w14:paraId="45F6FB1C" w14:textId="77777777" w:rsidR="000A4CDF" w:rsidRDefault="00000000">
      <w:pPr>
        <w:pStyle w:val="Heading1"/>
      </w:pPr>
      <w:bookmarkStart w:id="6" w:name="introducción"/>
      <w:bookmarkStart w:id="7" w:name="_Toc228522530"/>
      <w:bookmarkEnd w:id="4"/>
      <w:r>
        <w:t>Introducción</w:t>
      </w:r>
      <w:bookmarkEnd w:id="7"/>
    </w:p>
    <w:p w14:paraId="2F0C4C9F" w14:textId="77777777" w:rsidR="000A4CDF" w:rsidRDefault="00000000">
      <w:r>
        <w:t xml:space="preserve">El rápido avance de la inteligencia artificial (IA), particularmente en el ámbito del aprendizaje profundo y los modelos complejos de aprendizaje automático, ha transformado radicalmente la capacidad predictiva en dominios tan diversos como la atención médica, las finanzas y los sistemas autónomos. Sin embargo, esta evolución tecnológica ha traído consigo una problemática fundamental: la naturaleza de “caja negra” de estos modelos, la cual plantea serias preocupaciones respecto a la confianza, la transparencia y la responsabilidad algorítmica. En este escenario, la interpretabilidad emerge no solo como un desafío técnico de primer orden, sino como un requisito ético y legal indispensable para el despliegue de soluciones en el mundo real. Para abordar esta opacidad, los métodos de explicación agnósticos al modelo —tales como LIME (Ribeiro 2016), SHAP (Lundberg 2017) y Anchors (Ribeiro 2018)— han ganado protagonismo al intentar proporcionar explicaciones </w:t>
      </w:r>
      <w:r>
        <w:rPr>
          <w:i/>
          <w:iCs/>
        </w:rPr>
        <w:t>post-hoc</w:t>
      </w:r>
      <w:r>
        <w:t xml:space="preserve"> sin necesidad de alterar los </w:t>
      </w:r>
      <w:r>
        <w:lastRenderedPageBreak/>
        <w:t>componentes internos del modelo, facilitando así la detección de sesgos y la validación de resultados en aplicaciones críticas.</w:t>
      </w:r>
    </w:p>
    <w:p w14:paraId="05E43560" w14:textId="77777777" w:rsidR="000A4CDF" w:rsidRDefault="00000000">
      <w:pPr>
        <w:pStyle w:val="BodyText"/>
      </w:pPr>
      <w:r>
        <w:t>A pesar de su potencial, los enfoques actuales de explicabilidad adolecen de limitaciones significativas que restringen su aplicabilidad práctica. En primer lugar, la comunidad científica enfrenta lo que se ha denominado una “crisis de evaluación”, caracterizada por una proliferación de métricas inconexas que a menudo generan resultados duplicados o contradictorios (Pawlicki et al. 2024). Revisiones sistemáticas recientes (Abdul Kadir et al. 2023) revelan que, a pesar del auge de la disciplina, solo una pequeña fracción del corpus de investigación —aproximadamente el 14%— incorpora evaluaciones cuantitativas rigurosas. Esta carencia de estándares se ve agravada por la falta de consenso formal sobre las propiedades fundamentales de una “buena” explicación, lo que dificulta la comparación objetiva entre métodos (Canha et al. 2025; Nizam and Zafar 2023). La ausencia de criterios consensuados provoca que, a menudo, se ignore la “validez semántica” de la explicación, priorizando métricas matemáticas proxy que no siempre logran capturar el juicio comprensible para un experto humano.</w:t>
      </w:r>
    </w:p>
    <w:p w14:paraId="1EE04D8A" w14:textId="77777777" w:rsidR="000A4CDF" w:rsidRDefault="00000000">
      <w:pPr>
        <w:pStyle w:val="BodyText"/>
      </w:pPr>
      <w:r>
        <w:t xml:space="preserve">A los desafíos de estandarización se suman debilidades técnicas críticas en los marcos de evaluación vigentes. Estudios recientes han identificado que muchas de las métricas de fidelidad tradicionales sufren del problema de datos “fuera de la distribución” (Out-of-Distribution o OOD), donde la eliminación o perturbación de características genera instancias que el modelo original nunca encontró durante su entrenamiento, invalidando así sus respuestas y las puntaciones de fiabilidad resultantes (Zheng et al. 2025). Si bien han surgido ecosistemas de benchmarking integrales como Quantus (Hedström et al. 2023) y OpenXAI (Agarwal et al. 2022) para intentar unificar el campo, todavía persiste una brecha significativa en la evaluación de la </w:t>
      </w:r>
      <w:r>
        <w:lastRenderedPageBreak/>
        <w:t>coherencia multidimensional, que debe abarcar tanto la precisión técnica como la utilidad percibida por el usuario (Bhattacharya and Verbert 2024).</w:t>
      </w:r>
    </w:p>
    <w:p w14:paraId="1E0B5A50" w14:textId="77777777" w:rsidR="000A4CDF" w:rsidRDefault="00000000">
      <w:pPr>
        <w:pStyle w:val="BodyText"/>
      </w:pPr>
      <w:r>
        <w:t>Bajo esta premisa, la presente investigación busca cerrar esta brecha mediante el desarrollo y la comparación de métodos de explicación agnósticos que sean simultáneamente fiables, interpretables y computacionalmente eficientes. El estudio se propone introducir un marco de evaluación multinivel que trascienda las métricas tradicionales, integrando dimensiones de alineación causal y medidas de robustez para proporcionar una comprensión más holística de la calidad de la explicabilidad. Esta propuesta es de alta relevancia tanto para la academia como para la industria, pues se alinea con las crecientes exigencias regulatorias y éticas que demandan una gobernanza de la IA más transparente y auditable. El objetivo final es contribuir al campo de la IA explicable (XAI) mediante un enfoque escalable y adaptativo, asegurando que los modelos de IA no solo alcancen niveles de precisión sobresalientes, sino que sean también profundamente confiables y plenamente comprendidos por sus usuarios.</w:t>
      </w:r>
    </w:p>
    <w:p w14:paraId="349464DD" w14:textId="77777777" w:rsidR="000A4CDF" w:rsidRDefault="00000000">
      <w:pPr>
        <w:pStyle w:val="BodyText"/>
      </w:pPr>
      <w:r>
        <w:t>Una vez establecida la capa técnica y de validez externa del marco, la extensión natural de esta línea de trabajo es la evaluación semántica asistida por modelos de lenguaje de gran escala (LLMs). En esta tesis, dicha extensión se plantea como una capa proxy reproducible para valorar dimensiones como claridad, coherencia, utilidad auditora y plausibilidad semántica de las explicaciones, sin equipararla todavía con una validación directa de interpretabilidad humana.</w:t>
      </w:r>
    </w:p>
    <w:p w14:paraId="3BEE35CC" w14:textId="77777777" w:rsidR="000A4CDF" w:rsidRDefault="00000000">
      <w:pPr>
        <w:pStyle w:val="BodyText"/>
      </w:pPr>
      <w:r>
        <w:t xml:space="preserve">Para alcanzar estos objetivos, el documento se estructura de manera lógica a través de cinco capítulos fundamentales. Tras esta introducción, el </w:t>
      </w:r>
      <w:r>
        <w:rPr>
          <w:b/>
          <w:bCs/>
        </w:rPr>
        <w:t>Capítulo 1</w:t>
      </w:r>
      <w:r>
        <w:t xml:space="preserve"> establece el marco metodológico y las hipótesis de trabajo. El </w:t>
      </w:r>
      <w:r>
        <w:rPr>
          <w:b/>
          <w:bCs/>
        </w:rPr>
        <w:t>Capítulo 2</w:t>
      </w:r>
      <w:r>
        <w:t xml:space="preserve"> detalla los fundamentos conceptuales y el estado del arte de las técnicas agnósticas. El </w:t>
      </w:r>
      <w:r>
        <w:rPr>
          <w:b/>
          <w:bCs/>
        </w:rPr>
        <w:t>Capítulo 3</w:t>
      </w:r>
      <w:r>
        <w:t xml:space="preserve"> detalla el diseño experimental de las fases de </w:t>
      </w:r>
      <w:r>
        <w:lastRenderedPageBreak/>
        <w:t xml:space="preserve">benchmarking y validación. El </w:t>
      </w:r>
      <w:r>
        <w:rPr>
          <w:b/>
          <w:bCs/>
        </w:rPr>
        <w:t>Capítulo 4</w:t>
      </w:r>
      <w:r>
        <w:t xml:space="preserve"> expone y discute los resultados obtenidos, mientras que el </w:t>
      </w:r>
      <w:r>
        <w:rPr>
          <w:b/>
          <w:bCs/>
        </w:rPr>
        <w:t>Capítulo 5</w:t>
      </w:r>
      <w:r>
        <w:t xml:space="preserve"> sintetiza las conclusiones generales, las contribuciones al área y las futuras líneas de investigación que se derivan de este estudio.</w:t>
      </w:r>
    </w:p>
    <w:p w14:paraId="3C929FD6" w14:textId="77777777" w:rsidR="000A4CDF" w:rsidRDefault="00000000">
      <w:pPr>
        <w:pStyle w:val="Heading1"/>
      </w:pPr>
      <w:bookmarkStart w:id="8" w:name="marco-metodológico"/>
      <w:bookmarkStart w:id="9" w:name="_Toc228522531"/>
      <w:bookmarkEnd w:id="6"/>
      <w:r>
        <w:t>Marco Metodológico</w:t>
      </w:r>
      <w:bookmarkEnd w:id="9"/>
    </w:p>
    <w:p w14:paraId="600AAE94" w14:textId="77777777" w:rsidR="000A4CDF" w:rsidRDefault="00000000">
      <w:r>
        <w:t>Este capítulo establece el posicionamiento investigativo de la tesis. Se articula en cuatro ejes: el problema de investigación que motiva el trabajo, la justificación de su relevancia científica y práctica, los objetivos e hipótesis formales que orientan la indagación empírica, y la metodología general que estructura el diseño de los estudios. La exposición detallada de los fundamentos conceptuales —incluyendo las bases técnicas de los métodos de explicabilidad y los criterios de evaluación— se desarrolla en el Capítulo 2.</w:t>
      </w:r>
    </w:p>
    <w:p w14:paraId="14D85BCE" w14:textId="77777777" w:rsidR="000A4CDF" w:rsidRDefault="00000000">
      <w:pPr>
        <w:pStyle w:val="Heading2"/>
      </w:pPr>
      <w:bookmarkStart w:id="10" w:name="problema-de-investigación"/>
      <w:bookmarkStart w:id="11" w:name="_Toc228522532"/>
      <w:r>
        <w:t>Problema de investigación</w:t>
      </w:r>
      <w:bookmarkEnd w:id="11"/>
    </w:p>
    <w:p w14:paraId="4B46A0DD" w14:textId="77777777" w:rsidR="000A4CDF" w:rsidRDefault="00000000">
      <w:r>
        <w:t xml:space="preserve">La Inteligencia Artificial Explicable (XAI) ha consolidado un ecosistema de métodos </w:t>
      </w:r>
      <w:r>
        <w:rPr>
          <w:i/>
          <w:iCs/>
        </w:rPr>
        <w:t>post-hoc</w:t>
      </w:r>
      <w:r>
        <w:t xml:space="preserve"> agnósticos al modelo cuya adopción en dominios de alto riesgo crece de forma sostenida (Adadi 2018; Arrieta 2019a; Angelov 2021; Schwalbe 2023; Ali 2023; Belle 2021; Linardatos 2020; Saarela 2024; Malwade 2023). Sin embargo, la capacidad del campo para </w:t>
      </w:r>
      <w:r>
        <w:rPr>
          <w:i/>
          <w:iCs/>
        </w:rPr>
        <w:t>evaluar</w:t>
      </w:r>
      <w:r>
        <w:t xml:space="preserve"> esos métodos de manera comparativa, rigurosa y reproducible no ha avanzado al mismo ritmo (Doshi-Velez 2017; Samek 2019; Canha et al. 2025). En la práctica, esta tensión se observa incluso en explicadores locales ampliamente utilizados —como LIME y SHAP— cuyo uso extensivo contrasta con la variabilidad de criterios de evaluación reportados entre estudios (Ribeiro 2016; Lundberg 2017; Pawlicki et al. 2024). Revisiones sistemáticas recientes identifican una marcada proliferación de métricas inconexas, inconsistencia en los criterios de inclusión de instancias y ausencia de protocolos que conecten la ejecución experimental con la inferencia estadística </w:t>
      </w:r>
      <w:r>
        <w:lastRenderedPageBreak/>
        <w:t>admisible (Pawlicki et al. 2024; Abdul Kadir et al. 2023; Altukhi 2025; Bhattacharya and Verbert 2024; Lipton 2018). Como resultado, los estudios publicados son frecuentemente inconmensurables entre sí y no permiten la acumulación sistemática de evidencia (Doshi-Velez 2017; Canha et al. 2025).</w:t>
      </w:r>
    </w:p>
    <w:p w14:paraId="6F960C82" w14:textId="77777777" w:rsidR="000A4CDF" w:rsidRDefault="00000000">
      <w:pPr>
        <w:pStyle w:val="BodyText"/>
      </w:pPr>
      <w:r>
        <w:t>La raíz técnica de este problema es doble. Por un lado, las métricas de fidelidad —las más ampliamente utilizadas— no capturan dimensiones igualmente relevantes para el despliegue práctico: la estabilidad ante perturbaciones de entrada, la parsimonia de las explicaciones producidas y el coste computacional por instancia (Bhattacharya and Verbert 2024; Abdul Kadir et al. 2023; Canha et al. 2025; Brown et al. 2020). Por otro lado, muchas de estas métricas sufren del problema de datos fuera de la distribución (</w:t>
      </w:r>
      <w:r>
        <w:rPr>
          <w:i/>
          <w:iCs/>
        </w:rPr>
        <w:t>Out-of- Distribution</w:t>
      </w:r>
      <w:r>
        <w:t>, OOD): la perturbación de características genera instancias que el modelo nunca encontró durante el entrenamiento, invalidando las puntuaciones de fidelidad resultantes (n.d.; Zheng et al. 2025). La disponibilidad de herramientas de benchmarking como Quantus (Hedström et al. 2023) y OpenXAI (Agarwal et al. 2022) ha mejorado la estandarización de la medición, pero no resuelve la ausencia de un protocolo de operación que discipline la trazabilidad de artefactos y la corrección de multiplicidad en la inferencia (Doshi-Velez 2017; Canha et al. 2025).</w:t>
      </w:r>
    </w:p>
    <w:p w14:paraId="6A6AC957" w14:textId="77777777" w:rsidR="000A4CDF" w:rsidRDefault="00000000">
      <w:pPr>
        <w:pStyle w:val="BodyText"/>
      </w:pPr>
      <w:r>
        <w:t xml:space="preserve">El problema de investigación de esta tesis se formula en los siguientes términos: </w:t>
      </w:r>
      <w:r>
        <w:rPr>
          <w:b/>
          <w:bCs/>
        </w:rPr>
        <w:t>¿En qué medida difieren los métodos de explicabilidad agnósticos al modelo en un conjunto multidimensional de métricas de calidad bajo condiciones de benchmarking controladas y reproducibles, y qué criterios técnicos permiten orientar su selección en función de los objetivos operativos?</w:t>
      </w:r>
    </w:p>
    <w:p w14:paraId="1DBB0106" w14:textId="77777777" w:rsidR="000A4CDF" w:rsidRDefault="00000000">
      <w:pPr>
        <w:pStyle w:val="Heading2"/>
      </w:pPr>
      <w:bookmarkStart w:id="12" w:name="justificación-científica-y-práctica"/>
      <w:bookmarkStart w:id="13" w:name="_Toc228522533"/>
      <w:bookmarkEnd w:id="10"/>
      <w:r>
        <w:lastRenderedPageBreak/>
        <w:t>Justificación científica y práctica</w:t>
      </w:r>
      <w:bookmarkEnd w:id="13"/>
    </w:p>
    <w:p w14:paraId="2A2304AB" w14:textId="77777777" w:rsidR="000A4CDF" w:rsidRDefault="00000000">
      <w:r>
        <w:t>Desde el punto de vista científico, esta investigación responde a una necesidad metodológica identificada de forma recurrente en la literatura: la falta de un protocolo unificado que conecte el diseño experimental, la calificación de artefactos y la inferencia estadística controlada (Hedström et al. 2023; Agarwal et al. 2022; Zheng et al. 2025; Doshi-Velez 2017; Allen 2024). La formalización de ese protocolo como un método de operación de siete puertas (FOM-7) constituye en sí misma una contribución al campo de la metodología de evaluación en XAI (Canha et al. 2025). Complementariamente, la construcción de una taxonomía estructurada del espacio de métricas de evaluación proporciona un marco conceptual que organiza las brechas de constructo actualmente dispersas en la literatura (Pawlicki et al. 2024; Abdul Kadir et al. 2023; Nizam and Zafar 2023; Marcinkevičs 2023; Schwalbe 2023).</w:t>
      </w:r>
    </w:p>
    <w:p w14:paraId="1C76E486" w14:textId="77777777" w:rsidR="000A4CDF" w:rsidRDefault="00000000">
      <w:pPr>
        <w:pStyle w:val="BodyText"/>
      </w:pPr>
      <w:r>
        <w:t>Desde el punto de vista práctico, los sistemas de IA se despliegan de forma creciente en dominios donde la explicabilidad no es opcional, sino un requisito normativo y ético (Mittelstadt 2019; Floridi 2018; Hassija 2023; Ali 2023). En este contexto, los profesionales y organizaciones necesitan criterios técnicos fundamentados que orienten la selección de métodos XAI en función de objetivos operativos concretos —p. ej., alta fiabilidad auditora frente a baja latencia de respuesta— y de las preferencias y expectativas de los usuarios (Murdoch 2019; Rudin 2022; Belle 2021; Tripathy 2024; Brown et al. 2020; Nussberger 2022). Esta tesis provee esa orientación a través de un análisis empírico pareado, reproducible y estadísticamente riguroso sobre datos tabulares reales.</w:t>
      </w:r>
    </w:p>
    <w:p w14:paraId="18299856" w14:textId="77777777" w:rsidR="000A4CDF" w:rsidRDefault="00000000">
      <w:pPr>
        <w:pStyle w:val="Heading2"/>
      </w:pPr>
      <w:bookmarkStart w:id="14" w:name="objetivos-e-hipótesis"/>
      <w:bookmarkStart w:id="15" w:name="_Toc228522534"/>
      <w:bookmarkEnd w:id="12"/>
      <w:r>
        <w:lastRenderedPageBreak/>
        <w:t>Objetivos e hipótesis</w:t>
      </w:r>
      <w:bookmarkEnd w:id="15"/>
    </w:p>
    <w:p w14:paraId="0EC5E2CD" w14:textId="77777777" w:rsidR="000A4CDF" w:rsidRDefault="00000000">
      <w:pPr>
        <w:pStyle w:val="Heading3"/>
      </w:pPr>
      <w:bookmarkStart w:id="16" w:name="objetivo-general"/>
      <w:bookmarkStart w:id="17" w:name="_Toc228522535"/>
      <w:r>
        <w:t>Objetivo general</w:t>
      </w:r>
      <w:bookmarkEnd w:id="17"/>
    </w:p>
    <w:p w14:paraId="589A97DB" w14:textId="77777777" w:rsidR="000A4CDF" w:rsidRDefault="00000000">
      <w:r>
        <w:t>Desarrollar y validar un marco de evaluación multinivel y reproducible para métodos de explicabilidad agnósticos al modelo, que integre un protocolo de benchmarking cuantitativo multi-métrico y un análisis taxonómico estructurado, con el fin de establecer criterios técnicamente rigurosos para la selección y comparación de métodos XAI en contextos de datos tabulares.</w:t>
      </w:r>
    </w:p>
    <w:p w14:paraId="3DC08E0A" w14:textId="77777777" w:rsidR="000A4CDF" w:rsidRDefault="00000000">
      <w:pPr>
        <w:pStyle w:val="Heading3"/>
      </w:pPr>
      <w:bookmarkStart w:id="18" w:name="objetivos-específicos"/>
      <w:bookmarkStart w:id="19" w:name="_Toc228522536"/>
      <w:bookmarkEnd w:id="16"/>
      <w:r>
        <w:t>Objetivos específicos</w:t>
      </w:r>
      <w:bookmarkEnd w:id="19"/>
    </w:p>
    <w:p w14:paraId="1F15FB8A" w14:textId="77777777" w:rsidR="000A4CDF" w:rsidRDefault="00000000">
      <w:pPr>
        <w:numPr>
          <w:ilvl w:val="0"/>
          <w:numId w:val="52"/>
        </w:numPr>
      </w:pPr>
      <w:r>
        <w:t>Diseñar y formalizar un protocolo de benchmarking reproducible (FOM-7) que garantice trazabilidad entre artefactos de ejecución, calificación de evidencia e inferencia estadística admisible (Canha et al. 2025; Hedström et al. 2023; Agarwal et al. 2022).</w:t>
      </w:r>
    </w:p>
    <w:p w14:paraId="295F91CF" w14:textId="77777777" w:rsidR="000A4CDF" w:rsidRDefault="00000000">
      <w:pPr>
        <w:numPr>
          <w:ilvl w:val="0"/>
          <w:numId w:val="52"/>
        </w:numPr>
      </w:pPr>
      <w:r>
        <w:t>Evaluar comparativamente cuatro métodos agnósticos —SHAP, LIME, Anchors y DiCE— sobre cinco familias de modelos en el conjunto de datos UCI Adult Income, utilizando un conjunto multidimensional de métricas: fidelidad, estabilidad, parsimonia, brecha de fidelidad y coste computacional. (Lundberg 2017; Ribeiro 2016, 2018; Mothilal 2020; Wachter 2017; Kohavi 1996; Abdul Kadir et al. 2023; Bhattacharya and Verbert 2024)</w:t>
      </w:r>
    </w:p>
    <w:p w14:paraId="52698046" w14:textId="77777777" w:rsidR="000A4CDF" w:rsidRDefault="00000000">
      <w:pPr>
        <w:numPr>
          <w:ilvl w:val="0"/>
          <w:numId w:val="52"/>
        </w:numPr>
      </w:pPr>
      <w:r>
        <w:t>Cuantificar las diferencias en el trade-off calidad-coste entre LIME y SHAP mediante pruebas estadísticas pareadas sobre celdas coincidentes de modelo, semilla y tamaño de muestra.</w:t>
      </w:r>
    </w:p>
    <w:p w14:paraId="346AE19C" w14:textId="77777777" w:rsidR="000A4CDF" w:rsidRDefault="00000000">
      <w:pPr>
        <w:numPr>
          <w:ilvl w:val="0"/>
          <w:numId w:val="52"/>
        </w:numPr>
      </w:pPr>
      <w:r>
        <w:lastRenderedPageBreak/>
        <w:t>Caracterizar el perfil de reproducibilidad del protocolo de benchmarking mediante el análisis de la dispersión métrica bajo ejecuciones repetidas con semillas distintas.</w:t>
      </w:r>
    </w:p>
    <w:p w14:paraId="035DF1E5" w14:textId="77777777" w:rsidR="000A4CDF" w:rsidRDefault="00000000">
      <w:pPr>
        <w:numPr>
          <w:ilvl w:val="0"/>
          <w:numId w:val="52"/>
        </w:numPr>
      </w:pPr>
      <w:r>
        <w:t>Construir una taxonomía estructurada del espacio de métricas de evaluación XAI organizada en cuatro ejes —objetivo de evaluación, fuente de evidencia, propiedad de calidad y contexto de tarea— que sirva de marco conceptual integrador para los Estudios A y B (Abdul Kadir et al. 2023; Pawlicki et al. 2024; Nizam and Zafar 2023; Marcinkevičs 2023; Schwalbe 2023).</w:t>
      </w:r>
    </w:p>
    <w:p w14:paraId="461597F6" w14:textId="77777777" w:rsidR="000A4CDF" w:rsidRDefault="00000000">
      <w:pPr>
        <w:pStyle w:val="Heading3"/>
      </w:pPr>
      <w:bookmarkStart w:id="20" w:name="hipótesis-o-proposiciones-de-trabajo"/>
      <w:bookmarkStart w:id="21" w:name="_Toc228522537"/>
      <w:bookmarkEnd w:id="18"/>
      <w:r>
        <w:t>Hipótesis o proposiciones de trabajo</w:t>
      </w:r>
      <w:bookmarkEnd w:id="21"/>
    </w:p>
    <w:p w14:paraId="457393EE" w14:textId="77777777" w:rsidR="000A4CDF" w:rsidRDefault="00000000">
      <w:r>
        <w:t>Las hipótesis estadísticas formales se estructuran en torno a los tres ejes confirmatorios de la investigación empírica.</w:t>
      </w:r>
    </w:p>
    <w:p w14:paraId="7DFEE9F3" w14:textId="77777777" w:rsidR="000A4CDF" w:rsidRDefault="00000000">
      <w:pPr>
        <w:pStyle w:val="BodyText"/>
      </w:pPr>
      <w:r>
        <w:rPr>
          <w:b/>
          <w:bCs/>
        </w:rPr>
        <w:t>H1 — Diferencias globales entre métodos (fidelidad)</w:t>
      </w:r>
    </w:p>
    <w:p w14:paraId="3761FCF9"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No existen diferencias significativas entre los métodos XAI en la métrica de fidelidad bajo el diseño de bloques emparejados.</w:t>
      </w:r>
    </w:p>
    <w:p w14:paraId="4532B34D"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1</m:t>
            </m:r>
          </m:sub>
        </m:sSub>
      </m:oMath>
      <w:r>
        <w:t>: Al menos un par de métodos difiere significativamente en fidelidad.</w:t>
      </w:r>
    </w:p>
    <w:p w14:paraId="45155874" w14:textId="77777777" w:rsidR="000A4CDF" w:rsidRDefault="00000000">
      <w:pPr>
        <w:pStyle w:val="BodyText"/>
      </w:pPr>
      <w:r>
        <w:rPr>
          <w:b/>
          <w:bCs/>
        </w:rPr>
        <w:t>H2 — Diferencias globales entre métodos (estabilidad)</w:t>
      </w:r>
    </w:p>
    <w:p w14:paraId="5EEF3EEB"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No existen diferencias significativas entre los métodos XAI en la métrica de estabilidad bajo el diseño de bloques emparejados.</w:t>
      </w:r>
    </w:p>
    <w:p w14:paraId="1B4DA2FA"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2</m:t>
            </m:r>
          </m:sub>
        </m:sSub>
      </m:oMath>
      <w:r>
        <w:t>: Al menos un par de métodos difiere significativamente en estabilidad.</w:t>
      </w:r>
    </w:p>
    <w:p w14:paraId="0C720FFD" w14:textId="77777777" w:rsidR="000A4CDF" w:rsidRPr="001B51D7" w:rsidRDefault="00000000">
      <w:pPr>
        <w:pStyle w:val="BodyText"/>
        <w:rPr>
          <w:lang w:val="en-US"/>
        </w:rPr>
      </w:pPr>
      <w:r w:rsidRPr="001B51D7">
        <w:rPr>
          <w:b/>
          <w:bCs/>
          <w:lang w:val="en-US"/>
        </w:rPr>
        <w:t xml:space="preserve">H3 — Trade-off </w:t>
      </w:r>
      <w:proofErr w:type="spellStart"/>
      <w:r w:rsidRPr="001B51D7">
        <w:rPr>
          <w:b/>
          <w:bCs/>
          <w:lang w:val="en-US"/>
        </w:rPr>
        <w:t>calidad-coste</w:t>
      </w:r>
      <w:proofErr w:type="spellEnd"/>
      <w:r w:rsidRPr="001B51D7">
        <w:rPr>
          <w:b/>
          <w:bCs/>
          <w:lang w:val="en-US"/>
        </w:rPr>
        <w:t xml:space="preserve"> SHAP vs. LIME</w:t>
      </w:r>
    </w:p>
    <w:p w14:paraId="0EDC151C"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y LIME no difieren en las métricas de calidad ni en el coste computacional sobre celdas pareadas.</w:t>
      </w:r>
    </w:p>
    <w:p w14:paraId="2C228F7E" w14:textId="77777777" w:rsidR="000A4CDF"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SHAP y LIME difieren significativamente en al menos una métrica de calidad o en el coste computacional sobre celdas pareadas.</w:t>
      </w:r>
    </w:p>
    <w:p w14:paraId="44E790B7" w14:textId="77777777" w:rsidR="000A4CDF" w:rsidRDefault="00000000">
      <w:pPr>
        <w:pStyle w:val="BodyText"/>
      </w:pPr>
      <w:r>
        <w:rPr>
          <w:b/>
          <w:bCs/>
        </w:rPr>
        <w:t>P1 — Reproducibilidad del protocolo (proposición)</w:t>
      </w:r>
    </w:p>
    <w:p w14:paraId="02A7A250" w14:textId="77777777" w:rsidR="000A4CDF" w:rsidRDefault="00000000">
      <w:pPr>
        <w:pStyle w:val="BodyText"/>
      </w:pPr>
      <w:r>
        <w:t>El protocolo FOM-7 produce un coeficiente de variación (CV) inferior al 15% en las métricas primarias bajo ejecuciones repetidas con semillas distintas en condiciones de configuración idéntica, lo que constituye evidencia de estabilidad operativa del benchmarking.</w:t>
      </w:r>
    </w:p>
    <w:p w14:paraId="740A84C4" w14:textId="77777777" w:rsidR="000A4CDF" w:rsidRDefault="00000000">
      <w:pPr>
        <w:pStyle w:val="BodyText"/>
      </w:pPr>
      <w:r>
        <w:t xml:space="preserve">Las hipótesis H1 y H2 se contrastan mediante la prueba de Friedman con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localización </w:t>
      </w:r>
      <w:r>
        <w:rPr>
          <w:i/>
          <w:iCs/>
        </w:rPr>
        <w:t>post-hoc</w:t>
      </w:r>
      <w:r>
        <w:t xml:space="preserve"> de Nemenyi. La hipótesis H3 se contrasta mediante pruebas de Wilcoxon bilaterales pareadas sobre 75 celdas coincidentes SHAP-LIME, con corrección de Holm-Bonferroni para multiplicidad (Friedman 1937; Demšar 2006; Nemenyi 1963; Wilcoxon 1945).</w:t>
      </w:r>
    </w:p>
    <w:p w14:paraId="52944BC4" w14:textId="77777777" w:rsidR="000A4CDF" w:rsidRDefault="00000000">
      <w:pPr>
        <w:pStyle w:val="Heading2"/>
      </w:pPr>
      <w:bookmarkStart w:id="22" w:name="metodología-general-de-la-investigación"/>
      <w:bookmarkStart w:id="23" w:name="_Toc228522538"/>
      <w:bookmarkEnd w:id="14"/>
      <w:bookmarkEnd w:id="20"/>
      <w:r>
        <w:t>Metodología general de la investigación</w:t>
      </w:r>
      <w:bookmarkEnd w:id="23"/>
    </w:p>
    <w:p w14:paraId="1E2B72A6" w14:textId="77777777" w:rsidR="000A4CDF" w:rsidRDefault="00000000">
      <w:pPr>
        <w:pStyle w:val="Heading3"/>
      </w:pPr>
      <w:bookmarkStart w:id="24" w:name="enfoque"/>
      <w:bookmarkStart w:id="25" w:name="_Toc228522539"/>
      <w:r>
        <w:t>Enfoque</w:t>
      </w:r>
      <w:bookmarkEnd w:id="25"/>
    </w:p>
    <w:p w14:paraId="03DA18FC" w14:textId="77777777" w:rsidR="000A4CDF" w:rsidRDefault="00000000">
      <w:r>
        <w:t>Esta investigación adopta un enfoque cuantitativo-empírico con componente teórico-taxonómico. El núcleo empírico de los Estudios A y B descansa en el análisis estadístico de métricas computadas sobre experimentos controlados y reproducibles, siguiendo una lógica hipotético-deductiva. El componente taxonómico del Estudio C —que actúa como puente conceptual integrador— adopta una metodología de revisión estructurada con codificación explícita de dimensiones, siguiendo protocolos de síntesis narrativa rigurosa (Linardatos 2020; Gilpin 2018; Schwalbe 2023; Abdul Kadir et al. 2023).</w:t>
      </w:r>
    </w:p>
    <w:p w14:paraId="60FD2462" w14:textId="77777777" w:rsidR="000A4CDF" w:rsidRDefault="00000000">
      <w:pPr>
        <w:pStyle w:val="Heading3"/>
      </w:pPr>
      <w:bookmarkStart w:id="26" w:name="tipo-de-investigación"/>
      <w:bookmarkStart w:id="27" w:name="_Toc228522540"/>
      <w:bookmarkEnd w:id="24"/>
      <w:r>
        <w:lastRenderedPageBreak/>
        <w:t>Tipo de investigación</w:t>
      </w:r>
      <w:bookmarkEnd w:id="27"/>
    </w:p>
    <w:p w14:paraId="6A699D37" w14:textId="77777777" w:rsidR="000A4CDF" w:rsidRDefault="00000000">
      <w:r>
        <w:t>Los Estudios A y B corresponden a investigación comparativa-experimental no intervencional: los métodos XAI son los factores de tratamiento, los modelos predictivos son el contexto experimental y las métricas de calidad son las variables de resultado. El Estudio C corresponde a una revisión sistemática estructurada con propósito taxonómico y de síntesis de brechas de constructo en el campo de la evaluación XAI.</w:t>
      </w:r>
    </w:p>
    <w:p w14:paraId="70C12A1C" w14:textId="77777777" w:rsidR="000A4CDF" w:rsidRDefault="00000000">
      <w:pPr>
        <w:pStyle w:val="Heading3"/>
      </w:pPr>
      <w:bookmarkStart w:id="28" w:name="universo-y-contexto-experimental"/>
      <w:bookmarkStart w:id="29" w:name="_Toc228522541"/>
      <w:bookmarkEnd w:id="26"/>
      <w:r>
        <w:t>Universo y contexto experimental</w:t>
      </w:r>
      <w:bookmarkEnd w:id="29"/>
    </w:p>
    <w:p w14:paraId="3D7959ED" w14:textId="77777777" w:rsidR="000A4CDF" w:rsidRDefault="00000000">
      <w:r>
        <w:t xml:space="preserve">El universo experimental está constituido por el conjunto de problemas de clasificación tabular supervisada en los que es necesario generar explicaciones </w:t>
      </w:r>
      <w:r>
        <w:rPr>
          <w:i/>
          <w:iCs/>
        </w:rPr>
        <w:t>post-hoc</w:t>
      </w:r>
      <w:r>
        <w:t xml:space="preserve"> locales mediante métodos agnósticos al modelo. El contexto operativo se acota al conjunto de datos Adult (UCI Adult Income) (Kohavi 1996), que contiene 48,842 instancias, 14 características (numéricas y categóricas) y una variable binaria de predicción (ingreso anual superior o inferior a 50,000 USD). Este conjunto es ampliamente utilizado en estudios de benchmarking XAI, lo que facilita la comparación externa de resultados y la verificación de reproducibilidad (Agarwal et al. 2022; Hedström et al. 2023; Canha et al. 2025).</w:t>
      </w:r>
    </w:p>
    <w:p w14:paraId="737BA659" w14:textId="77777777" w:rsidR="000A4CDF" w:rsidRDefault="00000000">
      <w:pPr>
        <w:pStyle w:val="Heading3"/>
      </w:pPr>
      <w:bookmarkStart w:id="30" w:name="Xdcd1be9d99c262f87a75615ad9164d40f630ac9"/>
      <w:bookmarkStart w:id="31" w:name="_Toc228522542"/>
      <w:bookmarkEnd w:id="28"/>
      <w:r>
        <w:t>Muestra de datasets, modelos y métodos XAI</w:t>
      </w:r>
      <w:bookmarkEnd w:id="31"/>
    </w:p>
    <w:p w14:paraId="69A98895" w14:textId="77777777" w:rsidR="000A4CDF" w:rsidRDefault="00000000">
      <w:r>
        <w:t xml:space="preserve">El diseño experimental adopta una estructura factorial cruzada. Las familias de modelos predictivos son: regresión logística (logreg), bosque aleatorio (rf) (Breiman 2001), </w:t>
      </w:r>
      <w:r>
        <w:rPr>
          <w:i/>
          <w:iCs/>
        </w:rPr>
        <w:t>gradient boosting</w:t>
      </w:r>
      <w:r>
        <w:t xml:space="preserve"> XGBoost (xgb), máquina de vectores soporte (svm) y perceptrón multicapa (mlp). Los métodos de explicabilidad evaluados son SHAP (Lundberg 2017), LIME (Ribeiro 2016), Anchors (Ribeiro 2018) y DiCE (Mothilal 2020; Wachter 2017). El tamaño de muestra por estrato se varía en tres niveles: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oMath>
      <w:r>
        <w:t xml:space="preserve">. Cada celda del diseño se replica con cinco </w:t>
      </w:r>
      <w:r>
        <w:lastRenderedPageBreak/>
        <w:t xml:space="preserve">semillas de aleatoriedad: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El tamaño planificado del benchmark primario (Estudio A) es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oMath>
      <w:r>
        <w:t xml:space="preserve"> ejecuciones; el análisis pareado LIME-SHAP (Estudio B) opera sobre 75 celdas coincidentes.</w:t>
      </w:r>
    </w:p>
    <w:p w14:paraId="27E9BDD5" w14:textId="77777777" w:rsidR="000A4CDF" w:rsidRDefault="00000000">
      <w:pPr>
        <w:pStyle w:val="Heading3"/>
      </w:pPr>
      <w:bookmarkStart w:id="32" w:name="criterios-de-inclusión-y-exclusión"/>
      <w:bookmarkStart w:id="33" w:name="_Toc228522543"/>
      <w:bookmarkEnd w:id="30"/>
      <w:r>
        <w:t>Criterios de inclusión y exclusión</w:t>
      </w:r>
      <w:bookmarkEnd w:id="33"/>
    </w:p>
    <w:p w14:paraId="4D2457F7" w14:textId="77777777" w:rsidR="000A4CDF" w:rsidRDefault="00000000">
      <w:r>
        <w:rPr>
          <w:b/>
          <w:bCs/>
        </w:rPr>
        <w:t>Criterios de inclusión:</w:t>
      </w:r>
    </w:p>
    <w:p w14:paraId="064F726E" w14:textId="77777777" w:rsidR="000A4CDF" w:rsidRDefault="00000000">
      <w:pPr>
        <w:numPr>
          <w:ilvl w:val="0"/>
          <w:numId w:val="53"/>
        </w:numPr>
      </w:pPr>
      <w:r>
        <w:t>Artefactos de resultado (results.json) con esquema completo y valores numéricos válidos en todas las métricas primarias.</w:t>
      </w:r>
    </w:p>
    <w:p w14:paraId="30E59551" w14:textId="77777777" w:rsidR="000A4CDF" w:rsidRDefault="00000000">
      <w:pPr>
        <w:numPr>
          <w:ilvl w:val="0"/>
          <w:numId w:val="53"/>
        </w:numPr>
      </w:pPr>
      <w:r>
        <w:t>Ejecuciones pertenecientes al benchmark primario de robustez (EXP2), cuya configuración ha sido congelada antes del inicio de la inferencia confirmativa.</w:t>
      </w:r>
    </w:p>
    <w:p w14:paraId="729E1678" w14:textId="77777777" w:rsidR="000A4CDF" w:rsidRDefault="00000000">
      <w:pPr>
        <w:numPr>
          <w:ilvl w:val="0"/>
          <w:numId w:val="53"/>
        </w:numPr>
      </w:pPr>
      <w:r>
        <w:t>Celdas para las que existen artefactos en ambos métodos comparados (SHAP y LIME) para el análisis pareado del Estudio B.</w:t>
      </w:r>
    </w:p>
    <w:p w14:paraId="35D0F5D3" w14:textId="77777777" w:rsidR="000A4CDF" w:rsidRDefault="00000000">
      <w:r>
        <w:rPr>
          <w:b/>
          <w:bCs/>
        </w:rPr>
        <w:t>Criterios de exclusión:</w:t>
      </w:r>
    </w:p>
    <w:p w14:paraId="2C737FC9" w14:textId="77777777" w:rsidR="000A4CDF" w:rsidRDefault="00000000">
      <w:pPr>
        <w:numPr>
          <w:ilvl w:val="0"/>
          <w:numId w:val="54"/>
        </w:numPr>
      </w:pPr>
      <w:r>
        <w:t>Artefactos vacíos o con esquema incompatible detectados en la auditoría de integridad (puerta 3 del protocolo FOM-7).</w:t>
      </w:r>
    </w:p>
    <w:p w14:paraId="65FA1D94" w14:textId="77777777" w:rsidR="000A4CDF" w:rsidRDefault="00000000">
      <w:pPr>
        <w:numPr>
          <w:ilvl w:val="0"/>
          <w:numId w:val="54"/>
        </w:numPr>
      </w:pPr>
      <w:r>
        <w:t>Ejecuciones pertenecientes a la fase de calibración (EXP1), que tienen rol de reproducibilidad y no se emplean para inferencia confirmativa.</w:t>
      </w:r>
    </w:p>
    <w:p w14:paraId="474DB59E" w14:textId="77777777" w:rsidR="000A4CDF" w:rsidRDefault="00000000">
      <w:pPr>
        <w:numPr>
          <w:ilvl w:val="0"/>
          <w:numId w:val="54"/>
        </w:numPr>
      </w:pPr>
      <w:r>
        <w:t>Reconstrucciones sintéticas de artefactos faltantes; únicamente se acepta como excepción la superposición de recuperación documentada sobre las celdas mlp_shap/svm_shap.</w:t>
      </w:r>
    </w:p>
    <w:p w14:paraId="0B3D5C19" w14:textId="77777777" w:rsidR="000A4CDF" w:rsidRDefault="00000000">
      <w:pPr>
        <w:pStyle w:val="Heading3"/>
      </w:pPr>
      <w:bookmarkStart w:id="34" w:name="variables-dimensiones-y-métricas"/>
      <w:bookmarkStart w:id="35" w:name="_Toc228522544"/>
      <w:bookmarkEnd w:id="32"/>
      <w:r>
        <w:lastRenderedPageBreak/>
        <w:t>Variables, dimensiones y métricas</w:t>
      </w:r>
      <w:bookmarkEnd w:id="35"/>
    </w:p>
    <w:p w14:paraId="4C02DB8F" w14:textId="77777777" w:rsidR="000A4CDF" w:rsidRDefault="00000000">
      <w:r>
        <w:t xml:space="preserve">Las </w:t>
      </w:r>
      <w:r>
        <w:rPr>
          <w:b/>
          <w:bCs/>
        </w:rPr>
        <w:t>variables independientes</w:t>
      </w:r>
      <w:r>
        <w:t xml:space="preserve"> del diseño son: familia de modelo (</w:t>
      </w:r>
      <m:oMath>
        <m:r>
          <w:rPr>
            <w:rFonts w:ascii="Cambria Math" w:hAnsi="Cambria Math"/>
          </w:rPr>
          <m:t>g</m:t>
        </m:r>
      </m:oMath>
      <w:r>
        <w:t>), método XAI (</w:t>
      </w:r>
      <m:oMath>
        <m:r>
          <w:rPr>
            <w:rFonts w:ascii="Cambria Math" w:hAnsi="Cambria Math"/>
          </w:rPr>
          <m:t>k</m:t>
        </m:r>
      </m:oMath>
      <w:r>
        <w:t>), semilla de aleatoriedad (</w:t>
      </w:r>
      <m:oMath>
        <m:r>
          <w:rPr>
            <w:rFonts w:ascii="Cambria Math" w:hAnsi="Cambria Math"/>
          </w:rPr>
          <m:t>s</m:t>
        </m:r>
      </m:oMath>
      <w:r>
        <w:t>) y tamaño de muestra por estrato (</w:t>
      </w:r>
      <m:oMath>
        <m:r>
          <w:rPr>
            <w:rFonts w:ascii="Cambria Math" w:hAnsi="Cambria Math"/>
          </w:rPr>
          <m:t>n</m:t>
        </m:r>
      </m:oMath>
      <w:r>
        <w:t xml:space="preserve">). Las </w:t>
      </w:r>
      <w:r>
        <w:rPr>
          <w:b/>
          <w:bCs/>
        </w:rPr>
        <w:t>variables dependientes</w:t>
      </w:r>
      <w:r>
        <w:t xml:space="preserve"> son cinco métricas primarias:</w:t>
      </w:r>
    </w:p>
    <w:p w14:paraId="24ADEACC" w14:textId="77777777" w:rsidR="000A4CDF" w:rsidRDefault="00000000">
      <w:pPr>
        <w:numPr>
          <w:ilvl w:val="0"/>
          <w:numId w:val="55"/>
        </w:numPr>
      </w:pPr>
      <w:r>
        <w:rPr>
          <w:b/>
          <w:bCs/>
        </w:rPr>
        <w:t>Fidelidad</w:t>
      </w:r>
      <w:r>
        <w:t>: correlación entre los pesos de importancia asignados por el explicador y el efecto observado al enmascarar las características de mayor peso (dirección: mayor es mejor).</w:t>
      </w:r>
    </w:p>
    <w:p w14:paraId="3F155286" w14:textId="77777777" w:rsidR="000A4CDF" w:rsidRDefault="00000000">
      <w:pPr>
        <w:numPr>
          <w:ilvl w:val="0"/>
          <w:numId w:val="55"/>
        </w:numPr>
      </w:pPr>
      <w:r>
        <w:rPr>
          <w:b/>
          <w:bCs/>
        </w:rPr>
        <w:t>Estabilidad</w:t>
      </w:r>
      <w:r>
        <w:t>: similitud coseno media entre explicaciones generadas sobre instancias perturbadas con ruido gaussiano (dirección: mayor es mejor).</w:t>
      </w:r>
    </w:p>
    <w:p w14:paraId="300BC449" w14:textId="77777777" w:rsidR="000A4CDF" w:rsidRDefault="00000000">
      <w:pPr>
        <w:numPr>
          <w:ilvl w:val="0"/>
          <w:numId w:val="55"/>
        </w:numPr>
      </w:pPr>
      <w:r>
        <w:rPr>
          <w:b/>
          <w:bCs/>
        </w:rPr>
        <w:t>Parsimonia</w:t>
      </w:r>
      <w:r>
        <w:t xml:space="preserve"> (</w:t>
      </w:r>
      <w:r>
        <w:rPr>
          <w:i/>
          <w:iCs/>
        </w:rPr>
        <w:t>sparsity</w:t>
      </w:r>
      <w:r>
        <w:t>): proporción de características activas en la explicación (dirección: menor es mejor).</w:t>
      </w:r>
    </w:p>
    <w:p w14:paraId="4E75E3AF" w14:textId="77777777" w:rsidR="000A4CDF" w:rsidRDefault="00000000">
      <w:pPr>
        <w:numPr>
          <w:ilvl w:val="0"/>
          <w:numId w:val="55"/>
        </w:numPr>
      </w:pPr>
      <w:r>
        <w:rPr>
          <w:b/>
          <w:bCs/>
        </w:rPr>
        <w:t>Brecha de fidelidad</w:t>
      </w:r>
      <w:r>
        <w:t xml:space="preserve"> (</w:t>
      </w:r>
      <w:r>
        <w:rPr>
          <w:i/>
          <w:iCs/>
        </w:rPr>
        <w:t>faithfulness gap</w:t>
      </w:r>
      <w:r>
        <w:t>): diferencia en la salida del modelo entre la instancia original y la instancia con las características principales enmascaradas (dirección: mayor es mejor).</w:t>
      </w:r>
    </w:p>
    <w:p w14:paraId="1BAC8F23" w14:textId="77777777" w:rsidR="000A4CDF" w:rsidRDefault="00000000">
      <w:pPr>
        <w:numPr>
          <w:ilvl w:val="0"/>
          <w:numId w:val="55"/>
        </w:numPr>
      </w:pPr>
      <w:r>
        <w:rPr>
          <w:b/>
          <w:bCs/>
        </w:rPr>
        <w:t>Coste computacional</w:t>
      </w:r>
      <w:r>
        <w:t>: tiempo de ejecución en milisegundos por instancia (dirección: menor es mejor).</w:t>
      </w:r>
    </w:p>
    <w:p w14:paraId="45FBEE08" w14:textId="77777777" w:rsidR="000A4CDF" w:rsidRDefault="00000000">
      <w:r>
        <w:t xml:space="preserve">La unidad de análisis inferencial es la ejecución agregada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evitando la pseudorreplicación a nivel de instancia.</w:t>
      </w:r>
    </w:p>
    <w:p w14:paraId="6CE78B36" w14:textId="77777777" w:rsidR="000A4CDF" w:rsidRDefault="00000000">
      <w:pPr>
        <w:pStyle w:val="BodyText"/>
      </w:pPr>
      <w:r>
        <w:lastRenderedPageBreak/>
        <w:t>La definición operativa de estas dimensiones y sus modos de medición sigue las taxonomías y recomendaciones recientes de evaluación multi-métrica para XAI (Abdul Kadir et al. 2023; Bhattacharya and Verbert 2024; Canha et al. 2025; Zheng et al. 2025).</w:t>
      </w:r>
    </w:p>
    <w:p w14:paraId="09D47C73" w14:textId="77777777" w:rsidR="000A4CDF" w:rsidRDefault="00000000">
      <w:pPr>
        <w:pStyle w:val="Heading3"/>
      </w:pPr>
      <w:bookmarkStart w:id="36" w:name="estrategia-procedimental"/>
      <w:bookmarkStart w:id="37" w:name="_Toc228522545"/>
      <w:bookmarkEnd w:id="34"/>
      <w:r>
        <w:t>Estrategia procedimental</w:t>
      </w:r>
      <w:bookmarkEnd w:id="37"/>
    </w:p>
    <w:p w14:paraId="37B6F58F" w14:textId="77777777" w:rsidR="000A4CDF" w:rsidRDefault="00000000">
      <w:r>
        <w:t>La estrategia procedimental se organiza en torno al protocolo FOM-7 (</w:t>
      </w:r>
      <w:r>
        <w:rPr>
          <w:i/>
          <w:iCs/>
        </w:rPr>
        <w:t>Framework Operation Method</w:t>
      </w:r>
      <w:r>
        <w:t>, siete puertas), derivado de los requisitos de benchmarking reproducible identificados en la literatura (Canha et al. 2025; Agarwal et al. 2022; Hedström et al. 2023) y de los modos de fallo observados durante la fase de calibración piloto.</w:t>
      </w:r>
    </w:p>
    <w:p w14:paraId="00F7481E" w14:textId="77777777" w:rsidR="000A4CDF" w:rsidRDefault="00000000">
      <w:pPr>
        <w:pStyle w:val="BodyText"/>
      </w:pPr>
      <w:r>
        <w:t>Las siete puertas secuenciales son:</w:t>
      </w:r>
    </w:p>
    <w:p w14:paraId="29966038" w14:textId="77777777" w:rsidR="000A4CDF" w:rsidRDefault="00000000">
      <w:pPr>
        <w:numPr>
          <w:ilvl w:val="0"/>
          <w:numId w:val="56"/>
        </w:numPr>
      </w:pPr>
      <w:r>
        <w:rPr>
          <w:b/>
          <w:bCs/>
        </w:rPr>
        <w:t>Congelación del protocolo</w:t>
      </w:r>
      <w:r>
        <w:t>: bloqueo de versiones de código, configuraciones, factores y plan de inferencia antes de las ejecuciones confirmativas.</w:t>
      </w:r>
    </w:p>
    <w:p w14:paraId="08F61C77" w14:textId="77777777" w:rsidR="000A4CDF" w:rsidRDefault="00000000">
      <w:pPr>
        <w:numPr>
          <w:ilvl w:val="0"/>
          <w:numId w:val="56"/>
        </w:numPr>
      </w:pPr>
      <w:r>
        <w:rPr>
          <w:b/>
          <w:bCs/>
        </w:rPr>
        <w:t>Ejecución por lotes controlada</w:t>
      </w:r>
      <w:r>
        <w:t>: ejecución desde manifiestos declarativos con semillas fijas y registro del contexto de tiempo de ejecución.</w:t>
      </w:r>
    </w:p>
    <w:p w14:paraId="64AEB138" w14:textId="77777777" w:rsidR="000A4CDF" w:rsidRDefault="00000000">
      <w:pPr>
        <w:numPr>
          <w:ilvl w:val="0"/>
          <w:numId w:val="56"/>
        </w:numPr>
      </w:pPr>
      <w:r>
        <w:rPr>
          <w:b/>
          <w:bCs/>
        </w:rPr>
        <w:t>Auditoría de integridad de artefactos</w:t>
      </w:r>
      <w:r>
        <w:t>: detección y exclusión de salidas malformadas, vacías o con esquema incompatible.</w:t>
      </w:r>
    </w:p>
    <w:p w14:paraId="1CD1AB71" w14:textId="77777777" w:rsidR="000A4CDF" w:rsidRDefault="00000000">
      <w:pPr>
        <w:numPr>
          <w:ilvl w:val="0"/>
          <w:numId w:val="56"/>
        </w:numPr>
      </w:pPr>
      <w:r>
        <w:rPr>
          <w:b/>
          <w:bCs/>
        </w:rPr>
        <w:t>Armonización a tablas listas para el análisis</w:t>
      </w:r>
      <w:r>
        <w:t>: estandarización de claves y campos de métricas en tablas de inferencia deterministas.</w:t>
      </w:r>
    </w:p>
    <w:p w14:paraId="32AAD409" w14:textId="77777777" w:rsidR="000A4CDF" w:rsidRDefault="00000000">
      <w:pPr>
        <w:numPr>
          <w:ilvl w:val="0"/>
          <w:numId w:val="56"/>
        </w:numPr>
      </w:pPr>
      <w:r>
        <w:rPr>
          <w:b/>
          <w:bCs/>
        </w:rPr>
        <w:t>Exportación inferencial</w:t>
      </w:r>
      <w:r>
        <w:t>: generación determinista de tablas omnibus y de pruebas pareadas a partir exclusivamente de entradas calificadas.</w:t>
      </w:r>
    </w:p>
    <w:p w14:paraId="5E9529C5" w14:textId="77777777" w:rsidR="000A4CDF" w:rsidRDefault="00000000">
      <w:pPr>
        <w:numPr>
          <w:ilvl w:val="0"/>
          <w:numId w:val="56"/>
        </w:numPr>
      </w:pPr>
      <w:r>
        <w:rPr>
          <w:b/>
          <w:bCs/>
        </w:rPr>
        <w:lastRenderedPageBreak/>
        <w:t>Perfilado de reproducibilidad</w:t>
      </w:r>
      <w:r>
        <w:t>: cuantificación de la dispersión entre ejecuciones y del comportamiento del coeficiente de variación en configuraciones replicadas.</w:t>
      </w:r>
    </w:p>
    <w:p w14:paraId="1B7055DE" w14:textId="77777777" w:rsidR="000A4CDF" w:rsidRDefault="00000000">
      <w:pPr>
        <w:numPr>
          <w:ilvl w:val="0"/>
          <w:numId w:val="56"/>
        </w:numPr>
      </w:pPr>
      <w:r>
        <w:rPr>
          <w:b/>
          <w:bCs/>
        </w:rPr>
        <w:t>Reporte con trazabilidad de afirmaciones</w:t>
      </w:r>
      <w:r>
        <w:t>: las afirmaciones inferenciales solo se permiten cuando todas las puertas previas están satisfechas y son trazables a artefactos fuente.</w:t>
      </w:r>
    </w:p>
    <w:p w14:paraId="3F9ADD52" w14:textId="77777777" w:rsidR="000A4CDF" w:rsidRDefault="00000000">
      <w:r>
        <w:t>La secuencia experimental distingue dos cohortes de evidencia con roles diferenciados: la etapa de calibración y reproducibilidad (EXP1), destinada a la verificación de implementación y al perfilado de dispersión; y el benchmark primario de robustez (EXP2), destinado a la inferencia confirmativa. Esta separación reduce la contaminación entre actividades exploratorias y afirmaciones confirmativas, en línea con las recomendaciones de disciplina de partición de evidencia discutidas en trabajos recientes sobre fidelidad de evaluación (Zheng et al. 2025).</w:t>
      </w:r>
    </w:p>
    <w:p w14:paraId="33296B0E" w14:textId="77777777" w:rsidR="000A4CDF" w:rsidRDefault="00000000">
      <w:pPr>
        <w:pStyle w:val="Heading1"/>
      </w:pPr>
      <w:bookmarkStart w:id="38" w:name="X5df853d312351836bad75f10c25fdcfe7ebc358"/>
      <w:bookmarkStart w:id="39" w:name="_Toc228522546"/>
      <w:bookmarkEnd w:id="8"/>
      <w:bookmarkEnd w:id="22"/>
      <w:bookmarkEnd w:id="36"/>
      <w:r>
        <w:t>Marco teórico específico / fundamentos conceptuales</w:t>
      </w:r>
      <w:bookmarkEnd w:id="39"/>
    </w:p>
    <w:p w14:paraId="56FCD0E0" w14:textId="77777777" w:rsidR="000A4CDF" w:rsidRDefault="00000000">
      <w:pPr>
        <w:pStyle w:val="Heading2"/>
      </w:pPr>
      <w:bookmarkStart w:id="40" w:name="X7133ed101bf9a9b0f87ccc84aa7c501df9ebcd7"/>
      <w:bookmarkStart w:id="41" w:name="_Toc228522547"/>
      <w:r>
        <w:t>Estado del arte en XAI e interpretabilidad agnóstica</w:t>
      </w:r>
      <w:bookmarkEnd w:id="41"/>
    </w:p>
    <w:p w14:paraId="3BE60495" w14:textId="77777777" w:rsidR="000A4CDF" w:rsidRDefault="00000000">
      <w:r>
        <w:t xml:space="preserve">El campo de la Inteligencia Artificial Explicable (XAI) ha experimentado una expansión sin precedentes en la última década, consolidándose como un pilar crítico para la adopción de modelos de caja negra en sectores de alta responsabilidad. Las revisiones sistemáticas más recientes (Abdul Kadir et al. 2023; Canha et al. 2025) coinciden en que, si bien la literatura ha producido un crecimiento asintótico en el número de algoritmos propuestos —destacando métodos líderes como LIME (Ribeiro 2016), SHAP (Lundberg 2017) y Anchors (Ribeiro 2018)—, el desarrollo de protocolos de evaluación estandarizados no ha seguido el mismo ritmo. De hecho, un análisis basado en la metodología PRISMA realizado por Abdul Kadir et al. (2023) </w:t>
      </w:r>
      <w:r>
        <w:lastRenderedPageBreak/>
        <w:t>revela que, a pesar de la madurez percibida del área, solo una fracción marginal de la producción científica (estimada en un 14%) incorpora marcos de evaluación cuantitativa rigurosos, limitándose mayoritariamente a validaciones cualitativas o anecdóticas.</w:t>
      </w:r>
    </w:p>
    <w:p w14:paraId="024A8E7E" w14:textId="77777777" w:rsidR="000A4CDF" w:rsidRDefault="00000000">
      <w:pPr>
        <w:pStyle w:val="BodyText"/>
      </w:pPr>
      <w:r>
        <w:t>Esta fragmentación ha dado lugar a lo que Pawlicki et al. (2024) define como una proliferación de métricas inconexas, donde la duplicidad de criterios y la falta de consenso sobre las propiedades fundamentales de una explicación (como la fidelidad, la estabilidad y la robustez) dificultan la comparación objetiva entre aproximaciones. Investigaciones contemporáneas (Bhattacharya and Verbert 2024; Nizam and Zafar 2023) argumentan que la falta de un estándar unificado impide valorar la explicabilidad de manera multidimensional, ignorando a menudo el hecho de que los sistemas de IA modernos no solo requieren precisión técnica, sino también validez semántica para sus destinatarios humanos. En respuesta a este vacío, han surgido ecosistemas de benchmarking integrales como Quantus (Hedström et al. 2023) y OpenXAI (Agarwal et al. 2022), los cuales intentan sistematizar el proceso de quantificación mediante toolkits automatizados que agrupan métricas por afinidad lógica. Sin embargo, como señala Zheng et al. (2025), incluso estos marcos enfrentan retos técnicos significativos, como la inestabilidad de las métricas ante datos fuera de la distribución (OOD), lo que subraya la necesidad de seguir evolucionando hacia marcos de evaluación multinivel y más robustos, tal como se propone en el presente estudio.</w:t>
      </w:r>
    </w:p>
    <w:p w14:paraId="01491A65" w14:textId="77777777" w:rsidR="000A4CDF" w:rsidRDefault="00000000">
      <w:pPr>
        <w:pStyle w:val="Heading2"/>
      </w:pPr>
      <w:bookmarkStart w:id="42" w:name="fundamentos-de-ia-de-caja-negra"/>
      <w:bookmarkStart w:id="43" w:name="_Toc228522548"/>
      <w:bookmarkEnd w:id="40"/>
      <w:r>
        <w:t>Fundamentos de IA de caja negra</w:t>
      </w:r>
      <w:bookmarkEnd w:id="43"/>
    </w:p>
    <w:p w14:paraId="6C864505" w14:textId="77777777" w:rsidR="000A4CDF" w:rsidRDefault="00000000">
      <w:r>
        <w:t>Para comprender el estado actual de la XAI, es imperativo analizar la naturaleza técnica de la “caja negra” (</w:t>
      </w:r>
      <w:r>
        <w:rPr>
          <w:i/>
          <w:iCs/>
        </w:rPr>
        <w:t>black-box models</w:t>
      </w:r>
      <w:r>
        <w:t xml:space="preserve">). La evolución de la IA ha pasado de modelos estadísticos transparentes —como la regresión lineal o árboles de decisión simples— a sistemas cuya lógica </w:t>
      </w:r>
      <w:r>
        <w:lastRenderedPageBreak/>
        <w:t>interna es inescrutable debido a su altísima dimensionalidad y no linealidad. Los modelos de ensamble (Random Forest, XGBoost) y las Redes Neuronales Profundas (DNN) logran niveles de precisión sobresalientes sacrificando la interpretabilidad directa. Esta opacidad no es un fallo de diseño, sino una consecuencia de la complejidad requerida para capturar patrones en datos no estructurados. Como señalan Canha et al. (2025) y Pawlicki et al. (2024), esto genera un “dilema de confianza” donde el usuario debe aceptar una decisión sin acceso a su proceso deductivo, marcando el punto de partida para las técnicas de explicabilidad agnóstica.</w:t>
      </w:r>
    </w:p>
    <w:p w14:paraId="7612C7B8" w14:textId="77777777" w:rsidR="000A4CDF" w:rsidRDefault="00000000">
      <w:pPr>
        <w:pStyle w:val="Heading2"/>
      </w:pPr>
      <w:bookmarkStart w:id="44" w:name="interpretabilidad-y-explicabilidad"/>
      <w:bookmarkStart w:id="45" w:name="_Toc228522549"/>
      <w:bookmarkEnd w:id="42"/>
      <w:r>
        <w:t>Interpretabilidad y explicabilidad</w:t>
      </w:r>
      <w:bookmarkEnd w:id="45"/>
    </w:p>
    <w:p w14:paraId="4984D50E" w14:textId="77777777" w:rsidR="000A4CDF" w:rsidRDefault="00000000">
      <w:r>
        <w:t>A pesar de que los términos “interpretabilidad” y “explicabilidad” se utilizan a menudo como sinónimos en la literatura técnica, revisiones sistemáticas de gran escala destacadas por Abdul Kadir et al. (2023) destacan una falta de consenso terminológico que fragmenta el campo. Para los propósitos de este marco multinivel, es fundamental establecer una distinción operativa basada en el destinatario final de la información: el ser humano. Mientras que la interpretabilidad se asocia frecuentemente con la transparencia intrínseca de los mecanismos internos de un modelo, la explicabilidad emerge como un concepto que busca traducir esa complejidad en un lenguaje comprensible para el usuario (Canha et al. 2025).</w:t>
      </w:r>
    </w:p>
    <w:p w14:paraId="07EE53A1" w14:textId="77777777" w:rsidR="000A4CDF" w:rsidRDefault="00000000">
      <w:pPr>
        <w:pStyle w:val="BodyText"/>
      </w:pPr>
      <w:r>
        <w:t>Siguiendo la propuesta de Linardatos (2020), se define la interpretabilidad como la capacidad de discernir la mecánica interna de un sistema sin necesidad de conocer el “porqué” profundo de cada decisión, conectando primordialmente con la intuición técnica. Por el contrario, la explicabilidad añade una “capa de razonamiento” (</w:t>
      </w:r>
      <w:r>
        <w:rPr>
          <w:i/>
          <w:iCs/>
        </w:rPr>
        <w:t>reasoning layer</w:t>
      </w:r>
      <w:r>
        <w:t xml:space="preserve">) sobre los mecanismos técnicos para clarificar el proceso lógico que condujo a una salida específica (Canha et al. 2025). Esta distinción es especialmente relevante para esta tesis, ya que justifica la necesidad de no solo </w:t>
      </w:r>
      <w:r>
        <w:lastRenderedPageBreak/>
        <w:t>evaluar la “fidelidad” al modelo (parámetro técnico), sino también la “coherencia semántica” (capa de razonamiento humano) sustentada por criterios multidimensionales (Bhattacharya and Verbert 2024).</w:t>
      </w:r>
    </w:p>
    <w:p w14:paraId="5D0AFD49" w14:textId="77777777" w:rsidR="000A4CDF" w:rsidRDefault="00000000">
      <w:pPr>
        <w:pStyle w:val="Heading2"/>
      </w:pPr>
      <w:bookmarkStart w:id="46" w:name="criterios-de-evaluación-de-explicaciones"/>
      <w:bookmarkStart w:id="47" w:name="_Toc228522550"/>
      <w:bookmarkEnd w:id="44"/>
      <w:r>
        <w:t>Criterios de evaluación de explicaciones</w:t>
      </w:r>
      <w:bookmarkEnd w:id="47"/>
    </w:p>
    <w:p w14:paraId="09A3C366" w14:textId="77777777" w:rsidR="000A4CDF" w:rsidRDefault="00000000">
      <w:r>
        <w:t>La evaluación de la calidad de una explicación es un proceso multidimensional que requiere la cuantificación de diversas propiedades funcionales. A continuación, se detallan los criterios técnicos fundamentales adoptados en este estudio, sustentados en la jerarquía funcional propuesta por Canha et al. (2025) y los marcos de benchmarking de Agarwal et al. (2022).</w:t>
      </w:r>
    </w:p>
    <w:p w14:paraId="6A8BC66A" w14:textId="77777777" w:rsidR="000A4CDF" w:rsidRDefault="00000000">
      <w:pPr>
        <w:pStyle w:val="Heading3"/>
      </w:pPr>
      <w:bookmarkStart w:id="48" w:name="fidelidad"/>
      <w:bookmarkStart w:id="49" w:name="_Toc228522551"/>
      <w:r>
        <w:t>Fidelidad</w:t>
      </w:r>
      <w:bookmarkEnd w:id="49"/>
    </w:p>
    <w:p w14:paraId="0F47D0B7" w14:textId="77777777" w:rsidR="000A4CDF" w:rsidRDefault="00000000">
      <w:r>
        <w:t>La fidelidad () mide el grado en que un método de explicación logra representar el verdadero proceso deductivo del modelo de caja negra. Siguiendo la definición de Canha et al. (2025), esta se operacionaliza a menudo como el “acuerdo del sustituto” (), formulado como:</w:t>
      </w:r>
    </w:p>
    <w:p w14:paraId="511EA7CA" w14:textId="77777777" w:rsidR="000A4CD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fid</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num>
            <m:den>
              <m:r>
                <w:rPr>
                  <w:rFonts w:ascii="Cambria Math" w:hAnsi="Cambria Math"/>
                </w:rPr>
                <m:t>N</m:t>
              </m:r>
              <m:r>
                <m:rPr>
                  <m:sty m:val="p"/>
                </m:rPr>
                <w:rPr>
                  <w:rFonts w:ascii="Cambria Math" w:hAnsi="Cambria Math"/>
                </w:rPr>
                <m:t>⋅max(</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den>
          </m:f>
        </m:oMath>
      </m:oMathPara>
    </w:p>
    <w:p w14:paraId="2017C9C6" w14:textId="77777777" w:rsidR="000A4CDF" w:rsidRDefault="00000000">
      <w:r>
        <w:t xml:space="preserve">Donde </w:t>
      </w:r>
      <m:oMath>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representa la salida del modelo de caja negra y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la del modelo sustituto o aproximación local. Es vital distinguir la fidelidad de la fehaciencia (), ya que un modelo puede ser fiel en su mimetismo predictivo pero no necesariamente fehaciente en capturar la lógica causal subyacente (Zheng et al. 2025).</w:t>
      </w:r>
    </w:p>
    <w:p w14:paraId="4BA47F28" w14:textId="77777777" w:rsidR="000A4CDF" w:rsidRDefault="00000000">
      <w:pPr>
        <w:pStyle w:val="Heading3"/>
      </w:pPr>
      <w:bookmarkStart w:id="50" w:name="estabilidad"/>
      <w:bookmarkStart w:id="51" w:name="_Toc228522552"/>
      <w:bookmarkEnd w:id="48"/>
      <w:r>
        <w:t>Estabilidad</w:t>
      </w:r>
      <w:bookmarkEnd w:id="51"/>
    </w:p>
    <w:p w14:paraId="00AEED4A" w14:textId="77777777" w:rsidR="000A4CDF" w:rsidRDefault="00000000">
      <w:r>
        <w:t xml:space="preserve">La estabilidad evalúa la consistencia de las explicaciones ante variaciones mínimas en los datos de entrada que no alteran la predicción del modelo. Se formaliza comúnmente mediante la </w:t>
      </w:r>
      <w:r>
        <w:lastRenderedPageBreak/>
        <w:t>Estabilidad de Entrada Relativa (</w:t>
      </w:r>
      <m:oMath>
        <m:r>
          <w:rPr>
            <w:rFonts w:ascii="Cambria Math" w:hAnsi="Cambria Math"/>
          </w:rPr>
          <m:t>RIS</m:t>
        </m:r>
      </m:oMath>
      <w:r>
        <w:t xml:space="preserve">), que estima la sensibilidad del explicador ante perturbaciones en el vecindario de </w:t>
      </w:r>
      <m:oMath>
        <m:r>
          <w:rPr>
            <w:rFonts w:ascii="Cambria Math" w:hAnsi="Cambria Math"/>
          </w:rPr>
          <m:t>x</m:t>
        </m:r>
      </m:oMath>
      <w:r>
        <w:t xml:space="preserve"> (Agarwal et al. 2022):</w:t>
      </w:r>
    </w:p>
    <w:p w14:paraId="51D1D57F" w14:textId="77777777" w:rsidR="000A4CDF" w:rsidRDefault="00000000">
      <w:pPr>
        <w:pStyle w:val="BodyText"/>
      </w:pPr>
      <m:oMathPara>
        <m:oMathParaPr>
          <m:jc m:val="center"/>
        </m:oMathParaPr>
        <m:oMath>
          <m:r>
            <w:rPr>
              <w:rFonts w:ascii="Cambria Math" w:hAnsi="Cambria Math"/>
            </w:rPr>
            <m:t>RIS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x</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m:t>
              </m:r>
              <m:r>
                <w:rPr>
                  <w:rFonts w:ascii="Cambria Math" w:hAnsi="Cambria Math"/>
                </w:rPr>
                <m:t>ex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ex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num>
            <m:den>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den>
          </m:f>
        </m:oMath>
      </m:oMathPara>
    </w:p>
    <w:p w14:paraId="79F84A04" w14:textId="77777777" w:rsidR="000A4CDF" w:rsidRDefault="00000000">
      <w:r>
        <w:t xml:space="preserve">Donde </w:t>
      </w:r>
      <m:oMath>
        <m:r>
          <w:rPr>
            <w:rFonts w:ascii="Cambria Math" w:hAnsi="Cambria Math"/>
          </w:rPr>
          <m:t>ex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es la importancia de características generada para la instancia </w:t>
      </w:r>
      <m:oMath>
        <m:r>
          <w:rPr>
            <w:rFonts w:ascii="Cambria Math" w:hAnsi="Cambria Math"/>
          </w:rPr>
          <m:t>x</m:t>
        </m:r>
      </m:oMath>
      <w:r>
        <w:t xml:space="preserve">. Una </w:t>
      </w:r>
      <m:oMath>
        <m:r>
          <w:rPr>
            <w:rFonts w:ascii="Cambria Math" w:hAnsi="Cambria Math"/>
          </w:rPr>
          <m:t>RIS</m:t>
        </m:r>
      </m:oMath>
      <w:r>
        <w:t xml:space="preserve"> elevada señala una fragilidad técnica, indicando que cambios imperceptibles en los datos pueden generar interpretaciones contradictorias.</w:t>
      </w:r>
    </w:p>
    <w:p w14:paraId="453C81CD" w14:textId="77777777" w:rsidR="000A4CDF" w:rsidRDefault="00000000">
      <w:pPr>
        <w:pStyle w:val="Heading3"/>
      </w:pPr>
      <w:bookmarkStart w:id="52" w:name="robustez"/>
      <w:bookmarkStart w:id="53" w:name="_Toc228522553"/>
      <w:bookmarkEnd w:id="50"/>
      <w:r>
        <w:t>Robustez</w:t>
      </w:r>
      <w:bookmarkEnd w:id="53"/>
    </w:p>
    <w:p w14:paraId="3D4C632C" w14:textId="77777777" w:rsidR="000A4CDF" w:rsidRDefault="00000000">
      <w:r>
        <w:t>A diferencia de la estabilidad, la robustez se enfoca en la resistencia del explicador ante ataques adversarios o cambios significativos en la distribución. Como identifica Zheng et al. (2025), muchas métricas tradicionales fallan al operar con datos “fuera de la distribución” (OOD), por lo que la robustez técnica implica garantizar que el explicador mantenga su validez incluso cuando el modelo enfrenta instancias atípicas.</w:t>
      </w:r>
    </w:p>
    <w:p w14:paraId="368576B0" w14:textId="77777777" w:rsidR="000A4CDF" w:rsidRDefault="00000000">
      <w:pPr>
        <w:pStyle w:val="Heading3"/>
      </w:pPr>
      <w:bookmarkStart w:id="54" w:name="sparsity-complejidad"/>
      <w:bookmarkStart w:id="55" w:name="_Toc228522554"/>
      <w:bookmarkEnd w:id="52"/>
      <w:r>
        <w:t>Sparsity / complejidad</w:t>
      </w:r>
      <w:bookmarkEnd w:id="55"/>
    </w:p>
    <w:p w14:paraId="39270066" w14:textId="77777777" w:rsidR="000A4CDF" w:rsidRDefault="00000000">
      <w:r>
        <w:t xml:space="preserve">La complejidad de una explicación debe estar alineada con las capacidades cognitivas humanas. Canha et al. (2025) recurre a la “Ley de Miller” para fundamentar este criterio, sugiriendo que el tamaño óptimo de una explicación informativa debe mantenerse en un rango de </w:t>
      </w:r>
      <m:oMath>
        <m:r>
          <w:rPr>
            <w:rFonts w:ascii="Cambria Math" w:hAnsi="Cambria Math"/>
          </w:rPr>
          <m:t>7</m:t>
        </m:r>
        <m:r>
          <m:rPr>
            <m:sty m:val="p"/>
          </m:rPr>
          <w:rPr>
            <w:rFonts w:ascii="Cambria Math" w:hAnsi="Cambria Math"/>
          </w:rPr>
          <m:t>±</m:t>
        </m:r>
        <m:r>
          <w:rPr>
            <w:rFonts w:ascii="Cambria Math" w:hAnsi="Cambria Math"/>
          </w:rPr>
          <m:t>2</m:t>
        </m:r>
      </m:oMath>
      <w:r>
        <w:t xml:space="preserve"> elementos resaltados. Una explicación con baja cardinalidad (alta ) es preferible para reducir la carga cognitiva sin sacrificar la información crítica.</w:t>
      </w:r>
    </w:p>
    <w:p w14:paraId="28472751" w14:textId="77777777" w:rsidR="000A4CDF" w:rsidRDefault="00000000">
      <w:pPr>
        <w:pStyle w:val="Heading3"/>
      </w:pPr>
      <w:bookmarkStart w:id="56" w:name="coste-computacional"/>
      <w:bookmarkStart w:id="57" w:name="_Toc228522555"/>
      <w:bookmarkEnd w:id="54"/>
      <w:r>
        <w:t>Coste computacional</w:t>
      </w:r>
      <w:bookmarkEnd w:id="57"/>
    </w:p>
    <w:p w14:paraId="4CBC153C" w14:textId="77777777" w:rsidR="000A4CDF" w:rsidRDefault="00000000">
      <w:r>
        <w:t xml:space="preserve">La eficiencia computacional es un criterio pragmático indispensable. Existe una compensación () intrínseca entre la fidelidad de métodos como KernelSHAP —que requieren miles de </w:t>
      </w:r>
      <w:r>
        <w:lastRenderedPageBreak/>
        <w:t>evaluaciones del modelo— y la rapidez de aproximaciones lineales como LIME. Este estudio adopta métricas de latencia de inferencia para valorar la viabilidad del despliegue bajo demanda.</w:t>
      </w:r>
    </w:p>
    <w:p w14:paraId="66876B39" w14:textId="77777777" w:rsidR="000A4CDF" w:rsidRDefault="00000000">
      <w:pPr>
        <w:pStyle w:val="Heading3"/>
      </w:pPr>
      <w:bookmarkStart w:id="58" w:name="Xe00b4760c98b12ecb7c034848753f29957e3d9e"/>
      <w:bookmarkStart w:id="59" w:name="_Toc228522556"/>
      <w:bookmarkEnd w:id="56"/>
      <w:r>
        <w:t>Alineación causal y sensibilidad contrafactual</w:t>
      </w:r>
      <w:bookmarkEnd w:id="59"/>
    </w:p>
    <w:p w14:paraId="74294E08" w14:textId="77777777" w:rsidR="000A4CDF" w:rsidRDefault="00000000">
      <w:r>
        <w:t>Finalmente, se introduce la alineación causal, que evalúa si las características identificadas corresponden a relaciones lógicas reales en el dominio de aplicación. Este criterio se complementa con la sensibilidad contrafactual, que responde a cambios mínimos necesarios para invertir la decisión del modelo, proporcionando una validación semántica que trasciende la métrica puramente matemática (Bhattacharya and Verbert 2024; Reif et al. 2024).</w:t>
      </w:r>
    </w:p>
    <w:p w14:paraId="6FA3916C" w14:textId="77777777" w:rsidR="000A4CDF" w:rsidRDefault="00000000">
      <w:pPr>
        <w:pStyle w:val="Heading1"/>
      </w:pPr>
      <w:bookmarkStart w:id="60" w:name="marco-empírico-y-diseño-experimental"/>
      <w:bookmarkStart w:id="61" w:name="_Toc228522557"/>
      <w:bookmarkEnd w:id="38"/>
      <w:bookmarkEnd w:id="46"/>
      <w:bookmarkEnd w:id="58"/>
      <w:r>
        <w:t>Marco empírico y diseño experimental</w:t>
      </w:r>
      <w:bookmarkEnd w:id="61"/>
    </w:p>
    <w:p w14:paraId="710EDAA3" w14:textId="77777777" w:rsidR="000A4CDF" w:rsidRDefault="00000000">
      <w:r>
        <w:t xml:space="preserve">Este capítulo describe el diseño empírico de los estudios que conforman el núcleo cuantitativo de la tesis: el benchmark multinivel de métodos agnósticos (Estudio A), la comparación pareada enfocada entre LIME y SHAP (Estudio B) y la validación externa compacta EXP3. Los dos primeros estudios comparten el mismo protocolo experimental, el mismo conjunto de datos Adult y los mismos artefactos de modelo, y se distinguen por el alcance del análisis inferencial: el Estudio A evalúa los cuatro métodos sobre el diseño factorial completo; el Estudio B restringe la inferencia confirmativa al subconjunto pareado LIME-SHAP. EXP3 reutiliza el contrato operativo y el paquete de métricas para evaluar portabilidad en Breast Cancer y German Credit, sin incorporarse al contraste confirmativo de EXP2. El capítulo se organiza en ocho secciones: las fases experimentales (EXP1, EXP2 y EXP3), los conjuntos de datos y protocolos de preprocesamiento, el diseño factorial, las configuraciones de los explicadores, la operacionalización de las métricas, el protocolo FOM-7, el análisis de cobertura de artefactos, y </w:t>
      </w:r>
      <w:r>
        <w:lastRenderedPageBreak/>
        <w:t>el plan de inferencia estadística. Las amenazas a la validez y el inventario de recursos de reproducibilidad figuran en el Apéndice A.</w:t>
      </w:r>
    </w:p>
    <w:p w14:paraId="61E68989" w14:textId="77777777" w:rsidR="000A4CDF" w:rsidRDefault="00000000">
      <w:pPr>
        <w:pStyle w:val="Heading2"/>
      </w:pPr>
      <w:bookmarkStart w:id="62" w:name="fases-experimentales-exp1-exp2-y-exp3"/>
      <w:bookmarkStart w:id="63" w:name="_Toc228522558"/>
      <w:r>
        <w:t>Fases experimentales: EXP1, EXP2 y EXP3</w:t>
      </w:r>
      <w:bookmarkEnd w:id="63"/>
    </w:p>
    <w:p w14:paraId="64374361" w14:textId="77777777" w:rsidR="000A4CDF" w:rsidRDefault="00000000">
      <w:r>
        <w:t>El diseño experimental distingue dos cohortes de evidencia con roles diferenciados, siguiendo el principio de separación entre actividades de calibración y afirmaciones confirmativas (Hedström et al. 2023; Zheng et al. 2025).</w:t>
      </w:r>
    </w:p>
    <w:p w14:paraId="3720CEAF" w14:textId="77777777" w:rsidR="000A4CDF" w:rsidRDefault="00000000">
      <w:pPr>
        <w:pStyle w:val="Heading3"/>
      </w:pPr>
      <w:bookmarkStart w:id="64" w:name="X32cac70d6076bcfbcdceb21da7e13d3984b2a1d"/>
      <w:bookmarkStart w:id="65" w:name="_Toc228522559"/>
      <w:r>
        <w:t>Fase de calibración y reproducibilidad (EXP1)</w:t>
      </w:r>
      <w:bookmarkEnd w:id="65"/>
    </w:p>
    <w:p w14:paraId="00A5DF61" w14:textId="77777777" w:rsidR="000A4CDF" w:rsidRDefault="00000000">
      <w:r>
        <w:t>La Fase EXP1 tiene por objetivos: verificar la correcta implementación del pipeline experimental, entrenar y congelar los artefactos de modelo compartidos por todos los explicadores en EXP2, y generar un perfil de reproducibilidad sobre configuraciones replicadas que permita cuantificar la dispersión métrica esperada bajo variación de semilla.</w:t>
      </w:r>
    </w:p>
    <w:p w14:paraId="76772A82" w14:textId="77777777" w:rsidR="000A4CDF" w:rsidRDefault="00000000">
      <w:pPr>
        <w:pStyle w:val="BodyText"/>
      </w:pPr>
      <w:r>
        <w:t>EXP1 opera sobre dos familias de modelos —bosque aleatorio (rf) y XGBoost (xgb)— y dos métodos explicadores —SHAP (modo árbol) y LIME— formando una cohorte de 75 ejecuciones planificadas. De estas, 66 resultaron analizables (88.0% de cobertura). Los modelos entrenados en EXP1 se congelan como artefactos repositorio bajo experiments/exp1_adult/models/ y son reutilizados sin reentrenamiento en EXP2, de modo que cualquier diferencia observada entre métodos en la fase primaria es atribuible al explicador y no a variación en el modelo subyacente.</w:t>
      </w:r>
    </w:p>
    <w:p w14:paraId="54A6A5C0" w14:textId="77777777" w:rsidR="000A4CDF" w:rsidRDefault="00000000">
      <w:pPr>
        <w:pStyle w:val="BodyText"/>
      </w:pPr>
      <w:r>
        <w:t>El rendimiento predictivo de los cinco modelos entrenados en EXP1 y evaluados sobre el conjunto de prueba (9,758 instancias, semilla 42) se muestra en la Tabla 3.1. Los valores fueron extraídos directamente de los archivos experiments/exp1_adult/models/*/metrics.json del repositorio.</w:t>
      </w:r>
    </w:p>
    <w:tbl>
      <w:tblPr>
        <w:tblW w:w="5000" w:type="pct"/>
        <w:tblLayout w:type="fixed"/>
        <w:tblLook w:val="0000" w:firstRow="0" w:lastRow="0" w:firstColumn="0" w:lastColumn="0" w:noHBand="0" w:noVBand="0"/>
      </w:tblPr>
      <w:tblGrid>
        <w:gridCol w:w="9576"/>
      </w:tblGrid>
      <w:tr w:rsidR="000A4CDF" w14:paraId="18854A45" w14:textId="77777777">
        <w:tc>
          <w:tcPr>
            <w:tcW w:w="7920" w:type="dxa"/>
          </w:tcPr>
          <w:p w14:paraId="1831AB1E" w14:textId="77777777" w:rsidR="000A4CDF" w:rsidRDefault="00000000">
            <w:pPr>
              <w:spacing w:before="200"/>
              <w:jc w:val="left"/>
            </w:pPr>
            <w:bookmarkStart w:id="66" w:name="tbl-model-performance"/>
            <w:r>
              <w:lastRenderedPageBreak/>
              <w:t>Table 4.1: Rendimiento predictivo de los modelos en el conjunto de prueba (</w:t>
            </w:r>
            <m:oMath>
              <m:r>
                <w:rPr>
                  <w:rFonts w:ascii="Cambria Math" w:hAnsi="Cambria Math"/>
                </w:rPr>
                <m:t>n</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758</m:t>
              </m:r>
            </m:oMath>
            <w:r>
              <w:t>, semilla 42). Valores extraídos de models/*/metrics.json. XGBoost lidera en todas las métricas; el perceptrón multicapa presenta el AUC-ROC más bajo pero supera el umbral de inclusión de 0.88.</w:t>
            </w:r>
          </w:p>
          <w:tbl>
            <w:tblPr>
              <w:tblW w:w="5000" w:type="pct"/>
              <w:tblLayout w:type="fixed"/>
              <w:tblLook w:val="0020" w:firstRow="1" w:lastRow="0" w:firstColumn="0" w:lastColumn="0" w:noHBand="0" w:noVBand="0"/>
            </w:tblPr>
            <w:tblGrid>
              <w:gridCol w:w="1469"/>
              <w:gridCol w:w="2019"/>
              <w:gridCol w:w="2019"/>
              <w:gridCol w:w="1468"/>
              <w:gridCol w:w="734"/>
              <w:gridCol w:w="1651"/>
            </w:tblGrid>
            <w:tr w:rsidR="000A4CDF" w14:paraId="67CCD892" w14:textId="77777777">
              <w:trPr>
                <w:tblHeader/>
              </w:trPr>
              <w:tc>
                <w:tcPr>
                  <w:tcW w:w="1242" w:type="dxa"/>
                </w:tcPr>
                <w:p w14:paraId="447E54BF" w14:textId="77777777" w:rsidR="000A4CDF" w:rsidRDefault="00000000">
                  <w:pPr>
                    <w:jc w:val="center"/>
                  </w:pPr>
                  <w:r>
                    <w:t>Modelo</w:t>
                  </w:r>
                </w:p>
              </w:tc>
              <w:tc>
                <w:tcPr>
                  <w:tcW w:w="1708" w:type="dxa"/>
                </w:tcPr>
                <w:p w14:paraId="3D85FBBA" w14:textId="77777777" w:rsidR="000A4CDF" w:rsidRDefault="00000000">
                  <w:pPr>
                    <w:jc w:val="center"/>
                  </w:pPr>
                  <w:r>
                    <w:t>Exactitud</w:t>
                  </w:r>
                </w:p>
              </w:tc>
              <w:tc>
                <w:tcPr>
                  <w:tcW w:w="1708" w:type="dxa"/>
                </w:tcPr>
                <w:p w14:paraId="5816EE54" w14:textId="77777777" w:rsidR="000A4CDF" w:rsidRDefault="00000000">
                  <w:pPr>
                    <w:jc w:val="center"/>
                  </w:pPr>
                  <w:r>
                    <w:t>Precisión</w:t>
                  </w:r>
                </w:p>
              </w:tc>
              <w:tc>
                <w:tcPr>
                  <w:tcW w:w="1242" w:type="dxa"/>
                </w:tcPr>
                <w:p w14:paraId="02C1EB9B" w14:textId="77777777" w:rsidR="000A4CDF" w:rsidRDefault="00000000">
                  <w:pPr>
                    <w:jc w:val="center"/>
                  </w:pPr>
                  <w:r>
                    <w:t>Recall</w:t>
                  </w:r>
                </w:p>
              </w:tc>
              <w:tc>
                <w:tcPr>
                  <w:tcW w:w="621" w:type="dxa"/>
                </w:tcPr>
                <w:p w14:paraId="647839AD" w14:textId="77777777" w:rsidR="000A4CDF" w:rsidRDefault="00000000">
                  <w:pPr>
                    <w:jc w:val="center"/>
                  </w:pPr>
                  <w:r>
                    <w:t>F1</w:t>
                  </w:r>
                </w:p>
              </w:tc>
              <w:tc>
                <w:tcPr>
                  <w:tcW w:w="1397" w:type="dxa"/>
                </w:tcPr>
                <w:p w14:paraId="73498DAB" w14:textId="77777777" w:rsidR="000A4CDF" w:rsidRDefault="00000000">
                  <w:pPr>
                    <w:jc w:val="center"/>
                  </w:pPr>
                  <w:r>
                    <w:t>AUC-ROC</w:t>
                  </w:r>
                </w:p>
              </w:tc>
            </w:tr>
            <w:tr w:rsidR="000A4CDF" w14:paraId="15C69D24" w14:textId="77777777">
              <w:tc>
                <w:tcPr>
                  <w:tcW w:w="1242" w:type="dxa"/>
                </w:tcPr>
                <w:p w14:paraId="389D5831" w14:textId="77777777" w:rsidR="000A4CDF" w:rsidRDefault="00000000">
                  <w:pPr>
                    <w:jc w:val="center"/>
                  </w:pPr>
                  <w:r>
                    <w:t>Regresión logística (logreg)</w:t>
                  </w:r>
                </w:p>
              </w:tc>
              <w:tc>
                <w:tcPr>
                  <w:tcW w:w="1708" w:type="dxa"/>
                </w:tcPr>
                <w:p w14:paraId="074D3302" w14:textId="77777777" w:rsidR="000A4CDF" w:rsidRDefault="00000000">
                  <w:pPr>
                    <w:jc w:val="center"/>
                  </w:pPr>
                  <w:r>
                    <w:t>0.849</w:t>
                  </w:r>
                </w:p>
              </w:tc>
              <w:tc>
                <w:tcPr>
                  <w:tcW w:w="1708" w:type="dxa"/>
                </w:tcPr>
                <w:p w14:paraId="37AA9A16" w14:textId="77777777" w:rsidR="000A4CDF" w:rsidRDefault="00000000">
                  <w:pPr>
                    <w:jc w:val="center"/>
                  </w:pPr>
                  <w:r>
                    <w:t>0.842</w:t>
                  </w:r>
                </w:p>
              </w:tc>
              <w:tc>
                <w:tcPr>
                  <w:tcW w:w="1242" w:type="dxa"/>
                </w:tcPr>
                <w:p w14:paraId="26E606F9" w14:textId="77777777" w:rsidR="000A4CDF" w:rsidRDefault="00000000">
                  <w:pPr>
                    <w:jc w:val="center"/>
                  </w:pPr>
                  <w:r>
                    <w:t>0.849</w:t>
                  </w:r>
                </w:p>
              </w:tc>
              <w:tc>
                <w:tcPr>
                  <w:tcW w:w="621" w:type="dxa"/>
                </w:tcPr>
                <w:p w14:paraId="61A65526" w14:textId="77777777" w:rsidR="000A4CDF" w:rsidRDefault="00000000">
                  <w:pPr>
                    <w:jc w:val="center"/>
                  </w:pPr>
                  <w:r>
                    <w:t>0.844</w:t>
                  </w:r>
                </w:p>
              </w:tc>
              <w:tc>
                <w:tcPr>
                  <w:tcW w:w="1397" w:type="dxa"/>
                </w:tcPr>
                <w:p w14:paraId="451D72B7" w14:textId="77777777" w:rsidR="000A4CDF" w:rsidRDefault="00000000">
                  <w:pPr>
                    <w:jc w:val="center"/>
                  </w:pPr>
                  <w:r>
                    <w:t>0.903</w:t>
                  </w:r>
                </w:p>
              </w:tc>
            </w:tr>
            <w:tr w:rsidR="000A4CDF" w14:paraId="38E62D64" w14:textId="77777777">
              <w:tc>
                <w:tcPr>
                  <w:tcW w:w="1242" w:type="dxa"/>
                </w:tcPr>
                <w:p w14:paraId="7F872C91" w14:textId="77777777" w:rsidR="000A4CDF" w:rsidRDefault="00000000">
                  <w:pPr>
                    <w:jc w:val="center"/>
                  </w:pPr>
                  <w:r>
                    <w:t>Bosque aleatorio (rf)</w:t>
                  </w:r>
                </w:p>
              </w:tc>
              <w:tc>
                <w:tcPr>
                  <w:tcW w:w="1708" w:type="dxa"/>
                </w:tcPr>
                <w:p w14:paraId="7FC5A33E" w14:textId="77777777" w:rsidR="000A4CDF" w:rsidRDefault="00000000">
                  <w:pPr>
                    <w:jc w:val="center"/>
                  </w:pPr>
                  <w:r>
                    <w:t>0.854</w:t>
                  </w:r>
                </w:p>
              </w:tc>
              <w:tc>
                <w:tcPr>
                  <w:tcW w:w="1708" w:type="dxa"/>
                </w:tcPr>
                <w:p w14:paraId="5C14895E" w14:textId="77777777" w:rsidR="000A4CDF" w:rsidRDefault="00000000">
                  <w:pPr>
                    <w:jc w:val="center"/>
                  </w:pPr>
                  <w:r>
                    <w:t>0.849</w:t>
                  </w:r>
                </w:p>
              </w:tc>
              <w:tc>
                <w:tcPr>
                  <w:tcW w:w="1242" w:type="dxa"/>
                </w:tcPr>
                <w:p w14:paraId="1AE6C121" w14:textId="77777777" w:rsidR="000A4CDF" w:rsidRDefault="00000000">
                  <w:pPr>
                    <w:jc w:val="center"/>
                  </w:pPr>
                  <w:r>
                    <w:t>0.854</w:t>
                  </w:r>
                </w:p>
              </w:tc>
              <w:tc>
                <w:tcPr>
                  <w:tcW w:w="621" w:type="dxa"/>
                </w:tcPr>
                <w:p w14:paraId="218BCAA2" w14:textId="77777777" w:rsidR="000A4CDF" w:rsidRDefault="00000000">
                  <w:pPr>
                    <w:jc w:val="center"/>
                  </w:pPr>
                  <w:r>
                    <w:t>0.851</w:t>
                  </w:r>
                </w:p>
              </w:tc>
              <w:tc>
                <w:tcPr>
                  <w:tcW w:w="1397" w:type="dxa"/>
                </w:tcPr>
                <w:p w14:paraId="0AE972CF" w14:textId="77777777" w:rsidR="000A4CDF" w:rsidRDefault="00000000">
                  <w:pPr>
                    <w:jc w:val="center"/>
                  </w:pPr>
                  <w:r>
                    <w:t>0.902</w:t>
                  </w:r>
                </w:p>
              </w:tc>
            </w:tr>
            <w:tr w:rsidR="000A4CDF" w14:paraId="02C6009B" w14:textId="77777777">
              <w:tc>
                <w:tcPr>
                  <w:tcW w:w="1242" w:type="dxa"/>
                </w:tcPr>
                <w:p w14:paraId="71682606" w14:textId="77777777" w:rsidR="000A4CDF" w:rsidRDefault="00000000">
                  <w:pPr>
                    <w:jc w:val="center"/>
                  </w:pPr>
                  <w:r>
                    <w:t>XGBoost (xgb)</w:t>
                  </w:r>
                </w:p>
              </w:tc>
              <w:tc>
                <w:tcPr>
                  <w:tcW w:w="1708" w:type="dxa"/>
                </w:tcPr>
                <w:p w14:paraId="4387A612" w14:textId="77777777" w:rsidR="000A4CDF" w:rsidRDefault="00000000">
                  <w:pPr>
                    <w:jc w:val="center"/>
                  </w:pPr>
                  <w:r>
                    <w:rPr>
                      <w:b/>
                      <w:bCs/>
                    </w:rPr>
                    <w:t>0.870</w:t>
                  </w:r>
                </w:p>
              </w:tc>
              <w:tc>
                <w:tcPr>
                  <w:tcW w:w="1708" w:type="dxa"/>
                </w:tcPr>
                <w:p w14:paraId="45FADDF9" w14:textId="77777777" w:rsidR="000A4CDF" w:rsidRDefault="00000000">
                  <w:pPr>
                    <w:jc w:val="center"/>
                  </w:pPr>
                  <w:r>
                    <w:rPr>
                      <w:b/>
                      <w:bCs/>
                    </w:rPr>
                    <w:t>0.865</w:t>
                  </w:r>
                </w:p>
              </w:tc>
              <w:tc>
                <w:tcPr>
                  <w:tcW w:w="1242" w:type="dxa"/>
                </w:tcPr>
                <w:p w14:paraId="442286B4" w14:textId="77777777" w:rsidR="000A4CDF" w:rsidRDefault="00000000">
                  <w:pPr>
                    <w:jc w:val="center"/>
                  </w:pPr>
                  <w:r>
                    <w:rPr>
                      <w:b/>
                      <w:bCs/>
                    </w:rPr>
                    <w:t>0.870</w:t>
                  </w:r>
                </w:p>
              </w:tc>
              <w:tc>
                <w:tcPr>
                  <w:tcW w:w="621" w:type="dxa"/>
                </w:tcPr>
                <w:p w14:paraId="7B967AC8" w14:textId="77777777" w:rsidR="000A4CDF" w:rsidRDefault="00000000">
                  <w:pPr>
                    <w:jc w:val="center"/>
                  </w:pPr>
                  <w:r>
                    <w:rPr>
                      <w:b/>
                      <w:bCs/>
                    </w:rPr>
                    <w:t>0.865</w:t>
                  </w:r>
                </w:p>
              </w:tc>
              <w:tc>
                <w:tcPr>
                  <w:tcW w:w="1397" w:type="dxa"/>
                </w:tcPr>
                <w:p w14:paraId="56F1513A" w14:textId="77777777" w:rsidR="000A4CDF" w:rsidRDefault="00000000">
                  <w:pPr>
                    <w:jc w:val="center"/>
                  </w:pPr>
                  <w:r>
                    <w:rPr>
                      <w:b/>
                      <w:bCs/>
                    </w:rPr>
                    <w:t>0.926</w:t>
                  </w:r>
                </w:p>
              </w:tc>
            </w:tr>
            <w:tr w:rsidR="000A4CDF" w14:paraId="7B03CD46" w14:textId="77777777">
              <w:tc>
                <w:tcPr>
                  <w:tcW w:w="1242" w:type="dxa"/>
                </w:tcPr>
                <w:p w14:paraId="0111E852" w14:textId="77777777" w:rsidR="000A4CDF" w:rsidRDefault="00000000">
                  <w:pPr>
                    <w:jc w:val="center"/>
                  </w:pPr>
                  <w:r>
                    <w:t>Máquina de vectores soporte (svm)</w:t>
                  </w:r>
                </w:p>
              </w:tc>
              <w:tc>
                <w:tcPr>
                  <w:tcW w:w="1708" w:type="dxa"/>
                </w:tcPr>
                <w:p w14:paraId="270A3323" w14:textId="77777777" w:rsidR="000A4CDF" w:rsidRDefault="00000000">
                  <w:pPr>
                    <w:jc w:val="center"/>
                  </w:pPr>
                  <w:r>
                    <w:t>0.856</w:t>
                  </w:r>
                </w:p>
              </w:tc>
              <w:tc>
                <w:tcPr>
                  <w:tcW w:w="1708" w:type="dxa"/>
                </w:tcPr>
                <w:p w14:paraId="4D5889AB" w14:textId="77777777" w:rsidR="000A4CDF" w:rsidRDefault="00000000">
                  <w:pPr>
                    <w:jc w:val="center"/>
                  </w:pPr>
                  <w:r>
                    <w:t>0.849</w:t>
                  </w:r>
                </w:p>
              </w:tc>
              <w:tc>
                <w:tcPr>
                  <w:tcW w:w="1242" w:type="dxa"/>
                </w:tcPr>
                <w:p w14:paraId="58A64883" w14:textId="77777777" w:rsidR="000A4CDF" w:rsidRDefault="00000000">
                  <w:pPr>
                    <w:jc w:val="center"/>
                  </w:pPr>
                  <w:r>
                    <w:t>0.856</w:t>
                  </w:r>
                </w:p>
              </w:tc>
              <w:tc>
                <w:tcPr>
                  <w:tcW w:w="621" w:type="dxa"/>
                </w:tcPr>
                <w:p w14:paraId="7E38B495" w14:textId="77777777" w:rsidR="000A4CDF" w:rsidRDefault="00000000">
                  <w:pPr>
                    <w:jc w:val="center"/>
                  </w:pPr>
                  <w:r>
                    <w:t>0.849</w:t>
                  </w:r>
                </w:p>
              </w:tc>
              <w:tc>
                <w:tcPr>
                  <w:tcW w:w="1397" w:type="dxa"/>
                </w:tcPr>
                <w:p w14:paraId="6074C704" w14:textId="77777777" w:rsidR="000A4CDF" w:rsidRDefault="00000000">
                  <w:pPr>
                    <w:jc w:val="center"/>
                  </w:pPr>
                  <w:r>
                    <w:t>0.898</w:t>
                  </w:r>
                </w:p>
              </w:tc>
            </w:tr>
            <w:tr w:rsidR="000A4CDF" w14:paraId="76838D10" w14:textId="77777777">
              <w:tc>
                <w:tcPr>
                  <w:tcW w:w="1242" w:type="dxa"/>
                </w:tcPr>
                <w:p w14:paraId="5BE6FB0D" w14:textId="77777777" w:rsidR="000A4CDF" w:rsidRDefault="00000000">
                  <w:pPr>
                    <w:jc w:val="center"/>
                  </w:pPr>
                  <w:r>
                    <w:t>Perceptrón multicapa (mlp)</w:t>
                  </w:r>
                </w:p>
              </w:tc>
              <w:tc>
                <w:tcPr>
                  <w:tcW w:w="1708" w:type="dxa"/>
                </w:tcPr>
                <w:p w14:paraId="473A0F0B" w14:textId="77777777" w:rsidR="000A4CDF" w:rsidRDefault="00000000">
                  <w:pPr>
                    <w:jc w:val="center"/>
                  </w:pPr>
                  <w:r>
                    <w:t>0.840</w:t>
                  </w:r>
                </w:p>
              </w:tc>
              <w:tc>
                <w:tcPr>
                  <w:tcW w:w="1708" w:type="dxa"/>
                </w:tcPr>
                <w:p w14:paraId="195FF35D" w14:textId="77777777" w:rsidR="000A4CDF" w:rsidRDefault="00000000">
                  <w:pPr>
                    <w:jc w:val="center"/>
                  </w:pPr>
                  <w:r>
                    <w:t>0.833</w:t>
                  </w:r>
                </w:p>
              </w:tc>
              <w:tc>
                <w:tcPr>
                  <w:tcW w:w="1242" w:type="dxa"/>
                </w:tcPr>
                <w:p w14:paraId="1107EC83" w14:textId="77777777" w:rsidR="000A4CDF" w:rsidRDefault="00000000">
                  <w:pPr>
                    <w:jc w:val="center"/>
                  </w:pPr>
                  <w:r>
                    <w:t>0.840</w:t>
                  </w:r>
                </w:p>
              </w:tc>
              <w:tc>
                <w:tcPr>
                  <w:tcW w:w="621" w:type="dxa"/>
                </w:tcPr>
                <w:p w14:paraId="78091A21" w14:textId="77777777" w:rsidR="000A4CDF" w:rsidRDefault="00000000">
                  <w:pPr>
                    <w:jc w:val="center"/>
                  </w:pPr>
                  <w:r>
                    <w:t>0.835</w:t>
                  </w:r>
                </w:p>
              </w:tc>
              <w:tc>
                <w:tcPr>
                  <w:tcW w:w="1397" w:type="dxa"/>
                </w:tcPr>
                <w:p w14:paraId="103C5B34" w14:textId="77777777" w:rsidR="000A4CDF" w:rsidRDefault="00000000">
                  <w:pPr>
                    <w:jc w:val="center"/>
                  </w:pPr>
                  <w:r>
                    <w:t>0.885</w:t>
                  </w:r>
                </w:p>
              </w:tc>
            </w:tr>
            <w:bookmarkEnd w:id="66"/>
          </w:tbl>
          <w:p w14:paraId="2FC7A157" w14:textId="77777777" w:rsidR="000A4CDF" w:rsidRDefault="000A4CDF"/>
        </w:tc>
      </w:tr>
    </w:tbl>
    <w:p w14:paraId="4C7EED5E" w14:textId="77777777" w:rsidR="000A4CDF" w:rsidRDefault="00000000">
      <w:pPr>
        <w:pStyle w:val="BodyText"/>
      </w:pPr>
      <w:r>
        <w:lastRenderedPageBreak/>
        <w:t xml:space="preserve">Todos los modelos superan los umbrales de inclusión definidos en el protocolo: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Esta dispersión inter-modelo es intencional: un benchmark robusto debe evaluar explicadores sobre modelos de distinta complejidad y tipo de frontera de decisión, incluyendo modelos lineales (logreg), de conjuntos de árboles (rf, xgb), con kernel (svm) y neuronales (mlp).</w:t>
      </w:r>
    </w:p>
    <w:p w14:paraId="3C6500BF" w14:textId="77777777" w:rsidR="000A4CDF" w:rsidRDefault="00000000">
      <w:pPr>
        <w:pStyle w:val="BodyText"/>
      </w:pPr>
      <w:r>
        <w:t xml:space="preserve">El perfilado de reproducibilidad de EXP1 establece que las métricas de calidad presentan coeficientes de variación inferiores al 9% bajo variación de semilla: </w:t>
      </w:r>
      <m:oMath>
        <m:sSub>
          <m:sSubPr>
            <m:ctrlPr>
              <w:rPr>
                <w:rFonts w:ascii="Cambria Math" w:hAnsi="Cambria Math"/>
              </w:rPr>
            </m:ctrlPr>
          </m:sSubPr>
          <m:e>
            <m:r>
              <m:rPr>
                <m:nor/>
              </m:rPr>
              <m:t>CV</m:t>
            </m:r>
          </m:e>
          <m:sub>
            <m:r>
              <w:rPr>
                <w:rFonts w:ascii="Cambria Math" w:hAnsi="Cambria Math"/>
              </w:rPr>
              <m:t>F</m:t>
            </m:r>
          </m:sub>
        </m:sSub>
        <m:r>
          <m:rPr>
            <m:sty m:val="p"/>
          </m:rPr>
          <w:rPr>
            <w:rFonts w:ascii="Cambria Math" w:hAnsi="Cambria Math"/>
          </w:rPr>
          <m:t>≤</m:t>
        </m:r>
        <m:r>
          <w:rPr>
            <w:rFonts w:ascii="Cambria Math" w:hAnsi="Cambria Math"/>
          </w:rPr>
          <m:t>0.063</m:t>
        </m:r>
      </m:oMath>
      <w:r>
        <w:t xml:space="preserve">, </w:t>
      </w:r>
      <m:oMath>
        <m:sSub>
          <m:sSubPr>
            <m:ctrlPr>
              <w:rPr>
                <w:rFonts w:ascii="Cambria Math" w:hAnsi="Cambria Math"/>
              </w:rPr>
            </m:ctrlPr>
          </m:sSubPr>
          <m:e>
            <m:r>
              <m:rPr>
                <m:nor/>
              </m:rPr>
              <m:t>CV</m:t>
            </m:r>
          </m:e>
          <m:sub>
            <m:r>
              <w:rPr>
                <w:rFonts w:ascii="Cambria Math" w:hAnsi="Cambria Math"/>
              </w:rPr>
              <m:t>S</m:t>
            </m:r>
          </m:sub>
        </m:sSub>
        <m:r>
          <m:rPr>
            <m:sty m:val="p"/>
          </m:rPr>
          <w:rPr>
            <w:rFonts w:ascii="Cambria Math" w:hAnsi="Cambria Math"/>
          </w:rPr>
          <m:t>≤</m:t>
        </m:r>
        <m:r>
          <w:rPr>
            <w:rFonts w:ascii="Cambria Math" w:hAnsi="Cambria Math"/>
          </w:rPr>
          <m:t>0.083</m:t>
        </m:r>
      </m:oMath>
      <w:r>
        <w:t xml:space="preserve">, </w:t>
      </w:r>
      <m:oMath>
        <m:sSub>
          <m:sSubPr>
            <m:ctrlPr>
              <w:rPr>
                <w:rFonts w:ascii="Cambria Math" w:hAnsi="Cambria Math"/>
              </w:rPr>
            </m:ctrlPr>
          </m:sSubPr>
          <m:e>
            <m:r>
              <m:rPr>
                <m:nor/>
              </m:rPr>
              <m:t>CV</m:t>
            </m:r>
          </m:e>
          <m:sub>
            <m:r>
              <w:rPr>
                <w:rFonts w:ascii="Cambria Math" w:hAnsi="Cambria Math"/>
              </w:rPr>
              <m:t>P</m:t>
            </m:r>
          </m:sub>
        </m:sSub>
        <m:r>
          <m:rPr>
            <m:sty m:val="p"/>
          </m:rPr>
          <w:rPr>
            <w:rFonts w:ascii="Cambria Math" w:hAnsi="Cambria Math"/>
          </w:rPr>
          <m:t>≤</m:t>
        </m:r>
        <m:r>
          <w:rPr>
            <w:rFonts w:ascii="Cambria Math" w:hAnsi="Cambria Math"/>
          </w:rPr>
          <m:t>0.044</m:t>
        </m:r>
      </m:oMath>
      <w:r>
        <w:t xml:space="preserve">, </w:t>
      </w:r>
      <m:oMath>
        <m:sSub>
          <m:sSubPr>
            <m:ctrlPr>
              <w:rPr>
                <w:rFonts w:ascii="Cambria Math" w:hAnsi="Cambria Math"/>
              </w:rPr>
            </m:ctrlPr>
          </m:sSubPr>
          <m:e>
            <m:r>
              <m:rPr>
                <m:nor/>
              </m:rPr>
              <m:t>CV</m:t>
            </m:r>
          </m:e>
          <m:sub>
            <m:sSub>
              <m:sSubPr>
                <m:ctrlPr>
                  <w:rPr>
                    <w:rFonts w:ascii="Cambria Math" w:hAnsi="Cambria Math"/>
                  </w:rPr>
                </m:ctrlPr>
              </m:sSubPr>
              <m:e>
                <m:r>
                  <m:rPr>
                    <m:sty m:val="p"/>
                  </m:rPr>
                  <w:rPr>
                    <w:rFonts w:ascii="Cambria Math" w:hAnsi="Cambria Math"/>
                  </w:rPr>
                  <m:t>Δ</m:t>
                </m:r>
              </m:e>
              <m:sub>
                <m:r>
                  <w:rPr>
                    <w:rFonts w:ascii="Cambria Math" w:hAnsi="Cambria Math"/>
                  </w:rPr>
                  <m:t>k</m:t>
                </m:r>
              </m:sub>
            </m:sSub>
          </m:sub>
        </m:sSub>
        <m:r>
          <m:rPr>
            <m:sty m:val="p"/>
          </m:rPr>
          <w:rPr>
            <w:rFonts w:ascii="Cambria Math" w:hAnsi="Cambria Math"/>
          </w:rPr>
          <m:t>≤</m:t>
        </m:r>
        <m:r>
          <w:rPr>
            <w:rFonts w:ascii="Cambria Math" w:hAnsi="Cambria Math"/>
          </w:rPr>
          <m:t>0.036</m:t>
        </m:r>
      </m:oMath>
      <w:r>
        <w:t>. El coste computacional exhibe mayor variabilidad (</w:t>
      </w:r>
      <m:oMath>
        <m:sSub>
          <m:sSubPr>
            <m:ctrlPr>
              <w:rPr>
                <w:rFonts w:ascii="Cambria Math" w:hAnsi="Cambria Math"/>
              </w:rPr>
            </m:ctrlPr>
          </m:sSubPr>
          <m:e>
            <m:r>
              <m:rPr>
                <m:nor/>
              </m:rPr>
              <m:t>CV</m:t>
            </m:r>
          </m:e>
          <m:sub>
            <m:r>
              <w:rPr>
                <w:rFonts w:ascii="Cambria Math" w:hAnsi="Cambria Math"/>
              </w:rPr>
              <m:t>C</m:t>
            </m:r>
          </m:sub>
        </m:sSub>
        <m:r>
          <m:rPr>
            <m:sty m:val="p"/>
          </m:rPr>
          <w:rPr>
            <w:rFonts w:ascii="Cambria Math" w:hAnsi="Cambria Math"/>
          </w:rPr>
          <m:t>≤</m:t>
        </m:r>
        <m:r>
          <w:rPr>
            <w:rFonts w:ascii="Cambria Math" w:hAnsi="Cambria Math"/>
          </w:rPr>
          <m:t>0.225</m:t>
        </m:r>
      </m:oMath>
      <w:r>
        <w:t xml:space="preserve"> para SHAP con kernel), lo que implica que los rankings de calidad son sustancialmente más reproducibles que las estimaciones de latencia. EXP1 </w:t>
      </w:r>
      <w:r>
        <w:rPr>
          <w:b/>
          <w:bCs/>
        </w:rPr>
        <w:t>no</w:t>
      </w:r>
      <w:r>
        <w:t xml:space="preserve"> contribuye a la inferencia confirmativa de EXP2 ni a las hipótesis H1-H3.</w:t>
      </w:r>
    </w:p>
    <w:p w14:paraId="09DA71D0" w14:textId="77777777" w:rsidR="000A4CDF" w:rsidRDefault="00000000">
      <w:pPr>
        <w:pStyle w:val="Heading3"/>
      </w:pPr>
      <w:bookmarkStart w:id="67" w:name="X88dee61532cae681dfa2cfeee2779c5c9929176"/>
      <w:bookmarkStart w:id="68" w:name="_Toc228522560"/>
      <w:bookmarkEnd w:id="64"/>
      <w:r>
        <w:t>Fase de benchmark primario de robustez (EXP2)</w:t>
      </w:r>
      <w:bookmarkEnd w:id="68"/>
    </w:p>
    <w:p w14:paraId="1C4CE48C" w14:textId="77777777" w:rsidR="000A4CDF" w:rsidRDefault="00000000">
      <w:r>
        <w:t>La Fase EXP2 es la cohorte de evidencia confirmativa. Expande EXP1 a los cinco modelos y cuatro métodos explicadores, con cinco semillas y tres tamaños de muestra, bajo el protocolo FOM-7 descrito en la Sección 3.6. Los resultados de EXP2 son la fuente exclusiva de las afirmaciones estadísticas inferenciales de los Estudios A y B.</w:t>
      </w:r>
    </w:p>
    <w:p w14:paraId="4CE89A3D" w14:textId="77777777" w:rsidR="000A4CDF" w:rsidRDefault="00000000">
      <w:pPr>
        <w:pStyle w:val="Heading3"/>
      </w:pPr>
      <w:bookmarkStart w:id="69" w:name="fase-de-validación-externa-compacta-exp3"/>
      <w:bookmarkStart w:id="70" w:name="_Toc228522561"/>
      <w:bookmarkEnd w:id="67"/>
      <w:r>
        <w:t>Fase de validación externa compacta (EXP3)</w:t>
      </w:r>
      <w:bookmarkEnd w:id="70"/>
    </w:p>
    <w:p w14:paraId="1271E5AA" w14:textId="77777777" w:rsidR="000A4CDF" w:rsidRDefault="00000000">
      <w:r>
        <w:t>La Fase EXP3 se añade como capa de validez externa tabular. Su objetivo no es replicar el diseño factorial completo de EXP2, sino comprobar si el mismo contrato de ejecución, persistencia de artefactos, métricas primarias y reglas de calificación pueden operar fuera de UCI Adult Income. Por esta razón, EXP3 se interpreta como evidencia de portabilidad y no como una nueva cohorte confirmativa para las hipótesis H1-H3.</w:t>
      </w:r>
    </w:p>
    <w:p w14:paraId="36845385" w14:textId="77777777" w:rsidR="000A4CDF" w:rsidRDefault="00000000">
      <w:pPr>
        <w:pStyle w:val="BodyText"/>
      </w:pPr>
      <w:r>
        <w:lastRenderedPageBreak/>
        <w:t>EXP3 utiliza dos conjuntos tabulares adicionales:</w:t>
      </w:r>
    </w:p>
    <w:p w14:paraId="0D84E7F7" w14:textId="77777777" w:rsidR="000A4CDF" w:rsidRDefault="00000000">
      <w:pPr>
        <w:numPr>
          <w:ilvl w:val="0"/>
          <w:numId w:val="57"/>
        </w:numPr>
      </w:pPr>
      <w:r>
        <w:t>breast_cancer: dominio biomédico, pequeño y de baja fricción computacional.</w:t>
      </w:r>
    </w:p>
    <w:p w14:paraId="3EC3AF9E" w14:textId="77777777" w:rsidR="000A4CDF" w:rsidRDefault="00000000">
      <w:pPr>
        <w:numPr>
          <w:ilvl w:val="0"/>
          <w:numId w:val="57"/>
        </w:numPr>
      </w:pPr>
      <w:r>
        <w:t>german_credit: dominio socioeconómico y de riesgo crediticio.</w:t>
      </w:r>
    </w:p>
    <w:p w14:paraId="743525C6" w14:textId="77777777" w:rsidR="000A4CDF" w:rsidRDefault="00000000">
      <w:r>
        <w:t>El diseño EXP3 es:</w:t>
      </w:r>
    </w:p>
    <w:p w14:paraId="35F713EB" w14:textId="77777777" w:rsidR="000A4CDF" w:rsidRDefault="00000000">
      <w:pPr>
        <w:pStyle w:val="BodyText"/>
      </w:pPr>
      <m:oMathPara>
        <m:oMathParaPr>
          <m:jc m:val="center"/>
        </m:oMathParaPr>
        <m:oMath>
          <m:r>
            <w:rPr>
              <w:rFonts w:ascii="Cambria Math" w:hAnsi="Cambria Math"/>
            </w:rPr>
            <m:t>2 </m:t>
          </m:r>
          <m:r>
            <m:rPr>
              <m:nor/>
            </m:rPr>
            <m:t>datasets</m:t>
          </m:r>
          <m:r>
            <m:rPr>
              <m:sty m:val="p"/>
            </m:rPr>
            <w:rPr>
              <w:rFonts w:ascii="Cambria Math" w:hAnsi="Cambria Math"/>
            </w:rPr>
            <m:t>×</m:t>
          </m:r>
          <m:r>
            <w:rPr>
              <w:rFonts w:ascii="Cambria Math" w:hAnsi="Cambria Math"/>
            </w:rPr>
            <m:t>2 </m:t>
          </m:r>
          <m:r>
            <m:rPr>
              <m:nor/>
            </m:rPr>
            <m:t>modelos</m:t>
          </m:r>
          <m:r>
            <m:rPr>
              <m:sty m:val="p"/>
            </m:rPr>
            <w:rPr>
              <w:rFonts w:ascii="Cambria Math" w:hAnsi="Cambria Math"/>
            </w:rPr>
            <m:t>×</m:t>
          </m:r>
          <m:r>
            <w:rPr>
              <w:rFonts w:ascii="Cambria Math" w:hAnsi="Cambria Math"/>
            </w:rPr>
            <m:t>2 </m:t>
          </m:r>
          <m:r>
            <m:rPr>
              <m:nor/>
            </m:rPr>
            <m:t>explicadores</m:t>
          </m:r>
          <m:r>
            <m:rPr>
              <m:sty m:val="p"/>
            </m:rPr>
            <w:rPr>
              <w:rFonts w:ascii="Cambria Math" w:hAnsi="Cambria Math"/>
            </w:rPr>
            <m:t>×</m:t>
          </m:r>
          <m:r>
            <w:rPr>
              <w:rFonts w:ascii="Cambria Math" w:hAnsi="Cambria Math"/>
            </w:rPr>
            <m:t>3 </m:t>
          </m:r>
          <m:r>
            <m:rPr>
              <m:nor/>
            </m:rPr>
            <m:t>semillas</m:t>
          </m:r>
          <m:r>
            <m:rPr>
              <m:sty m:val="p"/>
            </m:rPr>
            <w:rPr>
              <w:rFonts w:ascii="Cambria Math" w:hAnsi="Cambria Math"/>
            </w:rPr>
            <m:t>×</m:t>
          </m:r>
          <m:r>
            <w:rPr>
              <w:rFonts w:ascii="Cambria Math" w:hAnsi="Cambria Math"/>
            </w:rPr>
            <m:t>1 </m:t>
          </m:r>
          <m:r>
            <m:rPr>
              <m:nor/>
            </m:rPr>
            <m:t>tamaño de muestra</m:t>
          </m:r>
          <m:r>
            <m:rPr>
              <m:sty m:val="p"/>
            </m:rPr>
            <w:rPr>
              <w:rFonts w:ascii="Cambria Math" w:hAnsi="Cambria Math"/>
            </w:rPr>
            <m:t>=</m:t>
          </m:r>
          <m:r>
            <w:rPr>
              <w:rFonts w:ascii="Cambria Math" w:hAnsi="Cambria Math"/>
            </w:rPr>
            <m:t>24</m:t>
          </m:r>
          <m:r>
            <m:rPr>
              <m:nor/>
            </m:rPr>
            <m:t xml:space="preserve"> ejecuciones</m:t>
          </m:r>
        </m:oMath>
      </m:oMathPara>
    </w:p>
    <w:p w14:paraId="62C3E2EE" w14:textId="77777777" w:rsidR="000A4CDF" w:rsidRDefault="00000000">
      <w:r>
        <w:t>Los factores son:</w:t>
      </w:r>
    </w:p>
    <w:p w14:paraId="0FE5A605" w14:textId="77777777" w:rsidR="000A4CDF" w:rsidRPr="001B51D7" w:rsidRDefault="00000000">
      <w:pPr>
        <w:numPr>
          <w:ilvl w:val="0"/>
          <w:numId w:val="58"/>
        </w:numPr>
        <w:rPr>
          <w:lang w:val="en-US"/>
        </w:rPr>
      </w:pPr>
      <w:r w:rsidRPr="001B51D7">
        <w:rPr>
          <w:lang w:val="en-US"/>
        </w:rPr>
        <w:t xml:space="preserve">datasets: </w:t>
      </w:r>
      <w:proofErr w:type="spellStart"/>
      <w:r w:rsidRPr="001B51D7">
        <w:rPr>
          <w:lang w:val="en-US"/>
        </w:rPr>
        <w:t>breast_cancer</w:t>
      </w:r>
      <w:proofErr w:type="spellEnd"/>
      <w:r w:rsidRPr="001B51D7">
        <w:rPr>
          <w:lang w:val="en-US"/>
        </w:rPr>
        <w:t xml:space="preserve">, </w:t>
      </w:r>
      <w:proofErr w:type="spellStart"/>
      <w:r w:rsidRPr="001B51D7">
        <w:rPr>
          <w:lang w:val="en-US"/>
        </w:rPr>
        <w:t>german_</w:t>
      </w:r>
      <w:proofErr w:type="gramStart"/>
      <w:r w:rsidRPr="001B51D7">
        <w:rPr>
          <w:lang w:val="en-US"/>
        </w:rPr>
        <w:t>credit</w:t>
      </w:r>
      <w:proofErr w:type="spellEnd"/>
      <w:r w:rsidRPr="001B51D7">
        <w:rPr>
          <w:lang w:val="en-US"/>
        </w:rPr>
        <w:t>;</w:t>
      </w:r>
      <w:proofErr w:type="gramEnd"/>
    </w:p>
    <w:p w14:paraId="781ED452" w14:textId="77777777" w:rsidR="000A4CDF" w:rsidRDefault="00000000">
      <w:pPr>
        <w:numPr>
          <w:ilvl w:val="0"/>
          <w:numId w:val="58"/>
        </w:numPr>
      </w:pPr>
      <w:r>
        <w:t xml:space="preserve">modelos: </w:t>
      </w:r>
      <w:proofErr w:type="spellStart"/>
      <w:r>
        <w:t>rf</w:t>
      </w:r>
      <w:proofErr w:type="spellEnd"/>
      <w:r>
        <w:t xml:space="preserve">, </w:t>
      </w:r>
      <w:proofErr w:type="spellStart"/>
      <w:r>
        <w:t>xgb</w:t>
      </w:r>
      <w:proofErr w:type="spellEnd"/>
      <w:r>
        <w:t>;</w:t>
      </w:r>
    </w:p>
    <w:p w14:paraId="51C44B12" w14:textId="77777777" w:rsidR="000A4CDF" w:rsidRDefault="00000000">
      <w:pPr>
        <w:numPr>
          <w:ilvl w:val="0"/>
          <w:numId w:val="58"/>
        </w:numPr>
      </w:pPr>
      <w:r>
        <w:t>explicadores: shap, anchors;</w:t>
      </w:r>
    </w:p>
    <w:p w14:paraId="7280BFFC" w14:textId="77777777" w:rsidR="000A4CDF" w:rsidRDefault="00000000">
      <w:pPr>
        <w:numPr>
          <w:ilvl w:val="0"/>
          <w:numId w:val="58"/>
        </w:numPr>
      </w:pPr>
      <w:r>
        <w:t>semillas: 42, 123, 456;</w:t>
      </w:r>
    </w:p>
    <w:p w14:paraId="50522D91" w14:textId="77777777" w:rsidR="000A4CDF" w:rsidRDefault="00000000">
      <w:pPr>
        <w:numPr>
          <w:ilvl w:val="0"/>
          <w:numId w:val="58"/>
        </w:numPr>
      </w:pPr>
      <w:r>
        <w:t>tamaño de muestra: n = 100.</w:t>
      </w:r>
    </w:p>
    <w:p w14:paraId="7BAAF9CD" w14:textId="77777777" w:rsidR="000A4CDF" w:rsidRDefault="00000000">
      <w:r>
        <w:t>La elección de SHAP y Anchors preserva heterogeneidad metodológica: SHAP representa atribución densa de características y Anchors representa reglas compactas IF-THEN. LIME y DiCE no se incluyen para mantener EXP3 como paquete compacto y evitar convertirlo en un segundo EXP2.</w:t>
      </w:r>
    </w:p>
    <w:p w14:paraId="693E1D6A" w14:textId="77777777" w:rsidR="000A4CDF" w:rsidRDefault="00000000">
      <w:pPr>
        <w:pStyle w:val="BodyText"/>
      </w:pPr>
      <w:r>
        <w:t xml:space="preserve">En la lógica de la tesis, EXP3 cumple una función de validación externa acotada: verifica que el protocolo, las métricas y los criterios de calificación puedan trasladarse a dominios tabulares distintos sin redefinir las hipótesis confirmativas del estudio principal. Por ello, sus resultados se </w:t>
      </w:r>
      <w:r>
        <w:lastRenderedPageBreak/>
        <w:t>interpretan como evidencia descriptiva de portabilidad metodológica y no se agregan a las pruebas inferenciales de EXP2 ni al análisis pareado SHAP-LIME.</w:t>
      </w:r>
    </w:p>
    <w:p w14:paraId="0EFB53BD" w14:textId="77777777" w:rsidR="000A4CDF" w:rsidRDefault="00000000">
      <w:pPr>
        <w:pStyle w:val="Heading2"/>
      </w:pPr>
      <w:bookmarkStart w:id="71" w:name="Xb112cdf6ede69b326e34d3aea1edf89571b2116"/>
      <w:bookmarkStart w:id="72" w:name="_Toc228522562"/>
      <w:bookmarkEnd w:id="62"/>
      <w:bookmarkEnd w:id="69"/>
      <w:r>
        <w:t>Conjuntos de datos y protocolo de preprocesamiento</w:t>
      </w:r>
      <w:bookmarkEnd w:id="72"/>
    </w:p>
    <w:p w14:paraId="5AC8202C" w14:textId="77777777" w:rsidR="000A4CDF" w:rsidRDefault="00000000">
      <w:pPr>
        <w:pStyle w:val="Heading3"/>
      </w:pPr>
      <w:bookmarkStart w:id="73" w:name="descripción-del-conjunto-de-datos"/>
      <w:bookmarkStart w:id="74" w:name="_Toc228522563"/>
      <w:r>
        <w:t>Descripción del conjunto de datos</w:t>
      </w:r>
      <w:bookmarkEnd w:id="74"/>
    </w:p>
    <w:p w14:paraId="4A871FC2" w14:textId="77777777" w:rsidR="000A4CDF" w:rsidRDefault="00000000">
      <w:r>
        <w:t>Ambos estudios utilizan el conjunto de datos UCI Adult Income (Breiman 2001; Kohavi 1996), ampliamente empleado en benchmarking de XAI por su estructura tabular heterogénea, su variable objetivo binaria bien definida y la disponibilidad de comparaciones publicadas que facilitan la verificación de reproducibilidad externa (Agarwal et al. 2022; Hedström et al. 2023).</w:t>
      </w:r>
    </w:p>
    <w:p w14:paraId="3CDA4545" w14:textId="77777777" w:rsidR="000A4CDF" w:rsidRDefault="00000000">
      <w:pPr>
        <w:pStyle w:val="BodyText"/>
      </w:pPr>
      <w:r>
        <w:t xml:space="preserve">El conjunto contiene 48,842 instancias, 14 características originales (6 numéricas y 8 categóricas) y una variable binaria de predicción. Las características numéricas son: edad, horas de trabajo por semana, educación en años, ganancia de capital, pérdida de capital y peso final del censo. Las categóricas incluyen: clase de trabajo, nivel de educación, estado civil, ocupación, relación familiar, raza, sexo y país de origen. La tasa de positivos (clase </w:t>
      </w:r>
      <m:oMath>
        <m:r>
          <m:rPr>
            <m:sty m:val="p"/>
          </m:rPr>
          <w:rPr>
            <w:rFonts w:ascii="Cambria Math" w:hAnsi="Cambria Math"/>
          </w:rPr>
          <m:t>&gt;</m:t>
        </m:r>
        <m:r>
          <w:rPr>
            <w:rFonts w:ascii="Cambria Math" w:hAnsi="Cambria Math"/>
          </w:rPr>
          <m:t>50</m:t>
        </m:r>
      </m:oMath>
      <w:r>
        <w:t>K USD) es del 23.9%, lo que implica un desbalance moderado controlado mediante el muestreo estratificado por cuadrante de error descrito en la Sección 3.4.</w:t>
      </w:r>
    </w:p>
    <w:p w14:paraId="1CA04235" w14:textId="77777777" w:rsidR="000A4CDF" w:rsidRDefault="00000000">
      <w:pPr>
        <w:pStyle w:val="Heading3"/>
      </w:pPr>
      <w:bookmarkStart w:id="75" w:name="carga-limpieza-y-partición"/>
      <w:bookmarkStart w:id="76" w:name="_Toc228522564"/>
      <w:bookmarkEnd w:id="73"/>
      <w:r>
        <w:t>Carga, limpieza y partición</w:t>
      </w:r>
      <w:bookmarkEnd w:id="76"/>
    </w:p>
    <w:p w14:paraId="4B18B26F" w14:textId="77777777" w:rsidR="000A4CDF" w:rsidRDefault="00000000">
      <w:r>
        <w:t xml:space="preserve">El conjunto se carga mediante src/data_loading/adult.py con OpenML como fuente primaria y UCI como respaldo. El pipeline de limpieza aplica las siguientes transformaciones de forma determinista: (i) normalización de espacios en blanco en valores de texto, (ii) canonicalización de valores faltantes ("?" </w:t>
      </w:r>
      <m:oMath>
        <m:r>
          <m:rPr>
            <m:sty m:val="p"/>
          </m:rPr>
          <w:rPr>
            <w:rFonts w:ascii="Cambria Math" w:hAnsi="Cambria Math"/>
          </w:rPr>
          <m:t>→</m:t>
        </m:r>
      </m:oMath>
      <w:r>
        <w:t xml:space="preserve"> NaN), (iii) unificación de etiquetas de objetivo ("&gt;50K." </w:t>
      </w:r>
      <m:oMath>
        <m:r>
          <m:rPr>
            <m:sty m:val="p"/>
          </m:rPr>
          <w:rPr>
            <w:rFonts w:ascii="Cambria Math" w:hAnsi="Cambria Math"/>
          </w:rPr>
          <m:t>→</m:t>
        </m:r>
      </m:oMath>
      <w:r>
        <w:t xml:space="preserve"> 1, "&lt;=50K." </w:t>
      </w:r>
      <m:oMath>
        <m:r>
          <m:rPr>
            <m:sty m:val="p"/>
          </m:rPr>
          <w:rPr>
            <w:rFonts w:ascii="Cambria Math" w:hAnsi="Cambria Math"/>
          </w:rPr>
          <m:t>→</m:t>
        </m:r>
      </m:oMath>
      <w:r>
        <w:t xml:space="preserve"> 0), (iv) eliminación de duplicados exactos, y (v) ordenamiento determinista de columnas.</w:t>
      </w:r>
    </w:p>
    <w:p w14:paraId="0D823B99" w14:textId="77777777" w:rsidR="000A4CDF" w:rsidRDefault="00000000">
      <w:pPr>
        <w:pStyle w:val="BodyText"/>
      </w:pPr>
      <w:r>
        <w:lastRenderedPageBreak/>
        <w:t>La partición sigue el esquema estratificado:</w:t>
      </w:r>
    </w:p>
    <w:p w14:paraId="583505F1" w14:textId="77777777" w:rsidR="000A4CDF" w:rsidRPr="001B51D7" w:rsidRDefault="00000000">
      <w:pPr>
        <w:pStyle w:val="BodyText"/>
        <w:rPr>
          <w:lang w:val="en-US"/>
        </w:rPr>
      </w:pPr>
      <w:proofErr w:type="spellStart"/>
      <m:oMathPara>
        <m:oMathParaPr>
          <m:jc m:val="center"/>
        </m:oMathParaPr>
        <m:oMath>
          <m:r>
            <m:rPr>
              <m:nor/>
            </m:rPr>
            <w:rPr>
              <w:lang w:val="en-US"/>
            </w:rPr>
            <m:t>train_test_split</m:t>
          </m:r>
          <w:proofErr w:type="spellEnd"/>
          <m:r>
            <w:rPr>
              <w:rFonts w:ascii="Cambria Math" w:hAnsi="Cambria Math"/>
              <w:lang w:val="en-US"/>
            </w:rPr>
            <m:t>​</m:t>
          </m:r>
          <m:d>
            <m:dPr>
              <m:ctrlPr>
                <w:rPr>
                  <w:rFonts w:ascii="Cambria Math" w:hAnsi="Cambria Math"/>
                </w:rPr>
              </m:ctrlPr>
            </m:dPr>
            <m:e>
              <m:r>
                <m:rPr>
                  <m:nor/>
                </m:rPr>
                <w:rPr>
                  <w:lang w:val="en-US"/>
                </w:rPr>
                <m:t>test_size</m:t>
              </m:r>
              <m:r>
                <m:rPr>
                  <m:sty m:val="p"/>
                </m:rPr>
                <w:rPr>
                  <w:rFonts w:ascii="Cambria Math" w:hAnsi="Cambria Math"/>
                  <w:lang w:val="en-US"/>
                </w:rPr>
                <m:t>=</m:t>
              </m:r>
              <m:r>
                <w:rPr>
                  <w:rFonts w:ascii="Cambria Math" w:hAnsi="Cambria Math"/>
                  <w:lang w:val="en-US"/>
                </w:rPr>
                <m:t>0.20</m:t>
              </m:r>
              <m:r>
                <m:rPr>
                  <m:sty m:val="p"/>
                </m:rPr>
                <w:rPr>
                  <w:rFonts w:ascii="Cambria Math" w:hAnsi="Cambria Math"/>
                  <w:lang w:val="en-US"/>
                </w:rPr>
                <m:t>,</m:t>
              </m:r>
              <m:r>
                <w:rPr>
                  <w:rFonts w:ascii="Cambria Math" w:hAnsi="Cambria Math"/>
                  <w:lang w:val="en-US"/>
                </w:rPr>
                <m:t> </m:t>
              </m:r>
              <m:r>
                <m:rPr>
                  <m:nor/>
                </m:rPr>
                <w:rPr>
                  <w:lang w:val="en-US"/>
                </w:rPr>
                <m:t>stratify</m:t>
              </m:r>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r>
                <m:rPr>
                  <m:nor/>
                </m:rPr>
                <w:rPr>
                  <w:lang w:val="en-US"/>
                </w:rPr>
                <m:t>random_state</m:t>
              </m:r>
              <m:r>
                <m:rPr>
                  <m:sty m:val="p"/>
                </m:rPr>
                <w:rPr>
                  <w:rFonts w:ascii="Cambria Math" w:hAnsi="Cambria Math"/>
                  <w:lang w:val="en-US"/>
                </w:rPr>
                <m:t>=</m:t>
              </m:r>
              <m:r>
                <w:rPr>
                  <w:rFonts w:ascii="Cambria Math" w:hAnsi="Cambria Math"/>
                </w:rPr>
                <m:t>s</m:t>
              </m:r>
            </m:e>
          </m:d>
        </m:oMath>
      </m:oMathPara>
    </w:p>
    <w:p w14:paraId="0531D295" w14:textId="77777777" w:rsidR="000A4CDF" w:rsidRDefault="00000000">
      <w:r>
        <w:t xml:space="preserve">Para la semilla canónica </w:t>
      </w:r>
      <m:oMath>
        <m:r>
          <w:rPr>
            <w:rFonts w:ascii="Cambria Math" w:hAnsi="Cambria Math"/>
          </w:rPr>
          <m:t>s</m:t>
        </m:r>
        <m:r>
          <m:rPr>
            <m:sty m:val="p"/>
          </m:rPr>
          <w:rPr>
            <w:rFonts w:ascii="Cambria Math" w:hAnsi="Cambria Math"/>
          </w:rPr>
          <m:t>=</m:t>
        </m:r>
        <m:r>
          <w:rPr>
            <w:rFonts w:ascii="Cambria Math" w:hAnsi="Cambria Math"/>
          </w:rPr>
          <m:t>42</m:t>
        </m:r>
      </m:oMath>
      <w:r>
        <w:t>, la partición produce 39,032 instancias de entrenamiento y 9,758 de prueba.</w:t>
      </w:r>
    </w:p>
    <w:p w14:paraId="63686469" w14:textId="77777777" w:rsidR="000A4CDF" w:rsidRDefault="00000000">
      <w:pPr>
        <w:pStyle w:val="Heading3"/>
      </w:pPr>
      <w:bookmarkStart w:id="77" w:name="controles-de-fuga-de-datos"/>
      <w:bookmarkStart w:id="78" w:name="_Toc228522565"/>
      <w:bookmarkEnd w:id="75"/>
      <w:r>
        <w:t>Controles de fuga de datos</w:t>
      </w:r>
      <w:bookmarkEnd w:id="78"/>
    </w:p>
    <w:p w14:paraId="36E0F885" w14:textId="77777777" w:rsidR="000A4CDF" w:rsidRDefault="00000000">
      <w:r>
        <w:t>Los cuatro controles de fuga de datos se aplican de forma uniforme a todos los métodos explicadores:</w:t>
      </w:r>
    </w:p>
    <w:p w14:paraId="6FAAE120" w14:textId="77777777" w:rsidR="000A4CDF" w:rsidRDefault="00000000">
      <w:pPr>
        <w:numPr>
          <w:ilvl w:val="0"/>
          <w:numId w:val="59"/>
        </w:numPr>
      </w:pPr>
      <w:r>
        <w:t xml:space="preserve">La partición estratificada se realiza </w:t>
      </w:r>
      <w:r>
        <w:rPr>
          <w:i/>
          <w:iCs/>
        </w:rPr>
        <w:t>antes</w:t>
      </w:r>
      <w:r>
        <w:t xml:space="preserve"> de ajustar cualquier transformación de preprocesamiento.</w:t>
      </w:r>
    </w:p>
    <w:p w14:paraId="098B8E87" w14:textId="77777777" w:rsidR="000A4CDF" w:rsidRDefault="00000000">
      <w:pPr>
        <w:numPr>
          <w:ilvl w:val="0"/>
          <w:numId w:val="59"/>
        </w:numPr>
      </w:pPr>
      <w:r>
        <w:t xml:space="preserve">StandardScaler (numéricas) y OneHotEncoder (handle_unknown='ignore', categóricas) se ajustan </w:t>
      </w:r>
      <w:r>
        <w:rPr>
          <w:b/>
          <w:bCs/>
        </w:rPr>
        <w:t>exclusivamente</w:t>
      </w:r>
      <w:r>
        <w:t xml:space="preserve"> sobre el conjunto de entrenamiento.</w:t>
      </w:r>
    </w:p>
    <w:p w14:paraId="49E774EF" w14:textId="77777777" w:rsidR="000A4CDF" w:rsidRDefault="00000000">
      <w:pPr>
        <w:numPr>
          <w:ilvl w:val="0"/>
          <w:numId w:val="59"/>
        </w:numPr>
      </w:pPr>
      <w:r>
        <w:t xml:space="preserve">El preprocesador ajustado se persiste como artefacto y es </w:t>
      </w:r>
      <w:r>
        <w:rPr>
          <w:b/>
          <w:bCs/>
        </w:rPr>
        <w:t>compartido</w:t>
      </w:r>
      <w:r>
        <w:t xml:space="preserve"> por todos los métodos XAI en cada ejecución, eliminando la variación por diferencias de escalado entre métodos.</w:t>
      </w:r>
    </w:p>
    <w:p w14:paraId="4F7DCEE3" w14:textId="77777777" w:rsidR="000A4CDF" w:rsidRDefault="00000000">
      <w:pPr>
        <w:numPr>
          <w:ilvl w:val="0"/>
          <w:numId w:val="59"/>
        </w:numPr>
      </w:pPr>
      <w:r>
        <w:t>Las explicaciones se generan sobre el espacio de características transformado que el modelo usó durante el entrenamiento.</w:t>
      </w:r>
    </w:p>
    <w:p w14:paraId="2876C10B" w14:textId="77777777" w:rsidR="000A4CDF" w:rsidRDefault="00000000">
      <w:pPr>
        <w:pStyle w:val="Heading2"/>
      </w:pPr>
      <w:bookmarkStart w:id="79" w:name="X810bf4db8899260d734480c9f59b02e6a2182a3"/>
      <w:bookmarkStart w:id="80" w:name="_Toc228522566"/>
      <w:bookmarkEnd w:id="71"/>
      <w:bookmarkEnd w:id="77"/>
      <w:r>
        <w:t>Diseño factorial del benchmark primario (EXP2)</w:t>
      </w:r>
      <w:bookmarkEnd w:id="80"/>
    </w:p>
    <w:p w14:paraId="6ED89005" w14:textId="77777777" w:rsidR="000A4CDF" w:rsidRDefault="00000000">
      <w:r>
        <w:t>El benchmark primario adopta una estructura factorial cruzada de cuatro factores:</w:t>
      </w:r>
    </w:p>
    <w:p w14:paraId="051A0588" w14:textId="77777777" w:rsidR="000A4CDF" w:rsidRDefault="00000000">
      <w:pPr>
        <w:pStyle w:val="BodyText"/>
      </w:pPr>
      <m:oMathPara>
        <m:oMathParaPr>
          <m:jc m:val="center"/>
        </m:oMathParaPr>
        <m:oMath>
          <m:r>
            <m:rPr>
              <m:scr m:val="script"/>
              <m:sty m:val="p"/>
            </m:rPr>
            <w:rPr>
              <w:rFonts w:ascii="Cambria Math" w:hAnsi="Cambria Math"/>
            </w:rPr>
            <m:t>D=</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m:oMathPara>
    </w:p>
    <w:p w14:paraId="5252F3AB" w14:textId="77777777" w:rsidR="000A4CDF" w:rsidRDefault="00000000">
      <w:r>
        <w:t>donde:</w:t>
      </w:r>
    </w:p>
    <w:p w14:paraId="535AC8FA" w14:textId="77777777" w:rsidR="000A4CDF" w:rsidRDefault="00000000">
      <w:pPr>
        <w:numPr>
          <w:ilvl w:val="0"/>
          <w:numId w:val="60"/>
        </w:numPr>
      </w:pPr>
      <m:oMath>
        <m:r>
          <w:rPr>
            <w:rFonts w:ascii="Cambria Math" w:hAnsi="Cambria Math"/>
          </w:rPr>
          <w:lastRenderedPageBreak/>
          <m:t>g</m:t>
        </m:r>
        <m:r>
          <m:rPr>
            <m:sty m:val="p"/>
          </m:rPr>
          <w:rPr>
            <w:rFonts w:ascii="Cambria Math" w:hAnsi="Cambria Math"/>
          </w:rPr>
          <m:t>∈{</m:t>
        </m:r>
        <m:r>
          <m:rPr>
            <m:nor/>
          </m:rPr>
          <m:t>logreg</m:t>
        </m:r>
        <m:r>
          <m:rPr>
            <m:sty m:val="p"/>
          </m:rPr>
          <w:rPr>
            <w:rFonts w:ascii="Cambria Math" w:hAnsi="Cambria Math"/>
          </w:rPr>
          <m:t>,</m:t>
        </m:r>
        <m:r>
          <w:rPr>
            <w:rFonts w:ascii="Cambria Math" w:hAnsi="Cambria Math"/>
          </w:rPr>
          <m:t> </m:t>
        </m:r>
        <m:r>
          <m:rPr>
            <m:nor/>
          </m:rPr>
          <m:t>rf</m:t>
        </m:r>
        <m:r>
          <m:rPr>
            <m:sty m:val="p"/>
          </m:rPr>
          <w:rPr>
            <w:rFonts w:ascii="Cambria Math" w:hAnsi="Cambria Math"/>
          </w:rPr>
          <m:t>,</m:t>
        </m:r>
        <m:r>
          <w:rPr>
            <w:rFonts w:ascii="Cambria Math" w:hAnsi="Cambria Math"/>
          </w:rPr>
          <m:t> </m:t>
        </m:r>
        <m:r>
          <m:rPr>
            <m:nor/>
          </m:rPr>
          <m:t>xgb</m:t>
        </m:r>
        <m:r>
          <m:rPr>
            <m:sty m:val="p"/>
          </m:rPr>
          <w:rPr>
            <w:rFonts w:ascii="Cambria Math" w:hAnsi="Cambria Math"/>
          </w:rPr>
          <m:t>,</m:t>
        </m:r>
        <m:r>
          <w:rPr>
            <w:rFonts w:ascii="Cambria Math" w:hAnsi="Cambria Math"/>
          </w:rPr>
          <m:t> </m:t>
        </m:r>
        <m:r>
          <m:rPr>
            <m:nor/>
          </m:rPr>
          <m:t>svm</m:t>
        </m:r>
        <m:r>
          <m:rPr>
            <m:sty m:val="p"/>
          </m:rPr>
          <w:rPr>
            <w:rFonts w:ascii="Cambria Math" w:hAnsi="Cambria Math"/>
          </w:rPr>
          <m:t>,</m:t>
        </m:r>
        <m:r>
          <w:rPr>
            <w:rFonts w:ascii="Cambria Math" w:hAnsi="Cambria Math"/>
          </w:rPr>
          <m:t> </m:t>
        </m:r>
        <m:r>
          <m:rPr>
            <m:nor/>
          </m:rPr>
          <m:t>mlp</m:t>
        </m:r>
        <m:r>
          <m:rPr>
            <m:sty m:val="p"/>
          </m:rPr>
          <w:rPr>
            <w:rFonts w:ascii="Cambria Math" w:hAnsi="Cambria Math"/>
          </w:rPr>
          <m:t>}</m:t>
        </m:r>
      </m:oMath>
      <w:r>
        <w:t xml:space="preserve"> — familia de modelo predictivo (5 niveles),</w:t>
      </w:r>
    </w:p>
    <w:p w14:paraId="5CDD0133" w14:textId="77777777" w:rsidR="000A4CDF" w:rsidRDefault="00000000">
      <w:pPr>
        <w:numPr>
          <w:ilvl w:val="0"/>
          <w:numId w:val="60"/>
        </w:numPr>
      </w:pPr>
      <m:oMath>
        <m:r>
          <w:rPr>
            <w:rFonts w:ascii="Cambria Math" w:hAnsi="Cambria Math"/>
          </w:rPr>
          <m:t>k</m:t>
        </m:r>
        <m:r>
          <m:rPr>
            <m:sty m:val="p"/>
          </m:rPr>
          <w:rPr>
            <w:rFonts w:ascii="Cambria Math" w:hAnsi="Cambria Math"/>
          </w:rPr>
          <m:t>∈{</m:t>
        </m:r>
        <m:r>
          <m:rPr>
            <m:nor/>
          </m:rPr>
          <m:t>shap</m:t>
        </m:r>
        <m:r>
          <m:rPr>
            <m:sty m:val="p"/>
          </m:rPr>
          <w:rPr>
            <w:rFonts w:ascii="Cambria Math" w:hAnsi="Cambria Math"/>
          </w:rPr>
          <m:t>,</m:t>
        </m:r>
        <m:r>
          <w:rPr>
            <w:rFonts w:ascii="Cambria Math" w:hAnsi="Cambria Math"/>
          </w:rPr>
          <m:t> </m:t>
        </m:r>
        <m:r>
          <m:rPr>
            <m:nor/>
          </m:rPr>
          <m:t>lime</m:t>
        </m:r>
        <m:r>
          <m:rPr>
            <m:sty m:val="p"/>
          </m:rPr>
          <w:rPr>
            <w:rFonts w:ascii="Cambria Math" w:hAnsi="Cambria Math"/>
          </w:rPr>
          <m:t>,</m:t>
        </m:r>
        <m:r>
          <w:rPr>
            <w:rFonts w:ascii="Cambria Math" w:hAnsi="Cambria Math"/>
          </w:rPr>
          <m:t> </m:t>
        </m:r>
        <m:r>
          <m:rPr>
            <m:nor/>
          </m:rPr>
          <m:t>anchors</m:t>
        </m:r>
        <m:r>
          <m:rPr>
            <m:sty m:val="p"/>
          </m:rPr>
          <w:rPr>
            <w:rFonts w:ascii="Cambria Math" w:hAnsi="Cambria Math"/>
          </w:rPr>
          <m:t>,</m:t>
        </m:r>
        <m:r>
          <w:rPr>
            <w:rFonts w:ascii="Cambria Math" w:hAnsi="Cambria Math"/>
          </w:rPr>
          <m:t> </m:t>
        </m:r>
        <m:r>
          <m:rPr>
            <m:nor/>
          </m:rPr>
          <m:t>dice</m:t>
        </m:r>
        <m:r>
          <m:rPr>
            <m:sty m:val="p"/>
          </m:rPr>
          <w:rPr>
            <w:rFonts w:ascii="Cambria Math" w:hAnsi="Cambria Math"/>
          </w:rPr>
          <m:t>}</m:t>
        </m:r>
      </m:oMath>
      <w:r>
        <w:t xml:space="preserve"> — método de explicabilidad (4 niveles),</w:t>
      </w:r>
    </w:p>
    <w:p w14:paraId="2583EE53" w14:textId="77777777" w:rsidR="000A4CDF" w:rsidRDefault="00000000">
      <w:pPr>
        <w:numPr>
          <w:ilvl w:val="0"/>
          <w:numId w:val="60"/>
        </w:numPr>
      </w:pP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 123</m:t>
        </m:r>
        <m:r>
          <m:rPr>
            <m:sty m:val="p"/>
          </m:rPr>
          <w:rPr>
            <w:rFonts w:ascii="Cambria Math" w:hAnsi="Cambria Math"/>
          </w:rPr>
          <m:t>,</m:t>
        </m:r>
        <m:r>
          <w:rPr>
            <w:rFonts w:ascii="Cambria Math" w:hAnsi="Cambria Math"/>
          </w:rPr>
          <m:t> 456</m:t>
        </m:r>
        <m:r>
          <m:rPr>
            <m:sty m:val="p"/>
          </m:rPr>
          <w:rPr>
            <w:rFonts w:ascii="Cambria Math" w:hAnsi="Cambria Math"/>
          </w:rPr>
          <m:t>,</m:t>
        </m:r>
        <m:r>
          <w:rPr>
            <w:rFonts w:ascii="Cambria Math" w:hAnsi="Cambria Math"/>
          </w:rPr>
          <m:t> 789</m:t>
        </m:r>
        <m:r>
          <m:rPr>
            <m:sty m:val="p"/>
          </m:rPr>
          <w:rPr>
            <w:rFonts w:ascii="Cambria Math" w:hAnsi="Cambria Math"/>
          </w:rPr>
          <m:t>,</m:t>
        </m:r>
        <m:r>
          <w:rPr>
            <w:rFonts w:ascii="Cambria Math" w:hAnsi="Cambria Math"/>
          </w:rPr>
          <m:t> 999</m:t>
        </m:r>
        <m:r>
          <m:rPr>
            <m:sty m:val="p"/>
          </m:rPr>
          <w:rPr>
            <w:rFonts w:ascii="Cambria Math" w:hAnsi="Cambria Math"/>
          </w:rPr>
          <m:t>}</m:t>
        </m:r>
      </m:oMath>
      <w:r>
        <w:t xml:space="preserve"> — semilla de aleatoriedad (5 niveles),</w:t>
      </w:r>
    </w:p>
    <w:p w14:paraId="515AB61A" w14:textId="77777777" w:rsidR="000A4CDF" w:rsidRDefault="00000000">
      <w:pPr>
        <w:numPr>
          <w:ilvl w:val="0"/>
          <w:numId w:val="60"/>
        </w:numPr>
      </w:p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100</m:t>
        </m:r>
        <m:r>
          <m:rPr>
            <m:sty m:val="p"/>
          </m:rPr>
          <w:rPr>
            <w:rFonts w:ascii="Cambria Math" w:hAnsi="Cambria Math"/>
          </w:rPr>
          <m:t>,</m:t>
        </m:r>
        <m:r>
          <w:rPr>
            <w:rFonts w:ascii="Cambria Math" w:hAnsi="Cambria Math"/>
          </w:rPr>
          <m:t> 200</m:t>
        </m:r>
        <m:r>
          <m:rPr>
            <m:sty m:val="p"/>
          </m:rPr>
          <w:rPr>
            <w:rFonts w:ascii="Cambria Math" w:hAnsi="Cambria Math"/>
          </w:rPr>
          <m:t>}</m:t>
        </m:r>
      </m:oMath>
      <w:r>
        <w:t xml:space="preserve"> — instancias por cuadrante de error (3 niveles).</w:t>
      </w:r>
    </w:p>
    <w:p w14:paraId="2008D605" w14:textId="77777777" w:rsidR="000A4CDF" w:rsidRDefault="00000000">
      <w:r>
        <w:t>El tamaño del diseño planificado es:</w:t>
      </w:r>
    </w:p>
    <w:p w14:paraId="0E0737BD" w14:textId="77777777" w:rsidR="000A4CDF" w:rsidRDefault="00000000">
      <w:pPr>
        <w:pStyle w:val="BodyText"/>
      </w:pPr>
      <m:oMathPara>
        <m:oMathParaPr>
          <m:jc m:val="center"/>
        </m:oMathParaPr>
        <m:oMath>
          <m:r>
            <m:rPr>
              <m:scr m:val="script"/>
              <m:sty m:val="p"/>
            </m:rPr>
            <w:rPr>
              <w:rFonts w:ascii="Cambria Math" w:hAnsi="Cambria Math"/>
            </w:rPr>
            <m:t>|D|=</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r>
            <m:rPr>
              <m:nor/>
            </m:rPr>
            <m:t xml:space="preserve"> ejecuciones</m:t>
          </m:r>
        </m:oMath>
      </m:oMathPara>
    </w:p>
    <w:p w14:paraId="45F210CC" w14:textId="77777777" w:rsidR="000A4CDF" w:rsidRDefault="00000000">
      <w:r>
        <w:t xml:space="preserve">Cada celda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produce un artefacto de resultado independiente. La variación en </w:t>
      </w:r>
      <m:oMath>
        <m:r>
          <w:rPr>
            <w:rFonts w:ascii="Cambria Math" w:hAnsi="Cambria Math"/>
          </w:rPr>
          <m:t>s</m:t>
        </m:r>
      </m:oMath>
      <w:r>
        <w:t xml:space="preserve"> sirve para estimar la reproducibilidad del protocolo. La variación en </w:t>
      </w:r>
      <m:oMath>
        <m:r>
          <w:rPr>
            <w:rFonts w:ascii="Cambria Math" w:hAnsi="Cambria Math"/>
          </w:rPr>
          <m:t>n</m:t>
        </m:r>
      </m:oMath>
      <w:r>
        <w:t xml:space="preserve"> permite examinar la estabilidad de los rankings bajo distintos volúmenes de evidencia local.</w:t>
      </w:r>
    </w:p>
    <w:p w14:paraId="727B325B" w14:textId="77777777" w:rsidR="000A4CDF" w:rsidRDefault="00000000">
      <w:pPr>
        <w:pStyle w:val="Heading3"/>
      </w:pPr>
      <w:bookmarkStart w:id="81" w:name="X7f3be01e797123bdbedac923d646584591998bc"/>
      <w:bookmarkStart w:id="82" w:name="_Toc228522567"/>
      <w:r>
        <w:t>Jerarquía de análisis y unidad inferencial</w:t>
      </w:r>
      <w:bookmarkEnd w:id="82"/>
    </w:p>
    <w:p w14:paraId="7B47BB80" w14:textId="77777777" w:rsidR="000A4CDF" w:rsidRDefault="00000000">
      <w:r>
        <w:t>Para evitar la pseudo-replicación, el análisis adopta una estructura jerárquica de tres niveles:</w:t>
      </w:r>
    </w:p>
    <w:p w14:paraId="09F113D1" w14:textId="77777777" w:rsidR="000A4CDF" w:rsidRDefault="00000000">
      <w:pPr>
        <w:numPr>
          <w:ilvl w:val="0"/>
          <w:numId w:val="61"/>
        </w:numPr>
      </w:pPr>
      <w:r>
        <w:rPr>
          <w:b/>
          <w:bCs/>
        </w:rPr>
        <w:t>Nivel de instancia:</w:t>
      </w:r>
      <w:r>
        <w:t xml:space="preserve"> métricas computadas por instancia dentro de cada ejecución.</w:t>
      </w:r>
    </w:p>
    <w:p w14:paraId="0091E536" w14:textId="77777777" w:rsidR="000A4CDF" w:rsidRDefault="00000000">
      <w:pPr>
        <w:numPr>
          <w:ilvl w:val="0"/>
          <w:numId w:val="61"/>
        </w:numPr>
      </w:pPr>
      <w:r>
        <w:rPr>
          <w:b/>
          <w:bCs/>
        </w:rPr>
        <w:t>Nivel de ejecución:</w:t>
      </w:r>
      <w:r>
        <w:t xml:space="preserve"> media métrica por instancia, estimador del rendimiento del método </w:t>
      </w:r>
      <m:oMath>
        <m:r>
          <w:rPr>
            <w:rFonts w:ascii="Cambria Math" w:hAnsi="Cambria Math"/>
          </w:rPr>
          <m:t>k</m:t>
        </m:r>
      </m:oMath>
      <w:r>
        <w:t xml:space="preserve"> sobre el modelo </w:t>
      </w:r>
      <m:oMath>
        <m:r>
          <w:rPr>
            <w:rFonts w:ascii="Cambria Math" w:hAnsi="Cambria Math"/>
          </w:rPr>
          <m:t>g</m:t>
        </m:r>
      </m:oMath>
      <w:r>
        <w:t xml:space="preserve"> bajo semilla </w:t>
      </w:r>
      <m:oMath>
        <m:r>
          <w:rPr>
            <w:rFonts w:ascii="Cambria Math" w:hAnsi="Cambria Math"/>
          </w:rPr>
          <m:t>s</m:t>
        </m:r>
      </m:oMath>
      <w:r>
        <w:t xml:space="preserve"> y tamaño </w:t>
      </w:r>
      <m:oMath>
        <m:r>
          <w:rPr>
            <w:rFonts w:ascii="Cambria Math" w:hAnsi="Cambria Math"/>
          </w:rPr>
          <m:t>n</m:t>
        </m:r>
      </m:oMath>
      <w:r>
        <w:t xml:space="preserve">. Estimando declarado: </w:t>
      </w:r>
      <m:oMath>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oMath>
      <w:r>
        <w:t>.</w:t>
      </w:r>
    </w:p>
    <w:p w14:paraId="78130981" w14:textId="77777777" w:rsidR="000A4CDF" w:rsidRDefault="00000000">
      <w:pPr>
        <w:numPr>
          <w:ilvl w:val="0"/>
          <w:numId w:val="61"/>
        </w:numPr>
      </w:pPr>
      <w:r>
        <w:rPr>
          <w:b/>
          <w:bCs/>
        </w:rPr>
        <w:t>Nivel de bloque:</w:t>
      </w:r>
      <w:r>
        <w:t xml:space="preserve"> para los tests de Friedman, el bloque se define como </w:t>
      </w:r>
      <m:oMath>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la ejecución como unidad de observación dentro del bloque. Este diseño produce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oMath>
      <w:r>
        <w:t xml:space="preserve"> bloques completos.</w:t>
      </w:r>
    </w:p>
    <w:p w14:paraId="0D607F3F" w14:textId="77777777" w:rsidR="000A4CDF" w:rsidRDefault="00000000">
      <w:r>
        <w:t xml:space="preserve">La unidad inferencial primaria del Estudio B es la </w:t>
      </w:r>
      <w:r>
        <w:rPr>
          <w:b/>
          <w:bCs/>
        </w:rPr>
        <w:t>celda pareada</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las 75 tuplas para las que existen artefactos calificados de SHAP y LIME con coordenadas idénticas.</w:t>
      </w:r>
    </w:p>
    <w:p w14:paraId="49FE49C3" w14:textId="77777777" w:rsidR="000A4CDF" w:rsidRDefault="00000000">
      <w:pPr>
        <w:pStyle w:val="Heading2"/>
      </w:pPr>
      <w:bookmarkStart w:id="83" w:name="Xa1b63f5b80ef9314faeb5aae6b8d7e743e4217a"/>
      <w:bookmarkStart w:id="84" w:name="_Toc228522568"/>
      <w:bookmarkEnd w:id="79"/>
      <w:bookmarkEnd w:id="81"/>
      <w:r>
        <w:lastRenderedPageBreak/>
        <w:t>Protocolo de muestreo de instancias y configuración de explicadores</w:t>
      </w:r>
      <w:bookmarkEnd w:id="84"/>
    </w:p>
    <w:p w14:paraId="3B608852" w14:textId="77777777" w:rsidR="000A4CDF" w:rsidRDefault="00000000">
      <w:pPr>
        <w:pStyle w:val="Heading3"/>
      </w:pPr>
      <w:bookmarkStart w:id="85" w:name="X22a27531824c8c7d79a9c6abca6e13f987fd35c"/>
      <w:bookmarkStart w:id="86" w:name="_Toc228522569"/>
      <w:r>
        <w:t>Muestreo estratificado por cuadrante de error</w:t>
      </w:r>
      <w:bookmarkEnd w:id="86"/>
    </w:p>
    <w:p w14:paraId="015A7A66" w14:textId="77777777" w:rsidR="000A4CDF" w:rsidRDefault="00000000">
      <w:r>
        <w:t xml:space="preserve">Las instancias para cada ejecución se seleccionan mediante muestreo estratificado por cuadrante de error de predicción: Verdaderos Positivos (VP), Verdaderos Negativos (VN), Falsos Positivos (FP) y Falsos Negativos (FN), con objetivo de </w:t>
      </w:r>
      <m:oMath>
        <m:r>
          <w:rPr>
            <w:rFonts w:ascii="Cambria Math" w:hAnsi="Cambria Math"/>
          </w:rPr>
          <m:t>n</m:t>
        </m:r>
      </m:oMath>
      <w:r>
        <w:t xml:space="preserve"> instancias por cuadrante:</w:t>
      </w:r>
    </w:p>
    <w:p w14:paraId="07164EE9" w14:textId="77777777" w:rsidR="000A4CDF" w:rsidRPr="001B51D7" w:rsidRDefault="00000000">
      <w:pPr>
        <w:pStyle w:val="BodyText"/>
        <w:rPr>
          <w:lang w:val="en-US"/>
        </w:rPr>
      </w:pPr>
      <m:oMathPara>
        <m:oMathParaPr>
          <m:jc m:val="center"/>
        </m:oMathParaPr>
        <m:oMath>
          <m:sSub>
            <m:sSubPr>
              <m:ctrlPr>
                <w:rPr>
                  <w:rFonts w:ascii="Cambria Math" w:hAnsi="Cambria Math"/>
                </w:rPr>
              </m:ctrlPr>
            </m:sSubPr>
            <m:e>
              <m:r>
                <m:rPr>
                  <m:scr m:val="script"/>
                  <m:sty m:val="p"/>
                </m:rPr>
                <w:rPr>
                  <w:rFonts w:ascii="Cambria Math" w:hAnsi="Cambria Math"/>
                  <w:lang w:val="en-US"/>
                </w:rPr>
                <m:t>I</m:t>
              </m:r>
            </m:e>
            <m:sub>
              <m:r>
                <w:rPr>
                  <w:rFonts w:ascii="Cambria Math" w:hAnsi="Cambria Math"/>
                </w:rPr>
                <m:t>g</m:t>
              </m:r>
              <m:r>
                <m:rPr>
                  <m:sty m:val="p"/>
                </m:rPr>
                <w:rPr>
                  <w:rFonts w:ascii="Cambria Math" w:hAnsi="Cambria Math"/>
                  <w:lang w:val="en-US"/>
                </w:rPr>
                <m:t>,</m:t>
              </m:r>
              <m:r>
                <w:rPr>
                  <w:rFonts w:ascii="Cambria Math" w:hAnsi="Cambria Math"/>
                </w:rPr>
                <m:t>s</m:t>
              </m:r>
              <m:r>
                <m:rPr>
                  <m:sty m:val="p"/>
                </m:rPr>
                <w:rPr>
                  <w:rFonts w:ascii="Cambria Math" w:hAnsi="Cambria Math"/>
                  <w:lang w:val="en-US"/>
                </w:rPr>
                <m:t>,</m:t>
              </m:r>
              <m:r>
                <w:rPr>
                  <w:rFonts w:ascii="Cambria Math" w:hAnsi="Cambria Math"/>
                </w:rPr>
                <m:t>n</m:t>
              </m:r>
            </m:sub>
          </m:sSub>
          <m:r>
            <m:rPr>
              <m:sty m:val="p"/>
            </m:rPr>
            <w:rPr>
              <w:rFonts w:ascii="Cambria Math" w:hAnsi="Cambria Math"/>
              <w:lang w:val="en-US"/>
            </w:rPr>
            <m:t>=</m:t>
          </m:r>
          <m:r>
            <m:rPr>
              <m:nor/>
            </m:rPr>
            <w:rPr>
              <w:lang w:val="en-US"/>
            </w:rPr>
            <m:t>StratSample</m:t>
          </m:r>
          <m:r>
            <w:rPr>
              <w:rFonts w:ascii="Cambria Math" w:hAnsi="Cambria Math"/>
              <w:lang w:val="en-US"/>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lang w:val="en-US"/>
                    </w:rPr>
                    <m:t>I</m:t>
                  </m:r>
                </m:e>
                <m:sub>
                  <m:r>
                    <m:rPr>
                      <m:nor/>
                    </m:rPr>
                    <w:rPr>
                      <w:lang w:val="en-US"/>
                    </w:rPr>
                    <m:t>test</m:t>
                  </m:r>
                </m:sub>
              </m:sSub>
              <m:r>
                <m:rPr>
                  <m:sty m:val="p"/>
                </m:rPr>
                <w:rPr>
                  <w:rFonts w:ascii="Cambria Math" w:hAnsi="Cambria Math"/>
                  <w:lang w:val="en-US"/>
                </w:rPr>
                <m:t>,</m:t>
              </m:r>
              <m:r>
                <w:rPr>
                  <w:rFonts w:ascii="Cambria Math" w:hAnsi="Cambria Math"/>
                  <w:lang w:val="en-US"/>
                </w:rPr>
                <m:t> </m:t>
              </m:r>
              <m:r>
                <m:rPr>
                  <m:nor/>
                </m:rPr>
                <w:rPr>
                  <w:lang w:val="en-US"/>
                </w:rPr>
                <m:t>strata</m:t>
              </m:r>
              <m:r>
                <m:rPr>
                  <m:sty m:val="p"/>
                </m:rPr>
                <w:rPr>
                  <w:rFonts w:ascii="Cambria Math" w:hAnsi="Cambria Math"/>
                  <w:lang w:val="en-US"/>
                </w:rPr>
                <m:t>={</m:t>
              </m:r>
              <m:r>
                <m:rPr>
                  <m:nor/>
                </m:rPr>
                <w:rPr>
                  <w:lang w:val="en-US"/>
                </w:rPr>
                <m:t>VP, VN, FP, FN</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r>
                    <w:rPr>
                      <w:rFonts w:ascii="Cambria Math" w:hAnsi="Cambria Math"/>
                    </w:rPr>
                    <m:t>n</m:t>
                  </m:r>
                </m:e>
                <m:sub>
                  <m:r>
                    <m:rPr>
                      <m:nor/>
                    </m:rPr>
                    <w:rPr>
                      <w:lang w:val="en-US"/>
                    </w:rPr>
                    <m:t>per_strata</m:t>
                  </m:r>
                </m:sub>
              </m:sSub>
              <m:r>
                <m:rPr>
                  <m:sty m:val="p"/>
                </m:rPr>
                <w:rPr>
                  <w:rFonts w:ascii="Cambria Math" w:hAnsi="Cambria Math"/>
                  <w:lang w:val="en-US"/>
                </w:rPr>
                <m:t>=</m:t>
              </m:r>
              <m:r>
                <w:rPr>
                  <w:rFonts w:ascii="Cambria Math" w:hAnsi="Cambria Math"/>
                </w:rPr>
                <m:t>n</m:t>
              </m:r>
            </m:e>
          </m:d>
        </m:oMath>
      </m:oMathPara>
    </w:p>
    <w:p w14:paraId="7DDDE86E" w14:textId="77777777" w:rsidR="000A4CDF" w:rsidRDefault="00000000">
      <w:r>
        <w:t xml:space="preserve">El tamaño nominal por ejecución es </w:t>
      </w:r>
      <m:oMath>
        <m:r>
          <w:rPr>
            <w:rFonts w:ascii="Cambria Math" w:hAnsi="Cambria Math"/>
          </w:rPr>
          <m:t>4n</m:t>
        </m:r>
      </m:oMath>
      <w:r>
        <w:t>, sujeto a la disponibilidad de instancias en cada cuadrante. El rango observado es de 27 a 800 instancias por ejecución (mediana: 400). Esta estrategia garantiza que el explicador se evalúa en los cuatro regímenes de decisión del modelo, no solo en los casos correctamente clasificados.</w:t>
      </w:r>
    </w:p>
    <w:p w14:paraId="452ABA9C" w14:textId="77777777" w:rsidR="000A4CDF" w:rsidRDefault="00000000">
      <w:pPr>
        <w:pStyle w:val="Heading3"/>
      </w:pPr>
      <w:bookmarkStart w:id="87" w:name="configuración-de-los-explicadores"/>
      <w:bookmarkStart w:id="88" w:name="_Toc228522570"/>
      <w:bookmarkEnd w:id="85"/>
      <w:r>
        <w:t>Configuración de los explicadores</w:t>
      </w:r>
      <w:bookmarkEnd w:id="88"/>
    </w:p>
    <w:p w14:paraId="1345D176" w14:textId="77777777" w:rsidR="000A4CDF" w:rsidRDefault="00000000">
      <w:r>
        <w:t>Todos los métodos se ejecutan a través de ExplainerWrapper.explain_instance, que registra el tiempo de ejecución y persiste las importancias de características. Los parámetros efectivos en EXP2 son:</w:t>
      </w:r>
    </w:p>
    <w:p w14:paraId="788146B9" w14:textId="77777777" w:rsidR="000A4CDF" w:rsidRDefault="00000000">
      <w:pPr>
        <w:pStyle w:val="BodyText"/>
      </w:pPr>
      <w:r>
        <w:rPr>
          <w:b/>
          <w:bCs/>
        </w:rPr>
        <w:t>SHAP</w:t>
      </w:r>
      <w:r>
        <w:t xml:space="preserve"> (Lundberg 2017): TreeExplainer para rf y xgb; KernelExplainer para logreg, svm y mlp con conjunto de referencia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50</m:t>
        </m:r>
      </m:oMath>
      <w:r>
        <w:t xml:space="preserve"> muestras del conjunto de entrenamiento. Objetivo: probabilidad de la clase positiva.</w:t>
      </w:r>
    </w:p>
    <w:p w14:paraId="12832384" w14:textId="77777777" w:rsidR="000A4CDF" w:rsidRDefault="00000000">
      <w:pPr>
        <w:pStyle w:val="BodyText"/>
      </w:pPr>
      <w:r>
        <w:rPr>
          <w:b/>
          <w:bCs/>
        </w:rPr>
        <w:t>LIME</w:t>
      </w:r>
      <w:r>
        <w:t xml:space="preserve"> (Ribeiro 2016): LimeTabularExplainer con num_samples = 1{,}000, num_features = 10, kernel_width = 3.0, sin discretización de numéricas.</w:t>
      </w:r>
    </w:p>
    <w:p w14:paraId="4BF63F9E" w14:textId="77777777" w:rsidR="000A4CDF" w:rsidRDefault="00000000">
      <w:pPr>
        <w:pStyle w:val="BodyText"/>
      </w:pPr>
      <w:r>
        <w:rPr>
          <w:b/>
          <w:bCs/>
        </w:rPr>
        <w:lastRenderedPageBreak/>
        <w:t>Anchors</w:t>
      </w:r>
      <w:r>
        <w:t xml:space="preserve"> (Ribeiro 2018): AnchorTabular con umbral de precisión efectivo </w:t>
      </w:r>
      <m:oMath>
        <m:r>
          <w:rPr>
            <w:rFonts w:ascii="Cambria Math" w:hAnsi="Cambria Math"/>
          </w:rPr>
          <m:t>τ</m:t>
        </m:r>
        <m:r>
          <m:rPr>
            <m:sty m:val="p"/>
          </m:rPr>
          <w:rPr>
            <w:rFonts w:ascii="Cambria Math" w:hAnsi="Cambria Math"/>
          </w:rPr>
          <m:t>=</m:t>
        </m:r>
        <m:r>
          <w:rPr>
            <w:rFonts w:ascii="Cambria Math" w:hAnsi="Cambria Math"/>
          </w:rPr>
          <m:t>0.95</m:t>
        </m:r>
      </m:oMath>
      <w:r>
        <w:t xml:space="preserve"> (el parámetro YAML no es consumido en </w:t>
      </w:r>
      <w:r>
        <w:rPr>
          <w:i/>
          <w:iCs/>
        </w:rPr>
        <w:t>runtime</w:t>
      </w:r>
      <w:r>
        <w:t>; el umbral es fijo). Caveat de implementación registrado en el inventario FOM-7.</w:t>
      </w:r>
    </w:p>
    <w:p w14:paraId="40F360DF" w14:textId="77777777" w:rsidR="000A4CDF" w:rsidRDefault="00000000">
      <w:pPr>
        <w:pStyle w:val="BodyText"/>
      </w:pPr>
      <w:r>
        <w:rPr>
          <w:b/>
          <w:bCs/>
        </w:rPr>
        <w:t>DiCE</w:t>
      </w:r>
      <w:r>
        <w:t xml:space="preserve"> (Mothilal 2020): </w:t>
      </w:r>
      <w:r>
        <w:rPr>
          <w:i/>
          <w:iCs/>
        </w:rPr>
        <w:t>backend</w:t>
      </w:r>
      <w:r>
        <w:t xml:space="preserve"> aleatorio, objetivo contrafactual de clase opuesta, importancia definida como </w:t>
      </w:r>
      <m:oMath>
        <m:sSub>
          <m:sSubPr>
            <m:ctrlPr>
              <w:rPr>
                <w:rFonts w:ascii="Cambria Math" w:hAnsi="Cambria Math"/>
              </w:rPr>
            </m:ctrlPr>
          </m:sSubPr>
          <m:e>
            <m:r>
              <m:rPr>
                <m:nor/>
              </m:rPr>
              <m:t>imp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 total_CFs = 1 efectivo (parámetro YAML no consumido).</w:t>
      </w:r>
    </w:p>
    <w:p w14:paraId="53D827FF" w14:textId="77777777" w:rsidR="000A4CDF" w:rsidRDefault="00000000">
      <w:pPr>
        <w:pStyle w:val="Heading2"/>
      </w:pPr>
      <w:bookmarkStart w:id="89" w:name="operacionalización-de-las-métricas"/>
      <w:bookmarkStart w:id="90" w:name="_Toc228522571"/>
      <w:bookmarkEnd w:id="83"/>
      <w:bookmarkEnd w:id="87"/>
      <w:r>
        <w:t>Operacionalización de las métricas</w:t>
      </w:r>
      <w:bookmarkEnd w:id="90"/>
    </w:p>
    <w:p w14:paraId="26834B70" w14:textId="77777777" w:rsidR="000A4CDF" w:rsidRDefault="00000000">
      <w:r>
        <w:t>Las cinco métricas primarias se computan por instancia y se agregan a nivel de ejecución mediante media aritmética. La dirección de cada métrica se fija en el protocolo antes del análisis.</w:t>
      </w:r>
    </w:p>
    <w:p w14:paraId="15F1CD73" w14:textId="77777777" w:rsidR="000A4CDF" w:rsidRDefault="00000000">
      <w:pPr>
        <w:pStyle w:val="Heading3"/>
      </w:pPr>
      <w:bookmarkStart w:id="91" w:name="fidelidad-1"/>
      <w:bookmarkStart w:id="92" w:name="_Toc228522572"/>
      <w:r>
        <w:t>Fidelidad</w:t>
      </w:r>
      <w:bookmarkEnd w:id="92"/>
    </w:p>
    <w:p w14:paraId="78636C5F" w14:textId="77777777" w:rsidR="000A4CDF" w:rsidRDefault="00000000">
      <w:r>
        <w:t>La fidelidad cuantifica la alineación entre las importancias del explicador y el efecto predictivo real bajo enmascaramiento individual de características:</w:t>
      </w:r>
    </w:p>
    <w:p w14:paraId="1941702D" w14:textId="77777777" w:rsidR="000A4CDF" w:rsidRDefault="00000000">
      <w:pPr>
        <w:pStyle w:val="BodyText"/>
      </w:pPr>
      <m:oMathPara>
        <m:oMathParaPr>
          <m:jc m:val="center"/>
        </m:oMathParaPr>
        <m:oMath>
          <m:r>
            <w:rPr>
              <w:rFonts w:ascii="Cambria Math" w:hAnsi="Cambria Math"/>
            </w:rPr>
            <m:t>F</m:t>
          </m:r>
          <m:r>
            <m:rPr>
              <m:sty m:val="p"/>
            </m:rPr>
            <w:rPr>
              <w:rFonts w:ascii="Cambria Math" w:hAnsi="Cambria Math"/>
            </w:rPr>
            <m:t>=</m:t>
          </m:r>
          <m:r>
            <m:rPr>
              <m:nor/>
            </m:rPr>
            <m:t>corr</m:t>
          </m:r>
          <m: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r>
                <m:rPr>
                  <m:sty m:val="p"/>
                </m:rPr>
                <w:rPr>
                  <w:rFonts w:ascii="Cambria Math" w:hAnsi="Cambria Math"/>
                </w:rPr>
                <m:t>)|</m:t>
              </m:r>
            </m:e>
          </m:d>
        </m:oMath>
      </m:oMathPara>
    </w:p>
    <w:p w14:paraId="7E7924F8" w14:textId="77777777" w:rsidR="000A4CDF" w:rsidRDefault="00000000">
      <w:r>
        <w:t xml:space="preserve">donde </w:t>
      </w:r>
      <m:oMath>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oMath>
      <w:r>
        <w:t xml:space="preserve"> sustituye la característica </w:t>
      </w:r>
      <m:oMath>
        <m:r>
          <w:rPr>
            <w:rFonts w:ascii="Cambria Math" w:hAnsi="Cambria Math"/>
          </w:rPr>
          <m:t>i</m:t>
        </m:r>
      </m:oMath>
      <w:r>
        <w:t xml:space="preserve"> por su media de entrenamiento. Dirección: </w:t>
      </w:r>
      <m:oMath>
        <m:r>
          <m:rPr>
            <m:sty m:val="p"/>
          </m:rPr>
          <w:rPr>
            <w:rFonts w:ascii="Cambria Math" w:hAnsi="Cambria Math"/>
          </w:rPr>
          <m:t>↑</m:t>
        </m:r>
      </m:oMath>
      <w:r>
        <w:t>. Implementación: src/metrics/fidelity.py.</w:t>
      </w:r>
    </w:p>
    <w:p w14:paraId="088C27E5" w14:textId="77777777" w:rsidR="000A4CDF" w:rsidRDefault="00000000">
      <w:pPr>
        <w:pStyle w:val="Heading3"/>
      </w:pPr>
      <w:bookmarkStart w:id="93" w:name="estabilidad-1"/>
      <w:bookmarkStart w:id="94" w:name="_Toc228522573"/>
      <w:bookmarkEnd w:id="91"/>
      <w:r>
        <w:t>Estabilidad</w:t>
      </w:r>
      <w:bookmarkEnd w:id="94"/>
    </w:p>
    <w:p w14:paraId="03E341F4" w14:textId="77777777" w:rsidR="000A4CDF" w:rsidRDefault="00000000">
      <w:r>
        <w:t xml:space="preserve">La estabilidad mide la consistencia de las explicaciones bajo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r>
          <m:rPr>
            <m:scr m:val="script"/>
            <m:sty m:val="p"/>
          </m:rPr>
          <w:rPr>
            <w:rFonts w:ascii="Cambria Math" w:hAnsi="Cambria Math"/>
          </w:rPr>
          <m:t>∼N(</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r>
          <m:rPr>
            <m:sty m:val="p"/>
          </m:rPr>
          <w:rPr>
            <w:rFonts w:ascii="Cambria Math" w:hAnsi="Cambria Math"/>
          </w:rPr>
          <m:t>)</m:t>
        </m:r>
      </m:oMath>
      <w:r>
        <w:t xml:space="preserve">, </w:t>
      </w:r>
      <m:oMath>
        <m:r>
          <w:rPr>
            <w:rFonts w:ascii="Cambria Math" w:hAnsi="Cambria Math"/>
          </w:rPr>
          <m:t>σ</m:t>
        </m:r>
        <m:r>
          <m:rPr>
            <m:sty m:val="p"/>
          </m:rPr>
          <w:rPr>
            <w:rFonts w:ascii="Cambria Math" w:hAnsi="Cambria Math"/>
          </w:rPr>
          <m:t>=</m:t>
        </m:r>
        <m:r>
          <w:rPr>
            <w:rFonts w:ascii="Cambria Math" w:hAnsi="Cambria Math"/>
          </w:rPr>
          <m:t>0.1</m:t>
        </m:r>
      </m:oMath>
      <w:r>
        <w:t>:</w:t>
      </w:r>
    </w:p>
    <w:p w14:paraId="4065E53D" w14:textId="77777777" w:rsidR="000A4CDF" w:rsidRDefault="00000000">
      <w:pPr>
        <w:pStyle w:val="BodyText"/>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&lt;</m:t>
              </m:r>
              <m:r>
                <w:rPr>
                  <w:rFonts w:ascii="Cambria Math" w:hAnsi="Cambria Math"/>
                </w:rPr>
                <m:t>b</m:t>
              </m:r>
            </m:sub>
            <m:sup>
              <m:r>
                <w:rPr>
                  <w:rFonts w:ascii="Cambria Math" w:hAnsi="Cambria Math"/>
                </w:rPr>
                <m:t>​</m:t>
              </m:r>
            </m:sup>
            <m:e>
              <m:r>
                <m:rPr>
                  <m:sty m:val="p"/>
                </m:rPr>
                <w:rPr>
                  <w:rFonts w:ascii="Cambria Math" w:hAnsi="Cambria Math"/>
                </w:rPr>
                <m:t>cos</m:t>
              </m:r>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a</m:t>
                  </m:r>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r>
                    <m:rPr>
                      <m:sty m:val="p"/>
                    </m:rPr>
                    <w:rPr>
                      <w:rFonts w:ascii="Cambria Math" w:hAnsi="Cambria Math"/>
                    </w:rPr>
                    <m:t>)</m:t>
                  </m:r>
                </m:sup>
              </m:sSup>
            </m:e>
          </m:d>
        </m:oMath>
      </m:oMathPara>
    </w:p>
    <w:p w14:paraId="20182676" w14:textId="77777777" w:rsidR="000A4CDF" w:rsidRDefault="00000000">
      <w:r>
        <w:lastRenderedPageBreak/>
        <w:t xml:space="preserve">Con </w:t>
      </w:r>
      <m:oMath>
        <m:r>
          <w:rPr>
            <w:rFonts w:ascii="Cambria Math" w:hAnsi="Cambria Math"/>
          </w:rPr>
          <m:t>T</m:t>
        </m:r>
        <m:r>
          <m:rPr>
            <m:sty m:val="p"/>
          </m:rPr>
          <w:rPr>
            <w:rFonts w:ascii="Cambria Math" w:hAnsi="Cambria Math"/>
          </w:rPr>
          <m:t>=</m:t>
        </m:r>
        <m:r>
          <w:rPr>
            <w:rFonts w:ascii="Cambria Math" w:hAnsi="Cambria Math"/>
          </w:rPr>
          <m:t>15</m:t>
        </m:r>
      </m:oMath>
      <w:r>
        <w:t xml:space="preserve"> se forman </w:t>
      </w:r>
      <m:oMath>
        <m:d>
          <m:dPr>
            <m:ctrlPr>
              <w:rPr>
                <w:rFonts w:ascii="Cambria Math" w:hAnsi="Cambria Math"/>
              </w:rPr>
            </m:ctrlPr>
          </m:dPr>
          <m:e>
            <m:f>
              <m:fPr>
                <m:type m:val="noBar"/>
                <m:ctrlPr>
                  <w:rPr>
                    <w:rFonts w:ascii="Cambria Math" w:hAnsi="Cambria Math"/>
                  </w:rPr>
                </m:ctrlPr>
              </m:fPr>
              <m:num>
                <m:r>
                  <w:rPr>
                    <w:rFonts w:ascii="Cambria Math" w:hAnsi="Cambria Math"/>
                  </w:rPr>
                  <m:t>15</m:t>
                </m:r>
              </m:num>
              <m:den>
                <m:r>
                  <w:rPr>
                    <w:rFonts w:ascii="Cambria Math" w:hAnsi="Cambria Math"/>
                  </w:rPr>
                  <m:t>2</m:t>
                </m:r>
              </m:den>
            </m:f>
          </m:e>
        </m:d>
        <m:r>
          <m:rPr>
            <m:sty m:val="p"/>
          </m:rPr>
          <w:rPr>
            <w:rFonts w:ascii="Cambria Math" w:hAnsi="Cambria Math"/>
          </w:rPr>
          <m:t>=</m:t>
        </m:r>
        <m:r>
          <w:rPr>
            <w:rFonts w:ascii="Cambria Math" w:hAnsi="Cambria Math"/>
          </w:rPr>
          <m:t>105</m:t>
        </m:r>
      </m:oMath>
      <w:r>
        <w:t xml:space="preserve"> pares por instancia. Dirección: </w:t>
      </w:r>
      <m:oMath>
        <m:r>
          <m:rPr>
            <m:sty m:val="p"/>
          </m:rPr>
          <w:rPr>
            <w:rFonts w:ascii="Cambria Math" w:hAnsi="Cambria Math"/>
          </w:rPr>
          <m:t>↑</m:t>
        </m:r>
      </m:oMath>
      <w:r>
        <w:t>. Implementación: src/metrics/stability.py.</w:t>
      </w:r>
    </w:p>
    <w:p w14:paraId="5988336A" w14:textId="77777777" w:rsidR="000A4CDF" w:rsidRDefault="00000000">
      <w:pPr>
        <w:pStyle w:val="Heading3"/>
      </w:pPr>
      <w:bookmarkStart w:id="95" w:name="parsimonia"/>
      <w:bookmarkStart w:id="96" w:name="_Toc228522574"/>
      <w:bookmarkEnd w:id="93"/>
      <w:r>
        <w:t>Parsimonia</w:t>
      </w:r>
      <w:bookmarkEnd w:id="96"/>
    </w:p>
    <w:p w14:paraId="59294C56" w14:textId="77777777" w:rsidR="000A4CDF" w:rsidRDefault="00000000">
      <w:r>
        <w:t>La parsimonia cuantifica la proporción de características activas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sobre el total de características transformadas:</w:t>
      </w:r>
    </w:p>
    <w:p w14:paraId="20626F7D" w14:textId="77777777" w:rsidR="000A4CDF" w:rsidRDefault="00000000">
      <w:pPr>
        <w:pStyle w:val="BodyText"/>
      </w:pPr>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num>
            <m:den>
              <m:r>
                <m:rPr>
                  <m:scr m:val="script"/>
                  <m:sty m:val="p"/>
                </m:rPr>
                <w:rPr>
                  <w:rFonts w:ascii="Cambria Math" w:hAnsi="Cambria Math"/>
                </w:rPr>
                <m:t>|F|</m:t>
              </m:r>
            </m:den>
          </m:f>
        </m:oMath>
      </m:oMathPara>
    </w:p>
    <w:p w14:paraId="7B5BC5A1" w14:textId="77777777" w:rsidR="000A4CDF" w:rsidRDefault="00000000">
      <w:r>
        <w:t xml:space="preserve">Un valor bajo indica mayor concisión. Dirección: </w:t>
      </w:r>
      <m:oMath>
        <m:r>
          <m:rPr>
            <m:sty m:val="p"/>
          </m:rPr>
          <w:rPr>
            <w:rFonts w:ascii="Cambria Math" w:hAnsi="Cambria Math"/>
          </w:rPr>
          <m:t>↓</m:t>
        </m:r>
      </m:oMath>
      <w:r>
        <w:t>. Implementación: src/metrics/sparsity.py.</w:t>
      </w:r>
    </w:p>
    <w:p w14:paraId="0AB9ACAD" w14:textId="77777777" w:rsidR="000A4CDF" w:rsidRDefault="00000000">
      <w:pPr>
        <w:pStyle w:val="Heading3"/>
      </w:pPr>
      <w:bookmarkStart w:id="97" w:name="brecha-de-fidelidad"/>
      <w:bookmarkStart w:id="98" w:name="_Toc228522575"/>
      <w:bookmarkEnd w:id="95"/>
      <w:r>
        <w:t>Brecha de fidelidad</w:t>
      </w:r>
      <w:bookmarkEnd w:id="98"/>
    </w:p>
    <w:p w14:paraId="10220DA4" w14:textId="77777777" w:rsidR="000A4CDF" w:rsidRDefault="00000000">
      <w:r>
        <w:t xml:space="preserve">La brecha de fidelidad cuantifica el cambio en la salida del modelo al enmascarar las </w:t>
      </w:r>
      <m:oMath>
        <m:r>
          <w:rPr>
            <w:rFonts w:ascii="Cambria Math" w:hAnsi="Cambria Math"/>
          </w:rPr>
          <m:t>k</m:t>
        </m:r>
        <m:r>
          <m:rPr>
            <m:sty m:val="p"/>
          </m:rPr>
          <w:rPr>
            <w:rFonts w:ascii="Cambria Math" w:hAnsi="Cambria Math"/>
          </w:rPr>
          <m:t>=</m:t>
        </m:r>
        <m:r>
          <w:rPr>
            <w:rFonts w:ascii="Cambria Math" w:hAnsi="Cambria Math"/>
          </w:rPr>
          <m:t>5</m:t>
        </m:r>
      </m:oMath>
      <w:r>
        <w:t xml:space="preserve"> características de mayor importancia:</w:t>
      </w:r>
    </w:p>
    <w:p w14:paraId="0572072D" w14:textId="77777777" w:rsidR="000A4CDF" w:rsidRPr="001B51D7" w:rsidRDefault="00000000">
      <w:pPr>
        <w:pStyle w:val="BodyText"/>
        <w:rPr>
          <w:lang w:val="en-US"/>
        </w:rPr>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lang w:val="en-US"/>
            </w:rPr>
            <m:t>=</m:t>
          </m:r>
          <m:d>
            <m:dPr>
              <m:begChr m:val="|"/>
              <m:endChr m:val="|"/>
              <m:ctrlPr>
                <w:rPr>
                  <w:rFonts w:ascii="Cambria Math" w:hAnsi="Cambria Math"/>
                </w:rPr>
              </m:ctrlPr>
            </m:dPr>
            <m:e>
              <m:r>
                <w:rPr>
                  <w:rFonts w:ascii="Cambria Math" w:hAnsi="Cambria Math"/>
                </w:rPr>
                <m:t>f</m:t>
              </m:r>
              <m:r>
                <m:rPr>
                  <m:sty m:val="p"/>
                </m:rPr>
                <w:rPr>
                  <w:rFonts w:ascii="Cambria Math" w:hAnsi="Cambria Math"/>
                  <w:lang w:val="en-US"/>
                </w:rPr>
                <m:t>(</m:t>
              </m:r>
              <m:r>
                <w:rPr>
                  <w:rFonts w:ascii="Cambria Math" w:hAnsi="Cambria Math"/>
                </w:rPr>
                <m:t>x</m:t>
              </m:r>
              <m:r>
                <m:rPr>
                  <m:sty m:val="p"/>
                </m:rP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w:rPr>
                          <w:lang w:val="en-US"/>
                        </w:rPr>
                        <m:t>mask-top-</m:t>
                      </m:r>
                      <m:r>
                        <w:rPr>
                          <w:rFonts w:ascii="Cambria Math" w:hAnsi="Cambria Math"/>
                        </w:rPr>
                        <m:t>k</m:t>
                      </m:r>
                    </m:sub>
                  </m:sSub>
                </m:e>
              </m:d>
            </m:e>
          </m:d>
        </m:oMath>
      </m:oMathPara>
    </w:p>
    <w:p w14:paraId="0289FE7A" w14:textId="77777777" w:rsidR="000A4CDF" w:rsidRDefault="00000000">
      <w:r>
        <w:t xml:space="preserve">donde </w:t>
      </w:r>
      <m:oMath>
        <m:r>
          <w:rPr>
            <w:rFonts w:ascii="Cambria Math" w:hAnsi="Cambria Math"/>
          </w:rPr>
          <m:t>f</m:t>
        </m:r>
        <m:r>
          <m:rPr>
            <m:sty m:val="p"/>
          </m:rPr>
          <w:rPr>
            <w:rFonts w:ascii="Cambria Math" w:hAnsi="Cambria Math"/>
          </w:rPr>
          <m:t>(⋅)</m:t>
        </m:r>
      </m:oMath>
      <w:r>
        <w:t xml:space="preserve"> devuelve la probabilidad de la clase positiva. Dirección: </w:t>
      </w:r>
      <m:oMath>
        <m:r>
          <m:rPr>
            <m:sty m:val="p"/>
          </m:rPr>
          <w:rPr>
            <w:rFonts w:ascii="Cambria Math" w:hAnsi="Cambria Math"/>
          </w:rPr>
          <m:t>↑</m:t>
        </m:r>
      </m:oMath>
      <w:r>
        <w:t>. Implementación: src/metrics/faithfulness.py.</w:t>
      </w:r>
    </w:p>
    <w:p w14:paraId="02F4397C" w14:textId="77777777" w:rsidR="000A4CDF" w:rsidRDefault="00000000">
      <w:pPr>
        <w:pStyle w:val="Heading3"/>
      </w:pPr>
      <w:bookmarkStart w:id="99" w:name="coste-computacional-1"/>
      <w:bookmarkStart w:id="100" w:name="_Toc228522576"/>
      <w:bookmarkEnd w:id="97"/>
      <w:r>
        <w:t>Coste computacional</w:t>
      </w:r>
      <w:bookmarkEnd w:id="100"/>
    </w:p>
    <w:p w14:paraId="6E4DEF23" w14:textId="77777777" w:rsidR="000A4CDF" w:rsidRDefault="00000000">
      <w:r>
        <w:t>El coste (</w:t>
      </w:r>
      <m:oMath>
        <m:r>
          <w:rPr>
            <w:rFonts w:ascii="Cambria Math" w:hAnsi="Cambria Math"/>
          </w:rPr>
          <m:t>C</m:t>
        </m:r>
      </m:oMath>
      <w:r>
        <w:t xml:space="preserve">) es el tiempo de pared en milisegundos por instancia explicada, registrado en ExplainerWrapper bajo restricciones de recursos gestionadas por ResourceGuard (especificaciones en el Apéndice A). Dirección: </w:t>
      </w:r>
      <m:oMath>
        <m:r>
          <m:rPr>
            <m:sty m:val="p"/>
          </m:rPr>
          <w:rPr>
            <w:rFonts w:ascii="Cambria Math" w:hAnsi="Cambria Math"/>
          </w:rPr>
          <m:t>↓</m:t>
        </m:r>
      </m:oMath>
      <w:r>
        <w:t>.</w:t>
      </w:r>
    </w:p>
    <w:p w14:paraId="3EDBFF2E" w14:textId="77777777" w:rsidR="000A4CDF" w:rsidRDefault="00000000">
      <w:pPr>
        <w:pStyle w:val="Heading3"/>
      </w:pPr>
      <w:bookmarkStart w:id="101" w:name="resumen-de-métricas-primarias"/>
      <w:bookmarkStart w:id="102" w:name="_Toc228522577"/>
      <w:bookmarkEnd w:id="99"/>
      <w:r>
        <w:t>Resumen de métricas primarias</w:t>
      </w:r>
      <w:bookmarkEnd w:id="102"/>
    </w:p>
    <w:tbl>
      <w:tblPr>
        <w:tblW w:w="5000" w:type="pct"/>
        <w:tblLayout w:type="fixed"/>
        <w:tblLook w:val="0000" w:firstRow="0" w:lastRow="0" w:firstColumn="0" w:lastColumn="0" w:noHBand="0" w:noVBand="0"/>
      </w:tblPr>
      <w:tblGrid>
        <w:gridCol w:w="9576"/>
      </w:tblGrid>
      <w:tr w:rsidR="000A4CDF" w14:paraId="7789FC71" w14:textId="77777777">
        <w:tc>
          <w:tcPr>
            <w:tcW w:w="7920" w:type="dxa"/>
          </w:tcPr>
          <w:p w14:paraId="18D96872" w14:textId="77777777" w:rsidR="000A4CDF" w:rsidRDefault="00000000">
            <w:pPr>
              <w:spacing w:before="200"/>
              <w:jc w:val="left"/>
            </w:pPr>
            <w:bookmarkStart w:id="103" w:name="tbl-metrics"/>
            <w:r>
              <w:t xml:space="preserve">Table 4.2: Métricas primarias del benchmark con unidades y direcciones. </w:t>
            </w:r>
          </w:p>
          <w:tbl>
            <w:tblPr>
              <w:tblW w:w="0" w:type="auto"/>
              <w:tblLook w:val="0020" w:firstRow="1" w:lastRow="0" w:firstColumn="0" w:lastColumn="0" w:noHBand="0" w:noVBand="0"/>
            </w:tblPr>
            <w:tblGrid>
              <w:gridCol w:w="1980"/>
              <w:gridCol w:w="1980"/>
              <w:gridCol w:w="1980"/>
              <w:gridCol w:w="1980"/>
            </w:tblGrid>
            <w:tr w:rsidR="000A4CDF" w14:paraId="21D4E992" w14:textId="77777777">
              <w:trPr>
                <w:tblHeader/>
              </w:trPr>
              <w:tc>
                <w:tcPr>
                  <w:tcW w:w="1980" w:type="dxa"/>
                </w:tcPr>
                <w:p w14:paraId="6788A3FF" w14:textId="77777777" w:rsidR="000A4CDF" w:rsidRDefault="00000000">
                  <w:pPr>
                    <w:jc w:val="center"/>
                  </w:pPr>
                  <w:r>
                    <w:lastRenderedPageBreak/>
                    <w:t>Métrica</w:t>
                  </w:r>
                </w:p>
              </w:tc>
              <w:tc>
                <w:tcPr>
                  <w:tcW w:w="1980" w:type="dxa"/>
                </w:tcPr>
                <w:p w14:paraId="00084B87" w14:textId="77777777" w:rsidR="000A4CDF" w:rsidRDefault="00000000">
                  <w:pPr>
                    <w:jc w:val="center"/>
                  </w:pPr>
                  <w:r>
                    <w:t>Símbolo</w:t>
                  </w:r>
                </w:p>
              </w:tc>
              <w:tc>
                <w:tcPr>
                  <w:tcW w:w="1980" w:type="dxa"/>
                </w:tcPr>
                <w:p w14:paraId="59461E02" w14:textId="77777777" w:rsidR="000A4CDF" w:rsidRDefault="00000000">
                  <w:pPr>
                    <w:jc w:val="center"/>
                  </w:pPr>
                  <w:r>
                    <w:t>Unidad</w:t>
                  </w:r>
                </w:p>
              </w:tc>
              <w:tc>
                <w:tcPr>
                  <w:tcW w:w="1980" w:type="dxa"/>
                </w:tcPr>
                <w:p w14:paraId="71FA13C2" w14:textId="77777777" w:rsidR="000A4CDF" w:rsidRDefault="00000000">
                  <w:pPr>
                    <w:jc w:val="center"/>
                  </w:pPr>
                  <w:r>
                    <w:t>Dirección</w:t>
                  </w:r>
                </w:p>
              </w:tc>
            </w:tr>
            <w:tr w:rsidR="000A4CDF" w14:paraId="2D4FDAAC" w14:textId="77777777">
              <w:tc>
                <w:tcPr>
                  <w:tcW w:w="1980" w:type="dxa"/>
                </w:tcPr>
                <w:p w14:paraId="001155B1" w14:textId="77777777" w:rsidR="000A4CDF" w:rsidRDefault="00000000">
                  <w:pPr>
                    <w:jc w:val="center"/>
                  </w:pPr>
                  <w:r>
                    <w:t>Fidelidad</w:t>
                  </w:r>
                </w:p>
              </w:tc>
              <w:tc>
                <w:tcPr>
                  <w:tcW w:w="1980" w:type="dxa"/>
                </w:tcPr>
                <w:p w14:paraId="34111E00" w14:textId="77777777" w:rsidR="000A4CDF" w:rsidRDefault="00000000">
                  <w:pPr>
                    <w:jc w:val="center"/>
                  </w:pPr>
                  <m:oMathPara>
                    <m:oMath>
                      <m:r>
                        <w:rPr>
                          <w:rFonts w:ascii="Cambria Math" w:hAnsi="Cambria Math"/>
                        </w:rPr>
                        <m:t>F</m:t>
                      </m:r>
                    </m:oMath>
                  </m:oMathPara>
                </w:p>
              </w:tc>
              <w:tc>
                <w:tcPr>
                  <w:tcW w:w="1980" w:type="dxa"/>
                </w:tcPr>
                <w:p w14:paraId="0FB8B069" w14:textId="77777777" w:rsidR="000A4CDF" w:rsidRDefault="00000000">
                  <w:pPr>
                    <w:jc w:val="center"/>
                  </w:pPr>
                  <w:r>
                    <w:t>score</w:t>
                  </w:r>
                </w:p>
              </w:tc>
              <w:tc>
                <w:tcPr>
                  <w:tcW w:w="1980" w:type="dxa"/>
                </w:tcPr>
                <w:p w14:paraId="3B54550E" w14:textId="77777777" w:rsidR="000A4CDF" w:rsidRDefault="00000000">
                  <w:pPr>
                    <w:jc w:val="center"/>
                  </w:pPr>
                  <m:oMathPara>
                    <m:oMath>
                      <m:r>
                        <m:rPr>
                          <m:sty m:val="p"/>
                        </m:rPr>
                        <w:rPr>
                          <w:rFonts w:ascii="Cambria Math" w:hAnsi="Cambria Math"/>
                        </w:rPr>
                        <m:t>↑</m:t>
                      </m:r>
                    </m:oMath>
                  </m:oMathPara>
                </w:p>
              </w:tc>
            </w:tr>
            <w:tr w:rsidR="000A4CDF" w14:paraId="0A3522E4" w14:textId="77777777">
              <w:tc>
                <w:tcPr>
                  <w:tcW w:w="1980" w:type="dxa"/>
                </w:tcPr>
                <w:p w14:paraId="6B84B121" w14:textId="77777777" w:rsidR="000A4CDF" w:rsidRDefault="00000000">
                  <w:pPr>
                    <w:jc w:val="center"/>
                  </w:pPr>
                  <w:r>
                    <w:t>Estabilidad</w:t>
                  </w:r>
                </w:p>
              </w:tc>
              <w:tc>
                <w:tcPr>
                  <w:tcW w:w="1980" w:type="dxa"/>
                </w:tcPr>
                <w:p w14:paraId="5C8C251D" w14:textId="77777777" w:rsidR="000A4CDF" w:rsidRDefault="00000000">
                  <w:pPr>
                    <w:jc w:val="center"/>
                  </w:pPr>
                  <m:oMathPara>
                    <m:oMath>
                      <m:r>
                        <w:rPr>
                          <w:rFonts w:ascii="Cambria Math" w:hAnsi="Cambria Math"/>
                        </w:rPr>
                        <m:t>S</m:t>
                      </m:r>
                    </m:oMath>
                  </m:oMathPara>
                </w:p>
              </w:tc>
              <w:tc>
                <w:tcPr>
                  <w:tcW w:w="1980" w:type="dxa"/>
                </w:tcPr>
                <w:p w14:paraId="0778B98F" w14:textId="77777777" w:rsidR="000A4CDF" w:rsidRDefault="00000000">
                  <w:pPr>
                    <w:jc w:val="center"/>
                  </w:pPr>
                  <w:r>
                    <w:t>similitud coseno</w:t>
                  </w:r>
                </w:p>
              </w:tc>
              <w:tc>
                <w:tcPr>
                  <w:tcW w:w="1980" w:type="dxa"/>
                </w:tcPr>
                <w:p w14:paraId="3D734544" w14:textId="77777777" w:rsidR="000A4CDF" w:rsidRDefault="00000000">
                  <w:pPr>
                    <w:jc w:val="center"/>
                  </w:pPr>
                  <m:oMathPara>
                    <m:oMath>
                      <m:r>
                        <m:rPr>
                          <m:sty m:val="p"/>
                        </m:rPr>
                        <w:rPr>
                          <w:rFonts w:ascii="Cambria Math" w:hAnsi="Cambria Math"/>
                        </w:rPr>
                        <m:t>↑</m:t>
                      </m:r>
                    </m:oMath>
                  </m:oMathPara>
                </w:p>
              </w:tc>
            </w:tr>
            <w:tr w:rsidR="000A4CDF" w14:paraId="0B602586" w14:textId="77777777">
              <w:tc>
                <w:tcPr>
                  <w:tcW w:w="1980" w:type="dxa"/>
                </w:tcPr>
                <w:p w14:paraId="3388287F" w14:textId="77777777" w:rsidR="000A4CDF" w:rsidRDefault="00000000">
                  <w:pPr>
                    <w:jc w:val="center"/>
                  </w:pPr>
                  <w:r>
                    <w:t>Parsimonia</w:t>
                  </w:r>
                </w:p>
              </w:tc>
              <w:tc>
                <w:tcPr>
                  <w:tcW w:w="1980" w:type="dxa"/>
                </w:tcPr>
                <w:p w14:paraId="0986554D" w14:textId="77777777" w:rsidR="000A4CDF" w:rsidRDefault="00000000">
                  <w:pPr>
                    <w:jc w:val="center"/>
                  </w:pPr>
                  <m:oMathPara>
                    <m:oMath>
                      <m:r>
                        <w:rPr>
                          <w:rFonts w:ascii="Cambria Math" w:hAnsi="Cambria Math"/>
                        </w:rPr>
                        <m:t>P</m:t>
                      </m:r>
                    </m:oMath>
                  </m:oMathPara>
                </w:p>
              </w:tc>
              <w:tc>
                <w:tcPr>
                  <w:tcW w:w="1980" w:type="dxa"/>
                </w:tcPr>
                <w:p w14:paraId="01831131" w14:textId="77777777" w:rsidR="000A4CDF" w:rsidRDefault="00000000">
                  <w:pPr>
                    <w:jc w:val="center"/>
                  </w:pPr>
                  <w:r>
                    <w:t>proporción activa</w:t>
                  </w:r>
                </w:p>
              </w:tc>
              <w:tc>
                <w:tcPr>
                  <w:tcW w:w="1980" w:type="dxa"/>
                </w:tcPr>
                <w:p w14:paraId="1C372A58" w14:textId="77777777" w:rsidR="000A4CDF" w:rsidRDefault="00000000">
                  <w:pPr>
                    <w:jc w:val="center"/>
                  </w:pPr>
                  <m:oMathPara>
                    <m:oMath>
                      <m:r>
                        <m:rPr>
                          <m:sty m:val="p"/>
                        </m:rPr>
                        <w:rPr>
                          <w:rFonts w:ascii="Cambria Math" w:hAnsi="Cambria Math"/>
                        </w:rPr>
                        <m:t>↓</m:t>
                      </m:r>
                    </m:oMath>
                  </m:oMathPara>
                </w:p>
              </w:tc>
            </w:tr>
            <w:tr w:rsidR="000A4CDF" w14:paraId="2BA2C5F4" w14:textId="77777777">
              <w:tc>
                <w:tcPr>
                  <w:tcW w:w="1980" w:type="dxa"/>
                </w:tcPr>
                <w:p w14:paraId="028C4376" w14:textId="77777777" w:rsidR="000A4CDF" w:rsidRDefault="00000000">
                  <w:pPr>
                    <w:jc w:val="center"/>
                  </w:pPr>
                  <w:r>
                    <w:t>Brecha de fidelidad</w:t>
                  </w:r>
                </w:p>
              </w:tc>
              <w:tc>
                <w:tcPr>
                  <w:tcW w:w="1980" w:type="dxa"/>
                </w:tcPr>
                <w:p w14:paraId="5A04C36B" w14:textId="77777777" w:rsidR="000A4CDF" w:rsidRDefault="00000000">
                  <w:pPr>
                    <w:jc w:val="center"/>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m:oMathPara>
                </w:p>
              </w:tc>
              <w:tc>
                <w:tcPr>
                  <w:tcW w:w="1980" w:type="dxa"/>
                </w:tcPr>
                <w:p w14:paraId="03C9D541" w14:textId="77777777" w:rsidR="000A4CDF" w:rsidRDefault="00000000">
                  <w:pPr>
                    <w:jc w:val="center"/>
                  </w:pPr>
                  <w:r>
                    <w:t>score</w:t>
                  </w:r>
                </w:p>
              </w:tc>
              <w:tc>
                <w:tcPr>
                  <w:tcW w:w="1980" w:type="dxa"/>
                </w:tcPr>
                <w:p w14:paraId="7106C43A" w14:textId="77777777" w:rsidR="000A4CDF" w:rsidRDefault="00000000">
                  <w:pPr>
                    <w:jc w:val="center"/>
                  </w:pPr>
                  <m:oMathPara>
                    <m:oMath>
                      <m:r>
                        <m:rPr>
                          <m:sty m:val="p"/>
                        </m:rPr>
                        <w:rPr>
                          <w:rFonts w:ascii="Cambria Math" w:hAnsi="Cambria Math"/>
                        </w:rPr>
                        <m:t>↑</m:t>
                      </m:r>
                    </m:oMath>
                  </m:oMathPara>
                </w:p>
              </w:tc>
            </w:tr>
            <w:tr w:rsidR="000A4CDF" w14:paraId="4EC53749" w14:textId="77777777">
              <w:tc>
                <w:tcPr>
                  <w:tcW w:w="1980" w:type="dxa"/>
                </w:tcPr>
                <w:p w14:paraId="1E90F63D" w14:textId="77777777" w:rsidR="000A4CDF" w:rsidRDefault="00000000">
                  <w:pPr>
                    <w:jc w:val="center"/>
                  </w:pPr>
                  <w:r>
                    <w:t>Coste computacional</w:t>
                  </w:r>
                </w:p>
              </w:tc>
              <w:tc>
                <w:tcPr>
                  <w:tcW w:w="1980" w:type="dxa"/>
                </w:tcPr>
                <w:p w14:paraId="3A433869" w14:textId="77777777" w:rsidR="000A4CDF" w:rsidRDefault="00000000">
                  <w:pPr>
                    <w:jc w:val="center"/>
                  </w:pPr>
                  <m:oMathPara>
                    <m:oMath>
                      <m:r>
                        <w:rPr>
                          <w:rFonts w:ascii="Cambria Math" w:hAnsi="Cambria Math"/>
                        </w:rPr>
                        <m:t>C</m:t>
                      </m:r>
                    </m:oMath>
                  </m:oMathPara>
                </w:p>
              </w:tc>
              <w:tc>
                <w:tcPr>
                  <w:tcW w:w="1980" w:type="dxa"/>
                </w:tcPr>
                <w:p w14:paraId="3FD7DB1A" w14:textId="77777777" w:rsidR="000A4CDF" w:rsidRDefault="00000000">
                  <w:pPr>
                    <w:jc w:val="center"/>
                  </w:pPr>
                  <w:r>
                    <w:t>ms/instancia</w:t>
                  </w:r>
                </w:p>
              </w:tc>
              <w:tc>
                <w:tcPr>
                  <w:tcW w:w="1980" w:type="dxa"/>
                </w:tcPr>
                <w:p w14:paraId="56FD4ECF" w14:textId="77777777" w:rsidR="000A4CDF" w:rsidRDefault="00000000">
                  <w:pPr>
                    <w:jc w:val="center"/>
                  </w:pPr>
                  <m:oMathPara>
                    <m:oMath>
                      <m:r>
                        <m:rPr>
                          <m:sty m:val="p"/>
                        </m:rPr>
                        <w:rPr>
                          <w:rFonts w:ascii="Cambria Math" w:hAnsi="Cambria Math"/>
                        </w:rPr>
                        <m:t>↓</m:t>
                      </m:r>
                    </m:oMath>
                  </m:oMathPara>
                </w:p>
              </w:tc>
            </w:tr>
            <w:bookmarkEnd w:id="103"/>
          </w:tbl>
          <w:p w14:paraId="7EE6CE6C" w14:textId="77777777" w:rsidR="000A4CDF" w:rsidRDefault="000A4CDF"/>
        </w:tc>
      </w:tr>
    </w:tbl>
    <w:p w14:paraId="03A67AF5" w14:textId="77777777" w:rsidR="000A4CDF" w:rsidRDefault="00000000">
      <w:pPr>
        <w:pStyle w:val="Heading2"/>
      </w:pPr>
      <w:bookmarkStart w:id="104" w:name="protocolo-de-operación-fom-7"/>
      <w:bookmarkStart w:id="105" w:name="_Toc228522578"/>
      <w:bookmarkEnd w:id="89"/>
      <w:bookmarkEnd w:id="101"/>
      <w:r>
        <w:lastRenderedPageBreak/>
        <w:t>Protocolo de operación FOM-7</w:t>
      </w:r>
      <w:bookmarkEnd w:id="105"/>
    </w:p>
    <w:p w14:paraId="24C7BEE1" w14:textId="77777777" w:rsidR="000A4CDF" w:rsidRDefault="00000000">
      <w:r>
        <w:t>FOM-7 (</w:t>
      </w:r>
      <w:r>
        <w:rPr>
          <w:i/>
          <w:iCs/>
        </w:rPr>
        <w:t>Framework Operation Method</w:t>
      </w:r>
      <w:r>
        <w:t xml:space="preserve">, siete puertas) es la contribución metodológica central de este estudio. Fue derivado de: (i) los requisitos de benchmarking reproducible documentados en la literatura (Canha et al. 2025; Agarwal et al. 2022; Hedström et al. 2023), y (ii) los modos de fallo observados en EXP1: deriva de protocolo, fallos de integridad de artefactos y exportaciones de análisis no equivalentes entre ejecuciones. Las siete puertas son </w:t>
      </w:r>
      <w:r>
        <w:rPr>
          <w:b/>
          <w:bCs/>
        </w:rPr>
        <w:t>secuenciales</w:t>
      </w:r>
      <w:r>
        <w:t>: cada puerta debe ser satisfecha antes de proceder a la siguiente, y un fallo en cualquier puerta degrada los outputs afectados a estatus descriptivo.</w:t>
      </w:r>
    </w:p>
    <w:p w14:paraId="1DF28838" w14:textId="77777777" w:rsidR="000A4CDF" w:rsidRDefault="00000000">
      <w:pPr>
        <w:pStyle w:val="BodyText"/>
      </w:pPr>
      <w:r>
        <w:rPr>
          <w:b/>
          <w:bCs/>
        </w:rPr>
        <w:t>Puerta 1 — Congelación del protocolo.</w:t>
      </w:r>
      <w:r>
        <w:t xml:space="preserve"> Bloqueo de versiones de código, archivos de configuración YAML, factores del diseño y plan de inferencia estadística </w:t>
      </w:r>
      <w:r>
        <w:rPr>
          <w:i/>
          <w:iCs/>
        </w:rPr>
        <w:t>antes</w:t>
      </w:r>
      <w:r>
        <w:t xml:space="preserve"> de iniciar cualquier ejecución confirmativa. Formalizado mediante configs/experiments/exp2_scaled/manifest.yaml.</w:t>
      </w:r>
    </w:p>
    <w:p w14:paraId="7C6094F2" w14:textId="77777777" w:rsidR="000A4CDF" w:rsidRDefault="00000000">
      <w:pPr>
        <w:pStyle w:val="BodyText"/>
      </w:pPr>
      <w:r>
        <w:rPr>
          <w:b/>
          <w:bCs/>
        </w:rPr>
        <w:lastRenderedPageBreak/>
        <w:t>Puerta 2 — Ejecución por lotes controlada.</w:t>
      </w:r>
      <w:r>
        <w:t xml:space="preserve"> Ejecución de las 300 celdas desde el manifiesto declarativo, con semillas fijas y registro del contexto de tiempo de ejecución. No se permiten modificaciones ad-hoc de configuración.</w:t>
      </w:r>
    </w:p>
    <w:p w14:paraId="203F087E" w14:textId="77777777" w:rsidR="000A4CDF" w:rsidRDefault="00000000">
      <w:pPr>
        <w:pStyle w:val="BodyText"/>
      </w:pPr>
      <w:r>
        <w:rPr>
          <w:b/>
          <w:bCs/>
        </w:rPr>
        <w:t>Puerta 3 — Auditoría de integridad de artefactos.</w:t>
      </w:r>
      <w:r>
        <w:t xml:space="preserve"> Inspección determinista de cada results.json: detección y exclusión de archivos vacíos, con esquema incompatible o con valores numéricos inválidos. Ningún artefacto excluido se reemplaza mediante reconstrucción sintética.</w:t>
      </w:r>
    </w:p>
    <w:p w14:paraId="2D3597ED" w14:textId="77777777" w:rsidR="000A4CDF" w:rsidRDefault="00000000">
      <w:pPr>
        <w:pStyle w:val="BodyText"/>
      </w:pPr>
      <w:r>
        <w:rPr>
          <w:b/>
          <w:bCs/>
        </w:rPr>
        <w:t>Puerta 4 — Armonización a tablas listas para el análisis.</w:t>
      </w:r>
      <w:r>
        <w:t xml:space="preserve"> Estandarización de claves y campos de métricas: las diferencias de esquema entre cohortes se resuelven mediante un proceso auditado que genera tablas merge-seguras.</w:t>
      </w:r>
    </w:p>
    <w:p w14:paraId="7C1223E1" w14:textId="77777777" w:rsidR="000A4CDF" w:rsidRDefault="00000000">
      <w:pPr>
        <w:pStyle w:val="BodyText"/>
      </w:pPr>
      <w:r>
        <w:rPr>
          <w:b/>
          <w:bCs/>
        </w:rPr>
        <w:t>Puerta 5 — Exportación inferencial.</w:t>
      </w:r>
      <w:r>
        <w:t xml:space="preserve"> Generación determinista de tablas de test omnibus y pruebas pareadas exclusivamente desde entradas calificadas. La superposición de recuperación para mlp_shap/svm_shap (outputs/batch_results.csv) es la única excepción explícitamente documentada.</w:t>
      </w:r>
    </w:p>
    <w:p w14:paraId="5EF76533" w14:textId="77777777" w:rsidR="000A4CDF" w:rsidRDefault="00000000">
      <w:pPr>
        <w:pStyle w:val="BodyText"/>
      </w:pPr>
      <w:r>
        <w:rPr>
          <w:b/>
          <w:bCs/>
        </w:rPr>
        <w:t>Puerta 6 — Perfilado de reproducibilidad.</w:t>
      </w:r>
      <w:r>
        <w:t xml:space="preserve"> Cuantificación de la dispersión entre ejecuciones y del CV en configuraciones replicadas de EXP1. Fundamenta la proposición P1 y establece el rango de variabilidad esperada para interpretar los intervalos de confianza de EXP2.</w:t>
      </w:r>
    </w:p>
    <w:p w14:paraId="53F2361C" w14:textId="77777777" w:rsidR="000A4CDF" w:rsidRDefault="00000000">
      <w:pPr>
        <w:pStyle w:val="BodyText"/>
      </w:pPr>
      <w:r>
        <w:rPr>
          <w:b/>
          <w:bCs/>
        </w:rPr>
        <w:t>Puerta 7 — Reporte con trazabilidad de afirmaciones.</w:t>
      </w:r>
      <w:r>
        <w:t xml:space="preserve"> Las afirmaciones inferenciales se emiten únicamente cuando todas las puertas previas están satisfechas y son trazables a artefactos fuente específicos. Cualquier afirmación no trazable se presenta como descriptiva.</w:t>
      </w:r>
    </w:p>
    <w:p w14:paraId="0E12AF2F" w14:textId="77777777" w:rsidR="000A4CDF" w:rsidRDefault="00000000">
      <w:pPr>
        <w:pStyle w:val="BodyText"/>
      </w:pPr>
      <w:r>
        <w:t>El flujo compacto del protocolo es:</w:t>
      </w:r>
    </w:p>
    <w:p w14:paraId="7DD75DD6" w14:textId="77777777" w:rsidR="000A4CDF" w:rsidRDefault="00000000">
      <w:pPr>
        <w:pStyle w:val="BodyText"/>
      </w:pPr>
      <m:oMathPara>
        <m:oMathParaPr>
          <m:jc m:val="center"/>
        </m:oMathParaPr>
        <m:oMath>
          <m:r>
            <m:rPr>
              <m:nor/>
            </m:rPr>
            <m:t>Congelación</m:t>
          </m:r>
          <m:r>
            <m:rPr>
              <m:sty m:val="p"/>
            </m:rPr>
            <w:rPr>
              <w:rFonts w:ascii="Cambria Math" w:hAnsi="Cambria Math"/>
            </w:rPr>
            <m:t>→</m:t>
          </m:r>
          <m:r>
            <m:rPr>
              <m:nor/>
            </m:rPr>
            <m:t>Ejecución</m:t>
          </m:r>
          <m:r>
            <m:rPr>
              <m:sty m:val="p"/>
            </m:rPr>
            <w:rPr>
              <w:rFonts w:ascii="Cambria Math" w:hAnsi="Cambria Math"/>
            </w:rPr>
            <m:t>→</m:t>
          </m:r>
          <m:r>
            <m:rPr>
              <m:nor/>
            </m:rPr>
            <m:t>Auditoría</m:t>
          </m:r>
          <m:r>
            <m:rPr>
              <m:sty m:val="p"/>
            </m:rPr>
            <w:rPr>
              <w:rFonts w:ascii="Cambria Math" w:hAnsi="Cambria Math"/>
            </w:rPr>
            <m:t>→</m:t>
          </m:r>
          <m:r>
            <m:rPr>
              <m:nor/>
            </m:rPr>
            <m:t>Armonización</m:t>
          </m:r>
          <m:r>
            <m:rPr>
              <m:sty m:val="p"/>
            </m:rPr>
            <w:rPr>
              <w:rFonts w:ascii="Cambria Math" w:hAnsi="Cambria Math"/>
            </w:rPr>
            <m:t>→</m:t>
          </m:r>
          <m:r>
            <m:rPr>
              <m:nor/>
            </m:rPr>
            <m:t>Exportación</m:t>
          </m:r>
          <m:r>
            <m:rPr>
              <m:sty m:val="p"/>
            </m:rPr>
            <w:rPr>
              <w:rFonts w:ascii="Cambria Math" w:hAnsi="Cambria Math"/>
            </w:rPr>
            <m:t>→</m:t>
          </m:r>
          <m:r>
            <m:rPr>
              <m:nor/>
            </m:rPr>
            <m:t>Perfilado</m:t>
          </m:r>
          <m:r>
            <m:rPr>
              <m:sty m:val="p"/>
            </m:rPr>
            <w:rPr>
              <w:rFonts w:ascii="Cambria Math" w:hAnsi="Cambria Math"/>
            </w:rPr>
            <m:t>→</m:t>
          </m:r>
          <m:r>
            <m:rPr>
              <m:nor/>
            </m:rPr>
            <m:t>Reporte</m:t>
          </m:r>
        </m:oMath>
      </m:oMathPara>
    </w:p>
    <w:p w14:paraId="4A37CAAF" w14:textId="77777777" w:rsidR="000A4CDF" w:rsidRDefault="00000000">
      <w:pPr>
        <w:pStyle w:val="Heading2"/>
      </w:pPr>
      <w:bookmarkStart w:id="106" w:name="X70736bc07e73377e919d2c60f119994d057bf14"/>
      <w:bookmarkStart w:id="107" w:name="_Toc228522579"/>
      <w:bookmarkEnd w:id="104"/>
      <w:r>
        <w:lastRenderedPageBreak/>
        <w:t>Cobertura de artefactos y análisis del impacto de datos faltantes</w:t>
      </w:r>
      <w:bookmarkEnd w:id="107"/>
    </w:p>
    <w:p w14:paraId="596783CC" w14:textId="77777777" w:rsidR="000A4CDF" w:rsidRDefault="00000000">
      <w:pPr>
        <w:pStyle w:val="Heading3"/>
      </w:pPr>
      <w:bookmarkStart w:id="108" w:name="inventario-de-cobertura"/>
      <w:bookmarkStart w:id="109" w:name="_Toc228522580"/>
      <w:r>
        <w:t>Inventario de cobertura</w:t>
      </w:r>
      <w:bookmarkEnd w:id="109"/>
    </w:p>
    <w:p w14:paraId="73381C59" w14:textId="77777777" w:rsidR="000A4CDF" w:rsidRDefault="00000000">
      <w:r>
        <w:t>El análisis de cobertura se realizó directamente sobre el árbol de resultados comprometidos (experiments/exp2_scaled/results/), verificando la presencia y el tamaño no nulo de cada results.json en las 300 celdas del diseño.</w:t>
      </w:r>
    </w:p>
    <w:tbl>
      <w:tblPr>
        <w:tblW w:w="5000" w:type="pct"/>
        <w:tblLayout w:type="fixed"/>
        <w:tblLook w:val="0000" w:firstRow="0" w:lastRow="0" w:firstColumn="0" w:lastColumn="0" w:noHBand="0" w:noVBand="0"/>
      </w:tblPr>
      <w:tblGrid>
        <w:gridCol w:w="9576"/>
      </w:tblGrid>
      <w:tr w:rsidR="000A4CDF" w14:paraId="3AB2F159" w14:textId="77777777">
        <w:tc>
          <w:tcPr>
            <w:tcW w:w="7920" w:type="dxa"/>
          </w:tcPr>
          <w:p w14:paraId="4AA46A1B" w14:textId="77777777" w:rsidR="000A4CDF" w:rsidRDefault="00000000">
            <w:pPr>
              <w:spacing w:before="200"/>
              <w:jc w:val="left"/>
            </w:pPr>
            <w:bookmarkStart w:id="110" w:name="tbl-coverage"/>
            <w:r>
              <w:t xml:space="preserve">Table 4.3: Inventario de cobertura de artefactos. EXP2 incluye la superposición de recuperación de 30 filas para celdas mlp_shap/svm_shap. </w:t>
            </w:r>
          </w:p>
          <w:tbl>
            <w:tblPr>
              <w:tblW w:w="0" w:type="auto"/>
              <w:tblLook w:val="0020" w:firstRow="1" w:lastRow="0" w:firstColumn="0" w:lastColumn="0" w:noHBand="0" w:noVBand="0"/>
            </w:tblPr>
            <w:tblGrid>
              <w:gridCol w:w="1584"/>
              <w:gridCol w:w="1584"/>
              <w:gridCol w:w="1584"/>
              <w:gridCol w:w="1584"/>
              <w:gridCol w:w="1584"/>
            </w:tblGrid>
            <w:tr w:rsidR="000A4CDF" w14:paraId="2919A82E" w14:textId="77777777">
              <w:trPr>
                <w:tblHeader/>
              </w:trPr>
              <w:tc>
                <w:tcPr>
                  <w:tcW w:w="1584" w:type="dxa"/>
                </w:tcPr>
                <w:p w14:paraId="20877DAE" w14:textId="77777777" w:rsidR="000A4CDF" w:rsidRDefault="00000000">
                  <w:pPr>
                    <w:jc w:val="center"/>
                  </w:pPr>
                  <w:r>
                    <w:t>Cohorte</w:t>
                  </w:r>
                </w:p>
              </w:tc>
              <w:tc>
                <w:tcPr>
                  <w:tcW w:w="1584" w:type="dxa"/>
                </w:tcPr>
                <w:p w14:paraId="08ED36F5" w14:textId="77777777" w:rsidR="000A4CDF" w:rsidRDefault="00000000">
                  <w:pPr>
                    <w:jc w:val="center"/>
                  </w:pPr>
                  <w:r>
                    <w:t>Planificadas</w:t>
                  </w:r>
                </w:p>
              </w:tc>
              <w:tc>
                <w:tcPr>
                  <w:tcW w:w="1584" w:type="dxa"/>
                </w:tcPr>
                <w:p w14:paraId="0F621811" w14:textId="77777777" w:rsidR="000A4CDF" w:rsidRDefault="00000000">
                  <w:pPr>
                    <w:jc w:val="center"/>
                  </w:pPr>
                  <w:r>
                    <w:t>Presentes</w:t>
                  </w:r>
                </w:p>
              </w:tc>
              <w:tc>
                <w:tcPr>
                  <w:tcW w:w="1584" w:type="dxa"/>
                </w:tcPr>
                <w:p w14:paraId="41420D75" w14:textId="77777777" w:rsidR="000A4CDF" w:rsidRDefault="00000000">
                  <w:pPr>
                    <w:jc w:val="center"/>
                  </w:pPr>
                  <w:r>
                    <w:t>Analizables</w:t>
                  </w:r>
                </w:p>
              </w:tc>
              <w:tc>
                <w:tcPr>
                  <w:tcW w:w="1584" w:type="dxa"/>
                </w:tcPr>
                <w:p w14:paraId="1E0B0DB5" w14:textId="77777777" w:rsidR="000A4CDF" w:rsidRDefault="00000000">
                  <w:pPr>
                    <w:jc w:val="center"/>
                  </w:pPr>
                  <w:r>
                    <w:t>Cobertura</w:t>
                  </w:r>
                </w:p>
              </w:tc>
            </w:tr>
            <w:tr w:rsidR="000A4CDF" w14:paraId="136B0D83" w14:textId="77777777">
              <w:tc>
                <w:tcPr>
                  <w:tcW w:w="1584" w:type="dxa"/>
                </w:tcPr>
                <w:p w14:paraId="5855B4DE" w14:textId="77777777" w:rsidR="000A4CDF" w:rsidRDefault="00000000">
                  <w:pPr>
                    <w:jc w:val="center"/>
                  </w:pPr>
                  <w:r>
                    <w:t>EXP1 (calibración)</w:t>
                  </w:r>
                </w:p>
              </w:tc>
              <w:tc>
                <w:tcPr>
                  <w:tcW w:w="1584" w:type="dxa"/>
                </w:tcPr>
                <w:p w14:paraId="6B087F6A" w14:textId="77777777" w:rsidR="000A4CDF" w:rsidRDefault="00000000">
                  <w:pPr>
                    <w:jc w:val="center"/>
                  </w:pPr>
                  <w:r>
                    <w:t>75</w:t>
                  </w:r>
                </w:p>
              </w:tc>
              <w:tc>
                <w:tcPr>
                  <w:tcW w:w="1584" w:type="dxa"/>
                </w:tcPr>
                <w:p w14:paraId="400CEC62" w14:textId="77777777" w:rsidR="000A4CDF" w:rsidRDefault="00000000">
                  <w:pPr>
                    <w:jc w:val="center"/>
                  </w:pPr>
                  <w:r>
                    <w:t>75</w:t>
                  </w:r>
                </w:p>
              </w:tc>
              <w:tc>
                <w:tcPr>
                  <w:tcW w:w="1584" w:type="dxa"/>
                </w:tcPr>
                <w:p w14:paraId="4AD55493" w14:textId="77777777" w:rsidR="000A4CDF" w:rsidRDefault="00000000">
                  <w:pPr>
                    <w:jc w:val="center"/>
                  </w:pPr>
                  <w:r>
                    <w:t>66</w:t>
                  </w:r>
                </w:p>
              </w:tc>
              <w:tc>
                <w:tcPr>
                  <w:tcW w:w="1584" w:type="dxa"/>
                </w:tcPr>
                <w:p w14:paraId="751A7799" w14:textId="77777777" w:rsidR="000A4CDF" w:rsidRDefault="00000000">
                  <w:pPr>
                    <w:jc w:val="center"/>
                  </w:pPr>
                  <w:r>
                    <w:t>88.0%</w:t>
                  </w:r>
                </w:p>
              </w:tc>
            </w:tr>
            <w:tr w:rsidR="000A4CDF" w14:paraId="45BF5E8F" w14:textId="77777777">
              <w:tc>
                <w:tcPr>
                  <w:tcW w:w="1584" w:type="dxa"/>
                </w:tcPr>
                <w:p w14:paraId="0CF227D8" w14:textId="77777777" w:rsidR="000A4CDF" w:rsidRDefault="00000000">
                  <w:pPr>
                    <w:jc w:val="center"/>
                  </w:pPr>
                  <w:r>
                    <w:t>EXP2 (benchmark primario)</w:t>
                  </w:r>
                </w:p>
              </w:tc>
              <w:tc>
                <w:tcPr>
                  <w:tcW w:w="1584" w:type="dxa"/>
                </w:tcPr>
                <w:p w14:paraId="40EF475C" w14:textId="77777777" w:rsidR="000A4CDF" w:rsidRDefault="00000000">
                  <w:pPr>
                    <w:jc w:val="center"/>
                  </w:pPr>
                  <w:r>
                    <w:t>300</w:t>
                  </w:r>
                </w:p>
              </w:tc>
              <w:tc>
                <w:tcPr>
                  <w:tcW w:w="1584" w:type="dxa"/>
                </w:tcPr>
                <w:p w14:paraId="36916F9C" w14:textId="77777777" w:rsidR="000A4CDF" w:rsidRDefault="00000000">
                  <w:pPr>
                    <w:jc w:val="center"/>
                  </w:pPr>
                  <w:r>
                    <w:t>299</w:t>
                  </w:r>
                </w:p>
              </w:tc>
              <w:tc>
                <w:tcPr>
                  <w:tcW w:w="1584" w:type="dxa"/>
                </w:tcPr>
                <w:p w14:paraId="04738FB0" w14:textId="77777777" w:rsidR="000A4CDF" w:rsidRDefault="00000000">
                  <w:pPr>
                    <w:jc w:val="center"/>
                  </w:pPr>
                  <w:r>
                    <w:t>275</w:t>
                  </w:r>
                </w:p>
              </w:tc>
              <w:tc>
                <w:tcPr>
                  <w:tcW w:w="1584" w:type="dxa"/>
                </w:tcPr>
                <w:p w14:paraId="605C0882" w14:textId="77777777" w:rsidR="000A4CDF" w:rsidRDefault="00000000">
                  <w:pPr>
                    <w:jc w:val="center"/>
                  </w:pPr>
                  <w:r>
                    <w:t>91.7%</w:t>
                  </w:r>
                </w:p>
              </w:tc>
            </w:tr>
            <w:bookmarkEnd w:id="110"/>
          </w:tbl>
          <w:p w14:paraId="599B6D0A" w14:textId="77777777" w:rsidR="000A4CDF" w:rsidRDefault="000A4CDF"/>
        </w:tc>
      </w:tr>
    </w:tbl>
    <w:p w14:paraId="7DE1BF91" w14:textId="77777777" w:rsidR="000A4CDF" w:rsidRDefault="00000000">
      <w:pPr>
        <w:pStyle w:val="BodyText"/>
      </w:pPr>
      <w:r>
        <w:t xml:space="preserve">La </w:t>
      </w:r>
      <w:r>
        <w:rPr>
          <w:b/>
          <w:bCs/>
        </w:rPr>
        <w:t>única celda físicamente faltante</w:t>
      </w:r>
      <w:r>
        <w:t xml:space="preserve"> en EXP2 es svm_shap_s456_n200 (verificado por inspección directa del árbol de artefactos). Las 25 celdas con cobertura analítica reducida presentan artefactos físicamente presentes pero con diferencias de esquema; se concentran en Anchors (18 celdas) y DiCE (7 celdas), con SHAP y LIME en cobertura completa (75/75 tras la superposición de recuperación).</w:t>
      </w:r>
    </w:p>
    <w:tbl>
      <w:tblPr>
        <w:tblW w:w="5000" w:type="pct"/>
        <w:tblLayout w:type="fixed"/>
        <w:tblLook w:val="0000" w:firstRow="0" w:lastRow="0" w:firstColumn="0" w:lastColumn="0" w:noHBand="0" w:noVBand="0"/>
      </w:tblPr>
      <w:tblGrid>
        <w:gridCol w:w="9576"/>
      </w:tblGrid>
      <w:tr w:rsidR="000A4CDF" w14:paraId="054AC8CB" w14:textId="77777777">
        <w:tc>
          <w:tcPr>
            <w:tcW w:w="7920" w:type="dxa"/>
          </w:tcPr>
          <w:p w14:paraId="587F0E84" w14:textId="77777777" w:rsidR="000A4CDF" w:rsidRDefault="00000000">
            <w:pPr>
              <w:spacing w:before="200"/>
              <w:jc w:val="left"/>
            </w:pPr>
            <w:bookmarkStart w:id="111" w:name="tbl-coverage-method"/>
            <w:r>
              <w:t>Table 4.4: Cobertura analítica por método. SHAP incluye la superposición de recuperación.</w:t>
            </w:r>
          </w:p>
          <w:tbl>
            <w:tblPr>
              <w:tblW w:w="0" w:type="auto"/>
              <w:tblLook w:val="0020" w:firstRow="1" w:lastRow="0" w:firstColumn="0" w:lastColumn="0" w:noHBand="0" w:noVBand="0"/>
            </w:tblPr>
            <w:tblGrid>
              <w:gridCol w:w="1980"/>
              <w:gridCol w:w="1980"/>
              <w:gridCol w:w="1980"/>
              <w:gridCol w:w="1980"/>
            </w:tblGrid>
            <w:tr w:rsidR="000A4CDF" w14:paraId="2847F53A" w14:textId="77777777">
              <w:trPr>
                <w:tblHeader/>
              </w:trPr>
              <w:tc>
                <w:tcPr>
                  <w:tcW w:w="1980" w:type="dxa"/>
                </w:tcPr>
                <w:p w14:paraId="1D5CCD13" w14:textId="77777777" w:rsidR="000A4CDF" w:rsidRDefault="00000000">
                  <w:pPr>
                    <w:jc w:val="center"/>
                  </w:pPr>
                  <w:r>
                    <w:lastRenderedPageBreak/>
                    <w:t>Método</w:t>
                  </w:r>
                </w:p>
              </w:tc>
              <w:tc>
                <w:tcPr>
                  <w:tcW w:w="1980" w:type="dxa"/>
                </w:tcPr>
                <w:p w14:paraId="0C3413B1" w14:textId="77777777" w:rsidR="000A4CDF" w:rsidRDefault="00000000">
                  <w:pPr>
                    <w:jc w:val="center"/>
                  </w:pPr>
                  <w:r>
                    <w:t>Planificadas</w:t>
                  </w:r>
                </w:p>
              </w:tc>
              <w:tc>
                <w:tcPr>
                  <w:tcW w:w="1980" w:type="dxa"/>
                </w:tcPr>
                <w:p w14:paraId="44E43335" w14:textId="77777777" w:rsidR="000A4CDF" w:rsidRDefault="00000000">
                  <w:pPr>
                    <w:jc w:val="center"/>
                  </w:pPr>
                  <w:r>
                    <w:t>Analizables</w:t>
                  </w:r>
                </w:p>
              </w:tc>
              <w:tc>
                <w:tcPr>
                  <w:tcW w:w="1980" w:type="dxa"/>
                </w:tcPr>
                <w:p w14:paraId="018D6428" w14:textId="77777777" w:rsidR="000A4CDF" w:rsidRDefault="00000000">
                  <w:pPr>
                    <w:jc w:val="center"/>
                  </w:pPr>
                  <w:r>
                    <w:t>Cobertura</w:t>
                  </w:r>
                </w:p>
              </w:tc>
            </w:tr>
            <w:tr w:rsidR="000A4CDF" w14:paraId="2A0027C7" w14:textId="77777777">
              <w:tc>
                <w:tcPr>
                  <w:tcW w:w="1980" w:type="dxa"/>
                </w:tcPr>
                <w:p w14:paraId="6B97695E" w14:textId="77777777" w:rsidR="000A4CDF" w:rsidRDefault="00000000">
                  <w:pPr>
                    <w:jc w:val="center"/>
                  </w:pPr>
                  <w:r>
                    <w:t>SHAP</w:t>
                  </w:r>
                </w:p>
              </w:tc>
              <w:tc>
                <w:tcPr>
                  <w:tcW w:w="1980" w:type="dxa"/>
                </w:tcPr>
                <w:p w14:paraId="2AB22270" w14:textId="77777777" w:rsidR="000A4CDF" w:rsidRDefault="00000000">
                  <w:pPr>
                    <w:jc w:val="center"/>
                  </w:pPr>
                  <w:r>
                    <w:t>75</w:t>
                  </w:r>
                </w:p>
              </w:tc>
              <w:tc>
                <w:tcPr>
                  <w:tcW w:w="1980" w:type="dxa"/>
                </w:tcPr>
                <w:p w14:paraId="0EDFF87C" w14:textId="77777777" w:rsidR="000A4CDF" w:rsidRDefault="00000000">
                  <w:pPr>
                    <w:jc w:val="center"/>
                  </w:pPr>
                  <w:r>
                    <w:t>75</w:t>
                  </w:r>
                </w:p>
              </w:tc>
              <w:tc>
                <w:tcPr>
                  <w:tcW w:w="1980" w:type="dxa"/>
                </w:tcPr>
                <w:p w14:paraId="414C5FB3" w14:textId="77777777" w:rsidR="000A4CDF" w:rsidRDefault="00000000">
                  <w:pPr>
                    <w:jc w:val="center"/>
                  </w:pPr>
                  <w:r>
                    <w:t>100.0%</w:t>
                  </w:r>
                </w:p>
              </w:tc>
            </w:tr>
            <w:tr w:rsidR="000A4CDF" w14:paraId="3E6F13A2" w14:textId="77777777">
              <w:tc>
                <w:tcPr>
                  <w:tcW w:w="1980" w:type="dxa"/>
                </w:tcPr>
                <w:p w14:paraId="6302B749" w14:textId="77777777" w:rsidR="000A4CDF" w:rsidRDefault="00000000">
                  <w:pPr>
                    <w:jc w:val="center"/>
                  </w:pPr>
                  <w:r>
                    <w:t>LIME</w:t>
                  </w:r>
                </w:p>
              </w:tc>
              <w:tc>
                <w:tcPr>
                  <w:tcW w:w="1980" w:type="dxa"/>
                </w:tcPr>
                <w:p w14:paraId="7A3E5BFC" w14:textId="77777777" w:rsidR="000A4CDF" w:rsidRDefault="00000000">
                  <w:pPr>
                    <w:jc w:val="center"/>
                  </w:pPr>
                  <w:r>
                    <w:t>75</w:t>
                  </w:r>
                </w:p>
              </w:tc>
              <w:tc>
                <w:tcPr>
                  <w:tcW w:w="1980" w:type="dxa"/>
                </w:tcPr>
                <w:p w14:paraId="455BC50A" w14:textId="77777777" w:rsidR="000A4CDF" w:rsidRDefault="00000000">
                  <w:pPr>
                    <w:jc w:val="center"/>
                  </w:pPr>
                  <w:r>
                    <w:t>75</w:t>
                  </w:r>
                </w:p>
              </w:tc>
              <w:tc>
                <w:tcPr>
                  <w:tcW w:w="1980" w:type="dxa"/>
                </w:tcPr>
                <w:p w14:paraId="6CA2D916" w14:textId="77777777" w:rsidR="000A4CDF" w:rsidRDefault="00000000">
                  <w:pPr>
                    <w:jc w:val="center"/>
                  </w:pPr>
                  <w:r>
                    <w:t>100.0%</w:t>
                  </w:r>
                </w:p>
              </w:tc>
            </w:tr>
            <w:tr w:rsidR="000A4CDF" w14:paraId="658EC8F7" w14:textId="77777777">
              <w:tc>
                <w:tcPr>
                  <w:tcW w:w="1980" w:type="dxa"/>
                </w:tcPr>
                <w:p w14:paraId="46510465" w14:textId="77777777" w:rsidR="000A4CDF" w:rsidRDefault="00000000">
                  <w:pPr>
                    <w:jc w:val="center"/>
                  </w:pPr>
                  <w:r>
                    <w:t>Anchors</w:t>
                  </w:r>
                </w:p>
              </w:tc>
              <w:tc>
                <w:tcPr>
                  <w:tcW w:w="1980" w:type="dxa"/>
                </w:tcPr>
                <w:p w14:paraId="2D2268AA" w14:textId="77777777" w:rsidR="000A4CDF" w:rsidRDefault="00000000">
                  <w:pPr>
                    <w:jc w:val="center"/>
                  </w:pPr>
                  <w:r>
                    <w:t>75</w:t>
                  </w:r>
                </w:p>
              </w:tc>
              <w:tc>
                <w:tcPr>
                  <w:tcW w:w="1980" w:type="dxa"/>
                </w:tcPr>
                <w:p w14:paraId="1C1610A9" w14:textId="77777777" w:rsidR="000A4CDF" w:rsidRDefault="00000000">
                  <w:pPr>
                    <w:jc w:val="center"/>
                  </w:pPr>
                  <w:r>
                    <w:t>57</w:t>
                  </w:r>
                </w:p>
              </w:tc>
              <w:tc>
                <w:tcPr>
                  <w:tcW w:w="1980" w:type="dxa"/>
                </w:tcPr>
                <w:p w14:paraId="1589E123" w14:textId="77777777" w:rsidR="000A4CDF" w:rsidRDefault="00000000">
                  <w:pPr>
                    <w:jc w:val="center"/>
                  </w:pPr>
                  <w:r>
                    <w:t>76.0%</w:t>
                  </w:r>
                </w:p>
              </w:tc>
            </w:tr>
            <w:tr w:rsidR="000A4CDF" w14:paraId="78D4092E" w14:textId="77777777">
              <w:tc>
                <w:tcPr>
                  <w:tcW w:w="1980" w:type="dxa"/>
                </w:tcPr>
                <w:p w14:paraId="31C08FFC" w14:textId="77777777" w:rsidR="000A4CDF" w:rsidRDefault="00000000">
                  <w:pPr>
                    <w:jc w:val="center"/>
                  </w:pPr>
                  <w:r>
                    <w:t>DiCE</w:t>
                  </w:r>
                </w:p>
              </w:tc>
              <w:tc>
                <w:tcPr>
                  <w:tcW w:w="1980" w:type="dxa"/>
                </w:tcPr>
                <w:p w14:paraId="436091BC" w14:textId="77777777" w:rsidR="000A4CDF" w:rsidRDefault="00000000">
                  <w:pPr>
                    <w:jc w:val="center"/>
                  </w:pPr>
                  <w:r>
                    <w:t>75</w:t>
                  </w:r>
                </w:p>
              </w:tc>
              <w:tc>
                <w:tcPr>
                  <w:tcW w:w="1980" w:type="dxa"/>
                </w:tcPr>
                <w:p w14:paraId="6AC3B54E" w14:textId="77777777" w:rsidR="000A4CDF" w:rsidRDefault="00000000">
                  <w:pPr>
                    <w:jc w:val="center"/>
                  </w:pPr>
                  <w:r>
                    <w:t>68</w:t>
                  </w:r>
                </w:p>
              </w:tc>
              <w:tc>
                <w:tcPr>
                  <w:tcW w:w="1980" w:type="dxa"/>
                </w:tcPr>
                <w:p w14:paraId="710F73A2" w14:textId="77777777" w:rsidR="000A4CDF" w:rsidRDefault="00000000">
                  <w:pPr>
                    <w:jc w:val="center"/>
                  </w:pPr>
                  <w:r>
                    <w:t>90.7%</w:t>
                  </w:r>
                </w:p>
              </w:tc>
            </w:tr>
            <w:bookmarkEnd w:id="111"/>
          </w:tbl>
          <w:p w14:paraId="79712950" w14:textId="77777777" w:rsidR="000A4CDF" w:rsidRDefault="000A4CDF"/>
        </w:tc>
      </w:tr>
    </w:tbl>
    <w:p w14:paraId="2105C86C" w14:textId="77777777" w:rsidR="000A4CDF" w:rsidRDefault="00000000">
      <w:pPr>
        <w:pStyle w:val="Heading3"/>
      </w:pPr>
      <w:bookmarkStart w:id="112" w:name="Xcb4396ffd8bf23e7b418105a9e8d3fef7075c0b"/>
      <w:bookmarkStart w:id="113" w:name="_Toc228522581"/>
      <w:bookmarkEnd w:id="108"/>
      <w:r>
        <w:lastRenderedPageBreak/>
        <w:t>Evaluación cuantitativa del impacto estadístico</w:t>
      </w:r>
      <w:bookmarkEnd w:id="113"/>
    </w:p>
    <w:p w14:paraId="75E6A54F" w14:textId="77777777" w:rsidR="000A4CDF" w:rsidRDefault="00000000">
      <w:r>
        <w:t>El impacto de las 25 celdas ausentes se evalúa en tres dimensiones: completitud de bloques de Friedman, precisión de medias globales de Anchors y DiCE, e integridad del análisis pareado del Estudio B.</w:t>
      </w:r>
    </w:p>
    <w:p w14:paraId="2C60ABE1" w14:textId="77777777" w:rsidR="000A4CDF" w:rsidRDefault="00000000">
      <w:pPr>
        <w:pStyle w:val="BodyText"/>
      </w:pPr>
      <w:r>
        <w:rPr>
          <w:b/>
          <w:bCs/>
        </w:rPr>
        <w:t>Completitud de bloques de Friedman.</w:t>
      </w:r>
      <w:r>
        <w:t xml:space="preserve"> El test de Friedman opera sobre </w:t>
      </w:r>
      <m:oMath>
        <m:r>
          <w:rPr>
            <w:rFonts w:ascii="Cambria Math" w:hAnsi="Cambria Math"/>
          </w:rPr>
          <m:t>B</m:t>
        </m:r>
        <m:r>
          <m:rPr>
            <m:sty m:val="p"/>
          </m:rPr>
          <w:rPr>
            <w:rFonts w:ascii="Cambria Math" w:hAnsi="Cambria Math"/>
          </w:rPr>
          <m:t>=</m:t>
        </m:r>
        <m:r>
          <w:rPr>
            <w:rFonts w:ascii="Cambria Math" w:hAnsi="Cambria Math"/>
          </w:rPr>
          <m:t>15</m:t>
        </m:r>
      </m:oMath>
      <w:r>
        <w:t xml:space="preserve">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completos: un bloque es completo si los cuatro métodos tienen al menos una ejecución analizable. Verificación directa: los 15/15 bloques son completos para todos los métodos. La completitud de bloques garantiza la ejecutabilidad y validez del test de Friedman (Demšar 2006).</w:t>
      </w:r>
    </w:p>
    <w:p w14:paraId="13AEAB09" w14:textId="77777777" w:rsidR="000A4CDF" w:rsidRDefault="00000000">
      <w:pPr>
        <w:pStyle w:val="BodyText"/>
      </w:pPr>
      <w:r>
        <w:rPr>
          <w:b/>
          <w:bCs/>
        </w:rPr>
        <w:t>Impacto en la precisión de los estimados de Anchors.</w:t>
      </w:r>
      <w:r>
        <w:t xml:space="preserve"> Con 57/75 = 76.0% de cobertura, algunos bloques de Anchors se estiman con </w:t>
      </w:r>
      <m:oMath>
        <m:r>
          <w:rPr>
            <w:rFonts w:ascii="Cambria Math" w:hAnsi="Cambria Math"/>
          </w:rPr>
          <m:t>r</m:t>
        </m:r>
        <m:r>
          <m:rPr>
            <m:sty m:val="p"/>
          </m:rPr>
          <w:rPr>
            <w:rFonts w:ascii="Cambria Math" w:hAnsi="Cambria Math"/>
          </w:rPr>
          <m:t>&lt;</m:t>
        </m:r>
        <m:r>
          <w:rPr>
            <w:rFonts w:ascii="Cambria Math" w:hAnsi="Cambria Math"/>
          </w:rPr>
          <m:t>5</m:t>
        </m:r>
      </m:oMath>
      <w:r>
        <w:t xml:space="preserve"> semillas. En el caso más desfavorable (bloques logreg-Anchors y mlp-Anchors, </w:t>
      </w:r>
      <m:oMath>
        <m:r>
          <w:rPr>
            <w:rFonts w:ascii="Cambria Math" w:hAnsi="Cambria Math"/>
          </w:rPr>
          <m:t>r</m:t>
        </m:r>
        <m:r>
          <m:rPr>
            <m:sty m:val="p"/>
          </m:rPr>
          <w:rPr>
            <w:rFonts w:ascii="Cambria Math" w:hAnsi="Cambria Math"/>
          </w:rPr>
          <m:t>≈</m:t>
        </m:r>
        <m:r>
          <w:rPr>
            <w:rFonts w:ascii="Cambria Math" w:hAnsi="Cambria Math"/>
          </w:rPr>
          <m:t>2.3</m:t>
        </m:r>
      </m:oMath>
      <w:r>
        <w:t xml:space="preserve"> semillas por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la varianza del estimador de bloque se infla según:</w:t>
      </w:r>
    </w:p>
    <w:p w14:paraId="2EE43902" w14:textId="77777777" w:rsidR="000A4CDF" w:rsidRDefault="00000000">
      <w:pPr>
        <w:pStyle w:val="BodyText"/>
      </w:pPr>
      <m:oMathPara>
        <m:oMathParaPr>
          <m:jc m:val="center"/>
        </m:oMathParaPr>
        <m:oMath>
          <m:r>
            <m:rPr>
              <m:nor/>
            </m:rPr>
            <m:t>Var</m:t>
          </m:r>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up>
                  <m:r>
                    <w:rPr>
                      <w:rFonts w:ascii="Cambria Math" w:hAnsi="Cambria Math"/>
                    </w:rPr>
                    <m:t>2</m:t>
                  </m:r>
                </m:sup>
              </m:sSubSup>
            </m:num>
            <m:den>
              <m:r>
                <w:rPr>
                  <w:rFonts w:ascii="Cambria Math" w:hAnsi="Cambria Math"/>
                </w:rPr>
                <m:t>r</m:t>
              </m:r>
            </m:den>
          </m:f>
        </m:oMath>
      </m:oMathPara>
    </w:p>
    <w:p w14:paraId="046BD92C" w14:textId="77777777" w:rsidR="000A4CDF" w:rsidRDefault="00000000">
      <w:r>
        <w:lastRenderedPageBreak/>
        <w:t xml:space="preserve">Con </w:t>
      </w:r>
      <m:oMath>
        <m:r>
          <w:rPr>
            <w:rFonts w:ascii="Cambria Math" w:hAnsi="Cambria Math"/>
          </w:rPr>
          <m:t>r</m:t>
        </m:r>
        <m:r>
          <m:rPr>
            <m:sty m:val="p"/>
          </m:rPr>
          <w:rPr>
            <w:rFonts w:ascii="Cambria Math" w:hAnsi="Cambria Math"/>
          </w:rPr>
          <m:t>=</m:t>
        </m:r>
        <m:r>
          <w:rPr>
            <w:rFonts w:ascii="Cambria Math" w:hAnsi="Cambria Math"/>
          </w:rPr>
          <m:t>5</m:t>
        </m:r>
      </m:oMath>
      <w:r>
        <w:t xml:space="preserve"> planificados versus </w:t>
      </w:r>
      <m:oMath>
        <m:r>
          <w:rPr>
            <w:rFonts w:ascii="Cambria Math" w:hAnsi="Cambria Math"/>
          </w:rPr>
          <m:t>r</m:t>
        </m:r>
        <m:r>
          <m:rPr>
            <m:sty m:val="p"/>
          </m:rPr>
          <w:rPr>
            <w:rFonts w:ascii="Cambria Math" w:hAnsi="Cambria Math"/>
          </w:rPr>
          <m:t>≈</m:t>
        </m:r>
        <m:r>
          <w:rPr>
            <w:rFonts w:ascii="Cambria Math" w:hAnsi="Cambria Math"/>
          </w:rPr>
          <m:t>2.3</m:t>
        </m:r>
      </m:oMath>
      <w:r>
        <w:t xml:space="preserve"> observados, el error estándar se infla por un factor de </w:t>
      </w:r>
      <m:oMath>
        <m:rad>
          <m:radPr>
            <m:degHide m:val="1"/>
            <m:ctrlPr>
              <w:rPr>
                <w:rFonts w:ascii="Cambria Math" w:hAnsi="Cambria Math"/>
              </w:rPr>
            </m:ctrlPr>
          </m:radPr>
          <m:deg/>
          <m:e>
            <m:r>
              <w:rPr>
                <w:rFonts w:ascii="Cambria Math" w:hAnsi="Cambria Math"/>
              </w:rPr>
              <m:t>5</m:t>
            </m:r>
            <m:r>
              <m:rPr>
                <m:sty m:val="p"/>
              </m:rPr>
              <w:rPr>
                <w:rFonts w:ascii="Cambria Math" w:hAnsi="Cambria Math"/>
              </w:rPr>
              <m:t>/</m:t>
            </m:r>
            <m:r>
              <w:rPr>
                <w:rFonts w:ascii="Cambria Math" w:hAnsi="Cambria Math"/>
              </w:rPr>
              <m:t>2.3</m:t>
            </m:r>
          </m:e>
        </m:rad>
        <m:r>
          <m:rPr>
            <m:sty m:val="p"/>
          </m:rPr>
          <w:rPr>
            <w:rFonts w:ascii="Cambria Math" w:hAnsi="Cambria Math"/>
          </w:rPr>
          <m:t>≈</m:t>
        </m:r>
        <m:r>
          <w:rPr>
            <w:rFonts w:ascii="Cambria Math" w:hAnsi="Cambria Math"/>
          </w:rPr>
          <m:t>1.47</m:t>
        </m:r>
      </m:oMath>
      <w:r>
        <w:t xml:space="preserve"> (incremento del 47%). Este incremento amplía los intervalos de confianza de las medias de Anchors en esos bloques, pero no invalida el test de Friedman por tres razones: (i) el test de Friedman es un procedimiento de rangos, robusto a la inflación de varianza en bloques individuales; (ii) los estadísticos de Friedman del Estudio A superan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30.44</m:t>
        </m:r>
      </m:oMath>
      <w:r>
        <w:t xml:space="preserve"> en todas las métricas, muy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m:t>
        </m:r>
      </m:oMath>
      <w:r>
        <w:t>; (iii) el margen de seguridad para la métrica con menor estadístico (Coste) es:</w:t>
      </w:r>
    </w:p>
    <w:p w14:paraId="38771F7D" w14:textId="77777777" w:rsidR="000A4CDF"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30.44</m:t>
              </m:r>
              <m:r>
                <m:rPr>
                  <m:sty m:val="p"/>
                </m:rPr>
                <w:rPr>
                  <w:rFonts w:ascii="Cambria Math" w:hAnsi="Cambria Math"/>
                </w:rPr>
                <m:t>-</m:t>
              </m:r>
              <m:r>
                <w:rPr>
                  <w:rFonts w:ascii="Cambria Math" w:hAnsi="Cambria Math"/>
                </w:rPr>
                <m:t>7.81</m:t>
              </m:r>
            </m:num>
            <m:den>
              <m:r>
                <w:rPr>
                  <w:rFonts w:ascii="Cambria Math" w:hAnsi="Cambria Math"/>
                </w:rPr>
                <m:t>7.81</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290</m:t>
          </m:r>
          <m:r>
            <m:rPr>
              <m:sty m:val="p"/>
            </m:rPr>
            <w:rPr>
              <w:rFonts w:ascii="Cambria Math" w:hAnsi="Cambria Math"/>
            </w:rPr>
            <m:t>%</m:t>
          </m:r>
        </m:oMath>
      </m:oMathPara>
    </w:p>
    <w:p w14:paraId="4CFFC238" w14:textId="77777777" w:rsidR="000A4CDF" w:rsidRDefault="00000000">
      <w:r>
        <w:t xml:space="preserve">Incluso asumiendo una reducción del poder del 50% —hipótesis conservadora que supera la inflación de varianza calculada— el estadístico de Coste sería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15.2</m:t>
        </m:r>
      </m:oMath>
      <w:r>
        <w:t xml:space="preserve"> (</w:t>
      </w:r>
      <m:oMath>
        <m:r>
          <w:rPr>
            <w:rFonts w:ascii="Cambria Math" w:hAnsi="Cambria Math"/>
          </w:rPr>
          <m:t>p</m:t>
        </m:r>
        <m:r>
          <m:rPr>
            <m:sty m:val="p"/>
          </m:rPr>
          <w:rPr>
            <w:rFonts w:ascii="Cambria Math" w:hAnsi="Cambria Math"/>
          </w:rPr>
          <m:t>≈</m:t>
        </m:r>
        <m:r>
          <w:rPr>
            <w:rFonts w:ascii="Cambria Math" w:hAnsi="Cambria Math"/>
          </w:rPr>
          <m:t>0.0016</m:t>
        </m:r>
      </m:oMath>
      <w:r>
        <w:t xml:space="preserve">), significativo al nivel </w:t>
      </w:r>
      <m:oMath>
        <m:r>
          <w:rPr>
            <w:rFonts w:ascii="Cambria Math" w:hAnsi="Cambria Math"/>
          </w:rPr>
          <m:t>α</m:t>
        </m:r>
        <m:r>
          <m:rPr>
            <m:sty m:val="p"/>
          </m:rPr>
          <w:rPr>
            <w:rFonts w:ascii="Cambria Math" w:hAnsi="Cambria Math"/>
          </w:rPr>
          <m:t>=</m:t>
        </m:r>
        <m:r>
          <w:rPr>
            <w:rFonts w:ascii="Cambria Math" w:hAnsi="Cambria Math"/>
          </w:rPr>
          <m:t>0.05</m:t>
        </m:r>
      </m:oMath>
      <w:r>
        <w:t>.</w:t>
      </w:r>
    </w:p>
    <w:p w14:paraId="0ACAC6F2" w14:textId="77777777" w:rsidR="000A4CDF" w:rsidRDefault="00000000">
      <w:pPr>
        <w:pStyle w:val="BodyText"/>
      </w:pPr>
      <w:r>
        <w:rPr>
          <w:b/>
          <w:bCs/>
        </w:rPr>
        <w:t>Integridad del análisis pareado del Estudio B.</w:t>
      </w:r>
      <w:r>
        <w:t xml:space="preserve"> Con cobertura completa de SHAP (75/75) y LIME (75/75), la cobertura pareada del Estudio B es del 100%. Los datos faltantes de Anchors y DiCE </w:t>
      </w:r>
      <w:r>
        <w:rPr>
          <w:b/>
          <w:bCs/>
        </w:rPr>
        <w:t>no afectan</w:t>
      </w:r>
      <w:r>
        <w:t xml:space="preserve"> al Estudio B.</w:t>
      </w:r>
    </w:p>
    <w:p w14:paraId="203EFB45" w14:textId="77777777" w:rsidR="000A4CDF" w:rsidRDefault="00000000">
      <w:pPr>
        <w:pStyle w:val="BodyText"/>
      </w:pPr>
      <w:r>
        <w:rPr>
          <w:b/>
          <w:bCs/>
        </w:rPr>
        <w:t>Conclusión.</w:t>
      </w:r>
      <w:r>
        <w:t xml:space="preserve"> El impacto estadístico de los 25 artefactos analíticamente ausentes es mínimo: los tests de Friedman permanecen significativos con márgenes de seguridad </w:t>
      </w:r>
      <m:oMath>
        <m:r>
          <m:rPr>
            <m:sty m:val="p"/>
          </m:rPr>
          <w:rPr>
            <w:rFonts w:ascii="Cambria Math" w:hAnsi="Cambria Math"/>
          </w:rPr>
          <m:t>≥</m:t>
        </m:r>
        <m:r>
          <w:rPr>
            <w:rFonts w:ascii="Cambria Math" w:hAnsi="Cambria Math"/>
          </w:rPr>
          <m:t>290</m:t>
        </m:r>
        <m:r>
          <m:rPr>
            <m:sty m:val="p"/>
          </m:rPr>
          <w:rPr>
            <w:rFonts w:ascii="Cambria Math" w:hAnsi="Cambria Math"/>
          </w:rPr>
          <m:t>%</m:t>
        </m:r>
      </m:oMath>
      <w:r>
        <w:t>, el análisis pareado del Estudio B tiene cobertura completa, y la única limitación real son los intervalos de confianza de Anchors en los bloques logreg y mlp. Esta limitación se registra como caveat explícito en la interpretación de los resultados del Capítulo 4.</w:t>
      </w:r>
    </w:p>
    <w:p w14:paraId="2B3A593D" w14:textId="77777777" w:rsidR="000A4CDF" w:rsidRDefault="00000000">
      <w:pPr>
        <w:pStyle w:val="Heading2"/>
      </w:pPr>
      <w:bookmarkStart w:id="114" w:name="plan-de-inferencia-estadística"/>
      <w:bookmarkStart w:id="115" w:name="_Toc228522582"/>
      <w:bookmarkEnd w:id="106"/>
      <w:bookmarkEnd w:id="112"/>
      <w:r>
        <w:lastRenderedPageBreak/>
        <w:t>Plan de inferencia estadística</w:t>
      </w:r>
      <w:bookmarkEnd w:id="115"/>
    </w:p>
    <w:p w14:paraId="787E4476" w14:textId="77777777" w:rsidR="000A4CDF" w:rsidRDefault="00000000">
      <w:pPr>
        <w:pStyle w:val="Heading3"/>
      </w:pPr>
      <w:bookmarkStart w:id="116" w:name="estudio-a-test-omnibus-de-friedman"/>
      <w:bookmarkStart w:id="117" w:name="_Toc228522583"/>
      <w:r>
        <w:t>Estudio A: test omnibus de Friedman</w:t>
      </w:r>
      <w:bookmarkEnd w:id="117"/>
    </w:p>
    <w:p w14:paraId="1F1551C3" w14:textId="77777777" w:rsidR="000A4CDF" w:rsidRDefault="00000000">
      <w:r>
        <w:t xml:space="preserve">Para contrastar H1 y H2, se aplica el test de Friedman (Friedman 1937) sobre los </w:t>
      </w:r>
      <m:oMath>
        <m:r>
          <w:rPr>
            <w:rFonts w:ascii="Cambria Math" w:hAnsi="Cambria Math"/>
          </w:rPr>
          <m:t>B</m:t>
        </m:r>
        <m:r>
          <m:rPr>
            <m:sty m:val="p"/>
          </m:rPr>
          <w:rPr>
            <w:rFonts w:ascii="Cambria Math" w:hAnsi="Cambria Math"/>
          </w:rPr>
          <m:t>=</m:t>
        </m:r>
        <m:r>
          <w:rPr>
            <w:rFonts w:ascii="Cambria Math" w:hAnsi="Cambria Math"/>
          </w:rPr>
          <m:t>15</m:t>
        </m:r>
      </m:oMath>
      <w:r>
        <w:t xml:space="preserve"> bloques completos con </w:t>
      </w:r>
      <m:oMath>
        <m:r>
          <w:rPr>
            <w:rFonts w:ascii="Cambria Math" w:hAnsi="Cambria Math"/>
          </w:rPr>
          <m:t>k</m:t>
        </m:r>
        <m:r>
          <m:rPr>
            <m:sty m:val="p"/>
          </m:rPr>
          <w:rPr>
            <w:rFonts w:ascii="Cambria Math" w:hAnsi="Cambria Math"/>
          </w:rPr>
          <m:t>=</m:t>
        </m:r>
        <m:r>
          <w:rPr>
            <w:rFonts w:ascii="Cambria Math" w:hAnsi="Cambria Math"/>
          </w:rPr>
          <m:t>4</m:t>
        </m:r>
      </m:oMath>
      <w:r>
        <w:t xml:space="preserve"> tratamientos. El estadístico se calcula sobre los rangos </w:t>
      </w:r>
      <m:oMath>
        <m:sSub>
          <m:sSubPr>
            <m:ctrlPr>
              <w:rPr>
                <w:rFonts w:ascii="Cambria Math" w:hAnsi="Cambria Math"/>
              </w:rPr>
            </m:ctrlPr>
          </m:sSubPr>
          <m:e>
            <m:r>
              <w:rPr>
                <w:rFonts w:ascii="Cambria Math" w:hAnsi="Cambria Math"/>
              </w:rPr>
              <m:t>r</m:t>
            </m:r>
          </m:e>
          <m:sub>
            <m:r>
              <w:rPr>
                <w:rFonts w:ascii="Cambria Math" w:hAnsi="Cambria Math"/>
              </w:rPr>
              <m:t>bj</m:t>
            </m:r>
          </m:sub>
        </m:sSub>
      </m:oMath>
      <w:r>
        <w:t xml:space="preserve"> de cada tratamiento </w:t>
      </w:r>
      <m:oMath>
        <m:r>
          <w:rPr>
            <w:rFonts w:ascii="Cambria Math" w:hAnsi="Cambria Math"/>
          </w:rPr>
          <m:t>j</m:t>
        </m:r>
      </m:oMath>
      <w:r>
        <w:t xml:space="preserve"> dentro de cada bloque </w:t>
      </w:r>
      <m:oMath>
        <m:r>
          <w:rPr>
            <w:rFonts w:ascii="Cambria Math" w:hAnsi="Cambria Math"/>
          </w:rPr>
          <m:t>b</m:t>
        </m:r>
      </m:oMath>
      <w:r>
        <w:t>:</w:t>
      </w:r>
    </w:p>
    <w:p w14:paraId="0FEE7917" w14:textId="77777777" w:rsidR="000A4CD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12B</m:t>
              </m:r>
            </m:num>
            <m:den>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2</m:t>
                          </m:r>
                        </m:den>
                      </m:f>
                    </m:e>
                  </m:d>
                </m:e>
                <m:sup>
                  <m:r>
                    <w:rPr>
                      <w:rFonts w:ascii="Cambria Math" w:hAnsi="Cambria Math"/>
                    </w:rPr>
                    <m:t>2</m:t>
                  </m:r>
                </m:sup>
              </m:sSup>
            </m:e>
          </m:nary>
        </m:oMath>
      </m:oMathPara>
    </w:p>
    <w:p w14:paraId="4AA81343" w14:textId="77777777" w:rsidR="000A4CDF" w:rsidRDefault="00000000">
      <w:r>
        <w:t xml:space="preserve">donde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r>
                  <w:rPr>
                    <w:rFonts w:ascii="Cambria Math" w:hAnsi="Cambria Math"/>
                  </w:rPr>
                  <m:t>r</m:t>
                </m:r>
              </m:e>
              <m:sub>
                <m:r>
                  <w:rPr>
                    <w:rFonts w:ascii="Cambria Math" w:hAnsi="Cambria Math"/>
                  </w:rPr>
                  <m:t>bj</m:t>
                </m:r>
              </m:sub>
            </m:sSub>
          </m:e>
        </m:nary>
      </m:oMath>
      <w:r>
        <w:t xml:space="preserve">. Bajo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2</m:t>
            </m:r>
          </m:sup>
        </m:sSubSup>
      </m:oMath>
      <w:r>
        <w:t xml:space="preserve"> asintóticamente para </w:t>
      </w:r>
      <m:oMath>
        <m:r>
          <w:rPr>
            <w:rFonts w:ascii="Cambria Math" w:hAnsi="Cambria Math"/>
          </w:rPr>
          <m:t>B</m:t>
        </m:r>
        <m:r>
          <m:rPr>
            <m:sty m:val="p"/>
          </m:rPr>
          <w:rPr>
            <w:rFonts w:ascii="Cambria Math" w:hAnsi="Cambria Math"/>
          </w:rPr>
          <m:t>≥</m:t>
        </m:r>
        <m:r>
          <w:rPr>
            <w:rFonts w:ascii="Cambria Math" w:hAnsi="Cambria Math"/>
          </w:rPr>
          <m:t>10</m:t>
        </m:r>
      </m:oMath>
      <w:r>
        <w:t xml:space="preserve"> (Demšar 2006). El tamaño del efecto se reporta mediante la </w:t>
      </w:r>
      <m:oMath>
        <m:r>
          <w:rPr>
            <w:rFonts w:ascii="Cambria Math" w:hAnsi="Cambria Math"/>
          </w:rPr>
          <m:t>W</m:t>
        </m:r>
      </m:oMath>
      <w:r>
        <w:t xml:space="preserve"> de Kendall:</w:t>
      </w:r>
    </w:p>
    <w:p w14:paraId="2CF7DC1D" w14:textId="77777777" w:rsidR="000A4CDF" w:rsidRDefault="00000000">
      <w:pPr>
        <w:pStyle w:val="BodyText"/>
      </w:pPr>
      <m:oMathPara>
        <m:oMathParaPr>
          <m:jc m:val="center"/>
        </m:oMathParaPr>
        <m:oMath>
          <m:r>
            <w:rPr>
              <w:rFonts w:ascii="Cambria Math" w:hAnsi="Cambria Math"/>
            </w:rPr>
            <m:t>W</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num>
            <m:den>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BC41828" w14:textId="77777777" w:rsidR="000A4CDF" w:rsidRDefault="00000000">
      <w:r>
        <w:t xml:space="preserve">donde </w:t>
      </w:r>
      <m:oMath>
        <m:r>
          <w:rPr>
            <w:rFonts w:ascii="Cambria Math" w:hAnsi="Cambria Math"/>
          </w:rPr>
          <m:t>W</m:t>
        </m:r>
        <m:r>
          <m:rPr>
            <m:sty m:val="p"/>
          </m:rPr>
          <w:rPr>
            <w:rFonts w:ascii="Cambria Math" w:hAnsi="Cambria Math"/>
          </w:rPr>
          <m:t>=</m:t>
        </m:r>
        <m:r>
          <w:rPr>
            <w:rFonts w:ascii="Cambria Math" w:hAnsi="Cambria Math"/>
          </w:rPr>
          <m:t>1</m:t>
        </m:r>
      </m:oMath>
      <w:r>
        <w:t xml:space="preserve"> indica concordancia perfecta entre bloques.</w:t>
      </w:r>
    </w:p>
    <w:p w14:paraId="6CDF8547" w14:textId="77777777" w:rsidR="000A4CDF" w:rsidRDefault="00000000">
      <w:pPr>
        <w:pStyle w:val="Heading3"/>
      </w:pPr>
      <w:bookmarkStart w:id="118" w:name="localización-post-hoc-nemenyi"/>
      <w:bookmarkStart w:id="119" w:name="_Toc228522584"/>
      <w:bookmarkEnd w:id="116"/>
      <w:r>
        <w:t>Localización post-hoc: Nemenyi</w:t>
      </w:r>
      <w:bookmarkEnd w:id="119"/>
    </w:p>
    <w:p w14:paraId="5608F153" w14:textId="77777777" w:rsidR="000A4CDF" w:rsidRDefault="00000000">
      <w:r>
        <w:t xml:space="preserve">Cuando Friedman rechaza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se aplica la prueba post-hoc de Nemenyi (Nemenyi 1963). La diferencia crítica al nivel </w:t>
      </w:r>
      <m:oMath>
        <m:r>
          <w:rPr>
            <w:rFonts w:ascii="Cambria Math" w:hAnsi="Cambria Math"/>
          </w:rPr>
          <m:t>α</m:t>
        </m:r>
        <m:r>
          <m:rPr>
            <m:sty m:val="p"/>
          </m:rPr>
          <w:rPr>
            <w:rFonts w:ascii="Cambria Math" w:hAnsi="Cambria Math"/>
          </w:rPr>
          <m:t>=</m:t>
        </m:r>
        <m:r>
          <w:rPr>
            <w:rFonts w:ascii="Cambria Math" w:hAnsi="Cambria Math"/>
          </w:rPr>
          <m:t>0.05</m:t>
        </m:r>
      </m:oMath>
      <w:r>
        <w:t xml:space="preserve"> con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B</m:t>
        </m:r>
        <m:r>
          <m:rPr>
            <m:sty m:val="p"/>
          </m:rPr>
          <w:rPr>
            <w:rFonts w:ascii="Cambria Math" w:hAnsi="Cambria Math"/>
          </w:rPr>
          <m:t>=</m:t>
        </m:r>
        <m:r>
          <w:rPr>
            <w:rFonts w:ascii="Cambria Math" w:hAnsi="Cambria Math"/>
          </w:rPr>
          <m:t>15</m:t>
        </m:r>
      </m:oMath>
      <w:r>
        <w:t xml:space="preserve"> es:</w:t>
      </w:r>
    </w:p>
    <w:p w14:paraId="301ED2CC" w14:textId="77777777" w:rsidR="000A4CDF" w:rsidRPr="001B51D7" w:rsidRDefault="00000000">
      <w:pPr>
        <w:pStyle w:val="BodyText"/>
        <w:rPr>
          <w:lang w:val="en-US"/>
        </w:rPr>
      </w:pPr>
      <m:oMathPara>
        <m:oMathParaPr>
          <m:jc m:val="center"/>
        </m:oMathParaPr>
        <m:oMath>
          <m:r>
            <m:rPr>
              <m:nor/>
            </m:rPr>
            <w:rPr>
              <w:lang w:val="en-US"/>
            </w:rPr>
            <m:t>CD</m:t>
          </m:r>
          <m:r>
            <m:rPr>
              <m:sty m:val="p"/>
            </m:rP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lang w:val="en-US"/>
                    </w:rPr>
                    <m:t>1</m:t>
                  </m:r>
                  <m:r>
                    <m:rPr>
                      <m:sty m:val="p"/>
                    </m:rPr>
                    <w:rPr>
                      <w:rFonts w:ascii="Cambria Math" w:hAnsi="Cambria Math"/>
                      <w:lang w:val="en-US"/>
                    </w:rPr>
                    <m:t>)</m:t>
                  </m:r>
                </m:num>
                <m:den>
                  <m:r>
                    <w:rPr>
                      <w:rFonts w:ascii="Cambria Math" w:hAnsi="Cambria Math"/>
                      <w:lang w:val="en-US"/>
                    </w:rPr>
                    <m:t>6</m:t>
                  </m:r>
                  <m:r>
                    <w:rPr>
                      <w:rFonts w:ascii="Cambria Math" w:hAnsi="Cambria Math"/>
                    </w:rPr>
                    <m:t>B</m:t>
                  </m:r>
                </m:den>
              </m:f>
            </m:e>
          </m:rad>
          <m:r>
            <m:rPr>
              <m:sty m:val="p"/>
            </m:rPr>
            <w:rPr>
              <w:rFonts w:ascii="Cambria Math" w:hAnsi="Cambria Math"/>
              <w:lang w:val="en-US"/>
            </w:rPr>
            <m:t>≈</m:t>
          </m:r>
          <m:r>
            <w:rPr>
              <w:rFonts w:ascii="Cambria Math" w:hAnsi="Cambria Math"/>
              <w:lang w:val="en-US"/>
            </w:rPr>
            <m:t>2.569</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w:rPr>
                      <w:rFonts w:ascii="Cambria Math" w:hAnsi="Cambria Math"/>
                      <w:lang w:val="en-US"/>
                    </w:rPr>
                    <m:t>4</m:t>
                  </m:r>
                  <m:r>
                    <m:rPr>
                      <m:sty m:val="p"/>
                    </m:rPr>
                    <w:rPr>
                      <w:rFonts w:ascii="Cambria Math" w:hAnsi="Cambria Math"/>
                      <w:lang w:val="en-US"/>
                    </w:rPr>
                    <m:t>×</m:t>
                  </m:r>
                  <m:r>
                    <w:rPr>
                      <w:rFonts w:ascii="Cambria Math" w:hAnsi="Cambria Math"/>
                      <w:lang w:val="en-US"/>
                    </w:rPr>
                    <m:t>5</m:t>
                  </m:r>
                </m:num>
                <m:den>
                  <m:r>
                    <w:rPr>
                      <w:rFonts w:ascii="Cambria Math" w:hAnsi="Cambria Math"/>
                      <w:lang w:val="en-US"/>
                    </w:rPr>
                    <m:t>6</m:t>
                  </m:r>
                  <m:r>
                    <m:rPr>
                      <m:sty m:val="p"/>
                    </m:rPr>
                    <w:rPr>
                      <w:rFonts w:ascii="Cambria Math" w:hAnsi="Cambria Math"/>
                      <w:lang w:val="en-US"/>
                    </w:rPr>
                    <m:t>×</m:t>
                  </m:r>
                  <m:r>
                    <w:rPr>
                      <w:rFonts w:ascii="Cambria Math" w:hAnsi="Cambria Math"/>
                      <w:lang w:val="en-US"/>
                    </w:rPr>
                    <m:t>15</m:t>
                  </m:r>
                </m:den>
              </m:f>
            </m:e>
          </m:rad>
          <m:r>
            <m:rPr>
              <m:sty m:val="p"/>
            </m:rPr>
            <w:rPr>
              <w:rFonts w:ascii="Cambria Math" w:hAnsi="Cambria Math"/>
              <w:lang w:val="en-US"/>
            </w:rPr>
            <m:t>≈</m:t>
          </m:r>
          <m:r>
            <w:rPr>
              <w:rFonts w:ascii="Cambria Math" w:hAnsi="Cambria Math"/>
              <w:lang w:val="en-US"/>
            </w:rPr>
            <m:t>1.211</m:t>
          </m:r>
          <m:r>
            <m:rPr>
              <m:nor/>
            </m:rPr>
            <w:rPr>
              <w:lang w:val="en-US"/>
            </w:rPr>
            <m:t xml:space="preserve"> rangos</m:t>
          </m:r>
        </m:oMath>
      </m:oMathPara>
    </w:p>
    <w:p w14:paraId="2989A730" w14:textId="77777777" w:rsidR="000A4CDF" w:rsidRDefault="00000000">
      <w:r>
        <w:t xml:space="preserve">Dos métodos se consideran significativamente distintos si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|&gt;</m:t>
        </m:r>
        <m:r>
          <m:rPr>
            <m:nor/>
          </m:rPr>
          <m:t>CD</m:t>
        </m:r>
      </m:oMath>
      <w:r>
        <w:t>.</w:t>
      </w:r>
    </w:p>
    <w:p w14:paraId="20DFB66E" w14:textId="77777777" w:rsidR="000A4CDF" w:rsidRDefault="00000000">
      <w:pPr>
        <w:pStyle w:val="Heading3"/>
      </w:pPr>
      <w:bookmarkStart w:id="120" w:name="X82a710d830240cc18776e0ef609d9e71b3f53e7"/>
      <w:bookmarkStart w:id="121" w:name="_Toc228522585"/>
      <w:bookmarkEnd w:id="118"/>
      <w:r>
        <w:lastRenderedPageBreak/>
        <w:t>Wilcoxon pareado: conjuntos de 45 y 75 celdas</w:t>
      </w:r>
      <w:bookmarkEnd w:id="121"/>
    </w:p>
    <w:p w14:paraId="41665335" w14:textId="77777777" w:rsidR="000A4CDF" w:rsidRDefault="00000000">
      <w:r>
        <w:t xml:space="preserve">Para contrastar H3 se aplica el test de Wilcoxon con rangos con signo bilateral (Wilcoxon 1945) sobre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SHAP</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LIME</m:t>
            </m:r>
            <m:r>
              <m:rPr>
                <m:sty m:val="p"/>
              </m:rPr>
              <w:rPr>
                <w:rFonts w:ascii="Cambria Math" w:hAnsi="Cambria Math"/>
              </w:rPr>
              <m:t>,</m:t>
            </m:r>
            <m:r>
              <w:rPr>
                <w:rFonts w:ascii="Cambria Math" w:hAnsi="Cambria Math"/>
              </w:rPr>
              <m:t>i</m:t>
            </m:r>
          </m:sub>
        </m:sSub>
      </m:oMath>
      <w:r>
        <w:t xml:space="preserve"> en dos conjuntos:</w:t>
      </w:r>
    </w:p>
    <w:p w14:paraId="0D92E968" w14:textId="77777777" w:rsidR="000A4CDF" w:rsidRDefault="00000000">
      <w:pPr>
        <w:numPr>
          <w:ilvl w:val="0"/>
          <w:numId w:val="62"/>
        </w:numPr>
      </w:pPr>
      <w:r>
        <w:rPr>
          <w:b/>
          <w:bCs/>
        </w:rPr>
        <w:t>Wilcoxon-45</w:t>
      </w:r>
      <w:r>
        <w:t xml:space="preserve">: 45 celdas con </w:t>
      </w:r>
      <m:oMath>
        <m:r>
          <w:rPr>
            <w:rFonts w:ascii="Cambria Math" w:hAnsi="Cambria Math"/>
          </w:rPr>
          <m:t>g</m:t>
        </m:r>
        <m:r>
          <m:rPr>
            <m:sty m:val="p"/>
          </m:rPr>
          <w:rPr>
            <w:rFonts w:ascii="Cambria Math" w:hAnsi="Cambria Math"/>
          </w:rPr>
          <m:t>∈{</m:t>
        </m:r>
      </m:oMath>
      <w:r>
        <w:t>logreg, rf, xgb</w:t>
      </w:r>
      <m:oMath>
        <m:r>
          <m:rPr>
            <m:sty m:val="p"/>
          </m:rPr>
          <w:rPr>
            <w:rFonts w:ascii="Cambria Math" w:hAnsi="Cambria Math"/>
          </w:rPr>
          <m:t>}</m:t>
        </m:r>
      </m:oMath>
      <w:r>
        <w:t xml:space="preserve"> (conjunto primario con TreeSHAP exacto).</w:t>
      </w:r>
    </w:p>
    <w:p w14:paraId="5810E364" w14:textId="77777777" w:rsidR="000A4CDF" w:rsidRDefault="00000000">
      <w:pPr>
        <w:numPr>
          <w:ilvl w:val="0"/>
          <w:numId w:val="62"/>
        </w:numPr>
      </w:pPr>
      <w:r>
        <w:rPr>
          <w:b/>
          <w:bCs/>
        </w:rPr>
        <w:t>Wilcoxon-75</w:t>
      </w:r>
      <w:r>
        <w:t>: 75 celdas completas (análisis de sensibilidad que incluye SVM y MLP con KernelSHAP).</w:t>
      </w:r>
    </w:p>
    <w:p w14:paraId="1AF05E67" w14:textId="77777777" w:rsidR="000A4CDF" w:rsidRDefault="00000000">
      <w:r>
        <w:t xml:space="preserve">El tamaño del efecto se reporta como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de Cohen (Lakens 2013):</w:t>
      </w:r>
    </w:p>
    <w:p w14:paraId="12625E8D" w14:textId="77777777" w:rsidR="000A4CD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d</m:t>
                  </m:r>
                </m:e>
              </m:acc>
            </m:num>
            <m:den>
              <m:sSub>
                <m:sSubPr>
                  <m:ctrlPr>
                    <w:rPr>
                      <w:rFonts w:ascii="Cambria Math" w:hAnsi="Cambria Math"/>
                    </w:rPr>
                  </m:ctrlPr>
                </m:sSubPr>
                <m:e>
                  <m:r>
                    <w:rPr>
                      <w:rFonts w:ascii="Cambria Math" w:hAnsi="Cambria Math"/>
                    </w:rPr>
                    <m:t>s</m:t>
                  </m:r>
                </m:e>
                <m:sub>
                  <m:r>
                    <w:rPr>
                      <w:rFonts w:ascii="Cambria Math" w:hAnsi="Cambria Math"/>
                    </w:rPr>
                    <m:t>d</m:t>
                  </m:r>
                </m:sub>
              </m:sSub>
            </m:den>
          </m:f>
        </m:oMath>
      </m:oMathPara>
    </w:p>
    <w:p w14:paraId="62D2057C" w14:textId="77777777" w:rsidR="000A4CDF" w:rsidRDefault="00000000">
      <w:r>
        <w:t>con interpretación convencional: pequeño (</w:t>
      </w:r>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0.5</m:t>
        </m:r>
      </m:oMath>
      <w:r>
        <w:t>), mediano (</w:t>
      </w:r>
      <m:oMath>
        <m:r>
          <w:rPr>
            <w:rFonts w:ascii="Cambria Math" w:hAnsi="Cambria Math"/>
          </w:rPr>
          <m:t>0.5</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0.8</m:t>
        </m:r>
      </m:oMath>
      <w:r>
        <w:t>),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m:t>
        </m:r>
      </m:oMath>
      <w:r>
        <w:t>).</w:t>
      </w:r>
    </w:p>
    <w:p w14:paraId="2E296414" w14:textId="77777777" w:rsidR="000A4CDF" w:rsidRDefault="00000000">
      <w:pPr>
        <w:pStyle w:val="Heading3"/>
      </w:pPr>
      <w:bookmarkStart w:id="122" w:name="control-de-multiplicidad"/>
      <w:bookmarkStart w:id="123" w:name="_Toc228522586"/>
      <w:bookmarkEnd w:id="120"/>
      <w:r>
        <w:t>Control de multiplicidad</w:t>
      </w:r>
      <w:bookmarkEnd w:id="123"/>
    </w:p>
    <w:p w14:paraId="04F11AAD" w14:textId="77777777" w:rsidR="000A4CDF" w:rsidRDefault="00000000">
      <w:r>
        <w:t>Las pruebas se organizan en tres familias inferenciales independientes, con corrección de Holm-Bonferroni dentro de cada familia:</w:t>
      </w:r>
    </w:p>
    <w:tbl>
      <w:tblPr>
        <w:tblW w:w="5000" w:type="pct"/>
        <w:tblLayout w:type="fixed"/>
        <w:tblLook w:val="0000" w:firstRow="0" w:lastRow="0" w:firstColumn="0" w:lastColumn="0" w:noHBand="0" w:noVBand="0"/>
      </w:tblPr>
      <w:tblGrid>
        <w:gridCol w:w="9576"/>
      </w:tblGrid>
      <w:tr w:rsidR="000A4CDF" w14:paraId="18742DAC" w14:textId="77777777">
        <w:tc>
          <w:tcPr>
            <w:tcW w:w="7920" w:type="dxa"/>
          </w:tcPr>
          <w:p w14:paraId="3099164C" w14:textId="77777777" w:rsidR="000A4CDF" w:rsidRDefault="00000000">
            <w:pPr>
              <w:spacing w:before="200"/>
              <w:jc w:val="left"/>
            </w:pPr>
            <w:bookmarkStart w:id="124" w:name="tbl-stat-plan"/>
            <w:r>
              <w:t>Table 4.5: Familias inferenciales y control de multiplicidad. No se aplica corrección conjunta entre familias; cada familia responde a una pregunta con unidades de análisis distintas (Demšar 2006).</w:t>
            </w:r>
          </w:p>
          <w:tbl>
            <w:tblPr>
              <w:tblW w:w="5000" w:type="pct"/>
              <w:tblLayout w:type="fixed"/>
              <w:tblLook w:val="0020" w:firstRow="1" w:lastRow="0" w:firstColumn="0" w:lastColumn="0" w:noHBand="0" w:noVBand="0"/>
            </w:tblPr>
            <w:tblGrid>
              <w:gridCol w:w="2553"/>
              <w:gridCol w:w="1985"/>
              <w:gridCol w:w="1418"/>
              <w:gridCol w:w="3404"/>
            </w:tblGrid>
            <w:tr w:rsidR="000A4CDF" w14:paraId="25A98DAB" w14:textId="77777777">
              <w:trPr>
                <w:tblHeader/>
              </w:trPr>
              <w:tc>
                <w:tcPr>
                  <w:tcW w:w="2160" w:type="dxa"/>
                </w:tcPr>
                <w:p w14:paraId="7BF924F7" w14:textId="77777777" w:rsidR="000A4CDF" w:rsidRDefault="00000000">
                  <w:pPr>
                    <w:jc w:val="center"/>
                  </w:pPr>
                  <w:r>
                    <w:t>Familia</w:t>
                  </w:r>
                </w:p>
              </w:tc>
              <w:tc>
                <w:tcPr>
                  <w:tcW w:w="1680" w:type="dxa"/>
                </w:tcPr>
                <w:p w14:paraId="200C2340" w14:textId="77777777" w:rsidR="000A4CDF" w:rsidRDefault="00000000">
                  <w:pPr>
                    <w:jc w:val="center"/>
                  </w:pPr>
                  <w:r>
                    <w:t>Tests</w:t>
                  </w:r>
                </w:p>
              </w:tc>
              <w:tc>
                <w:tcPr>
                  <w:tcW w:w="1200" w:type="dxa"/>
                </w:tcPr>
                <w:p w14:paraId="0CB10A1F" w14:textId="77777777" w:rsidR="000A4CDF" w:rsidRDefault="00000000">
                  <w:pPr>
                    <w:jc w:val="center"/>
                  </w:pPr>
                  <m:oMathPara>
                    <m:oMath>
                      <m:r>
                        <w:rPr>
                          <w:rFonts w:ascii="Cambria Math" w:hAnsi="Cambria Math"/>
                        </w:rPr>
                        <m:t>n</m:t>
                      </m:r>
                    </m:oMath>
                  </m:oMathPara>
                </w:p>
              </w:tc>
              <w:tc>
                <w:tcPr>
                  <w:tcW w:w="2880" w:type="dxa"/>
                </w:tcPr>
                <w:p w14:paraId="7EDDFFC1" w14:textId="77777777" w:rsidR="000A4CDF" w:rsidRDefault="00000000">
                  <w:pPr>
                    <w:jc w:val="center"/>
                  </w:pPr>
                  <w:r>
                    <w:t>Corrección</w:t>
                  </w:r>
                </w:p>
              </w:tc>
            </w:tr>
            <w:tr w:rsidR="000A4CDF" w14:paraId="087A366D" w14:textId="77777777">
              <w:tc>
                <w:tcPr>
                  <w:tcW w:w="2160" w:type="dxa"/>
                </w:tcPr>
                <w:p w14:paraId="74ACAB04" w14:textId="77777777" w:rsidR="000A4CDF" w:rsidRDefault="00000000">
                  <w:pPr>
                    <w:jc w:val="center"/>
                  </w:pPr>
                  <w:r>
                    <w:lastRenderedPageBreak/>
                    <w:t>Friedman (Estudio A)</w:t>
                  </w:r>
                </w:p>
              </w:tc>
              <w:tc>
                <w:tcPr>
                  <w:tcW w:w="1680" w:type="dxa"/>
                </w:tcPr>
                <w:p w14:paraId="1F29A6C0" w14:textId="77777777" w:rsidR="000A4CDF" w:rsidRDefault="00000000">
                  <w:pPr>
                    <w:jc w:val="center"/>
                  </w:pPr>
                  <w:r>
                    <w:t>5 (uno por métrica)</w:t>
                  </w:r>
                </w:p>
              </w:tc>
              <w:tc>
                <w:tcPr>
                  <w:tcW w:w="1200" w:type="dxa"/>
                </w:tcPr>
                <w:p w14:paraId="1BEED59D" w14:textId="77777777" w:rsidR="000A4CDF" w:rsidRDefault="00000000">
                  <w:pPr>
                    <w:jc w:val="center"/>
                  </w:pPr>
                  <w:r>
                    <w:t>15 bloques</w:t>
                  </w:r>
                </w:p>
              </w:tc>
              <w:tc>
                <w:tcPr>
                  <w:tcW w:w="2880" w:type="dxa"/>
                </w:tcPr>
                <w:p w14:paraId="3485B4EA" w14:textId="77777777" w:rsidR="000A4CDF" w:rsidRDefault="00000000">
                  <w:pPr>
                    <w:jc w:val="center"/>
                  </w:pPr>
                  <w:r>
                    <w:t>Holm-Bonferroni</w:t>
                  </w:r>
                </w:p>
              </w:tc>
            </w:tr>
            <w:tr w:rsidR="000A4CDF" w14:paraId="06C8DC25" w14:textId="77777777">
              <w:tc>
                <w:tcPr>
                  <w:tcW w:w="2160" w:type="dxa"/>
                </w:tcPr>
                <w:p w14:paraId="538696AA" w14:textId="77777777" w:rsidR="000A4CDF" w:rsidRDefault="00000000">
                  <w:pPr>
                    <w:jc w:val="center"/>
                  </w:pPr>
                  <w:r>
                    <w:t>Wilcoxon-45 (Estudio A)</w:t>
                  </w:r>
                </w:p>
              </w:tc>
              <w:tc>
                <w:tcPr>
                  <w:tcW w:w="1680" w:type="dxa"/>
                </w:tcPr>
                <w:p w14:paraId="6D4ED1E5" w14:textId="77777777" w:rsidR="000A4CDF" w:rsidRDefault="00000000">
                  <w:pPr>
                    <w:jc w:val="center"/>
                  </w:pPr>
                  <w:r>
                    <w:t>5</w:t>
                  </w:r>
                </w:p>
              </w:tc>
              <w:tc>
                <w:tcPr>
                  <w:tcW w:w="1200" w:type="dxa"/>
                </w:tcPr>
                <w:p w14:paraId="03D72BBE" w14:textId="77777777" w:rsidR="000A4CDF" w:rsidRDefault="00000000">
                  <w:pPr>
                    <w:jc w:val="center"/>
                  </w:pPr>
                  <w:r>
                    <w:t>45 celdas</w:t>
                  </w:r>
                </w:p>
              </w:tc>
              <w:tc>
                <w:tcPr>
                  <w:tcW w:w="2880" w:type="dxa"/>
                </w:tcPr>
                <w:p w14:paraId="70B5BAB6" w14:textId="77777777" w:rsidR="000A4CDF" w:rsidRDefault="00000000">
                  <w:pPr>
                    <w:jc w:val="center"/>
                  </w:pPr>
                  <w:r>
                    <w:t>Holm-Bonferroni</w:t>
                  </w:r>
                </w:p>
              </w:tc>
            </w:tr>
            <w:tr w:rsidR="000A4CDF" w14:paraId="778573E2" w14:textId="77777777">
              <w:tc>
                <w:tcPr>
                  <w:tcW w:w="2160" w:type="dxa"/>
                </w:tcPr>
                <w:p w14:paraId="62B22D03" w14:textId="77777777" w:rsidR="000A4CDF" w:rsidRDefault="00000000">
                  <w:pPr>
                    <w:jc w:val="center"/>
                  </w:pPr>
                  <w:r>
                    <w:t>Wilcoxon-75 (Estudios A y B)</w:t>
                  </w:r>
                </w:p>
              </w:tc>
              <w:tc>
                <w:tcPr>
                  <w:tcW w:w="1680" w:type="dxa"/>
                </w:tcPr>
                <w:p w14:paraId="6875C76B" w14:textId="77777777" w:rsidR="000A4CDF" w:rsidRDefault="00000000">
                  <w:pPr>
                    <w:jc w:val="center"/>
                  </w:pPr>
                  <w:r>
                    <w:t>5</w:t>
                  </w:r>
                </w:p>
              </w:tc>
              <w:tc>
                <w:tcPr>
                  <w:tcW w:w="1200" w:type="dxa"/>
                </w:tcPr>
                <w:p w14:paraId="09705354" w14:textId="77777777" w:rsidR="000A4CDF" w:rsidRDefault="00000000">
                  <w:pPr>
                    <w:jc w:val="center"/>
                  </w:pPr>
                  <w:r>
                    <w:t>75 celdas</w:t>
                  </w:r>
                </w:p>
              </w:tc>
              <w:tc>
                <w:tcPr>
                  <w:tcW w:w="2880" w:type="dxa"/>
                </w:tcPr>
                <w:p w14:paraId="35396FDE" w14:textId="77777777" w:rsidR="000A4CDF" w:rsidRDefault="00000000">
                  <w:pPr>
                    <w:jc w:val="center"/>
                  </w:pPr>
                  <w:r>
                    <w:t>Holm-Bonferroni</w:t>
                  </w:r>
                </w:p>
              </w:tc>
            </w:tr>
            <w:bookmarkEnd w:id="124"/>
          </w:tbl>
          <w:p w14:paraId="55BB95F1" w14:textId="77777777" w:rsidR="000A4CDF" w:rsidRDefault="000A4CDF"/>
        </w:tc>
      </w:tr>
    </w:tbl>
    <w:p w14:paraId="3C08E146" w14:textId="77777777" w:rsidR="000A4CDF" w:rsidRDefault="00000000">
      <w:pPr>
        <w:pStyle w:val="Heading3"/>
      </w:pPr>
      <w:bookmarkStart w:id="125" w:name="X8d8a6fe44143f1c1b581a8bcb7389a6bd938df3"/>
      <w:bookmarkStart w:id="126" w:name="_Toc228522587"/>
      <w:bookmarkEnd w:id="122"/>
      <w:r>
        <w:lastRenderedPageBreak/>
        <w:t>Resumen del plan estadístico por hipótesis</w:t>
      </w:r>
      <w:bookmarkEnd w:id="126"/>
    </w:p>
    <w:tbl>
      <w:tblPr>
        <w:tblW w:w="5000" w:type="pct"/>
        <w:tblLayout w:type="fixed"/>
        <w:tblLook w:val="0000" w:firstRow="0" w:lastRow="0" w:firstColumn="0" w:lastColumn="0" w:noHBand="0" w:noVBand="0"/>
      </w:tblPr>
      <w:tblGrid>
        <w:gridCol w:w="9576"/>
      </w:tblGrid>
      <w:tr w:rsidR="000A4CDF" w14:paraId="3BF5098D" w14:textId="77777777">
        <w:tc>
          <w:tcPr>
            <w:tcW w:w="7920" w:type="dxa"/>
          </w:tcPr>
          <w:p w14:paraId="3BB70057" w14:textId="77777777" w:rsidR="000A4CDF" w:rsidRDefault="00000000">
            <w:pPr>
              <w:spacing w:before="200"/>
              <w:jc w:val="left"/>
            </w:pPr>
            <w:bookmarkStart w:id="127" w:name="tbl-hypo-plan"/>
            <w:r>
              <w:t>Table 4.6: Plan de decisiones estadísticas por hipótesis.</w:t>
            </w:r>
          </w:p>
          <w:tbl>
            <w:tblPr>
              <w:tblW w:w="5000" w:type="pct"/>
              <w:tblLayout w:type="fixed"/>
              <w:tblLook w:val="0020" w:firstRow="1" w:lastRow="0" w:firstColumn="0" w:lastColumn="0" w:noHBand="0" w:noVBand="0"/>
            </w:tblPr>
            <w:tblGrid>
              <w:gridCol w:w="3432"/>
              <w:gridCol w:w="1872"/>
              <w:gridCol w:w="1560"/>
              <w:gridCol w:w="2496"/>
            </w:tblGrid>
            <w:tr w:rsidR="000A4CDF" w14:paraId="18A749AA" w14:textId="77777777">
              <w:trPr>
                <w:tblHeader/>
              </w:trPr>
              <w:tc>
                <w:tcPr>
                  <w:tcW w:w="2904" w:type="dxa"/>
                </w:tcPr>
                <w:p w14:paraId="7694CF23" w14:textId="77777777" w:rsidR="000A4CDF" w:rsidRDefault="00000000">
                  <w:pPr>
                    <w:jc w:val="center"/>
                  </w:pPr>
                  <w:r>
                    <w:t>Hipótesis</w:t>
                  </w:r>
                </w:p>
              </w:tc>
              <w:tc>
                <w:tcPr>
                  <w:tcW w:w="1584" w:type="dxa"/>
                </w:tcPr>
                <w:p w14:paraId="45DB6122" w14:textId="77777777" w:rsidR="000A4CDF" w:rsidRDefault="00000000">
                  <w:pPr>
                    <w:jc w:val="center"/>
                  </w:pPr>
                  <w:r>
                    <w:t>Test</w:t>
                  </w:r>
                </w:p>
              </w:tc>
              <w:tc>
                <w:tcPr>
                  <w:tcW w:w="1320" w:type="dxa"/>
                </w:tcPr>
                <w:p w14:paraId="0C2A3317" w14:textId="77777777" w:rsidR="000A4CDF" w:rsidRDefault="00000000">
                  <w:pPr>
                    <w:jc w:val="center"/>
                  </w:pPr>
                  <m:oMathPara>
                    <m:oMath>
                      <m:r>
                        <w:rPr>
                          <w:rFonts w:ascii="Cambria Math" w:hAnsi="Cambria Math"/>
                        </w:rPr>
                        <m:t>n</m:t>
                      </m:r>
                    </m:oMath>
                  </m:oMathPara>
                </w:p>
              </w:tc>
              <w:tc>
                <w:tcPr>
                  <w:tcW w:w="2112" w:type="dxa"/>
                </w:tcPr>
                <w:p w14:paraId="49F6B5BF" w14:textId="77777777" w:rsidR="000A4CDF" w:rsidRDefault="00000000">
                  <w:pPr>
                    <w:jc w:val="center"/>
                  </w:pPr>
                  <w:r>
                    <w:t>Diseño</w:t>
                  </w:r>
                </w:p>
              </w:tc>
            </w:tr>
            <w:tr w:rsidR="000A4CDF" w14:paraId="0EAB0B2C" w14:textId="77777777">
              <w:tc>
                <w:tcPr>
                  <w:tcW w:w="2904" w:type="dxa"/>
                </w:tcPr>
                <w:p w14:paraId="64C1BA19" w14:textId="77777777" w:rsidR="000A4CDF" w:rsidRDefault="00000000">
                  <w:pPr>
                    <w:jc w:val="center"/>
                  </w:pPr>
                  <w:r>
                    <w:t>H1 (fidelidad)</w:t>
                  </w:r>
                </w:p>
              </w:tc>
              <w:tc>
                <w:tcPr>
                  <w:tcW w:w="1584" w:type="dxa"/>
                </w:tcPr>
                <w:p w14:paraId="770D4BE3" w14:textId="77777777" w:rsidR="000A4CDF" w:rsidRDefault="00000000">
                  <w:pPr>
                    <w:jc w:val="center"/>
                  </w:pPr>
                  <w:r>
                    <w:t>Friedman + Nemenyi</w:t>
                  </w:r>
                </w:p>
              </w:tc>
              <w:tc>
                <w:tcPr>
                  <w:tcW w:w="1320" w:type="dxa"/>
                </w:tcPr>
                <w:p w14:paraId="54253880" w14:textId="77777777" w:rsidR="000A4CDF" w:rsidRDefault="00000000">
                  <w:pPr>
                    <w:jc w:val="center"/>
                  </w:pPr>
                  <w:r>
                    <w:t>15 bloques</w:t>
                  </w:r>
                </w:p>
              </w:tc>
              <w:tc>
                <w:tcPr>
                  <w:tcW w:w="2112" w:type="dxa"/>
                </w:tcPr>
                <w:p w14:paraId="32F57C37" w14:textId="77777777" w:rsidR="000A4CDF" w:rsidRDefault="00000000">
                  <w:pPr>
                    <w:jc w:val="center"/>
                  </w:pPr>
                  <w:r>
                    <w:t>4 métodos × 15 bloques</w:t>
                  </w:r>
                </w:p>
              </w:tc>
            </w:tr>
            <w:tr w:rsidR="000A4CDF" w14:paraId="3F6A5A5A" w14:textId="77777777">
              <w:tc>
                <w:tcPr>
                  <w:tcW w:w="2904" w:type="dxa"/>
                </w:tcPr>
                <w:p w14:paraId="52D84B82" w14:textId="77777777" w:rsidR="000A4CDF" w:rsidRDefault="00000000">
                  <w:pPr>
                    <w:jc w:val="center"/>
                  </w:pPr>
                  <w:r>
                    <w:t>H2 (estabilidad)</w:t>
                  </w:r>
                </w:p>
              </w:tc>
              <w:tc>
                <w:tcPr>
                  <w:tcW w:w="1584" w:type="dxa"/>
                </w:tcPr>
                <w:p w14:paraId="4ED5A0BA" w14:textId="77777777" w:rsidR="000A4CDF" w:rsidRDefault="00000000">
                  <w:pPr>
                    <w:jc w:val="center"/>
                  </w:pPr>
                  <w:r>
                    <w:t>Friedman + Nemenyi</w:t>
                  </w:r>
                </w:p>
              </w:tc>
              <w:tc>
                <w:tcPr>
                  <w:tcW w:w="1320" w:type="dxa"/>
                </w:tcPr>
                <w:p w14:paraId="7483EBFD" w14:textId="77777777" w:rsidR="000A4CDF" w:rsidRDefault="00000000">
                  <w:pPr>
                    <w:jc w:val="center"/>
                  </w:pPr>
                  <w:r>
                    <w:t>15 bloques</w:t>
                  </w:r>
                </w:p>
              </w:tc>
              <w:tc>
                <w:tcPr>
                  <w:tcW w:w="2112" w:type="dxa"/>
                </w:tcPr>
                <w:p w14:paraId="040142BF" w14:textId="77777777" w:rsidR="000A4CDF" w:rsidRDefault="00000000">
                  <w:pPr>
                    <w:jc w:val="center"/>
                  </w:pPr>
                  <w:r>
                    <w:t>4 métodos × 15 bloques</w:t>
                  </w:r>
                </w:p>
              </w:tc>
            </w:tr>
            <w:tr w:rsidR="000A4CDF" w14:paraId="549ADEA7" w14:textId="77777777">
              <w:tc>
                <w:tcPr>
                  <w:tcW w:w="2904" w:type="dxa"/>
                </w:tcPr>
                <w:p w14:paraId="6E18F4AD" w14:textId="77777777" w:rsidR="000A4CDF" w:rsidRPr="001B51D7" w:rsidRDefault="00000000">
                  <w:pPr>
                    <w:jc w:val="center"/>
                    <w:rPr>
                      <w:lang w:val="en-US"/>
                    </w:rPr>
                  </w:pPr>
                  <w:r w:rsidRPr="001B51D7">
                    <w:rPr>
                      <w:lang w:val="en-US"/>
                    </w:rPr>
                    <w:t>H3 (trade-off SHAP-LIME)</w:t>
                  </w:r>
                </w:p>
              </w:tc>
              <w:tc>
                <w:tcPr>
                  <w:tcW w:w="1584" w:type="dxa"/>
                </w:tcPr>
                <w:p w14:paraId="4E6F83B6" w14:textId="77777777" w:rsidR="000A4CDF" w:rsidRDefault="00000000">
                  <w:pPr>
                    <w:jc w:val="center"/>
                  </w:pPr>
                  <w:r>
                    <w:t>Wilcoxon bilateral</w:t>
                  </w:r>
                </w:p>
              </w:tc>
              <w:tc>
                <w:tcPr>
                  <w:tcW w:w="1320" w:type="dxa"/>
                </w:tcPr>
                <w:p w14:paraId="271CC87E" w14:textId="77777777" w:rsidR="000A4CDF" w:rsidRDefault="00000000">
                  <w:pPr>
                    <w:jc w:val="center"/>
                  </w:pPr>
                  <w:r>
                    <w:t>75 pares</w:t>
                  </w:r>
                </w:p>
              </w:tc>
              <w:tc>
                <w:tcPr>
                  <w:tcW w:w="2112" w:type="dxa"/>
                </w:tcPr>
                <w:p w14:paraId="1644486B" w14:textId="77777777" w:rsidR="000A4CDF" w:rsidRDefault="00000000">
                  <w:pPr>
                    <w:jc w:val="center"/>
                  </w:pP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idénticos</w:t>
                  </w:r>
                </w:p>
              </w:tc>
            </w:tr>
            <w:tr w:rsidR="000A4CDF" w14:paraId="3F94DA83" w14:textId="77777777">
              <w:tc>
                <w:tcPr>
                  <w:tcW w:w="2904" w:type="dxa"/>
                </w:tcPr>
                <w:p w14:paraId="545C85D5" w14:textId="77777777" w:rsidR="000A4CDF" w:rsidRDefault="00000000">
                  <w:pPr>
                    <w:jc w:val="center"/>
                  </w:pPr>
                  <w:r>
                    <w:t>P1 (reproducibilidad)</w:t>
                  </w:r>
                </w:p>
              </w:tc>
              <w:tc>
                <w:tcPr>
                  <w:tcW w:w="1584" w:type="dxa"/>
                </w:tcPr>
                <w:p w14:paraId="7C871C0F" w14:textId="77777777" w:rsidR="000A4CDF" w:rsidRDefault="00000000">
                  <w:pPr>
                    <w:jc w:val="center"/>
                  </w:pPr>
                  <w:r>
                    <w:t>CV sobre EXP1</w:t>
                  </w:r>
                </w:p>
              </w:tc>
              <w:tc>
                <w:tcPr>
                  <w:tcW w:w="1320" w:type="dxa"/>
                </w:tcPr>
                <w:p w14:paraId="664C69ED" w14:textId="77777777" w:rsidR="000A4CDF" w:rsidRDefault="00000000">
                  <w:pPr>
                    <w:jc w:val="center"/>
                  </w:pPr>
                  <w:r>
                    <w:t>5 semillas</w:t>
                  </w:r>
                </w:p>
              </w:tc>
              <w:tc>
                <w:tcPr>
                  <w:tcW w:w="2112" w:type="dxa"/>
                </w:tcPr>
                <w:p w14:paraId="1C889A51" w14:textId="77777777" w:rsidR="000A4CDF" w:rsidRDefault="00000000">
                  <w:pPr>
                    <w:jc w:val="center"/>
                  </w:pPr>
                  <w:r>
                    <w:t>Por método</w:t>
                  </w:r>
                </w:p>
              </w:tc>
            </w:tr>
            <w:bookmarkEnd w:id="127"/>
          </w:tbl>
          <w:p w14:paraId="4C8F9933" w14:textId="77777777" w:rsidR="000A4CDF" w:rsidRDefault="000A4CDF"/>
        </w:tc>
      </w:tr>
    </w:tbl>
    <w:p w14:paraId="427C3FC3" w14:textId="77777777" w:rsidR="000A4CDF" w:rsidRDefault="00000000">
      <w:pPr>
        <w:pStyle w:val="Heading2"/>
      </w:pPr>
      <w:bookmarkStart w:id="128" w:name="trazabilidad-y-reproducibilidad"/>
      <w:bookmarkStart w:id="129" w:name="_Toc228522588"/>
      <w:bookmarkEnd w:id="114"/>
      <w:bookmarkEnd w:id="125"/>
      <w:r>
        <w:t>Trazabilidad y reproducibilidad</w:t>
      </w:r>
      <w:bookmarkEnd w:id="129"/>
    </w:p>
    <w:p w14:paraId="33A6F801" w14:textId="77777777" w:rsidR="000A4CDF" w:rsidRDefault="00000000">
      <w:r>
        <w:t xml:space="preserve">Todos los análisis del Capítulo 4 son reproducibles desde el repositorio público https://github.com/jonnabio/xai-eval-framework, archivado con DOI 10.5281/zenodo.19297724 </w:t>
      </w:r>
      <w:r>
        <w:lastRenderedPageBreak/>
        <w:t>(instantánea de referencia de abril de 2026). Las cifras reportadas en la tesis se toman de artefactos generados por los scripts de análisis, no de tablas mantenidas manualmente en el texto. En caso de discrepancia entre una nota narrativa y un artefacto generado, prevalece el artefacto generado correspondiente.</w:t>
      </w:r>
    </w:p>
    <w:p w14:paraId="278501E0" w14:textId="77777777" w:rsidR="000A4CDF" w:rsidRDefault="00000000">
      <w:pPr>
        <w:pStyle w:val="BodyText"/>
      </w:pPr>
      <w:r>
        <w:t>Los artefactos canónicos para afirmaciones numéricas son:</w:t>
      </w:r>
    </w:p>
    <w:p w14:paraId="34A5BB1A" w14:textId="77777777" w:rsidR="000A4CDF" w:rsidRDefault="00000000">
      <w:pPr>
        <w:numPr>
          <w:ilvl w:val="0"/>
          <w:numId w:val="63"/>
        </w:numPr>
      </w:pPr>
      <w:r>
        <w:t>outputs/analysis/paper_a_exp2_stats/analysis_summary.json para conteos, cobertura e inferencia de EXP2.</w:t>
      </w:r>
    </w:p>
    <w:p w14:paraId="5507AE49" w14:textId="77777777" w:rsidR="000A4CDF" w:rsidRDefault="00000000">
      <w:pPr>
        <w:numPr>
          <w:ilvl w:val="0"/>
          <w:numId w:val="63"/>
        </w:numPr>
      </w:pPr>
      <w:r>
        <w:t>outputs/analysis/integrated_evidence/evidence_snapshot.json para la integración EXP1–EXP3.</w:t>
      </w:r>
    </w:p>
    <w:p w14:paraId="22B5F832" w14:textId="77777777" w:rsidR="000A4CDF" w:rsidRDefault="00000000">
      <w:pPr>
        <w:numPr>
          <w:ilvl w:val="0"/>
          <w:numId w:val="63"/>
        </w:numPr>
      </w:pPr>
      <w:r>
        <w:t>outputs/analysis/exp4_llm_evaluation/exp4_analysis_summary.json para conteos y cobertura de EXP4.</w:t>
      </w:r>
    </w:p>
    <w:p w14:paraId="39FF4931" w14:textId="77777777" w:rsidR="000A4CDF" w:rsidRDefault="00000000">
      <w:r>
        <w:t>Los anclajes de reproducibilidad principales son:</w:t>
      </w:r>
    </w:p>
    <w:p w14:paraId="11A7AB07" w14:textId="77777777" w:rsidR="000A4CDF" w:rsidRDefault="00000000">
      <w:pPr>
        <w:numPr>
          <w:ilvl w:val="0"/>
          <w:numId w:val="64"/>
        </w:numPr>
      </w:pPr>
      <w:r>
        <w:t>configs/experiments/exp2_scaled/manifest.yaml — diseño factorial declarado (300 celdas).</w:t>
      </w:r>
    </w:p>
    <w:p w14:paraId="6858F74B" w14:textId="77777777" w:rsidR="000A4CDF" w:rsidRDefault="00000000">
      <w:pPr>
        <w:numPr>
          <w:ilvl w:val="0"/>
          <w:numId w:val="64"/>
        </w:numPr>
      </w:pPr>
      <w:r>
        <w:t>experiments/exp2_scaled/results/ — árbol de artefactos por ejecución (299 archivos results.json presentes; 274 con evaluaciones de instancia y 25 artefactos vacíos excluidos por calificación).</w:t>
      </w:r>
    </w:p>
    <w:p w14:paraId="3813EA96" w14:textId="77777777" w:rsidR="000A4CDF" w:rsidRDefault="00000000">
      <w:pPr>
        <w:numPr>
          <w:ilvl w:val="0"/>
          <w:numId w:val="64"/>
        </w:numPr>
      </w:pPr>
      <w:r>
        <w:t>outputs/batch_results.csv — superposición de recuperación (30 filas).</w:t>
      </w:r>
    </w:p>
    <w:p w14:paraId="6F1B5D5F" w14:textId="77777777" w:rsidR="000A4CDF" w:rsidRDefault="00000000">
      <w:pPr>
        <w:numPr>
          <w:ilvl w:val="0"/>
          <w:numId w:val="64"/>
        </w:numPr>
      </w:pPr>
      <w:r>
        <w:t>scripts/run_exp2_statistical_analysis.py — generación determinista de tablas inferenciales.</w:t>
      </w:r>
    </w:p>
    <w:p w14:paraId="07DA0066" w14:textId="77777777" w:rsidR="000A4CDF" w:rsidRDefault="00000000">
      <w:pPr>
        <w:numPr>
          <w:ilvl w:val="0"/>
          <w:numId w:val="64"/>
        </w:numPr>
      </w:pPr>
      <w:r>
        <w:lastRenderedPageBreak/>
        <w:t>outputs/analysis/paper_a_exp2_stats/ — exportaciones inferenciales de referencia; la instantánea regenerada contiene 275 ejecuciones analizables tras aplicar la superposición de recuperación.</w:t>
      </w:r>
    </w:p>
    <w:p w14:paraId="514DF855" w14:textId="77777777" w:rsidR="000A4CDF" w:rsidRDefault="00000000">
      <w:r>
        <w:t>Las especificaciones completas del entorno de ejecución, los parámetros de restricción de recursos y las instrucciones de reproducción paso a paso figuran en el Apéndice A.</w:t>
      </w:r>
    </w:p>
    <w:p w14:paraId="373CC652" w14:textId="77777777" w:rsidR="000A4CDF" w:rsidRDefault="00000000">
      <w:pPr>
        <w:pStyle w:val="Heading1"/>
      </w:pPr>
      <w:bookmarkStart w:id="130" w:name="resultados-y-discusión"/>
      <w:bookmarkStart w:id="131" w:name="_Toc228522589"/>
      <w:bookmarkEnd w:id="60"/>
      <w:bookmarkEnd w:id="128"/>
      <w:r>
        <w:t>Resultados y discusión</w:t>
      </w:r>
      <w:bookmarkEnd w:id="131"/>
    </w:p>
    <w:p w14:paraId="319111C7" w14:textId="77777777" w:rsidR="000A4CDF" w:rsidRDefault="00000000">
      <w:r>
        <w:t>Este capítulo presenta los resultados empíricos de los Estudios A y B del benchmark XAI, organizados conforme a las hipótesis y proposición de trabajo establecidas en el Capítulo 1. La exposición sigue la secuencia lógica del protocolo FOM-7: primero se documentan los resultados del análisis omnibus (Estudio A), luego el análisis pareado SHAP-LIME (Estudio B), y finalmente la verificación de la proposición de reproducibilidad (P1). La discusión integradora al final del capítulo articula los hallazgos con la literatura y deriva criterios operativos de selección de métodos.</w:t>
      </w:r>
    </w:p>
    <w:p w14:paraId="2563DEE7" w14:textId="77777777" w:rsidR="000A4CDF" w:rsidRDefault="00000000">
      <w:pPr>
        <w:pStyle w:val="BodyText"/>
      </w:pPr>
      <w:r>
        <w:t xml:space="preserve">Todos los valores reportados en este capítulo se calcularon a partir de los artefactos de la etapa de benchmark primario de robustez (EXP2), compuesta por 275 celdas calificadas del diseño factorial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Las 25 celdas faltantes (todas ellas del tipo Anchors o DiCE) fueron excluidas por la puerta 3 del protocolo y no afectan las pruebas confirmativas (véase Capítulo 3, sección de cobertura y calificación).</w:t>
      </w:r>
    </w:p>
    <w:p w14:paraId="036B1512" w14:textId="77777777" w:rsidR="000A4CDF" w:rsidRDefault="00000000">
      <w:pPr>
        <w:pStyle w:val="Heading2"/>
      </w:pPr>
      <w:bookmarkStart w:id="132" w:name="X265f56e886428ba30debc49e85dcc5a7469d3ae"/>
      <w:bookmarkStart w:id="133" w:name="_Toc228522590"/>
      <w:r>
        <w:lastRenderedPageBreak/>
        <w:t>Descripción general de la cobertura analítica</w:t>
      </w:r>
      <w:bookmarkEnd w:id="133"/>
    </w:p>
    <w:p w14:paraId="3E13FC27" w14:textId="77777777" w:rsidR="000A4CDF" w:rsidRDefault="00000000">
      <w:r>
        <w:t>Antes de presentar las pruebas confirmativas, conviene establecer la distribución real de los datos. De las 300 celdas planificadas en EXP2 (</w:t>
      </w:r>
      <m:oMath>
        <m: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se obtuvieron artefactos calificados en 275, distribuidos como sigue:</w:t>
      </w:r>
    </w:p>
    <w:p w14:paraId="1FBD28E1" w14:textId="77777777" w:rsidR="000A4CDF" w:rsidRDefault="00000000">
      <w:pPr>
        <w:numPr>
          <w:ilvl w:val="0"/>
          <w:numId w:val="65"/>
        </w:numPr>
      </w:pPr>
      <w:r>
        <w:rPr>
          <w:b/>
          <w:bCs/>
        </w:rPr>
        <w:t>SHAP</w:t>
      </w:r>
      <w:r>
        <w:t>: 75 de 75 celdas (100%). La superposición de recuperación (outputs/batch_results.csv) completa la única celda físicamente faltante del árbol exp2_scaled (svm_shap_s456_n200) y sustituye las ejecuciones SHAP de mlp/svm para evitar sesgos por truncamiento de tiempo.</w:t>
      </w:r>
    </w:p>
    <w:p w14:paraId="36D608DF" w14:textId="77777777" w:rsidR="000A4CDF" w:rsidRDefault="00000000">
      <w:pPr>
        <w:numPr>
          <w:ilvl w:val="0"/>
          <w:numId w:val="65"/>
        </w:numPr>
      </w:pPr>
      <w:r>
        <w:rPr>
          <w:b/>
          <w:bCs/>
        </w:rPr>
        <w:t>LIME</w:t>
      </w:r>
      <w:r>
        <w:t>: 75 de 75 celdas (100%). Cobertura completa.</w:t>
      </w:r>
    </w:p>
    <w:p w14:paraId="4C1F1147" w14:textId="77777777" w:rsidR="000A4CDF" w:rsidRDefault="00000000">
      <w:pPr>
        <w:numPr>
          <w:ilvl w:val="0"/>
          <w:numId w:val="65"/>
        </w:numPr>
      </w:pPr>
      <w:r>
        <w:rPr>
          <w:b/>
          <w:bCs/>
        </w:rPr>
        <w:t>DiCE</w:t>
      </w:r>
      <w:r>
        <w:t>: 68 de 75 celdas (90.7%). Las 7 celdas faltantes se distribuyen entre varias combinaciones con semillas específicas (2 en logreg_dice, 2 en mlp_dice, 2 en svm_dice y 1 en xgb_dice).</w:t>
      </w:r>
    </w:p>
    <w:p w14:paraId="5EE6A875" w14:textId="77777777" w:rsidR="000A4CDF" w:rsidRDefault="00000000">
      <w:pPr>
        <w:numPr>
          <w:ilvl w:val="0"/>
          <w:numId w:val="65"/>
        </w:numPr>
      </w:pPr>
      <w:r>
        <w:rPr>
          <w:b/>
          <w:bCs/>
        </w:rPr>
        <w:t>Anchors</w:t>
      </w:r>
      <w:r>
        <w:t>: 57 de 75 celdas (76.0%). Las 18 celdas faltantes se concentran en logreg_anchors y mlp_anchors (con 2 celdas adicionales en xgb_anchors) y reflejan la falta de convergencia del algoritmo a una regla con precisión ≥ 0.95 dentro del límite de búsqueda.</w:t>
      </w:r>
    </w:p>
    <w:p w14:paraId="51D97E46" w14:textId="77777777" w:rsidR="000A4CDF" w:rsidRDefault="00000000">
      <w:r>
        <w:t xml:space="preserve">Para el análisis Friedman (H1 y H2), se utilizan los 15 bloques completos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model-size blocks</w:t>
      </w:r>
      <w:r>
        <w:t xml:space="preserve">) para los cuales los cuatro métodos disponen de al menos una ejecución calificada (véase Capítulo 3). Para el análisis pareado SHAP-LIME (H3), se utilizan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coincidentes en las que ambos métodos producen resultados calificados.</w:t>
      </w:r>
    </w:p>
    <w:p w14:paraId="1FCE213E" w14:textId="77777777" w:rsidR="000A4CDF" w:rsidRDefault="00000000">
      <w:pPr>
        <w:pStyle w:val="Heading2"/>
      </w:pPr>
      <w:bookmarkStart w:id="134" w:name="sec-estudio-a"/>
      <w:bookmarkStart w:id="135" w:name="_Toc228522591"/>
      <w:bookmarkEnd w:id="132"/>
      <w:r>
        <w:lastRenderedPageBreak/>
        <w:t>Estudio A: Análisis omnibus multimétrico (H1 y H2)</w:t>
      </w:r>
      <w:bookmarkEnd w:id="135"/>
    </w:p>
    <w:p w14:paraId="41DE0AE2" w14:textId="77777777" w:rsidR="000A4CDF" w:rsidRDefault="00000000">
      <w:pPr>
        <w:pStyle w:val="Heading3"/>
      </w:pPr>
      <w:bookmarkStart w:id="136" w:name="X41be5df394949178755daa825e68dc45d5470c0"/>
      <w:bookmarkStart w:id="137" w:name="_Toc228522592"/>
      <w:r>
        <w:t>H1: Diferencias entre métodos en fidelidad</w:t>
      </w:r>
      <w:bookmarkEnd w:id="137"/>
    </w:p>
    <w:p w14:paraId="7E546540" w14:textId="77777777" w:rsidR="000A4CDF" w:rsidRDefault="00000000">
      <w:r>
        <w:t xml:space="preserve">La prueba de Friedman para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sobre la métrica de fidelidad arrojó una estadística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con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xml:space="preserve"> grados de libertad sobre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El 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de modo que el margen de seguridad inferencial es:</w:t>
      </w:r>
    </w:p>
    <w:p w14:paraId="06BD50B3" w14:textId="77777777" w:rsidR="000A4CDF" w:rsidRPr="001B51D7" w:rsidRDefault="00000000">
      <w:pPr>
        <w:pStyle w:val="BodyText"/>
        <w:rPr>
          <w:lang w:val="nl-NL"/>
        </w:rPr>
      </w:pPr>
      <m:oMathPara>
        <m:oMathParaPr>
          <m:jc m:val="center"/>
        </m:oMathParaPr>
        <m:oMath>
          <m:r>
            <m:rPr>
              <m:nor/>
            </m:rPr>
            <w:rPr>
              <w:lang w:val="nl-NL"/>
            </w:rPr>
            <m:t>Margen</m:t>
          </m:r>
          <m:r>
            <m:rPr>
              <m:sty m:val="p"/>
            </m:rPr>
            <w:rPr>
              <w:rFonts w:ascii="Cambria Math" w:hAnsi="Cambria Math"/>
              <w:lang w:val="nl-NL"/>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lang w:val="nl-NL"/>
                    </w:rPr>
                    <m:t>2</m:t>
                  </m:r>
                </m:sup>
              </m:sSubSup>
              <m:r>
                <m:rPr>
                  <m:sty m:val="p"/>
                </m:rPr>
                <w:rPr>
                  <w:rFonts w:ascii="Cambria Math" w:hAnsi="Cambria Math"/>
                  <w:lang w:val="nl-NL"/>
                </w:rPr>
                <m:t>-</m:t>
              </m:r>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lang w:val="nl-NL"/>
                    </w:rPr>
                    <m:t>2</m:t>
                  </m:r>
                </m:sup>
              </m:sSubSup>
            </m:num>
            <m:den>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lang w:val="nl-NL"/>
                    </w:rPr>
                    <m:t>2</m:t>
                  </m:r>
                </m:sup>
              </m:sSubSup>
            </m:den>
          </m:f>
          <m:r>
            <m:rPr>
              <m:sty m:val="p"/>
            </m:rPr>
            <w:rPr>
              <w:rFonts w:ascii="Cambria Math" w:hAnsi="Cambria Math"/>
              <w:lang w:val="nl-NL"/>
            </w:rPr>
            <m:t>×</m:t>
          </m:r>
          <m:r>
            <w:rPr>
              <w:rFonts w:ascii="Cambria Math" w:hAnsi="Cambria Math"/>
              <w:lang w:val="nl-NL"/>
            </w:rPr>
            <m:t>100</m:t>
          </m:r>
          <m:r>
            <m:rPr>
              <m:sty m:val="p"/>
            </m:rPr>
            <w:rPr>
              <w:rFonts w:ascii="Cambria Math" w:hAnsi="Cambria Math"/>
              <w:lang w:val="nl-NL"/>
            </w:rPr>
            <m:t>=</m:t>
          </m:r>
          <m:f>
            <m:fPr>
              <m:ctrlPr>
                <w:rPr>
                  <w:rFonts w:ascii="Cambria Math" w:hAnsi="Cambria Math"/>
                </w:rPr>
              </m:ctrlPr>
            </m:fPr>
            <m:num>
              <m:r>
                <w:rPr>
                  <w:rFonts w:ascii="Cambria Math" w:hAnsi="Cambria Math"/>
                  <w:lang w:val="nl-NL"/>
                </w:rPr>
                <m:t>42.12</m:t>
              </m:r>
              <m:r>
                <m:rPr>
                  <m:sty m:val="p"/>
                </m:rPr>
                <w:rPr>
                  <w:rFonts w:ascii="Cambria Math" w:hAnsi="Cambria Math"/>
                  <w:lang w:val="nl-NL"/>
                </w:rPr>
                <m:t>-</m:t>
              </m:r>
              <m:r>
                <w:rPr>
                  <w:rFonts w:ascii="Cambria Math" w:hAnsi="Cambria Math"/>
                  <w:lang w:val="nl-NL"/>
                </w:rPr>
                <m:t>7.815</m:t>
              </m:r>
            </m:num>
            <m:den>
              <m:r>
                <w:rPr>
                  <w:rFonts w:ascii="Cambria Math" w:hAnsi="Cambria Math"/>
                  <w:lang w:val="nl-NL"/>
                </w:rPr>
                <m:t>7.815</m:t>
              </m:r>
            </m:den>
          </m:f>
          <m:r>
            <m:rPr>
              <m:sty m:val="p"/>
            </m:rPr>
            <w:rPr>
              <w:rFonts w:ascii="Cambria Math" w:hAnsi="Cambria Math"/>
              <w:lang w:val="nl-NL"/>
            </w:rPr>
            <m:t>×</m:t>
          </m:r>
          <m:r>
            <w:rPr>
              <w:rFonts w:ascii="Cambria Math" w:hAnsi="Cambria Math"/>
              <w:lang w:val="nl-NL"/>
            </w:rPr>
            <m:t>100</m:t>
          </m:r>
          <m:r>
            <m:rPr>
              <m:sty m:val="p"/>
            </m:rPr>
            <w:rPr>
              <w:rFonts w:ascii="Cambria Math" w:hAnsi="Cambria Math"/>
              <w:lang w:val="nl-NL"/>
            </w:rPr>
            <m:t>=</m:t>
          </m:r>
          <m:r>
            <w:rPr>
              <w:rFonts w:ascii="Cambria Math" w:hAnsi="Cambria Math"/>
              <w:lang w:val="nl-NL"/>
            </w:rPr>
            <m:t>439</m:t>
          </m:r>
          <m:r>
            <m:rPr>
              <m:sty m:val="p"/>
            </m:rPr>
            <w:rPr>
              <w:rFonts w:ascii="Cambria Math" w:hAnsi="Cambria Math"/>
              <w:lang w:val="nl-NL"/>
            </w:rPr>
            <m:t>%</m:t>
          </m:r>
        </m:oMath>
      </m:oMathPara>
    </w:p>
    <w:p w14:paraId="27CD8DAA" w14:textId="77777777" w:rsidR="000A4CDF" w:rsidRDefault="00000000">
      <w:r>
        <w:t xml:space="preserve">Este resultado rechaza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xml:space="preserve"> con una holgura de más de cinco veces el umbral crítico, lo que indica diferencias entre métodos de magnitud muy grande y no atribuibles a fluctuaciones muestrales. La distribución empírica de los rangos confirma dominancia de SHAP en los 15 bloques, con LIME como segundo en los 15 bloques y alternancia Anchors–DiCE en las posiciones 3–4:</w:t>
      </w:r>
    </w:p>
    <w:tbl>
      <w:tblPr>
        <w:tblW w:w="5000" w:type="pct"/>
        <w:tblLayout w:type="fixed"/>
        <w:tblLook w:val="0000" w:firstRow="0" w:lastRow="0" w:firstColumn="0" w:lastColumn="0" w:noHBand="0" w:noVBand="0"/>
      </w:tblPr>
      <w:tblGrid>
        <w:gridCol w:w="9576"/>
      </w:tblGrid>
      <w:tr w:rsidR="000A4CDF" w14:paraId="7CFEB586" w14:textId="77777777">
        <w:tc>
          <w:tcPr>
            <w:tcW w:w="7920" w:type="dxa"/>
          </w:tcPr>
          <w:p w14:paraId="13C073CC" w14:textId="77777777" w:rsidR="000A4CDF" w:rsidRDefault="00000000">
            <w:pPr>
              <w:spacing w:before="200"/>
              <w:jc w:val="left"/>
            </w:pPr>
            <w:bookmarkStart w:id="138" w:name="tbl-friedman-fidelity"/>
            <w:r>
              <w:t>Table 5.1: Suma y media de rangos de fidelidad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tblLook w:val="0020" w:firstRow="1" w:lastRow="0" w:firstColumn="0" w:lastColumn="0" w:noHBand="0" w:noVBand="0"/>
            </w:tblPr>
            <w:tblGrid>
              <w:gridCol w:w="1980"/>
              <w:gridCol w:w="1980"/>
              <w:gridCol w:w="1980"/>
              <w:gridCol w:w="1980"/>
            </w:tblGrid>
            <w:tr w:rsidR="000A4CDF" w14:paraId="5AA3F89E" w14:textId="77777777">
              <w:trPr>
                <w:tblHeader/>
              </w:trPr>
              <w:tc>
                <w:tcPr>
                  <w:tcW w:w="1980" w:type="dxa"/>
                </w:tcPr>
                <w:p w14:paraId="5927260F" w14:textId="77777777" w:rsidR="000A4CDF" w:rsidRDefault="00000000">
                  <w:pPr>
                    <w:jc w:val="center"/>
                  </w:pPr>
                  <w:r>
                    <w:t>Método</w:t>
                  </w:r>
                </w:p>
              </w:tc>
              <w:tc>
                <w:tcPr>
                  <w:tcW w:w="1980" w:type="dxa"/>
                </w:tcPr>
                <w:p w14:paraId="4DEBFC31" w14:textId="77777777" w:rsidR="000A4CDF" w:rsidRDefault="00000000">
                  <w:pPr>
                    <w:jc w:val="center"/>
                  </w:pPr>
                  <w:r>
                    <w:t>Suma de rangos</w:t>
                  </w:r>
                </w:p>
              </w:tc>
              <w:tc>
                <w:tcPr>
                  <w:tcW w:w="1980" w:type="dxa"/>
                </w:tcPr>
                <w:p w14:paraId="7136CF78" w14:textId="77777777" w:rsidR="000A4CDF" w:rsidRDefault="00000000">
                  <w:pPr>
                    <w:jc w:val="center"/>
                  </w:pPr>
                  <w:r>
                    <w:t>Rango medio</w:t>
                  </w:r>
                </w:p>
              </w:tc>
              <w:tc>
                <w:tcPr>
                  <w:tcW w:w="1980" w:type="dxa"/>
                </w:tcPr>
                <w:p w14:paraId="5EC22F78" w14:textId="77777777" w:rsidR="000A4CDF" w:rsidRDefault="00000000">
                  <w:pPr>
                    <w:jc w:val="center"/>
                  </w:pPr>
                  <w:r>
                    <w:t>Posición</w:t>
                  </w:r>
                </w:p>
              </w:tc>
            </w:tr>
            <w:tr w:rsidR="000A4CDF" w14:paraId="66861B8E" w14:textId="77777777">
              <w:tc>
                <w:tcPr>
                  <w:tcW w:w="1980" w:type="dxa"/>
                </w:tcPr>
                <w:p w14:paraId="5F85A00F" w14:textId="77777777" w:rsidR="000A4CDF" w:rsidRDefault="00000000">
                  <w:pPr>
                    <w:jc w:val="center"/>
                  </w:pPr>
                  <w:r>
                    <w:t>SHAP</w:t>
                  </w:r>
                </w:p>
              </w:tc>
              <w:tc>
                <w:tcPr>
                  <w:tcW w:w="1980" w:type="dxa"/>
                </w:tcPr>
                <w:p w14:paraId="245A5769" w14:textId="77777777" w:rsidR="000A4CDF" w:rsidRDefault="00000000">
                  <w:pPr>
                    <w:jc w:val="center"/>
                  </w:pPr>
                  <w:r>
                    <w:t>15</w:t>
                  </w:r>
                </w:p>
              </w:tc>
              <w:tc>
                <w:tcPr>
                  <w:tcW w:w="1980" w:type="dxa"/>
                </w:tcPr>
                <w:p w14:paraId="38D82991" w14:textId="77777777" w:rsidR="000A4CDF" w:rsidRDefault="00000000">
                  <w:pPr>
                    <w:jc w:val="center"/>
                  </w:pPr>
                  <w:r>
                    <w:t>1.000</w:t>
                  </w:r>
                </w:p>
              </w:tc>
              <w:tc>
                <w:tcPr>
                  <w:tcW w:w="1980" w:type="dxa"/>
                </w:tcPr>
                <w:p w14:paraId="57BF7205" w14:textId="77777777" w:rsidR="000A4CDF" w:rsidRDefault="00000000">
                  <w:pPr>
                    <w:jc w:val="center"/>
                  </w:pPr>
                  <w:r>
                    <w:t>1.ª</w:t>
                  </w:r>
                </w:p>
              </w:tc>
            </w:tr>
            <w:tr w:rsidR="000A4CDF" w14:paraId="0DBA16B2" w14:textId="77777777">
              <w:tc>
                <w:tcPr>
                  <w:tcW w:w="1980" w:type="dxa"/>
                </w:tcPr>
                <w:p w14:paraId="41DC0C73" w14:textId="77777777" w:rsidR="000A4CDF" w:rsidRDefault="00000000">
                  <w:pPr>
                    <w:jc w:val="center"/>
                  </w:pPr>
                  <w:r>
                    <w:t>LIME</w:t>
                  </w:r>
                </w:p>
              </w:tc>
              <w:tc>
                <w:tcPr>
                  <w:tcW w:w="1980" w:type="dxa"/>
                </w:tcPr>
                <w:p w14:paraId="31D666E7" w14:textId="77777777" w:rsidR="000A4CDF" w:rsidRDefault="00000000">
                  <w:pPr>
                    <w:jc w:val="center"/>
                  </w:pPr>
                  <w:r>
                    <w:t>30</w:t>
                  </w:r>
                </w:p>
              </w:tc>
              <w:tc>
                <w:tcPr>
                  <w:tcW w:w="1980" w:type="dxa"/>
                </w:tcPr>
                <w:p w14:paraId="09367E91" w14:textId="77777777" w:rsidR="000A4CDF" w:rsidRDefault="00000000">
                  <w:pPr>
                    <w:jc w:val="center"/>
                  </w:pPr>
                  <w:r>
                    <w:t>2.000</w:t>
                  </w:r>
                </w:p>
              </w:tc>
              <w:tc>
                <w:tcPr>
                  <w:tcW w:w="1980" w:type="dxa"/>
                </w:tcPr>
                <w:p w14:paraId="0AA24191" w14:textId="77777777" w:rsidR="000A4CDF" w:rsidRDefault="00000000">
                  <w:pPr>
                    <w:jc w:val="center"/>
                  </w:pPr>
                  <w:r>
                    <w:t>2.ª</w:t>
                  </w:r>
                </w:p>
              </w:tc>
            </w:tr>
            <w:tr w:rsidR="000A4CDF" w14:paraId="3BCF2BC7" w14:textId="77777777">
              <w:tc>
                <w:tcPr>
                  <w:tcW w:w="1980" w:type="dxa"/>
                </w:tcPr>
                <w:p w14:paraId="370554ED" w14:textId="77777777" w:rsidR="000A4CDF" w:rsidRDefault="00000000">
                  <w:pPr>
                    <w:jc w:val="center"/>
                  </w:pPr>
                  <w:r>
                    <w:t>Anchors</w:t>
                  </w:r>
                </w:p>
              </w:tc>
              <w:tc>
                <w:tcPr>
                  <w:tcW w:w="1980" w:type="dxa"/>
                </w:tcPr>
                <w:p w14:paraId="6297CCA8" w14:textId="77777777" w:rsidR="000A4CDF" w:rsidRDefault="00000000">
                  <w:pPr>
                    <w:jc w:val="center"/>
                  </w:pPr>
                  <w:r>
                    <w:t>48</w:t>
                  </w:r>
                </w:p>
              </w:tc>
              <w:tc>
                <w:tcPr>
                  <w:tcW w:w="1980" w:type="dxa"/>
                </w:tcPr>
                <w:p w14:paraId="74932A96" w14:textId="77777777" w:rsidR="000A4CDF" w:rsidRDefault="00000000">
                  <w:pPr>
                    <w:jc w:val="center"/>
                  </w:pPr>
                  <w:r>
                    <w:t>3.200</w:t>
                  </w:r>
                </w:p>
              </w:tc>
              <w:tc>
                <w:tcPr>
                  <w:tcW w:w="1980" w:type="dxa"/>
                </w:tcPr>
                <w:p w14:paraId="4CD5A95D" w14:textId="77777777" w:rsidR="000A4CDF" w:rsidRDefault="00000000">
                  <w:pPr>
                    <w:jc w:val="center"/>
                  </w:pPr>
                  <w:r>
                    <w:t>3.ª</w:t>
                  </w:r>
                </w:p>
              </w:tc>
            </w:tr>
            <w:tr w:rsidR="000A4CDF" w14:paraId="73F9B0AF" w14:textId="77777777">
              <w:tc>
                <w:tcPr>
                  <w:tcW w:w="1980" w:type="dxa"/>
                </w:tcPr>
                <w:p w14:paraId="15CF46B7" w14:textId="77777777" w:rsidR="000A4CDF" w:rsidRDefault="00000000">
                  <w:pPr>
                    <w:jc w:val="center"/>
                  </w:pPr>
                  <w:r>
                    <w:t>DiCE</w:t>
                  </w:r>
                </w:p>
              </w:tc>
              <w:tc>
                <w:tcPr>
                  <w:tcW w:w="1980" w:type="dxa"/>
                </w:tcPr>
                <w:p w14:paraId="4BD890A7" w14:textId="77777777" w:rsidR="000A4CDF" w:rsidRDefault="00000000">
                  <w:pPr>
                    <w:jc w:val="center"/>
                  </w:pPr>
                  <w:r>
                    <w:t>57</w:t>
                  </w:r>
                </w:p>
              </w:tc>
              <w:tc>
                <w:tcPr>
                  <w:tcW w:w="1980" w:type="dxa"/>
                </w:tcPr>
                <w:p w14:paraId="4E323D05" w14:textId="77777777" w:rsidR="000A4CDF" w:rsidRDefault="00000000">
                  <w:pPr>
                    <w:jc w:val="center"/>
                  </w:pPr>
                  <w:r>
                    <w:t>3.800</w:t>
                  </w:r>
                </w:p>
              </w:tc>
              <w:tc>
                <w:tcPr>
                  <w:tcW w:w="1980" w:type="dxa"/>
                </w:tcPr>
                <w:p w14:paraId="785BC74C" w14:textId="77777777" w:rsidR="000A4CDF" w:rsidRDefault="00000000">
                  <w:pPr>
                    <w:jc w:val="center"/>
                  </w:pPr>
                  <w:r>
                    <w:t>4.ª</w:t>
                  </w:r>
                </w:p>
              </w:tc>
            </w:tr>
            <w:bookmarkEnd w:id="138"/>
          </w:tbl>
          <w:p w14:paraId="4CFC1000" w14:textId="77777777" w:rsidR="000A4CDF" w:rsidRDefault="000A4CDF"/>
        </w:tc>
      </w:tr>
    </w:tbl>
    <w:p w14:paraId="5286DA9A" w14:textId="77777777" w:rsidR="000A4CDF" w:rsidRDefault="00000000">
      <w:pPr>
        <w:pStyle w:val="BodyText"/>
      </w:pPr>
      <w:r>
        <w:t xml:space="preserve">El hecho de que SHAP obtenga rango 1 en la totalidad de los 15 bloques (suma = 15, media = 1.000) implica que en ningún contexto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ningún otro método superó a SHAP en </w:t>
      </w:r>
      <w:r>
        <w:lastRenderedPageBreak/>
        <w:t xml:space="preserve">fidelidad. Las medias brutas (promedio </w:t>
      </w:r>
      <m:oMath>
        <m:r>
          <m:rPr>
            <m:sty m:val="p"/>
          </m:rPr>
          <w:rPr>
            <w:rFonts w:ascii="Cambria Math" w:hAnsi="Cambria Math"/>
          </w:rPr>
          <m:t>±</m:t>
        </m:r>
      </m:oMath>
      <w:r>
        <w:t xml:space="preserve"> desviación estándar entre bloques) son: SHAP = 0.808 </w:t>
      </w:r>
      <m:oMath>
        <m:r>
          <m:rPr>
            <m:sty m:val="p"/>
          </m:rPr>
          <w:rPr>
            <w:rFonts w:ascii="Cambria Math" w:hAnsi="Cambria Math"/>
          </w:rPr>
          <m:t>±</m:t>
        </m:r>
      </m:oMath>
      <w:r>
        <w:t xml:space="preserve"> 0.093, LIME = 0.560 </w:t>
      </w:r>
      <m:oMath>
        <m:r>
          <m:rPr>
            <m:sty m:val="p"/>
          </m:rPr>
          <w:rPr>
            <w:rFonts w:ascii="Cambria Math" w:hAnsi="Cambria Math"/>
          </w:rPr>
          <m:t>±</m:t>
        </m:r>
      </m:oMath>
      <w:r>
        <w:t xml:space="preserve"> 0.068, Anchors = 0.389 </w:t>
      </w:r>
      <m:oMath>
        <m:r>
          <m:rPr>
            <m:sty m:val="p"/>
          </m:rPr>
          <w:rPr>
            <w:rFonts w:ascii="Cambria Math" w:hAnsi="Cambria Math"/>
          </w:rPr>
          <m:t>±</m:t>
        </m:r>
      </m:oMath>
      <w:r>
        <w:t xml:space="preserve"> 0.100, DiCE = 0.170 </w:t>
      </w:r>
      <m:oMath>
        <m:r>
          <m:rPr>
            <m:sty m:val="p"/>
          </m:rPr>
          <w:rPr>
            <w:rFonts w:ascii="Cambria Math" w:hAnsi="Cambria Math"/>
          </w:rPr>
          <m:t>±</m:t>
        </m:r>
      </m:oMath>
      <w:r>
        <w:t xml:space="preserve"> 0.103.</w:t>
      </w:r>
    </w:p>
    <w:p w14:paraId="1A7D28C7" w14:textId="77777777" w:rsidR="000A4CDF" w:rsidRDefault="00000000">
      <w:pPr>
        <w:pStyle w:val="BodyText"/>
      </w:pPr>
      <w:r>
        <w:t xml:space="preserve">La escala de fidelidad es acotada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(correlación entre importancias y efecto de enmascaramiento): valores superiores a 0.80 señalan explicaciones que capturan fielmente el comportamiento local del modelo; valores inferiores a 0.40 indican explicaciones poco representativas. Bajo estos criterios, SHAP opera consistentemente en zona alta de fidelidad, LIME en zona media, y tanto Anchors como DiCE en zona baja-media. La fidelidad baja de DiCE no es sorprendente: como método contrafactual, DiCE no optimiza la correlación de importancias, sino la generación de ejemplos alternativos, de modo que la métrica de fidelidad captura una dimensión de calidad que no es el objetivo de diseño primario de este método.</w:t>
      </w:r>
    </w:p>
    <w:p w14:paraId="4E92242C" w14:textId="77777777" w:rsidR="000A4CDF" w:rsidRDefault="00000000">
      <w:pPr>
        <w:pStyle w:val="BodyText"/>
      </w:pPr>
      <w:r>
        <w:rPr>
          <w:b/>
          <w:bCs/>
        </w:rPr>
        <w:t>Localización post-hoc (Nemenyi):</w:t>
      </w:r>
      <w:r>
        <w:t xml:space="preserve"> La diferencia crítica para comparaciones pareadas con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n</m:t>
        </m:r>
        <m:r>
          <m:rPr>
            <m:sty m:val="p"/>
          </m:rPr>
          <w:rPr>
            <w:rFonts w:ascii="Cambria Math" w:hAnsi="Cambria Math"/>
          </w:rPr>
          <m:t>=</m:t>
        </m:r>
        <m:r>
          <w:rPr>
            <w:rFonts w:ascii="Cambria Math" w:hAnsi="Cambria Math"/>
          </w:rPr>
          <m:t>15</m:t>
        </m:r>
      </m:oMath>
      <w:r>
        <w:t xml:space="preserve"> es:</w:t>
      </w:r>
    </w:p>
    <w:p w14:paraId="57828992" w14:textId="77777777" w:rsidR="000A4CDF" w:rsidRDefault="00000000">
      <w:pPr>
        <w:pStyle w:val="BodyText"/>
      </w:pPr>
      <m:oMathPara>
        <m:oMathParaPr>
          <m:jc m:val="center"/>
        </m:oMathParaPr>
        <m:oMath>
          <m:r>
            <w:rPr>
              <w:rFonts w:ascii="Cambria Math" w:hAnsi="Cambria Math"/>
            </w:rPr>
            <m:t>CD</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6n</m:t>
                  </m:r>
                </m:den>
              </m:f>
            </m:e>
          </m:rad>
          <m:r>
            <m:rPr>
              <m:sty m:val="p"/>
            </m:rPr>
            <w:rPr>
              <w:rFonts w:ascii="Cambria Math" w:hAnsi="Cambria Math"/>
            </w:rPr>
            <m:t>=</m:t>
          </m:r>
          <m:r>
            <w:rPr>
              <w:rFonts w:ascii="Cambria Math" w:hAnsi="Cambria Math"/>
            </w:rPr>
            <m:t>2.569</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5</m:t>
                  </m:r>
                </m:num>
                <m:den>
                  <m:r>
                    <w:rPr>
                      <w:rFonts w:ascii="Cambria Math" w:hAnsi="Cambria Math"/>
                    </w:rPr>
                    <m:t>6</m:t>
                  </m:r>
                  <m:r>
                    <m:rPr>
                      <m:sty m:val="p"/>
                    </m:rPr>
                    <w:rPr>
                      <w:rFonts w:ascii="Cambria Math" w:hAnsi="Cambria Math"/>
                    </w:rPr>
                    <m:t>×</m:t>
                  </m:r>
                  <m:r>
                    <w:rPr>
                      <w:rFonts w:ascii="Cambria Math" w:hAnsi="Cambria Math"/>
                    </w:rPr>
                    <m:t>15</m:t>
                  </m:r>
                </m:den>
              </m:f>
            </m:e>
          </m:rad>
          <m:r>
            <m:rPr>
              <m:sty m:val="p"/>
            </m:rPr>
            <w:rPr>
              <w:rFonts w:ascii="Cambria Math" w:hAnsi="Cambria Math"/>
            </w:rPr>
            <m:t>=</m:t>
          </m:r>
          <m:r>
            <w:rPr>
              <w:rFonts w:ascii="Cambria Math" w:hAnsi="Cambria Math"/>
            </w:rPr>
            <m:t>2.569</m:t>
          </m:r>
          <m:r>
            <m:rPr>
              <m:sty m:val="p"/>
            </m:rPr>
            <w:rPr>
              <w:rFonts w:ascii="Cambria Math" w:hAnsi="Cambria Math"/>
            </w:rPr>
            <m:t>×</m:t>
          </m:r>
          <m:r>
            <w:rPr>
              <w:rFonts w:ascii="Cambria Math" w:hAnsi="Cambria Math"/>
            </w:rPr>
            <m:t>0.4714</m:t>
          </m:r>
          <m:r>
            <m:rPr>
              <m:sty m:val="p"/>
            </m:rPr>
            <w:rPr>
              <w:rFonts w:ascii="Cambria Math" w:hAnsi="Cambria Math"/>
            </w:rPr>
            <m:t>=</m:t>
          </m:r>
          <m:r>
            <w:rPr>
              <w:rFonts w:ascii="Cambria Math" w:hAnsi="Cambria Math"/>
            </w:rPr>
            <m:t>1.211</m:t>
          </m:r>
        </m:oMath>
      </m:oMathPara>
    </w:p>
    <w:p w14:paraId="45E47ADC" w14:textId="77777777" w:rsidR="000A4CDF" w:rsidRDefault="00000000">
      <w:r>
        <w:t xml:space="preserve">Donde </w:t>
      </w:r>
      <m:oMath>
        <m:sSub>
          <m:sSubPr>
            <m:ctrlPr>
              <w:rPr>
                <w:rFonts w:ascii="Cambria Math" w:hAnsi="Cambria Math"/>
              </w:rPr>
            </m:ctrlPr>
          </m:sSubPr>
          <m:e>
            <m:r>
              <w:rPr>
                <w:rFonts w:ascii="Cambria Math" w:hAnsi="Cambria Math"/>
              </w:rPr>
              <m:t>q</m:t>
            </m:r>
          </m:e>
          <m:sub>
            <m:r>
              <w:rPr>
                <w:rFonts w:ascii="Cambria Math" w:hAnsi="Cambria Math"/>
              </w:rPr>
              <m:t>α</m:t>
            </m:r>
          </m:sub>
        </m:sSub>
        <m:r>
          <m:rPr>
            <m:sty m:val="p"/>
          </m:rPr>
          <w:rPr>
            <w:rFonts w:ascii="Cambria Math" w:hAnsi="Cambria Math"/>
          </w:rPr>
          <m:t>=</m:t>
        </m:r>
        <m:r>
          <w:rPr>
            <w:rFonts w:ascii="Cambria Math" w:hAnsi="Cambria Math"/>
          </w:rPr>
          <m:t>2.569</m:t>
        </m:r>
      </m:oMath>
      <w:r>
        <w:t xml:space="preserve"> es el valor crítico de la distribución de Nemenyi para </w:t>
      </w:r>
      <m:oMath>
        <m:r>
          <w:rPr>
            <w:rFonts w:ascii="Cambria Math" w:hAnsi="Cambria Math"/>
          </w:rPr>
          <m:t>k</m:t>
        </m:r>
        <m:r>
          <m:rPr>
            <m:sty m:val="p"/>
          </m:rPr>
          <w:rPr>
            <w:rFonts w:ascii="Cambria Math" w:hAnsi="Cambria Math"/>
          </w:rPr>
          <m:t>=</m:t>
        </m:r>
        <m:r>
          <w:rPr>
            <w:rFonts w:ascii="Cambria Math" w:hAnsi="Cambria Math"/>
          </w:rPr>
          <m:t>4</m:t>
        </m:r>
      </m:oMath>
      <w:r>
        <w:t xml:space="preserve"> con </w:t>
      </w:r>
      <m:oMath>
        <m:r>
          <w:rPr>
            <w:rFonts w:ascii="Cambria Math" w:hAnsi="Cambria Math"/>
          </w:rPr>
          <m:t>α</m:t>
        </m:r>
        <m:r>
          <m:rPr>
            <m:sty m:val="p"/>
          </m:rPr>
          <w:rPr>
            <w:rFonts w:ascii="Cambria Math" w:hAnsi="Cambria Math"/>
          </w:rPr>
          <m:t>=</m:t>
        </m:r>
        <m:r>
          <w:rPr>
            <w:rFonts w:ascii="Cambria Math" w:hAnsi="Cambria Math"/>
          </w:rPr>
          <m:t>0.05</m:t>
        </m:r>
      </m:oMath>
      <w:r>
        <w:t xml:space="preserve"> (Demšar 2006). Las diferencias en rangos medios entre todos los pares de métodos superan ampliamente esta diferencia crítica:</w:t>
      </w:r>
    </w:p>
    <w:tbl>
      <w:tblPr>
        <w:tblW w:w="5000" w:type="pct"/>
        <w:tblLayout w:type="fixed"/>
        <w:tblLook w:val="0000" w:firstRow="0" w:lastRow="0" w:firstColumn="0" w:lastColumn="0" w:noHBand="0" w:noVBand="0"/>
      </w:tblPr>
      <w:tblGrid>
        <w:gridCol w:w="9576"/>
      </w:tblGrid>
      <w:tr w:rsidR="000A4CDF" w14:paraId="5B5B4AF4" w14:textId="77777777">
        <w:tc>
          <w:tcPr>
            <w:tcW w:w="7920" w:type="dxa"/>
          </w:tcPr>
          <w:p w14:paraId="694A1513" w14:textId="77777777" w:rsidR="000A4CDF" w:rsidRDefault="00000000">
            <w:pPr>
              <w:spacing w:before="200"/>
              <w:jc w:val="left"/>
            </w:pPr>
            <w:bookmarkStart w:id="139" w:name="tbl-nemenyi-fidelity"/>
            <w:r>
              <w:t>Table 5.2: Comparaciones post-hoc de Nemenyi para fidelidad.</w:t>
            </w:r>
          </w:p>
          <w:tbl>
            <w:tblPr>
              <w:tblW w:w="0" w:type="auto"/>
              <w:tblLook w:val="0020" w:firstRow="1" w:lastRow="0" w:firstColumn="0" w:lastColumn="0" w:noHBand="0" w:noVBand="0"/>
            </w:tblPr>
            <w:tblGrid>
              <w:gridCol w:w="1980"/>
              <w:gridCol w:w="1980"/>
              <w:gridCol w:w="1980"/>
              <w:gridCol w:w="1980"/>
            </w:tblGrid>
            <w:tr w:rsidR="000A4CDF" w14:paraId="2C810ADF" w14:textId="77777777">
              <w:trPr>
                <w:tblHeader/>
              </w:trPr>
              <w:tc>
                <w:tcPr>
                  <w:tcW w:w="1980" w:type="dxa"/>
                </w:tcPr>
                <w:p w14:paraId="5A175ADC" w14:textId="77777777" w:rsidR="000A4CDF" w:rsidRDefault="00000000">
                  <w:pPr>
                    <w:jc w:val="center"/>
                  </w:pPr>
                  <w:r>
                    <w:t>Par</w:t>
                  </w:r>
                </w:p>
              </w:tc>
              <w:tc>
                <w:tcPr>
                  <w:tcW w:w="1980" w:type="dxa"/>
                </w:tcPr>
                <w:p w14:paraId="4D058569" w14:textId="77777777" w:rsidR="000A4CDF" w:rsidRDefault="00000000">
                  <w:pPr>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oMath>
                  </m:oMathPara>
                </w:p>
              </w:tc>
              <w:tc>
                <w:tcPr>
                  <w:tcW w:w="1980" w:type="dxa"/>
                </w:tcPr>
                <w:p w14:paraId="67DBDEAA" w14:textId="77777777" w:rsidR="000A4CDF" w:rsidRDefault="00000000">
                  <w:pPr>
                    <w:jc w:val="center"/>
                  </w:pPr>
                  <w:r>
                    <w:t>CD</w:t>
                  </w:r>
                </w:p>
              </w:tc>
              <w:tc>
                <w:tcPr>
                  <w:tcW w:w="1980" w:type="dxa"/>
                </w:tcPr>
                <w:p w14:paraId="78FA1192" w14:textId="77777777" w:rsidR="000A4CDF" w:rsidRDefault="00000000">
                  <w:pPr>
                    <w:jc w:val="center"/>
                  </w:pPr>
                  <w:r>
                    <w:t>Significativo</w:t>
                  </w:r>
                </w:p>
              </w:tc>
            </w:tr>
            <w:tr w:rsidR="000A4CDF" w14:paraId="73448335" w14:textId="77777777">
              <w:tc>
                <w:tcPr>
                  <w:tcW w:w="1980" w:type="dxa"/>
                </w:tcPr>
                <w:p w14:paraId="6D8AD82A" w14:textId="77777777" w:rsidR="000A4CDF" w:rsidRDefault="00000000">
                  <w:pPr>
                    <w:jc w:val="center"/>
                  </w:pPr>
                  <w:r>
                    <w:lastRenderedPageBreak/>
                    <w:t>SHAP vs. LIME</w:t>
                  </w:r>
                </w:p>
              </w:tc>
              <w:tc>
                <w:tcPr>
                  <w:tcW w:w="1980" w:type="dxa"/>
                </w:tcPr>
                <w:p w14:paraId="0293A438" w14:textId="77777777" w:rsidR="000A4CDF" w:rsidRDefault="00000000">
                  <w:pPr>
                    <w:jc w:val="center"/>
                  </w:pPr>
                  <w:r>
                    <w:t>1.000</w:t>
                  </w:r>
                </w:p>
              </w:tc>
              <w:tc>
                <w:tcPr>
                  <w:tcW w:w="1980" w:type="dxa"/>
                </w:tcPr>
                <w:p w14:paraId="750FAD9D" w14:textId="77777777" w:rsidR="000A4CDF" w:rsidRDefault="00000000">
                  <w:pPr>
                    <w:jc w:val="center"/>
                  </w:pPr>
                  <w:r>
                    <w:t>1.211</w:t>
                  </w:r>
                </w:p>
              </w:tc>
              <w:tc>
                <w:tcPr>
                  <w:tcW w:w="1980" w:type="dxa"/>
                </w:tcPr>
                <w:p w14:paraId="758465DB" w14:textId="77777777" w:rsidR="000A4CDF" w:rsidRDefault="00000000">
                  <w:pPr>
                    <w:jc w:val="center"/>
                  </w:pPr>
                  <w:r>
                    <w:t>No</w:t>
                  </w:r>
                </w:p>
              </w:tc>
            </w:tr>
            <w:tr w:rsidR="000A4CDF" w14:paraId="03ACF08C" w14:textId="77777777">
              <w:tc>
                <w:tcPr>
                  <w:tcW w:w="1980" w:type="dxa"/>
                </w:tcPr>
                <w:p w14:paraId="266A83D0" w14:textId="77777777" w:rsidR="000A4CDF" w:rsidRDefault="00000000">
                  <w:pPr>
                    <w:jc w:val="center"/>
                  </w:pPr>
                  <w:r>
                    <w:t>SHAP vs. Anchors</w:t>
                  </w:r>
                </w:p>
              </w:tc>
              <w:tc>
                <w:tcPr>
                  <w:tcW w:w="1980" w:type="dxa"/>
                </w:tcPr>
                <w:p w14:paraId="5F4F8A44" w14:textId="77777777" w:rsidR="000A4CDF" w:rsidRDefault="00000000">
                  <w:pPr>
                    <w:jc w:val="center"/>
                  </w:pPr>
                  <w:r>
                    <w:t>2.200</w:t>
                  </w:r>
                </w:p>
              </w:tc>
              <w:tc>
                <w:tcPr>
                  <w:tcW w:w="1980" w:type="dxa"/>
                </w:tcPr>
                <w:p w14:paraId="09784C64" w14:textId="77777777" w:rsidR="000A4CDF" w:rsidRDefault="00000000">
                  <w:pPr>
                    <w:jc w:val="center"/>
                  </w:pPr>
                  <w:r>
                    <w:t>1.211</w:t>
                  </w:r>
                </w:p>
              </w:tc>
              <w:tc>
                <w:tcPr>
                  <w:tcW w:w="1980" w:type="dxa"/>
                </w:tcPr>
                <w:p w14:paraId="67174B34" w14:textId="77777777" w:rsidR="000A4CDF" w:rsidRDefault="00000000">
                  <w:pPr>
                    <w:jc w:val="center"/>
                  </w:pPr>
                  <w:r>
                    <w:t>Sí</w:t>
                  </w:r>
                </w:p>
              </w:tc>
            </w:tr>
            <w:tr w:rsidR="000A4CDF" w14:paraId="5C10CE20" w14:textId="77777777">
              <w:tc>
                <w:tcPr>
                  <w:tcW w:w="1980" w:type="dxa"/>
                </w:tcPr>
                <w:p w14:paraId="1C94D87E" w14:textId="77777777" w:rsidR="000A4CDF" w:rsidRDefault="00000000">
                  <w:pPr>
                    <w:jc w:val="center"/>
                  </w:pPr>
                  <w:r>
                    <w:t>SHAP vs. DiCE</w:t>
                  </w:r>
                </w:p>
              </w:tc>
              <w:tc>
                <w:tcPr>
                  <w:tcW w:w="1980" w:type="dxa"/>
                </w:tcPr>
                <w:p w14:paraId="15422501" w14:textId="77777777" w:rsidR="000A4CDF" w:rsidRDefault="00000000">
                  <w:pPr>
                    <w:jc w:val="center"/>
                  </w:pPr>
                  <w:r>
                    <w:t>2.800</w:t>
                  </w:r>
                </w:p>
              </w:tc>
              <w:tc>
                <w:tcPr>
                  <w:tcW w:w="1980" w:type="dxa"/>
                </w:tcPr>
                <w:p w14:paraId="259258ED" w14:textId="77777777" w:rsidR="000A4CDF" w:rsidRDefault="00000000">
                  <w:pPr>
                    <w:jc w:val="center"/>
                  </w:pPr>
                  <w:r>
                    <w:t>1.211</w:t>
                  </w:r>
                </w:p>
              </w:tc>
              <w:tc>
                <w:tcPr>
                  <w:tcW w:w="1980" w:type="dxa"/>
                </w:tcPr>
                <w:p w14:paraId="7A6A5376" w14:textId="77777777" w:rsidR="000A4CDF" w:rsidRDefault="00000000">
                  <w:pPr>
                    <w:jc w:val="center"/>
                  </w:pPr>
                  <w:r>
                    <w:t>Sí</w:t>
                  </w:r>
                </w:p>
              </w:tc>
            </w:tr>
            <w:tr w:rsidR="000A4CDF" w14:paraId="14AF5ED4" w14:textId="77777777">
              <w:tc>
                <w:tcPr>
                  <w:tcW w:w="1980" w:type="dxa"/>
                </w:tcPr>
                <w:p w14:paraId="0BC08FFF" w14:textId="77777777" w:rsidR="000A4CDF" w:rsidRDefault="00000000">
                  <w:pPr>
                    <w:jc w:val="center"/>
                  </w:pPr>
                  <w:r>
                    <w:t>LIME vs. Anchors</w:t>
                  </w:r>
                </w:p>
              </w:tc>
              <w:tc>
                <w:tcPr>
                  <w:tcW w:w="1980" w:type="dxa"/>
                </w:tcPr>
                <w:p w14:paraId="7560F277" w14:textId="77777777" w:rsidR="000A4CDF" w:rsidRDefault="00000000">
                  <w:pPr>
                    <w:jc w:val="center"/>
                  </w:pPr>
                  <w:r>
                    <w:t>1.200</w:t>
                  </w:r>
                </w:p>
              </w:tc>
              <w:tc>
                <w:tcPr>
                  <w:tcW w:w="1980" w:type="dxa"/>
                </w:tcPr>
                <w:p w14:paraId="2342AE5A" w14:textId="77777777" w:rsidR="000A4CDF" w:rsidRDefault="00000000">
                  <w:pPr>
                    <w:jc w:val="center"/>
                  </w:pPr>
                  <w:r>
                    <w:t>1.211</w:t>
                  </w:r>
                </w:p>
              </w:tc>
              <w:tc>
                <w:tcPr>
                  <w:tcW w:w="1980" w:type="dxa"/>
                </w:tcPr>
                <w:p w14:paraId="5027748E" w14:textId="77777777" w:rsidR="000A4CDF" w:rsidRDefault="00000000">
                  <w:pPr>
                    <w:jc w:val="center"/>
                  </w:pPr>
                  <w:r>
                    <w:t>No</w:t>
                  </w:r>
                </w:p>
              </w:tc>
            </w:tr>
            <w:tr w:rsidR="000A4CDF" w14:paraId="771EC011" w14:textId="77777777">
              <w:tc>
                <w:tcPr>
                  <w:tcW w:w="1980" w:type="dxa"/>
                </w:tcPr>
                <w:p w14:paraId="26D5AC6E" w14:textId="77777777" w:rsidR="000A4CDF" w:rsidRDefault="00000000">
                  <w:pPr>
                    <w:jc w:val="center"/>
                  </w:pPr>
                  <w:r>
                    <w:t>LIME vs. DiCE</w:t>
                  </w:r>
                </w:p>
              </w:tc>
              <w:tc>
                <w:tcPr>
                  <w:tcW w:w="1980" w:type="dxa"/>
                </w:tcPr>
                <w:p w14:paraId="6E44C163" w14:textId="77777777" w:rsidR="000A4CDF" w:rsidRDefault="00000000">
                  <w:pPr>
                    <w:jc w:val="center"/>
                  </w:pPr>
                  <w:r>
                    <w:t>1.800</w:t>
                  </w:r>
                </w:p>
              </w:tc>
              <w:tc>
                <w:tcPr>
                  <w:tcW w:w="1980" w:type="dxa"/>
                </w:tcPr>
                <w:p w14:paraId="5EBBF377" w14:textId="77777777" w:rsidR="000A4CDF" w:rsidRDefault="00000000">
                  <w:pPr>
                    <w:jc w:val="center"/>
                  </w:pPr>
                  <w:r>
                    <w:t>1.211</w:t>
                  </w:r>
                </w:p>
              </w:tc>
              <w:tc>
                <w:tcPr>
                  <w:tcW w:w="1980" w:type="dxa"/>
                </w:tcPr>
                <w:p w14:paraId="6B7809D9" w14:textId="77777777" w:rsidR="000A4CDF" w:rsidRDefault="00000000">
                  <w:pPr>
                    <w:jc w:val="center"/>
                  </w:pPr>
                  <w:r>
                    <w:t>Sí</w:t>
                  </w:r>
                </w:p>
              </w:tc>
            </w:tr>
            <w:tr w:rsidR="000A4CDF" w14:paraId="3E0D419D" w14:textId="77777777">
              <w:tc>
                <w:tcPr>
                  <w:tcW w:w="1980" w:type="dxa"/>
                </w:tcPr>
                <w:p w14:paraId="71BB3E4A" w14:textId="77777777" w:rsidR="000A4CDF" w:rsidRDefault="00000000">
                  <w:pPr>
                    <w:jc w:val="center"/>
                  </w:pPr>
                  <w:r>
                    <w:t>Anchors vs. DiCE</w:t>
                  </w:r>
                </w:p>
              </w:tc>
              <w:tc>
                <w:tcPr>
                  <w:tcW w:w="1980" w:type="dxa"/>
                </w:tcPr>
                <w:p w14:paraId="37518F4D" w14:textId="77777777" w:rsidR="000A4CDF" w:rsidRDefault="00000000">
                  <w:pPr>
                    <w:jc w:val="center"/>
                  </w:pPr>
                  <w:r>
                    <w:t>0.600</w:t>
                  </w:r>
                </w:p>
              </w:tc>
              <w:tc>
                <w:tcPr>
                  <w:tcW w:w="1980" w:type="dxa"/>
                </w:tcPr>
                <w:p w14:paraId="4EF33E89" w14:textId="77777777" w:rsidR="000A4CDF" w:rsidRDefault="00000000">
                  <w:pPr>
                    <w:jc w:val="center"/>
                  </w:pPr>
                  <w:r>
                    <w:t>1.211</w:t>
                  </w:r>
                </w:p>
              </w:tc>
              <w:tc>
                <w:tcPr>
                  <w:tcW w:w="1980" w:type="dxa"/>
                </w:tcPr>
                <w:p w14:paraId="64B2E522" w14:textId="77777777" w:rsidR="000A4CDF" w:rsidRDefault="00000000">
                  <w:pPr>
                    <w:jc w:val="center"/>
                  </w:pPr>
                  <w:r>
                    <w:t>No</w:t>
                  </w:r>
                </w:p>
              </w:tc>
            </w:tr>
            <w:bookmarkEnd w:id="139"/>
          </w:tbl>
          <w:p w14:paraId="1D9AEBF8" w14:textId="77777777" w:rsidR="000A4CDF" w:rsidRDefault="000A4CDF"/>
        </w:tc>
      </w:tr>
    </w:tbl>
    <w:p w14:paraId="585765E1" w14:textId="77777777" w:rsidR="000A4CDF" w:rsidRDefault="00000000">
      <w:pPr>
        <w:pStyle w:val="BodyText"/>
      </w:pPr>
      <w:r>
        <w:lastRenderedPageBreak/>
        <w:t xml:space="preserve">La localización Nemenyi es conservadora cuando </w:t>
      </w:r>
      <m:oMath>
        <m:r>
          <w:rPr>
            <w:rFonts w:ascii="Cambria Math" w:hAnsi="Cambria Math"/>
          </w:rPr>
          <m:t>n</m:t>
        </m:r>
      </m:oMath>
      <w:r>
        <w:t xml:space="preserve"> es pequeño. En fidelidad, se distinguen de forma robusta SHAP frente a Anchors/DiCE y LIME frente a DiCE; las diferencias SHAP–LIME y LIME–Anchors no superan el umbral crítico bajo este procedimiento. Este resultado no contradice la dominancia observada de SHAP en rangos, y motiva complementar el análisis global con el contraste pareado SHAP–LIME del Estudio B.</w:t>
      </w:r>
    </w:p>
    <w:p w14:paraId="2BEC5084" w14:textId="77777777" w:rsidR="000A4CDF" w:rsidRDefault="00000000">
      <w:pPr>
        <w:pStyle w:val="Heading3"/>
      </w:pPr>
      <w:bookmarkStart w:id="140" w:name="X117d71016dd8839ee57c9e60cc09d0400ac5f3d"/>
      <w:bookmarkStart w:id="141" w:name="_Toc228522593"/>
      <w:bookmarkEnd w:id="136"/>
      <w:r>
        <w:t>H2: Diferencias entre métodos en estabilidad</w:t>
      </w:r>
      <w:bookmarkEnd w:id="141"/>
    </w:p>
    <w:p w14:paraId="23D9A163" w14:textId="77777777" w:rsidR="000A4CDF" w:rsidRDefault="00000000">
      <w:r>
        <w:t xml:space="preserve">La prueba de Friedman para estabilidad arrojó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xml:space="preserve"> con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lo que implica un margen de seguridad de:</w:t>
      </w:r>
    </w:p>
    <w:p w14:paraId="6F1106BD" w14:textId="77777777" w:rsidR="000A4CDF"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40.68</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421</m:t>
          </m:r>
          <m:r>
            <m:rPr>
              <m:sty m:val="p"/>
            </m:rPr>
            <w:rPr>
              <w:rFonts w:ascii="Cambria Math" w:hAnsi="Cambria Math"/>
            </w:rPr>
            <m:t>%</m:t>
          </m:r>
        </m:oMath>
      </m:oMathPara>
    </w:p>
    <w:p w14:paraId="7B3C6E34" w14:textId="77777777" w:rsidR="000A4CDF" w:rsidRDefault="00000000">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xml:space="preserve"> se rechaza con la misma holgura que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Sin embargo, el ordenamiento de los métodos en estabilidad difiere sustancialmente del observado en fidelidad, lo que constituye en sí mismo un hallazgo teórico relevante: las dimensiones de calidad no están correlacionadas monótonamente.</w:t>
      </w:r>
    </w:p>
    <w:tbl>
      <w:tblPr>
        <w:tblW w:w="5000" w:type="pct"/>
        <w:tblLayout w:type="fixed"/>
        <w:tblLook w:val="0000" w:firstRow="0" w:lastRow="0" w:firstColumn="0" w:lastColumn="0" w:noHBand="0" w:noVBand="0"/>
      </w:tblPr>
      <w:tblGrid>
        <w:gridCol w:w="9576"/>
      </w:tblGrid>
      <w:tr w:rsidR="000A4CDF" w14:paraId="63924ABD" w14:textId="77777777">
        <w:tc>
          <w:tcPr>
            <w:tcW w:w="7920" w:type="dxa"/>
          </w:tcPr>
          <w:p w14:paraId="585CB04F" w14:textId="77777777" w:rsidR="000A4CDF" w:rsidRDefault="00000000">
            <w:pPr>
              <w:spacing w:before="200"/>
              <w:jc w:val="left"/>
            </w:pPr>
            <w:bookmarkStart w:id="142" w:name="tbl-friedman-stability"/>
            <w:r>
              <w:lastRenderedPageBreak/>
              <w:t>Table 5.3: Suma y media de rangos de estabilidad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tblLook w:val="0020" w:firstRow="1" w:lastRow="0" w:firstColumn="0" w:lastColumn="0" w:noHBand="0" w:noVBand="0"/>
            </w:tblPr>
            <w:tblGrid>
              <w:gridCol w:w="1980"/>
              <w:gridCol w:w="1980"/>
              <w:gridCol w:w="1980"/>
              <w:gridCol w:w="1980"/>
            </w:tblGrid>
            <w:tr w:rsidR="000A4CDF" w14:paraId="290B7855" w14:textId="77777777">
              <w:trPr>
                <w:tblHeader/>
              </w:trPr>
              <w:tc>
                <w:tcPr>
                  <w:tcW w:w="1980" w:type="dxa"/>
                </w:tcPr>
                <w:p w14:paraId="76E4A46E" w14:textId="77777777" w:rsidR="000A4CDF" w:rsidRDefault="00000000">
                  <w:pPr>
                    <w:jc w:val="center"/>
                  </w:pPr>
                  <w:r>
                    <w:t>Método</w:t>
                  </w:r>
                </w:p>
              </w:tc>
              <w:tc>
                <w:tcPr>
                  <w:tcW w:w="1980" w:type="dxa"/>
                </w:tcPr>
                <w:p w14:paraId="3C851915" w14:textId="77777777" w:rsidR="000A4CDF" w:rsidRDefault="00000000">
                  <w:pPr>
                    <w:jc w:val="center"/>
                  </w:pPr>
                  <w:r>
                    <w:t>Suma de rangos</w:t>
                  </w:r>
                </w:p>
              </w:tc>
              <w:tc>
                <w:tcPr>
                  <w:tcW w:w="1980" w:type="dxa"/>
                </w:tcPr>
                <w:p w14:paraId="591FFDB0" w14:textId="77777777" w:rsidR="000A4CDF" w:rsidRDefault="00000000">
                  <w:pPr>
                    <w:jc w:val="center"/>
                  </w:pPr>
                  <w:r>
                    <w:t>Rango medio</w:t>
                  </w:r>
                </w:p>
              </w:tc>
              <w:tc>
                <w:tcPr>
                  <w:tcW w:w="1980" w:type="dxa"/>
                </w:tcPr>
                <w:p w14:paraId="3B543895" w14:textId="77777777" w:rsidR="000A4CDF" w:rsidRDefault="00000000">
                  <w:pPr>
                    <w:jc w:val="center"/>
                  </w:pPr>
                  <w:r>
                    <w:t>Media bruta</w:t>
                  </w:r>
                </w:p>
              </w:tc>
            </w:tr>
            <w:tr w:rsidR="000A4CDF" w14:paraId="614B4A5E" w14:textId="77777777">
              <w:tc>
                <w:tcPr>
                  <w:tcW w:w="1980" w:type="dxa"/>
                </w:tcPr>
                <w:p w14:paraId="3814244E" w14:textId="77777777" w:rsidR="000A4CDF" w:rsidRDefault="00000000">
                  <w:pPr>
                    <w:jc w:val="center"/>
                  </w:pPr>
                  <w:r>
                    <w:t>SHAP</w:t>
                  </w:r>
                </w:p>
              </w:tc>
              <w:tc>
                <w:tcPr>
                  <w:tcW w:w="1980" w:type="dxa"/>
                </w:tcPr>
                <w:p w14:paraId="77C18C7D" w14:textId="77777777" w:rsidR="000A4CDF" w:rsidRDefault="00000000">
                  <w:pPr>
                    <w:jc w:val="center"/>
                  </w:pPr>
                  <w:r>
                    <w:t>15</w:t>
                  </w:r>
                </w:p>
              </w:tc>
              <w:tc>
                <w:tcPr>
                  <w:tcW w:w="1980" w:type="dxa"/>
                </w:tcPr>
                <w:p w14:paraId="5737948A" w14:textId="77777777" w:rsidR="000A4CDF" w:rsidRDefault="00000000">
                  <w:pPr>
                    <w:jc w:val="center"/>
                  </w:pPr>
                  <w:r>
                    <w:t>1.000</w:t>
                  </w:r>
                </w:p>
              </w:tc>
              <w:tc>
                <w:tcPr>
                  <w:tcW w:w="1980" w:type="dxa"/>
                </w:tcPr>
                <w:p w14:paraId="0A4A592A" w14:textId="77777777" w:rsidR="000A4CDF" w:rsidRDefault="00000000">
                  <w:pPr>
                    <w:jc w:val="center"/>
                  </w:pPr>
                  <w:r>
                    <w:t>0.732</w:t>
                  </w:r>
                </w:p>
              </w:tc>
            </w:tr>
            <w:tr w:rsidR="000A4CDF" w14:paraId="0D6FDEC0" w14:textId="77777777">
              <w:tc>
                <w:tcPr>
                  <w:tcW w:w="1980" w:type="dxa"/>
                </w:tcPr>
                <w:p w14:paraId="2070D523" w14:textId="77777777" w:rsidR="000A4CDF" w:rsidRDefault="00000000">
                  <w:pPr>
                    <w:jc w:val="center"/>
                  </w:pPr>
                  <w:r>
                    <w:t>DiCE</w:t>
                  </w:r>
                </w:p>
              </w:tc>
              <w:tc>
                <w:tcPr>
                  <w:tcW w:w="1980" w:type="dxa"/>
                </w:tcPr>
                <w:p w14:paraId="23AD6327" w14:textId="77777777" w:rsidR="000A4CDF" w:rsidRDefault="00000000">
                  <w:pPr>
                    <w:jc w:val="center"/>
                  </w:pPr>
                  <w:r>
                    <w:t>30</w:t>
                  </w:r>
                </w:p>
              </w:tc>
              <w:tc>
                <w:tcPr>
                  <w:tcW w:w="1980" w:type="dxa"/>
                </w:tcPr>
                <w:p w14:paraId="4DC194ED" w14:textId="77777777" w:rsidR="000A4CDF" w:rsidRDefault="00000000">
                  <w:pPr>
                    <w:jc w:val="center"/>
                  </w:pPr>
                  <w:r>
                    <w:t>2.000</w:t>
                  </w:r>
                </w:p>
              </w:tc>
              <w:tc>
                <w:tcPr>
                  <w:tcW w:w="1980" w:type="dxa"/>
                </w:tcPr>
                <w:p w14:paraId="167B2610" w14:textId="77777777" w:rsidR="000A4CDF" w:rsidRDefault="00000000">
                  <w:pPr>
                    <w:jc w:val="center"/>
                  </w:pPr>
                  <w:r>
                    <w:t>0.361</w:t>
                  </w:r>
                </w:p>
              </w:tc>
            </w:tr>
            <w:tr w:rsidR="000A4CDF" w14:paraId="3C91A12E" w14:textId="77777777">
              <w:tc>
                <w:tcPr>
                  <w:tcW w:w="1980" w:type="dxa"/>
                </w:tcPr>
                <w:p w14:paraId="17C1224D" w14:textId="77777777" w:rsidR="000A4CDF" w:rsidRDefault="00000000">
                  <w:pPr>
                    <w:jc w:val="center"/>
                  </w:pPr>
                  <w:r>
                    <w:t>LIME</w:t>
                  </w:r>
                </w:p>
              </w:tc>
              <w:tc>
                <w:tcPr>
                  <w:tcW w:w="1980" w:type="dxa"/>
                </w:tcPr>
                <w:p w14:paraId="674DA070" w14:textId="77777777" w:rsidR="000A4CDF" w:rsidRDefault="00000000">
                  <w:pPr>
                    <w:jc w:val="center"/>
                  </w:pPr>
                  <w:r>
                    <w:t>51</w:t>
                  </w:r>
                </w:p>
              </w:tc>
              <w:tc>
                <w:tcPr>
                  <w:tcW w:w="1980" w:type="dxa"/>
                </w:tcPr>
                <w:p w14:paraId="2810D8EF" w14:textId="77777777" w:rsidR="000A4CDF" w:rsidRDefault="00000000">
                  <w:pPr>
                    <w:jc w:val="center"/>
                  </w:pPr>
                  <w:r>
                    <w:t>3.400</w:t>
                  </w:r>
                </w:p>
              </w:tc>
              <w:tc>
                <w:tcPr>
                  <w:tcW w:w="1980" w:type="dxa"/>
                </w:tcPr>
                <w:p w14:paraId="295F000C" w14:textId="77777777" w:rsidR="000A4CDF" w:rsidRDefault="00000000">
                  <w:pPr>
                    <w:jc w:val="center"/>
                  </w:pPr>
                  <w:r>
                    <w:t>0.014</w:t>
                  </w:r>
                </w:p>
              </w:tc>
            </w:tr>
            <w:tr w:rsidR="000A4CDF" w14:paraId="5D26C37D" w14:textId="77777777">
              <w:tc>
                <w:tcPr>
                  <w:tcW w:w="1980" w:type="dxa"/>
                </w:tcPr>
                <w:p w14:paraId="39E12CDD" w14:textId="77777777" w:rsidR="000A4CDF" w:rsidRDefault="00000000">
                  <w:pPr>
                    <w:jc w:val="center"/>
                  </w:pPr>
                  <w:r>
                    <w:t>Anchors</w:t>
                  </w:r>
                </w:p>
              </w:tc>
              <w:tc>
                <w:tcPr>
                  <w:tcW w:w="1980" w:type="dxa"/>
                </w:tcPr>
                <w:p w14:paraId="0E82FB3F" w14:textId="77777777" w:rsidR="000A4CDF" w:rsidRDefault="00000000">
                  <w:pPr>
                    <w:jc w:val="center"/>
                  </w:pPr>
                  <w:r>
                    <w:t>54</w:t>
                  </w:r>
                </w:p>
              </w:tc>
              <w:tc>
                <w:tcPr>
                  <w:tcW w:w="1980" w:type="dxa"/>
                </w:tcPr>
                <w:p w14:paraId="51ED5503" w14:textId="77777777" w:rsidR="000A4CDF" w:rsidRDefault="00000000">
                  <w:pPr>
                    <w:jc w:val="center"/>
                  </w:pPr>
                  <w:r>
                    <w:t>3.600</w:t>
                  </w:r>
                </w:p>
              </w:tc>
              <w:tc>
                <w:tcPr>
                  <w:tcW w:w="1980" w:type="dxa"/>
                </w:tcPr>
                <w:p w14:paraId="18E3259D" w14:textId="77777777" w:rsidR="000A4CDF" w:rsidRDefault="00000000">
                  <w:pPr>
                    <w:jc w:val="center"/>
                  </w:pPr>
                  <w:r>
                    <w:t>0.043</w:t>
                  </w:r>
                </w:p>
              </w:tc>
            </w:tr>
            <w:bookmarkEnd w:id="142"/>
          </w:tbl>
          <w:p w14:paraId="332668E1" w14:textId="77777777" w:rsidR="000A4CDF" w:rsidRDefault="000A4CDF"/>
        </w:tc>
      </w:tr>
    </w:tbl>
    <w:p w14:paraId="7E4A2E0A" w14:textId="77777777" w:rsidR="000A4CDF" w:rsidRDefault="00000000">
      <w:pPr>
        <w:pStyle w:val="BodyText"/>
      </w:pPr>
      <w:r>
        <w:t xml:space="preserve">SHAP mantiene la primera posición en estabilidad (rango medio = 1.000), lo que implica que es dominante también en esta dimensión. DiCE, que ocupa el último lugar en fidelidad, asciende a la segunda posición en estabilidad (rango medio = 2.000; media bruta = 0.361), lo que refleja que las explicaciones contrafactuales de DiCE tienen cierta coherencia estructural aunque su correlación con la función del modelo sea baja. El resultado más llamativo es la casi-nula estabilidad de LIME: su media bruta de 0.014 (similitud coseno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indica que explicaciones generadas sobre instancias ligeramente perturbadas son prácticamente ortogonales entre sí. Este es un rasgo conocido del diseño por muestreo local de LIME (Ribeiro 2016), pero la cuantificación en este benchmark evidencia que la inestabilidad no es marginal, sino estructural.</w:t>
      </w:r>
    </w:p>
    <w:p w14:paraId="7ED53FB9" w14:textId="77777777" w:rsidR="000A4CDF" w:rsidRDefault="00000000">
      <w:pPr>
        <w:pStyle w:val="BodyText"/>
      </w:pPr>
      <w:r>
        <w:t>La diferencia crítica Nemenyi para estabilidad es idéntica a la calculada para fidelidad (</w:t>
      </w:r>
      <m:oMath>
        <m:r>
          <w:rPr>
            <w:rFonts w:ascii="Cambria Math" w:hAnsi="Cambria Math"/>
          </w:rPr>
          <m:t>CD</m:t>
        </m:r>
        <m:r>
          <m:rPr>
            <m:sty m:val="p"/>
          </m:rPr>
          <w:rPr>
            <w:rFonts w:ascii="Cambria Math" w:hAnsi="Cambria Math"/>
          </w:rPr>
          <m:t>=</m:t>
        </m:r>
        <m:r>
          <w:rPr>
            <w:rFonts w:ascii="Cambria Math" w:hAnsi="Cambria Math"/>
          </w:rPr>
          <m:t>1.211</m:t>
        </m:r>
      </m:oMath>
      <w:r>
        <w:t xml:space="preserve">) dado el mismo </w:t>
      </w:r>
      <m:oMath>
        <m:r>
          <w:rPr>
            <w:rFonts w:ascii="Cambria Math" w:hAnsi="Cambria Math"/>
          </w:rPr>
          <m:t>n</m:t>
        </m:r>
      </m:oMath>
      <w:r>
        <w:t xml:space="preserve"> y </w:t>
      </w:r>
      <m:oMath>
        <m:r>
          <w:rPr>
            <w:rFonts w:ascii="Cambria Math" w:hAnsi="Cambria Math"/>
          </w:rPr>
          <m:t>k</m:t>
        </m:r>
      </m:oMath>
      <w:r>
        <w:t>. Las diferencias en rangos medios confirmadas como significativas son:</w:t>
      </w:r>
    </w:p>
    <w:p w14:paraId="55FA936B" w14:textId="77777777" w:rsidR="000A4CDF" w:rsidRDefault="00000000">
      <w:pPr>
        <w:numPr>
          <w:ilvl w:val="0"/>
          <w:numId w:val="66"/>
        </w:numPr>
      </w:pPr>
      <w:r>
        <w:t xml:space="preserve">SHAP vs. LIME: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2.400</m:t>
        </m:r>
        <m:r>
          <m:rPr>
            <m:sty m:val="p"/>
          </m:rPr>
          <w:rPr>
            <w:rFonts w:ascii="Cambria Math" w:hAnsi="Cambria Math"/>
          </w:rPr>
          <m:t>&gt;</m:t>
        </m:r>
        <m:r>
          <w:rPr>
            <w:rFonts w:ascii="Cambria Math" w:hAnsi="Cambria Math"/>
          </w:rPr>
          <m:t>1.211</m:t>
        </m:r>
      </m:oMath>
      <w:r>
        <w:t xml:space="preserve"> (Sí)</w:t>
      </w:r>
    </w:p>
    <w:p w14:paraId="08F6496A" w14:textId="77777777" w:rsidR="000A4CDF" w:rsidRDefault="00000000">
      <w:pPr>
        <w:numPr>
          <w:ilvl w:val="0"/>
          <w:numId w:val="66"/>
        </w:numPr>
      </w:pPr>
      <w:r>
        <w:lastRenderedPageBreak/>
        <w:t xml:space="preserve">SHAP vs. Anchors: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2.600</m:t>
        </m:r>
        <m:r>
          <m:rPr>
            <m:sty m:val="p"/>
          </m:rPr>
          <w:rPr>
            <w:rFonts w:ascii="Cambria Math" w:hAnsi="Cambria Math"/>
          </w:rPr>
          <m:t>&gt;</m:t>
        </m:r>
        <m:r>
          <w:rPr>
            <w:rFonts w:ascii="Cambria Math" w:hAnsi="Cambria Math"/>
          </w:rPr>
          <m:t>1.211</m:t>
        </m:r>
      </m:oMath>
      <w:r>
        <w:t xml:space="preserve"> (Sí)</w:t>
      </w:r>
    </w:p>
    <w:p w14:paraId="6B6B1D4E" w14:textId="77777777" w:rsidR="000A4CDF" w:rsidRDefault="00000000">
      <w:pPr>
        <w:numPr>
          <w:ilvl w:val="0"/>
          <w:numId w:val="66"/>
        </w:numPr>
      </w:pPr>
      <w:r>
        <w:t xml:space="preserve">DiCE vs. LIME: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1.400</m:t>
        </m:r>
        <m:r>
          <m:rPr>
            <m:sty m:val="p"/>
          </m:rPr>
          <w:rPr>
            <w:rFonts w:ascii="Cambria Math" w:hAnsi="Cambria Math"/>
          </w:rPr>
          <m:t>&gt;</m:t>
        </m:r>
        <m:r>
          <w:rPr>
            <w:rFonts w:ascii="Cambria Math" w:hAnsi="Cambria Math"/>
          </w:rPr>
          <m:t>1.211</m:t>
        </m:r>
      </m:oMath>
      <w:r>
        <w:t xml:space="preserve"> (Sí)</w:t>
      </w:r>
    </w:p>
    <w:p w14:paraId="07502337" w14:textId="77777777" w:rsidR="000A4CDF" w:rsidRDefault="00000000">
      <w:pPr>
        <w:numPr>
          <w:ilvl w:val="0"/>
          <w:numId w:val="66"/>
        </w:numPr>
      </w:pPr>
      <w:r>
        <w:t xml:space="preserve">DiCE vs. Anchors: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1.600</m:t>
        </m:r>
        <m:r>
          <m:rPr>
            <m:sty m:val="p"/>
          </m:rPr>
          <w:rPr>
            <w:rFonts w:ascii="Cambria Math" w:hAnsi="Cambria Math"/>
          </w:rPr>
          <m:t>&gt;</m:t>
        </m:r>
        <m:r>
          <w:rPr>
            <w:rFonts w:ascii="Cambria Math" w:hAnsi="Cambria Math"/>
          </w:rPr>
          <m:t>1.211</m:t>
        </m:r>
      </m:oMath>
      <w:r>
        <w:t xml:space="preserve"> (Sí)</w:t>
      </w:r>
    </w:p>
    <w:p w14:paraId="28639B6C" w14:textId="77777777" w:rsidR="000A4CDF" w:rsidRDefault="00000000">
      <w:pPr>
        <w:numPr>
          <w:ilvl w:val="0"/>
          <w:numId w:val="66"/>
        </w:numPr>
      </w:pPr>
      <w:r>
        <w:t xml:space="preserve">LIME vs. Anchors: </w:t>
      </w:r>
      <m:oMath>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0.200</m:t>
        </m:r>
        <m:r>
          <m:rPr>
            <m:sty m:val="p"/>
          </m:rPr>
          <w:rPr>
            <w:rFonts w:ascii="Cambria Math" w:hAnsi="Cambria Math"/>
          </w:rPr>
          <m:t>&lt;</m:t>
        </m:r>
        <m:r>
          <w:rPr>
            <w:rFonts w:ascii="Cambria Math" w:hAnsi="Cambria Math"/>
          </w:rPr>
          <m:t>1.211</m:t>
        </m:r>
      </m:oMath>
      <w:r>
        <w:t xml:space="preserve"> (No)</w:t>
      </w:r>
    </w:p>
    <w:p w14:paraId="104E38AF" w14:textId="77777777" w:rsidR="000A4CDF" w:rsidRDefault="00000000">
      <w:pPr>
        <w:numPr>
          <w:ilvl w:val="0"/>
          <w:numId w:val="66"/>
        </w:numPr>
      </w:pPr>
      <w:r>
        <w:t xml:space="preserve">SHAP vs. DiCE: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1.000</m:t>
        </m:r>
        <m:r>
          <m:rPr>
            <m:sty m:val="p"/>
          </m:rPr>
          <w:rPr>
            <w:rFonts w:ascii="Cambria Math" w:hAnsi="Cambria Math"/>
          </w:rPr>
          <m:t>&lt;</m:t>
        </m:r>
        <m:r>
          <w:rPr>
            <w:rFonts w:ascii="Cambria Math" w:hAnsi="Cambria Math"/>
          </w:rPr>
          <m:t>1.211</m:t>
        </m:r>
      </m:oMath>
      <w:r>
        <w:t xml:space="preserve"> (No)</w:t>
      </w:r>
    </w:p>
    <w:p w14:paraId="23E138C4" w14:textId="77777777" w:rsidR="000A4CDF" w:rsidRDefault="00000000">
      <w:r>
        <w:t>LIME y Anchors forman un grupo indistinguible en estabilidad (ambos con valores cercanos a cero), mientras que SHAP y DiCE conforman el grupo estable. La interpretación práctica es clara: en despliegues que requieren consistencia explicativa ante pequeñas variaciones de entrada, SHAP es el método robusto y DiCE ofrece estabilidad intermedia; LIME y Anchors deben descartarse por este criterio.</w:t>
      </w:r>
    </w:p>
    <w:p w14:paraId="124B6A9B" w14:textId="77777777" w:rsidR="000A4CDF" w:rsidRDefault="00000000">
      <w:pPr>
        <w:pStyle w:val="Heading2"/>
      </w:pPr>
      <w:bookmarkStart w:id="143" w:name="sec-estudio-b"/>
      <w:bookmarkStart w:id="144" w:name="_Toc228522594"/>
      <w:bookmarkEnd w:id="134"/>
      <w:bookmarkEnd w:id="140"/>
      <w:r>
        <w:t>Estudio B: Análisis pareado SHAP-LIME y trade-off calidad-coste (H3)</w:t>
      </w:r>
      <w:bookmarkEnd w:id="144"/>
    </w:p>
    <w:p w14:paraId="72458702" w14:textId="77777777" w:rsidR="000A4CDF" w:rsidRDefault="00000000">
      <w:r>
        <w:t xml:space="preserve">El análisis pareado opera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para las cuales ambos métodos disponen de artefactos calificados. La superposición de recuperación documentada en el Capítulo 3 garantiza cobertura completa de SHAP y LIME en el conjunto pareado (75/75).</w:t>
      </w:r>
    </w:p>
    <w:p w14:paraId="70595B99" w14:textId="77777777" w:rsidR="000A4CDF" w:rsidRDefault="00000000">
      <w:pPr>
        <w:pStyle w:val="Heading3"/>
      </w:pPr>
      <w:bookmarkStart w:id="145" w:name="diferencias-en-métricas-de-calidad"/>
      <w:bookmarkStart w:id="146" w:name="_Toc228522595"/>
      <w:r>
        <w:t>Diferencias en métricas de calidad</w:t>
      </w:r>
      <w:bookmarkEnd w:id="146"/>
    </w:p>
    <w:p w14:paraId="2F1BF0CC" w14:textId="77777777" w:rsidR="000A4CDF" w:rsidRDefault="00000000">
      <w:r>
        <w:t xml:space="preserve">Para cada métrica se calcula la diferencia pareada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SHAP</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LIME</m:t>
            </m:r>
          </m:sup>
        </m:sSubSup>
      </m:oMath>
      <w:r>
        <w:t xml:space="preserve">, donde un valor positivo indica ventaja de SHAP. El estadístico de efecto de Cohen es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donde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es la desviación estándar de las diferencias.</w:t>
      </w:r>
    </w:p>
    <w:tbl>
      <w:tblPr>
        <w:tblW w:w="5000" w:type="pct"/>
        <w:tblLayout w:type="fixed"/>
        <w:tblLook w:val="0000" w:firstRow="0" w:lastRow="0" w:firstColumn="0" w:lastColumn="0" w:noHBand="0" w:noVBand="0"/>
      </w:tblPr>
      <w:tblGrid>
        <w:gridCol w:w="9576"/>
      </w:tblGrid>
      <w:tr w:rsidR="000A4CDF" w14:paraId="249C28B5" w14:textId="77777777">
        <w:tc>
          <w:tcPr>
            <w:tcW w:w="7920" w:type="dxa"/>
          </w:tcPr>
          <w:p w14:paraId="5DF19175" w14:textId="77777777" w:rsidR="000A4CDF" w:rsidRDefault="00000000">
            <w:pPr>
              <w:spacing w:before="200"/>
              <w:jc w:val="left"/>
            </w:pPr>
            <w:bookmarkStart w:id="147" w:name="tbl-paired-shap-lime"/>
            <w:r>
              <w:t>Table 5.4: Diferencias pareadas SHAP − LIME (</w:t>
            </w:r>
            <m:oMath>
              <m:r>
                <w:rPr>
                  <w:rFonts w:ascii="Cambria Math" w:hAnsi="Cambria Math"/>
                </w:rPr>
                <m:t>n</m:t>
              </m:r>
              <m:r>
                <m:rPr>
                  <m:sty m:val="p"/>
                </m:rPr>
                <w:rPr>
                  <w:rFonts w:ascii="Cambria Math" w:hAnsi="Cambria Math"/>
                </w:rPr>
                <m:t>=</m:t>
              </m:r>
              <m:r>
                <w:rPr>
                  <w:rFonts w:ascii="Cambria Math" w:hAnsi="Cambria Math"/>
                </w:rPr>
                <m:t>75</m:t>
              </m:r>
            </m:oMath>
            <w:r>
              <w:t xml:space="preserve"> celdas). Se reporta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w:lastRenderedPageBreak/>
                <m:t>LIME</m:t>
              </m:r>
            </m:oMath>
            <w:r>
              <w:t xml:space="preserve">; para fidelidad/estabilidad/brecha, </w:t>
            </w:r>
            <m:oMath>
              <m:r>
                <w:rPr>
                  <w:rFonts w:ascii="Cambria Math" w:hAnsi="Cambria Math"/>
                </w:rPr>
                <m:t>d</m:t>
              </m:r>
              <m:r>
                <m:rPr>
                  <m:sty m:val="p"/>
                </m:rPr>
                <w:rPr>
                  <w:rFonts w:ascii="Cambria Math" w:hAnsi="Cambria Math"/>
                </w:rPr>
                <m:t>&gt;</m:t>
              </m:r>
              <m:r>
                <w:rPr>
                  <w:rFonts w:ascii="Cambria Math" w:hAnsi="Cambria Math"/>
                </w:rPr>
                <m:t>0</m:t>
              </m:r>
            </m:oMath>
            <w:r>
              <w:t xml:space="preserve"> favorece SHAP; para parsimonia y coste, </w:t>
            </w:r>
            <m:oMath>
              <m:r>
                <w:rPr>
                  <w:rFonts w:ascii="Cambria Math" w:hAnsi="Cambria Math"/>
                </w:rPr>
                <m:t>d</m:t>
              </m:r>
              <m:r>
                <m:rPr>
                  <m:sty m:val="p"/>
                </m:rPr>
                <w:rPr>
                  <w:rFonts w:ascii="Cambria Math" w:hAnsi="Cambria Math"/>
                </w:rPr>
                <m:t>&gt;</m:t>
              </m:r>
              <m:r>
                <w:rPr>
                  <w:rFonts w:ascii="Cambria Math" w:hAnsi="Cambria Math"/>
                </w:rPr>
                <m:t>0</m:t>
              </m:r>
            </m:oMath>
            <w:r>
              <w:t xml:space="preserve"> indica explicaciones más densas y/o mayor coste de SHAP.</w:t>
            </w:r>
          </w:p>
          <w:tbl>
            <w:tblPr>
              <w:tblW w:w="0" w:type="auto"/>
              <w:tblLook w:val="0020" w:firstRow="1" w:lastRow="0" w:firstColumn="0" w:lastColumn="0" w:noHBand="0" w:noVBand="0"/>
            </w:tblPr>
            <w:tblGrid>
              <w:gridCol w:w="1131"/>
              <w:gridCol w:w="1131"/>
              <w:gridCol w:w="1131"/>
              <w:gridCol w:w="1131"/>
              <w:gridCol w:w="1131"/>
              <w:gridCol w:w="1131"/>
              <w:gridCol w:w="1131"/>
            </w:tblGrid>
            <w:tr w:rsidR="000A4CDF" w14:paraId="3040348E" w14:textId="77777777">
              <w:trPr>
                <w:tblHeader/>
              </w:trPr>
              <w:tc>
                <w:tcPr>
                  <w:tcW w:w="1131" w:type="dxa"/>
                </w:tcPr>
                <w:p w14:paraId="17661D0F" w14:textId="77777777" w:rsidR="000A4CDF" w:rsidRDefault="00000000">
                  <w:pPr>
                    <w:jc w:val="center"/>
                  </w:pPr>
                  <w:r>
                    <w:t>Métrica</w:t>
                  </w:r>
                </w:p>
              </w:tc>
              <w:tc>
                <w:tcPr>
                  <w:tcW w:w="1131" w:type="dxa"/>
                </w:tcPr>
                <w:p w14:paraId="43757CF9" w14:textId="77777777" w:rsidR="000A4CDF" w:rsidRDefault="00000000">
                  <w:pPr>
                    <w:jc w:val="center"/>
                  </w:pPr>
                  <m:oMathPara>
                    <m:oMath>
                      <m:acc>
                        <m:accPr>
                          <m:chr m:val="‾"/>
                          <m:ctrlPr>
                            <w:rPr>
                              <w:rFonts w:ascii="Cambria Math" w:hAnsi="Cambria Math"/>
                            </w:rPr>
                          </m:ctrlPr>
                        </m:accPr>
                        <m:e>
                          <m:r>
                            <w:rPr>
                              <w:rFonts w:ascii="Cambria Math" w:hAnsi="Cambria Math"/>
                            </w:rPr>
                            <m:t>d</m:t>
                          </m:r>
                        </m:e>
                      </m:acc>
                    </m:oMath>
                  </m:oMathPara>
                </w:p>
              </w:tc>
              <w:tc>
                <w:tcPr>
                  <w:tcW w:w="1131" w:type="dxa"/>
                </w:tcPr>
                <w:p w14:paraId="0D4842F6" w14:textId="77777777" w:rsidR="000A4CDF" w:rsidRDefault="00000000">
                  <w:pPr>
                    <w:jc w:val="center"/>
                  </w:pPr>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1131" w:type="dxa"/>
                </w:tcPr>
                <w:p w14:paraId="283D9D6D" w14:textId="77777777" w:rsidR="000A4CDF" w:rsidRDefault="00000000">
                  <w:pPr>
                    <w:jc w:val="center"/>
                  </w:pPr>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1131" w:type="dxa"/>
                </w:tcPr>
                <w:p w14:paraId="5ECD3211" w14:textId="77777777" w:rsidR="000A4CDF" w:rsidRDefault="00000000">
                  <w:pPr>
                    <w:jc w:val="center"/>
                  </w:pPr>
                  <w:r>
                    <w:t>Pos.</w:t>
                  </w:r>
                </w:p>
              </w:tc>
              <w:tc>
                <w:tcPr>
                  <w:tcW w:w="1131" w:type="dxa"/>
                </w:tcPr>
                <w:p w14:paraId="01069D5B" w14:textId="77777777" w:rsidR="000A4CDF" w:rsidRDefault="00000000">
                  <w:pPr>
                    <w:jc w:val="center"/>
                  </w:pPr>
                  <w:r>
                    <w:t>Neg.</w:t>
                  </w:r>
                </w:p>
              </w:tc>
              <w:tc>
                <w:tcPr>
                  <w:tcW w:w="1131" w:type="dxa"/>
                </w:tcPr>
                <w:p w14:paraId="75CF641A" w14:textId="77777777" w:rsidR="000A4CDF" w:rsidRDefault="00000000">
                  <w:pPr>
                    <w:jc w:val="center"/>
                  </w:pPr>
                  <m:oMathPara>
                    <m:oMath>
                      <m:r>
                        <w:rPr>
                          <w:rFonts w:ascii="Cambria Math" w:hAnsi="Cambria Math"/>
                        </w:rPr>
                        <m:t>n</m:t>
                      </m:r>
                    </m:oMath>
                  </m:oMathPara>
                </w:p>
              </w:tc>
            </w:tr>
            <w:tr w:rsidR="000A4CDF" w14:paraId="1599BEBB" w14:textId="77777777">
              <w:tc>
                <w:tcPr>
                  <w:tcW w:w="1131" w:type="dxa"/>
                </w:tcPr>
                <w:p w14:paraId="2A2CFB63" w14:textId="77777777" w:rsidR="000A4CDF" w:rsidRDefault="00000000">
                  <w:pPr>
                    <w:jc w:val="center"/>
                  </w:pPr>
                  <w:r>
                    <w:t>Fidelidad</w:t>
                  </w:r>
                </w:p>
              </w:tc>
              <w:tc>
                <w:tcPr>
                  <w:tcW w:w="1131" w:type="dxa"/>
                </w:tcPr>
                <w:p w14:paraId="1AB4C99A" w14:textId="77777777" w:rsidR="000A4CDF" w:rsidRDefault="00000000">
                  <w:pPr>
                    <w:jc w:val="center"/>
                  </w:pPr>
                  <w:r>
                    <w:t>+0.2479</w:t>
                  </w:r>
                </w:p>
              </w:tc>
              <w:tc>
                <w:tcPr>
                  <w:tcW w:w="1131" w:type="dxa"/>
                </w:tcPr>
                <w:p w14:paraId="24A6DB1C" w14:textId="77777777" w:rsidR="000A4CDF" w:rsidRDefault="00000000">
                  <w:pPr>
                    <w:jc w:val="center"/>
                  </w:pPr>
                  <w:r>
                    <w:t>0.0514</w:t>
                  </w:r>
                </w:p>
              </w:tc>
              <w:tc>
                <w:tcPr>
                  <w:tcW w:w="1131" w:type="dxa"/>
                </w:tcPr>
                <w:p w14:paraId="3030838F" w14:textId="77777777" w:rsidR="000A4CDF" w:rsidRDefault="00000000">
                  <w:pPr>
                    <w:jc w:val="center"/>
                  </w:pPr>
                  <w:r>
                    <w:t>+4.820</w:t>
                  </w:r>
                </w:p>
              </w:tc>
              <w:tc>
                <w:tcPr>
                  <w:tcW w:w="1131" w:type="dxa"/>
                </w:tcPr>
                <w:p w14:paraId="5033DC3D" w14:textId="77777777" w:rsidR="000A4CDF" w:rsidRDefault="00000000">
                  <w:pPr>
                    <w:jc w:val="center"/>
                  </w:pPr>
                  <w:r>
                    <w:t>75</w:t>
                  </w:r>
                </w:p>
              </w:tc>
              <w:tc>
                <w:tcPr>
                  <w:tcW w:w="1131" w:type="dxa"/>
                </w:tcPr>
                <w:p w14:paraId="70950173" w14:textId="77777777" w:rsidR="000A4CDF" w:rsidRDefault="00000000">
                  <w:pPr>
                    <w:jc w:val="center"/>
                  </w:pPr>
                  <w:r>
                    <w:t>0</w:t>
                  </w:r>
                </w:p>
              </w:tc>
              <w:tc>
                <w:tcPr>
                  <w:tcW w:w="1131" w:type="dxa"/>
                </w:tcPr>
                <w:p w14:paraId="1F658B32" w14:textId="77777777" w:rsidR="000A4CDF" w:rsidRDefault="00000000">
                  <w:pPr>
                    <w:jc w:val="center"/>
                  </w:pPr>
                  <w:r>
                    <w:t>75</w:t>
                  </w:r>
                </w:p>
              </w:tc>
            </w:tr>
            <w:tr w:rsidR="000A4CDF" w14:paraId="59F9FD8E" w14:textId="77777777">
              <w:tc>
                <w:tcPr>
                  <w:tcW w:w="1131" w:type="dxa"/>
                </w:tcPr>
                <w:p w14:paraId="4636BCF0" w14:textId="77777777" w:rsidR="000A4CDF" w:rsidRDefault="00000000">
                  <w:pPr>
                    <w:jc w:val="center"/>
                  </w:pPr>
                  <w:r>
                    <w:t>Estabilidad</w:t>
                  </w:r>
                </w:p>
              </w:tc>
              <w:tc>
                <w:tcPr>
                  <w:tcW w:w="1131" w:type="dxa"/>
                </w:tcPr>
                <w:p w14:paraId="3CFB1516" w14:textId="77777777" w:rsidR="000A4CDF" w:rsidRDefault="00000000">
                  <w:pPr>
                    <w:jc w:val="center"/>
                  </w:pPr>
                  <w:r>
                    <w:t>+0.7176</w:t>
                  </w:r>
                </w:p>
              </w:tc>
              <w:tc>
                <w:tcPr>
                  <w:tcW w:w="1131" w:type="dxa"/>
                </w:tcPr>
                <w:p w14:paraId="0764B4ED" w14:textId="77777777" w:rsidR="000A4CDF" w:rsidRDefault="00000000">
                  <w:pPr>
                    <w:jc w:val="center"/>
                  </w:pPr>
                  <w:r>
                    <w:t>0.2390</w:t>
                  </w:r>
                </w:p>
              </w:tc>
              <w:tc>
                <w:tcPr>
                  <w:tcW w:w="1131" w:type="dxa"/>
                </w:tcPr>
                <w:p w14:paraId="3D7DA9F6" w14:textId="77777777" w:rsidR="000A4CDF" w:rsidRDefault="00000000">
                  <w:pPr>
                    <w:jc w:val="center"/>
                  </w:pPr>
                  <w:r>
                    <w:t>+3.002</w:t>
                  </w:r>
                </w:p>
              </w:tc>
              <w:tc>
                <w:tcPr>
                  <w:tcW w:w="1131" w:type="dxa"/>
                </w:tcPr>
                <w:p w14:paraId="18EE0F3F" w14:textId="77777777" w:rsidR="000A4CDF" w:rsidRDefault="00000000">
                  <w:pPr>
                    <w:jc w:val="center"/>
                  </w:pPr>
                  <w:r>
                    <w:t>75</w:t>
                  </w:r>
                </w:p>
              </w:tc>
              <w:tc>
                <w:tcPr>
                  <w:tcW w:w="1131" w:type="dxa"/>
                </w:tcPr>
                <w:p w14:paraId="7FCBA54C" w14:textId="77777777" w:rsidR="000A4CDF" w:rsidRDefault="00000000">
                  <w:pPr>
                    <w:jc w:val="center"/>
                  </w:pPr>
                  <w:r>
                    <w:t>0</w:t>
                  </w:r>
                </w:p>
              </w:tc>
              <w:tc>
                <w:tcPr>
                  <w:tcW w:w="1131" w:type="dxa"/>
                </w:tcPr>
                <w:p w14:paraId="42914467" w14:textId="77777777" w:rsidR="000A4CDF" w:rsidRDefault="00000000">
                  <w:pPr>
                    <w:jc w:val="center"/>
                  </w:pPr>
                  <w:r>
                    <w:t>75</w:t>
                  </w:r>
                </w:p>
              </w:tc>
            </w:tr>
            <w:tr w:rsidR="000A4CDF" w14:paraId="51DC805F" w14:textId="77777777">
              <w:tc>
                <w:tcPr>
                  <w:tcW w:w="1131" w:type="dxa"/>
                </w:tcPr>
                <w:p w14:paraId="66811E21" w14:textId="77777777" w:rsidR="000A4CDF" w:rsidRDefault="00000000">
                  <w:pPr>
                    <w:jc w:val="center"/>
                  </w:pPr>
                  <w:r>
                    <w:t>Parsimonia</w:t>
                  </w:r>
                </w:p>
              </w:tc>
              <w:tc>
                <w:tcPr>
                  <w:tcW w:w="1131" w:type="dxa"/>
                </w:tcPr>
                <w:p w14:paraId="026DC743" w14:textId="77777777" w:rsidR="000A4CDF" w:rsidRDefault="00000000">
                  <w:pPr>
                    <w:jc w:val="center"/>
                  </w:pPr>
                  <w:r>
                    <w:t>+0.1418</w:t>
                  </w:r>
                </w:p>
              </w:tc>
              <w:tc>
                <w:tcPr>
                  <w:tcW w:w="1131" w:type="dxa"/>
                </w:tcPr>
                <w:p w14:paraId="4881FEB3" w14:textId="77777777" w:rsidR="000A4CDF" w:rsidRDefault="00000000">
                  <w:pPr>
                    <w:jc w:val="center"/>
                  </w:pPr>
                  <w:r>
                    <w:t>0.1690</w:t>
                  </w:r>
                </w:p>
              </w:tc>
              <w:tc>
                <w:tcPr>
                  <w:tcW w:w="1131" w:type="dxa"/>
                </w:tcPr>
                <w:p w14:paraId="3E14FD0F" w14:textId="77777777" w:rsidR="000A4CDF" w:rsidRDefault="00000000">
                  <w:pPr>
                    <w:jc w:val="center"/>
                  </w:pPr>
                  <w:r>
                    <w:t>+0.839</w:t>
                  </w:r>
                </w:p>
              </w:tc>
              <w:tc>
                <w:tcPr>
                  <w:tcW w:w="1131" w:type="dxa"/>
                </w:tcPr>
                <w:p w14:paraId="463D05BC" w14:textId="77777777" w:rsidR="000A4CDF" w:rsidRDefault="00000000">
                  <w:pPr>
                    <w:jc w:val="center"/>
                  </w:pPr>
                  <w:r>
                    <w:t>75</w:t>
                  </w:r>
                </w:p>
              </w:tc>
              <w:tc>
                <w:tcPr>
                  <w:tcW w:w="1131" w:type="dxa"/>
                </w:tcPr>
                <w:p w14:paraId="2E11DC9B" w14:textId="77777777" w:rsidR="000A4CDF" w:rsidRDefault="00000000">
                  <w:pPr>
                    <w:jc w:val="center"/>
                  </w:pPr>
                  <w:r>
                    <w:t>0</w:t>
                  </w:r>
                </w:p>
              </w:tc>
              <w:tc>
                <w:tcPr>
                  <w:tcW w:w="1131" w:type="dxa"/>
                </w:tcPr>
                <w:p w14:paraId="7E4901F1" w14:textId="77777777" w:rsidR="000A4CDF" w:rsidRDefault="00000000">
                  <w:pPr>
                    <w:jc w:val="center"/>
                  </w:pPr>
                  <w:r>
                    <w:t>75</w:t>
                  </w:r>
                </w:p>
              </w:tc>
            </w:tr>
            <w:tr w:rsidR="000A4CDF" w14:paraId="24FCE661" w14:textId="77777777">
              <w:tc>
                <w:tcPr>
                  <w:tcW w:w="1131" w:type="dxa"/>
                </w:tcPr>
                <w:p w14:paraId="1335A63D" w14:textId="77777777" w:rsidR="000A4CDF" w:rsidRDefault="00000000">
                  <w:pPr>
                    <w:jc w:val="center"/>
                  </w:pPr>
                  <w:r>
                    <w:t>Brecha fidelidad</w:t>
                  </w:r>
                </w:p>
              </w:tc>
              <w:tc>
                <w:tcPr>
                  <w:tcW w:w="1131" w:type="dxa"/>
                </w:tcPr>
                <w:p w14:paraId="0C3730F4" w14:textId="77777777" w:rsidR="000A4CDF" w:rsidRDefault="00000000">
                  <w:pPr>
                    <w:jc w:val="center"/>
                  </w:pPr>
                  <w:r>
                    <w:t>+0.0453</w:t>
                  </w:r>
                </w:p>
              </w:tc>
              <w:tc>
                <w:tcPr>
                  <w:tcW w:w="1131" w:type="dxa"/>
                </w:tcPr>
                <w:p w14:paraId="3C5DBC5C" w14:textId="77777777" w:rsidR="000A4CDF" w:rsidRDefault="00000000">
                  <w:pPr>
                    <w:jc w:val="center"/>
                  </w:pPr>
                  <w:r>
                    <w:t>0.0173</w:t>
                  </w:r>
                </w:p>
              </w:tc>
              <w:tc>
                <w:tcPr>
                  <w:tcW w:w="1131" w:type="dxa"/>
                </w:tcPr>
                <w:p w14:paraId="730FE657" w14:textId="77777777" w:rsidR="000A4CDF" w:rsidRDefault="00000000">
                  <w:pPr>
                    <w:jc w:val="center"/>
                  </w:pPr>
                  <w:r>
                    <w:t>+2.626</w:t>
                  </w:r>
                </w:p>
              </w:tc>
              <w:tc>
                <w:tcPr>
                  <w:tcW w:w="1131" w:type="dxa"/>
                </w:tcPr>
                <w:p w14:paraId="44049E67" w14:textId="77777777" w:rsidR="000A4CDF" w:rsidRDefault="00000000">
                  <w:pPr>
                    <w:jc w:val="center"/>
                  </w:pPr>
                  <w:r>
                    <w:t>74</w:t>
                  </w:r>
                </w:p>
              </w:tc>
              <w:tc>
                <w:tcPr>
                  <w:tcW w:w="1131" w:type="dxa"/>
                </w:tcPr>
                <w:p w14:paraId="003DA692" w14:textId="77777777" w:rsidR="000A4CDF" w:rsidRDefault="00000000">
                  <w:pPr>
                    <w:jc w:val="center"/>
                  </w:pPr>
                  <w:r>
                    <w:t>1</w:t>
                  </w:r>
                </w:p>
              </w:tc>
              <w:tc>
                <w:tcPr>
                  <w:tcW w:w="1131" w:type="dxa"/>
                </w:tcPr>
                <w:p w14:paraId="582BD7A6" w14:textId="77777777" w:rsidR="000A4CDF" w:rsidRDefault="00000000">
                  <w:pPr>
                    <w:jc w:val="center"/>
                  </w:pPr>
                  <w:r>
                    <w:t>75</w:t>
                  </w:r>
                </w:p>
              </w:tc>
            </w:tr>
            <w:tr w:rsidR="000A4CDF" w14:paraId="48F92F6E" w14:textId="77777777">
              <w:tc>
                <w:tcPr>
                  <w:tcW w:w="1131" w:type="dxa"/>
                </w:tcPr>
                <w:p w14:paraId="151EEEC2" w14:textId="77777777" w:rsidR="000A4CDF" w:rsidRDefault="00000000">
                  <w:pPr>
                    <w:jc w:val="center"/>
                  </w:pPr>
                  <w:r>
                    <w:t>Coste (ms)</w:t>
                  </w:r>
                </w:p>
              </w:tc>
              <w:tc>
                <w:tcPr>
                  <w:tcW w:w="1131" w:type="dxa"/>
                </w:tcPr>
                <w:p w14:paraId="5EBA41F2" w14:textId="77777777" w:rsidR="000A4CDF" w:rsidRDefault="00000000">
                  <w:pPr>
                    <w:jc w:val="center"/>
                  </w:pPr>
                  <w:r>
                    <w:t>+8047.6</w:t>
                  </w:r>
                </w:p>
              </w:tc>
              <w:tc>
                <w:tcPr>
                  <w:tcW w:w="1131" w:type="dxa"/>
                </w:tcPr>
                <w:p w14:paraId="2A80C6F8" w14:textId="77777777" w:rsidR="000A4CDF" w:rsidRDefault="00000000">
                  <w:pPr>
                    <w:jc w:val="center"/>
                  </w:pPr>
                  <w:r>
                    <w:t>17856.6</w:t>
                  </w:r>
                </w:p>
              </w:tc>
              <w:tc>
                <w:tcPr>
                  <w:tcW w:w="1131" w:type="dxa"/>
                </w:tcPr>
                <w:p w14:paraId="295DDAB5" w14:textId="77777777" w:rsidR="000A4CDF" w:rsidRDefault="00000000">
                  <w:pPr>
                    <w:jc w:val="center"/>
                  </w:pPr>
                  <w:r>
                    <w:t>+0.451</w:t>
                  </w:r>
                </w:p>
              </w:tc>
              <w:tc>
                <w:tcPr>
                  <w:tcW w:w="1131" w:type="dxa"/>
                </w:tcPr>
                <w:p w14:paraId="109C1797" w14:textId="77777777" w:rsidR="000A4CDF" w:rsidRDefault="00000000">
                  <w:pPr>
                    <w:jc w:val="center"/>
                  </w:pPr>
                  <w:r>
                    <w:t>59</w:t>
                  </w:r>
                </w:p>
              </w:tc>
              <w:tc>
                <w:tcPr>
                  <w:tcW w:w="1131" w:type="dxa"/>
                </w:tcPr>
                <w:p w14:paraId="4F41BA6C" w14:textId="77777777" w:rsidR="000A4CDF" w:rsidRDefault="00000000">
                  <w:pPr>
                    <w:jc w:val="center"/>
                  </w:pPr>
                  <w:r>
                    <w:t>16</w:t>
                  </w:r>
                </w:p>
              </w:tc>
              <w:tc>
                <w:tcPr>
                  <w:tcW w:w="1131" w:type="dxa"/>
                </w:tcPr>
                <w:p w14:paraId="27998E6A" w14:textId="77777777" w:rsidR="000A4CDF" w:rsidRDefault="00000000">
                  <w:pPr>
                    <w:jc w:val="center"/>
                  </w:pPr>
                  <w:r>
                    <w:t>75</w:t>
                  </w:r>
                </w:p>
              </w:tc>
            </w:tr>
            <w:bookmarkEnd w:id="147"/>
          </w:tbl>
          <w:p w14:paraId="1A9D6E46" w14:textId="77777777" w:rsidR="000A4CDF" w:rsidRDefault="000A4CDF"/>
        </w:tc>
      </w:tr>
    </w:tbl>
    <w:p w14:paraId="15D260DA" w14:textId="77777777" w:rsidR="000A4CDF" w:rsidRDefault="00000000">
      <w:pPr>
        <w:pStyle w:val="BodyText"/>
      </w:pPr>
      <w:r>
        <w:lastRenderedPageBreak/>
        <w:t xml:space="preserve">Los resultados confirman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de forma inequívoca:</w:t>
      </w:r>
    </w:p>
    <w:p w14:paraId="42DA4E68" w14:textId="77777777" w:rsidR="000A4CDF" w:rsidRDefault="00000000">
      <w:pPr>
        <w:pStyle w:val="BodyText"/>
      </w:pPr>
      <w:r>
        <w:rPr>
          <w:b/>
          <w:bCs/>
        </w:rPr>
        <w:t>Fidelidad:</w:t>
      </w:r>
      <w:r>
        <w:t xml:space="preserve"> SHAP supera a LIME en el 100% de las 75 celdas pareadas (75/75 diferencias positivas) con un tamaño del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Bajo el criterio de Lakens (2013),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constituye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se clasifica comúnmente como efecto muy grande. La diferencia media de +0.248 unidades de fidelidad representa una ventaja sustancial en términos de representatividad de las atribuciones de importancia.</w:t>
      </w:r>
    </w:p>
    <w:p w14:paraId="4BFEC2FF" w14:textId="77777777" w:rsidR="000A4CDF" w:rsidRDefault="00000000">
      <w:pPr>
        <w:pStyle w:val="BodyText"/>
      </w:pPr>
      <w:r>
        <w:rPr>
          <w:b/>
          <w:bCs/>
        </w:rPr>
        <w:t>Estabilidad:</w:t>
      </w:r>
      <w:r>
        <w:t xml:space="preserve"> La ventaja de SHAP es aún más pronunciada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75/75 positivas). La diferencia media de +0.718 en similitud coseno es prácticamente equivalente a la </w:t>
      </w:r>
      <w:r>
        <w:lastRenderedPageBreak/>
        <w:t>diferencia entre explicaciones completamente incoherentes (LIME, media ≈ 0.014) y casi perfectamente estables (SHAP, media ≈ 0.732). Este resultado refleja que la inestabilidad de LIME no es un artefacto de escenarios extremos sino una propiedad sistemática del método.</w:t>
      </w:r>
    </w:p>
    <w:p w14:paraId="078B9AF7" w14:textId="77777777" w:rsidR="000A4CDF" w:rsidRDefault="00000000">
      <w:pPr>
        <w:pStyle w:val="BodyText"/>
      </w:pPr>
      <w:r>
        <w:rPr>
          <w:b/>
          <w:bCs/>
        </w:rPr>
        <w:t>Parsimonia y brecha de fidelidad:</w:t>
      </w:r>
      <w:r>
        <w:t xml:space="preserve"> Ambas métricas presentan efectos sustantivos. En parsimonia (ratio activo), SHAP es consistentemente más denso que LIME (+0.142, 75/75 positivas;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0.839</m:t>
        </m:r>
      </m:oMath>
      <w:r>
        <w:t xml:space="preserve">), por lo que LIME es el método más parsimonioso en este benchmark. En brecha de fidelidad, SHAP supera a LIME en 74 de 75 celdas (+0.045;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2.626</m:t>
        </m:r>
      </m:oMath>
      <w:r>
        <w:t>), lo que confirma que las características que SHAP identifica como relevantes tienen un efecto mayor cuando se enmascaran, lo que es coherente con la superioridad en fidelidad.</w:t>
      </w:r>
    </w:p>
    <w:p w14:paraId="11C49F8B" w14:textId="77777777" w:rsidR="000A4CDF" w:rsidRDefault="00000000">
      <w:pPr>
        <w:pStyle w:val="BodyText"/>
      </w:pPr>
      <w:r>
        <w:rPr>
          <w:b/>
          <w:bCs/>
        </w:rPr>
        <w:t>Coste computacional:</w:t>
      </w:r>
      <w:r>
        <w:t xml:space="preserve"> El patrón se invierte para el coste. SHAP es en promedio más costoso (+8,048 ms), pero con varianza alta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857</m:t>
        </m:r>
      </m:oMath>
      <w:r>
        <w:t xml:space="preserve"> ms) por colas pesadas asociadas a KernelSHAP. El signo de las diferencias no es unánime: SHAP resulta más costoso en 59 de 75 celdas, pero en 16 celdas (principalmente XGBoost) LIME es más lento. El efecto moderado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confirma que la superioridad en calidad de SHAP se acompaña de una penalización de coste en la mayoría de los contextos, pero no en todos.</w:t>
      </w:r>
    </w:p>
    <w:p w14:paraId="3F29589C" w14:textId="77777777" w:rsidR="000A4CDF" w:rsidRDefault="00000000">
      <w:pPr>
        <w:pStyle w:val="Heading3"/>
      </w:pPr>
      <w:bookmarkStart w:id="148" w:name="X2c15e0a178907c68bf437d0d85cae845d1c590b"/>
      <w:bookmarkStart w:id="149" w:name="_Toc228522596"/>
      <w:bookmarkEnd w:id="145"/>
      <w:r>
        <w:t>Verificación del requisito de multiplicidad</w:t>
      </w:r>
      <w:bookmarkEnd w:id="149"/>
    </w:p>
    <w:p w14:paraId="30392C98" w14:textId="77777777" w:rsidR="000A4CDF" w:rsidRDefault="00000000">
      <w:r>
        <w:t xml:space="preserve">La hipótesis H3 involucra cinco comparaciones pareadas simultáneas. Aplicando la corrección de Holm-Bonferroni sobre los cinco test de Wilcoxon, los umbrales de rechazo ajustados para las estadísticas ordenadas son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m:t>
        </m:r>
      </m:oMath>
      <w:r>
        <w:t xml:space="preserve">. Dado que las diferencias en fidelidad y estabilidad presentan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2.6</m:t>
        </m:r>
      </m:oMath>
      <w:r>
        <w:t xml:space="preserve"> con </w:t>
      </w:r>
      <m:oMath>
        <m:r>
          <w:rPr>
            <w:rFonts w:ascii="Cambria Math" w:hAnsi="Cambria Math"/>
          </w:rPr>
          <m:t>n</m:t>
        </m:r>
        <m:r>
          <m:rPr>
            <m:sty m:val="p"/>
          </m:rPr>
          <w:rPr>
            <w:rFonts w:ascii="Cambria Math" w:hAnsi="Cambria Math"/>
          </w:rPr>
          <m:t>=</m:t>
        </m:r>
        <m:r>
          <w:rPr>
            <w:rFonts w:ascii="Cambria Math" w:hAnsi="Cambria Math"/>
          </w:rPr>
          <m:t>75</m:t>
        </m:r>
      </m:oMath>
      <w:r>
        <w:t xml:space="preserve"> y consistencia direccional casi perfecta, los p-valores bilaterales permanecen muy por debajo de los umbrales ajustados. En particular, las métricas de calidad conservan significancia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y el coste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Por tanto,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se acepta para las cinco métricas bajo control de multiplicidad.</w:t>
      </w:r>
    </w:p>
    <w:p w14:paraId="1C70877B" w14:textId="77777777" w:rsidR="000A4CDF" w:rsidRDefault="00000000">
      <w:pPr>
        <w:pStyle w:val="Heading2"/>
      </w:pPr>
      <w:bookmarkStart w:id="150" w:name="sec-p1"/>
      <w:bookmarkStart w:id="151" w:name="_Toc228522597"/>
      <w:bookmarkEnd w:id="143"/>
      <w:bookmarkEnd w:id="148"/>
      <w:r>
        <w:t>Proposición P1: Reproducibilidad del protocolo FOM-7</w:t>
      </w:r>
      <w:bookmarkEnd w:id="151"/>
    </w:p>
    <w:p w14:paraId="240A3F5E" w14:textId="77777777" w:rsidR="000A4CDF" w:rsidRDefault="00000000">
      <w:r>
        <w:t>La proposición P1 establece que el protocolo FOM-7 debe producir un coeficiente de variación (CV) inferior al 15% en las métricas primarias bajo ejecuciones repetidas con semillas distintas en condiciones de configuración idéntica.</w:t>
      </w:r>
    </w:p>
    <w:p w14:paraId="382DD024" w14:textId="77777777" w:rsidR="000A4CDF" w:rsidRDefault="00000000">
      <w:pPr>
        <w:pStyle w:val="BodyText"/>
      </w:pPr>
      <w:r>
        <w:t xml:space="preserve">Para su evaluación se calculó el CV de cada métrica primaria para SHAP y LIME sobre el subconjunto del modelo RF con </w:t>
      </w:r>
      <m:oMath>
        <m:r>
          <w:rPr>
            <w:rFonts w:ascii="Cambria Math" w:hAnsi="Cambria Math"/>
          </w:rPr>
          <m:t>N</m:t>
        </m:r>
        <m:r>
          <m:rPr>
            <m:sty m:val="p"/>
          </m:rPr>
          <w:rPr>
            <w:rFonts w:ascii="Cambria Math" w:hAnsi="Cambria Math"/>
          </w:rPr>
          <m:t>=</m:t>
        </m:r>
        <m:r>
          <w:rPr>
            <w:rFonts w:ascii="Cambria Math" w:hAnsi="Cambria Math"/>
          </w:rPr>
          <m:t>100</m:t>
        </m:r>
      </m:oMath>
      <w:r>
        <w:t xml:space="preserve">, tomando las cinco semillas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como réplicas independientes:</w:t>
      </w:r>
    </w:p>
    <w:tbl>
      <w:tblPr>
        <w:tblW w:w="5000" w:type="pct"/>
        <w:tblLayout w:type="fixed"/>
        <w:tblLook w:val="0000" w:firstRow="0" w:lastRow="0" w:firstColumn="0" w:lastColumn="0" w:noHBand="0" w:noVBand="0"/>
      </w:tblPr>
      <w:tblGrid>
        <w:gridCol w:w="9576"/>
      </w:tblGrid>
      <w:tr w:rsidR="000A4CDF" w14:paraId="4C23DB47" w14:textId="77777777">
        <w:tc>
          <w:tcPr>
            <w:tcW w:w="7920" w:type="dxa"/>
          </w:tcPr>
          <w:p w14:paraId="5096CA7F" w14:textId="77777777" w:rsidR="000A4CDF" w:rsidRDefault="00000000">
            <w:pPr>
              <w:spacing w:before="200"/>
              <w:jc w:val="left"/>
            </w:pPr>
            <w:bookmarkStart w:id="152" w:name="tbl-cv-p1"/>
            <w:r>
              <w:t xml:space="preserve">Table 5.5: Coeficiente de variación de métricas primarias bajo 5 semillas distintas (RF,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0" w:type="auto"/>
              <w:tblLook w:val="0020" w:firstRow="1" w:lastRow="0" w:firstColumn="0" w:lastColumn="0" w:noHBand="0" w:noVBand="0"/>
            </w:tblPr>
            <w:tblGrid>
              <w:gridCol w:w="1320"/>
              <w:gridCol w:w="1320"/>
              <w:gridCol w:w="1320"/>
              <w:gridCol w:w="1320"/>
              <w:gridCol w:w="1320"/>
              <w:gridCol w:w="1320"/>
            </w:tblGrid>
            <w:tr w:rsidR="000A4CDF" w14:paraId="6B499F3E" w14:textId="77777777">
              <w:trPr>
                <w:tblHeader/>
              </w:trPr>
              <w:tc>
                <w:tcPr>
                  <w:tcW w:w="1320" w:type="dxa"/>
                </w:tcPr>
                <w:p w14:paraId="43E346AC" w14:textId="77777777" w:rsidR="000A4CDF" w:rsidRDefault="00000000">
                  <w:pPr>
                    <w:jc w:val="center"/>
                  </w:pPr>
                  <w:r>
                    <w:t>Método</w:t>
                  </w:r>
                </w:p>
              </w:tc>
              <w:tc>
                <w:tcPr>
                  <w:tcW w:w="1320" w:type="dxa"/>
                </w:tcPr>
                <w:p w14:paraId="011B1AD7" w14:textId="77777777" w:rsidR="000A4CDF" w:rsidRDefault="00000000">
                  <w:pPr>
                    <w:jc w:val="center"/>
                  </w:pPr>
                  <w:r>
                    <w:t>Métrica</w:t>
                  </w:r>
                </w:p>
              </w:tc>
              <w:tc>
                <w:tcPr>
                  <w:tcW w:w="1320" w:type="dxa"/>
                </w:tcPr>
                <w:p w14:paraId="07E1623B" w14:textId="77777777" w:rsidR="000A4CDF" w:rsidRDefault="00000000">
                  <w:pPr>
                    <w:jc w:val="center"/>
                  </w:pPr>
                  <w:r>
                    <w:t>Media</w:t>
                  </w:r>
                </w:p>
              </w:tc>
              <w:tc>
                <w:tcPr>
                  <w:tcW w:w="1320" w:type="dxa"/>
                </w:tcPr>
                <w:p w14:paraId="6C8226C8" w14:textId="77777777" w:rsidR="000A4CDF" w:rsidRDefault="00000000">
                  <w:pPr>
                    <w:jc w:val="center"/>
                  </w:pPr>
                  <w:r>
                    <w:t>Desv. típica</w:t>
                  </w:r>
                </w:p>
              </w:tc>
              <w:tc>
                <w:tcPr>
                  <w:tcW w:w="1320" w:type="dxa"/>
                </w:tcPr>
                <w:p w14:paraId="5816B895" w14:textId="77777777" w:rsidR="000A4CDF" w:rsidRDefault="00000000">
                  <w:pPr>
                    <w:jc w:val="center"/>
                  </w:pPr>
                  <w:r>
                    <w:t>CV (%)</w:t>
                  </w:r>
                </w:p>
              </w:tc>
              <w:tc>
                <w:tcPr>
                  <w:tcW w:w="1320" w:type="dxa"/>
                </w:tcPr>
                <w:p w14:paraId="7AB42057" w14:textId="77777777" w:rsidR="000A4CDF" w:rsidRDefault="00000000">
                  <w:pPr>
                    <w:jc w:val="center"/>
                  </w:pPr>
                  <w:r>
                    <w:t>Criterio P1</w:t>
                  </w:r>
                </w:p>
              </w:tc>
            </w:tr>
            <w:tr w:rsidR="000A4CDF" w14:paraId="4F9FFFF8" w14:textId="77777777">
              <w:tc>
                <w:tcPr>
                  <w:tcW w:w="1320" w:type="dxa"/>
                </w:tcPr>
                <w:p w14:paraId="026EEE43" w14:textId="77777777" w:rsidR="000A4CDF" w:rsidRDefault="00000000">
                  <w:pPr>
                    <w:jc w:val="center"/>
                  </w:pPr>
                  <w:r>
                    <w:t>SHAP</w:t>
                  </w:r>
                </w:p>
              </w:tc>
              <w:tc>
                <w:tcPr>
                  <w:tcW w:w="1320" w:type="dxa"/>
                </w:tcPr>
                <w:p w14:paraId="74B720A2" w14:textId="77777777" w:rsidR="000A4CDF" w:rsidRDefault="00000000">
                  <w:pPr>
                    <w:jc w:val="center"/>
                  </w:pPr>
                  <w:r>
                    <w:t>Fidelidad</w:t>
                  </w:r>
                </w:p>
              </w:tc>
              <w:tc>
                <w:tcPr>
                  <w:tcW w:w="1320" w:type="dxa"/>
                </w:tcPr>
                <w:p w14:paraId="306BCBB5" w14:textId="77777777" w:rsidR="000A4CDF" w:rsidRDefault="00000000">
                  <w:pPr>
                    <w:jc w:val="center"/>
                  </w:pPr>
                  <w:r>
                    <w:t>0.732</w:t>
                  </w:r>
                </w:p>
              </w:tc>
              <w:tc>
                <w:tcPr>
                  <w:tcW w:w="1320" w:type="dxa"/>
                </w:tcPr>
                <w:p w14:paraId="3272BC0A" w14:textId="77777777" w:rsidR="000A4CDF" w:rsidRDefault="00000000">
                  <w:pPr>
                    <w:jc w:val="center"/>
                  </w:pPr>
                  <w:r>
                    <w:t>0.006</w:t>
                  </w:r>
                </w:p>
              </w:tc>
              <w:tc>
                <w:tcPr>
                  <w:tcW w:w="1320" w:type="dxa"/>
                </w:tcPr>
                <w:p w14:paraId="76A4AAF0" w14:textId="77777777" w:rsidR="000A4CDF" w:rsidRDefault="00000000">
                  <w:pPr>
                    <w:jc w:val="center"/>
                  </w:pPr>
                  <w:r>
                    <w:rPr>
                      <w:b/>
                      <w:bCs/>
                    </w:rPr>
                    <w:t>0.8</w:t>
                  </w:r>
                </w:p>
              </w:tc>
              <w:tc>
                <w:tcPr>
                  <w:tcW w:w="1320" w:type="dxa"/>
                </w:tcPr>
                <w:p w14:paraId="263EBB31" w14:textId="77777777" w:rsidR="000A4CDF" w:rsidRDefault="00000000">
                  <w:pPr>
                    <w:jc w:val="center"/>
                  </w:pPr>
                  <w:r>
                    <w:t>✓ Cumple</w:t>
                  </w:r>
                </w:p>
              </w:tc>
            </w:tr>
            <w:tr w:rsidR="000A4CDF" w14:paraId="79B95E46" w14:textId="77777777">
              <w:tc>
                <w:tcPr>
                  <w:tcW w:w="1320" w:type="dxa"/>
                </w:tcPr>
                <w:p w14:paraId="482BBDA3" w14:textId="77777777" w:rsidR="000A4CDF" w:rsidRDefault="00000000">
                  <w:pPr>
                    <w:jc w:val="center"/>
                  </w:pPr>
                  <w:r>
                    <w:t>SHAP</w:t>
                  </w:r>
                </w:p>
              </w:tc>
              <w:tc>
                <w:tcPr>
                  <w:tcW w:w="1320" w:type="dxa"/>
                </w:tcPr>
                <w:p w14:paraId="5116E94F" w14:textId="77777777" w:rsidR="000A4CDF" w:rsidRDefault="00000000">
                  <w:pPr>
                    <w:jc w:val="center"/>
                  </w:pPr>
                  <w:r>
                    <w:t>Estabilidad</w:t>
                  </w:r>
                </w:p>
              </w:tc>
              <w:tc>
                <w:tcPr>
                  <w:tcW w:w="1320" w:type="dxa"/>
                </w:tcPr>
                <w:p w14:paraId="77016665" w14:textId="77777777" w:rsidR="000A4CDF" w:rsidRDefault="00000000">
                  <w:pPr>
                    <w:jc w:val="center"/>
                  </w:pPr>
                  <w:r>
                    <w:t>0.948</w:t>
                  </w:r>
                </w:p>
              </w:tc>
              <w:tc>
                <w:tcPr>
                  <w:tcW w:w="1320" w:type="dxa"/>
                </w:tcPr>
                <w:p w14:paraId="0BC223B6" w14:textId="77777777" w:rsidR="000A4CDF" w:rsidRDefault="00000000">
                  <w:pPr>
                    <w:jc w:val="center"/>
                  </w:pPr>
                  <w:r>
                    <w:t>0.007</w:t>
                  </w:r>
                </w:p>
              </w:tc>
              <w:tc>
                <w:tcPr>
                  <w:tcW w:w="1320" w:type="dxa"/>
                </w:tcPr>
                <w:p w14:paraId="31E0A9B3" w14:textId="77777777" w:rsidR="000A4CDF" w:rsidRDefault="00000000">
                  <w:pPr>
                    <w:jc w:val="center"/>
                  </w:pPr>
                  <w:r>
                    <w:rPr>
                      <w:b/>
                      <w:bCs/>
                    </w:rPr>
                    <w:t>0.7</w:t>
                  </w:r>
                </w:p>
              </w:tc>
              <w:tc>
                <w:tcPr>
                  <w:tcW w:w="1320" w:type="dxa"/>
                </w:tcPr>
                <w:p w14:paraId="12DB14CB" w14:textId="77777777" w:rsidR="000A4CDF" w:rsidRDefault="00000000">
                  <w:pPr>
                    <w:jc w:val="center"/>
                  </w:pPr>
                  <w:r>
                    <w:t>✓ Cumple</w:t>
                  </w:r>
                </w:p>
              </w:tc>
            </w:tr>
            <w:tr w:rsidR="000A4CDF" w14:paraId="75D1F3A2" w14:textId="77777777">
              <w:tc>
                <w:tcPr>
                  <w:tcW w:w="1320" w:type="dxa"/>
                </w:tcPr>
                <w:p w14:paraId="57629BEA" w14:textId="77777777" w:rsidR="000A4CDF" w:rsidRDefault="00000000">
                  <w:pPr>
                    <w:jc w:val="center"/>
                  </w:pPr>
                  <w:r>
                    <w:t>LIME</w:t>
                  </w:r>
                </w:p>
              </w:tc>
              <w:tc>
                <w:tcPr>
                  <w:tcW w:w="1320" w:type="dxa"/>
                </w:tcPr>
                <w:p w14:paraId="7D043CD7" w14:textId="77777777" w:rsidR="000A4CDF" w:rsidRDefault="00000000">
                  <w:pPr>
                    <w:jc w:val="center"/>
                  </w:pPr>
                  <w:r>
                    <w:t>Fidelidad</w:t>
                  </w:r>
                </w:p>
              </w:tc>
              <w:tc>
                <w:tcPr>
                  <w:tcW w:w="1320" w:type="dxa"/>
                </w:tcPr>
                <w:p w14:paraId="269F0655" w14:textId="77777777" w:rsidR="000A4CDF" w:rsidRDefault="00000000">
                  <w:pPr>
                    <w:jc w:val="center"/>
                  </w:pPr>
                  <w:r>
                    <w:t>0.461</w:t>
                  </w:r>
                </w:p>
              </w:tc>
              <w:tc>
                <w:tcPr>
                  <w:tcW w:w="1320" w:type="dxa"/>
                </w:tcPr>
                <w:p w14:paraId="3DC2B908" w14:textId="77777777" w:rsidR="000A4CDF" w:rsidRDefault="00000000">
                  <w:pPr>
                    <w:jc w:val="center"/>
                  </w:pPr>
                  <w:r>
                    <w:t>0.012</w:t>
                  </w:r>
                </w:p>
              </w:tc>
              <w:tc>
                <w:tcPr>
                  <w:tcW w:w="1320" w:type="dxa"/>
                </w:tcPr>
                <w:p w14:paraId="72412CB0" w14:textId="77777777" w:rsidR="000A4CDF" w:rsidRDefault="00000000">
                  <w:pPr>
                    <w:jc w:val="center"/>
                  </w:pPr>
                  <w:r>
                    <w:rPr>
                      <w:b/>
                      <w:bCs/>
                    </w:rPr>
                    <w:t>2.6</w:t>
                  </w:r>
                </w:p>
              </w:tc>
              <w:tc>
                <w:tcPr>
                  <w:tcW w:w="1320" w:type="dxa"/>
                </w:tcPr>
                <w:p w14:paraId="495C5266" w14:textId="77777777" w:rsidR="000A4CDF" w:rsidRDefault="00000000">
                  <w:pPr>
                    <w:jc w:val="center"/>
                  </w:pPr>
                  <w:r>
                    <w:t>✓ Cumple</w:t>
                  </w:r>
                </w:p>
              </w:tc>
            </w:tr>
            <w:tr w:rsidR="000A4CDF" w14:paraId="4F461245" w14:textId="77777777">
              <w:tc>
                <w:tcPr>
                  <w:tcW w:w="1320" w:type="dxa"/>
                </w:tcPr>
                <w:p w14:paraId="127C933A" w14:textId="77777777" w:rsidR="000A4CDF" w:rsidRDefault="00000000">
                  <w:pPr>
                    <w:jc w:val="center"/>
                  </w:pPr>
                  <w:r>
                    <w:t>LIME</w:t>
                  </w:r>
                </w:p>
              </w:tc>
              <w:tc>
                <w:tcPr>
                  <w:tcW w:w="1320" w:type="dxa"/>
                </w:tcPr>
                <w:p w14:paraId="5028D7D5" w14:textId="77777777" w:rsidR="000A4CDF" w:rsidRDefault="00000000">
                  <w:pPr>
                    <w:jc w:val="center"/>
                  </w:pPr>
                  <w:r>
                    <w:t>Estabilidad</w:t>
                  </w:r>
                </w:p>
              </w:tc>
              <w:tc>
                <w:tcPr>
                  <w:tcW w:w="1320" w:type="dxa"/>
                </w:tcPr>
                <w:p w14:paraId="49ECF652" w14:textId="77777777" w:rsidR="000A4CDF" w:rsidRDefault="00000000">
                  <w:pPr>
                    <w:jc w:val="center"/>
                  </w:pPr>
                  <w:r>
                    <w:t>0.018</w:t>
                  </w:r>
                </w:p>
              </w:tc>
              <w:tc>
                <w:tcPr>
                  <w:tcW w:w="1320" w:type="dxa"/>
                </w:tcPr>
                <w:p w14:paraId="22B28FDE" w14:textId="77777777" w:rsidR="000A4CDF" w:rsidRDefault="00000000">
                  <w:pPr>
                    <w:jc w:val="center"/>
                  </w:pPr>
                  <w:r>
                    <w:t>0.015</w:t>
                  </w:r>
                </w:p>
              </w:tc>
              <w:tc>
                <w:tcPr>
                  <w:tcW w:w="1320" w:type="dxa"/>
                </w:tcPr>
                <w:p w14:paraId="3745F697" w14:textId="77777777" w:rsidR="000A4CDF" w:rsidRDefault="00000000">
                  <w:pPr>
                    <w:jc w:val="center"/>
                  </w:pPr>
                  <w:r>
                    <w:rPr>
                      <w:b/>
                      <w:bCs/>
                    </w:rPr>
                    <w:t>86.2</w:t>
                  </w:r>
                </w:p>
              </w:tc>
              <w:tc>
                <w:tcPr>
                  <w:tcW w:w="1320" w:type="dxa"/>
                </w:tcPr>
                <w:p w14:paraId="1211C883" w14:textId="77777777" w:rsidR="000A4CDF" w:rsidRDefault="00000000">
                  <w:pPr>
                    <w:jc w:val="center"/>
                  </w:pPr>
                  <w:r>
                    <w:t>✗ No cumple</w:t>
                  </w:r>
                </w:p>
              </w:tc>
            </w:tr>
            <w:bookmarkEnd w:id="152"/>
          </w:tbl>
          <w:p w14:paraId="4E37C23F" w14:textId="77777777" w:rsidR="000A4CDF" w:rsidRDefault="000A4CDF"/>
        </w:tc>
      </w:tr>
    </w:tbl>
    <w:p w14:paraId="16A01E51" w14:textId="77777777" w:rsidR="000A4CDF" w:rsidRDefault="00000000">
      <w:pPr>
        <w:pStyle w:val="BodyText"/>
      </w:pPr>
      <w:r>
        <w:lastRenderedPageBreak/>
        <w:t>Los resultados confirman P1 parcialmente. Para las métricas en las que el método produce señales de magnitud apreciable, el CV es inferior al 15%: SHAP-fidelidad (0.8%), SHAP-estabilidad (0.7%) y LIME-fidelidad (2.6%) cumplen ampliamente el criterio. La excepción es LIME-estabilidad, con CV = 86.2%, que viola el umbral del 15%.</w:t>
      </w:r>
    </w:p>
    <w:p w14:paraId="17B7D601" w14:textId="77777777" w:rsidR="000A4CDF" w:rsidRDefault="00000000">
      <w:pPr>
        <w:pStyle w:val="BodyText"/>
      </w:pPr>
      <w:r>
        <w:t xml:space="preserve">Sin embargo, este incumplimiento es interpretable como un hallazgo sustantivo más que como un defecto del protocolo. LIME-estabilidad tiene media 0.018, es decir, la similitud coseno entre explicaciones replicadas es casi nula. En este régimen, la desviación absoluta entre réplicas (~0.015) es numéricamente pequeña pero el CV es elevado precisamente porque el denominador es cercano a cero. Un CV del 86% sobre una media de 0.018 equivale a una incertidumbre absoluta de </w:t>
      </w:r>
      <m:oMath>
        <m:r>
          <m:rPr>
            <m:sty m:val="p"/>
          </m:rPr>
          <w:rPr>
            <w:rFonts w:ascii="Cambria Math" w:hAnsi="Cambria Math"/>
          </w:rPr>
          <m:t>±</m:t>
        </m:r>
        <m:r>
          <w:rPr>
            <w:rFonts w:ascii="Cambria Math" w:hAnsi="Cambria Math"/>
          </w:rPr>
          <m:t>0.015</m:t>
        </m:r>
      </m:oMath>
      <w:r>
        <w:t>, que en la escala de similitud coseno es trivial. La proposición P1 se satisface para las métricas con señal sustantiva; la excepción de LIME- estabilidad es una consecuencia de la inestabilidad estructural del método, no de la irreproducibilidad del protocolo.</w:t>
      </w:r>
    </w:p>
    <w:p w14:paraId="0299B045" w14:textId="77777777" w:rsidR="000A4CDF" w:rsidRDefault="00000000">
      <w:pPr>
        <w:pStyle w:val="BodyText"/>
      </w:pPr>
      <w:r>
        <w:t>Para la generalización global, el CV en fidelidad para todos los métodos y modelos oscila entre 12.0% (LIME) y 12.8% (SHAP), confirmando que la variabilidad métrica debida a la aleatoriedad de la semilla es controlada y uniforme. Los CVs de coste y estabilidad, que son inherentemente más variables por la dependencia de las instancias específicas seleccionadas, se esperan en rangos superiores y no forman parte del criterio primario de P1.</w:t>
      </w:r>
    </w:p>
    <w:p w14:paraId="5D0BFA9E" w14:textId="77777777" w:rsidR="000A4CDF" w:rsidRDefault="00000000">
      <w:pPr>
        <w:pStyle w:val="Heading2"/>
      </w:pPr>
      <w:bookmarkStart w:id="153" w:name="sec-perfiles"/>
      <w:bookmarkStart w:id="154" w:name="_Toc228522598"/>
      <w:bookmarkEnd w:id="150"/>
      <w:r>
        <w:t>Perfil multidimensional por método</w:t>
      </w:r>
      <w:bookmarkEnd w:id="154"/>
    </w:p>
    <w:p w14:paraId="2F9A580B" w14:textId="77777777" w:rsidR="000A4CDF" w:rsidRDefault="00000000">
      <w:r>
        <w:t>El análisis omnibus y pareado establece las diferencias confirmativas; esta sección describe el perfil multidimensional completo de cada método, integrando las cinco métricas y el comportamiento específico por modelo.</w:t>
      </w:r>
    </w:p>
    <w:p w14:paraId="4F3063E7" w14:textId="77777777" w:rsidR="000A4CDF" w:rsidRDefault="00000000">
      <w:pPr>
        <w:pStyle w:val="Heading3"/>
      </w:pPr>
      <w:bookmarkStart w:id="155" w:name="shap"/>
      <w:bookmarkStart w:id="156" w:name="_Toc228522599"/>
      <w:r>
        <w:lastRenderedPageBreak/>
        <w:t>SHAP</w:t>
      </w:r>
      <w:bookmarkEnd w:id="156"/>
    </w:p>
    <w:p w14:paraId="0E7580D1" w14:textId="77777777" w:rsidR="000A4CDF" w:rsidRDefault="00000000">
      <w:r>
        <w:t>SHAP presenta el perfil más equilibrado y favorable de los cuatro métodos. Sus medias consolidadas sobre los 71 bloques calificados son: fidelidad = 0.810, estabilidad = 0.724, parsimonia = 0.234, brecha de fidelidad = 0.431, coste = 24,804 ms. La parsimonia más alta de todos los métodos (0.234 frente a 0.085 de LIME) refleja que SHAP puede distribuir importancias entre un mayor número de características cuando el modelo así lo requiere, lo que es un reflejo adecuado de la complejidad real del modelo.</w:t>
      </w:r>
    </w:p>
    <w:p w14:paraId="4CDB9AFB" w14:textId="77777777" w:rsidR="000A4CDF" w:rsidRDefault="00000000">
      <w:pPr>
        <w:pStyle w:val="BodyText"/>
      </w:pPr>
      <w:r>
        <w:t>El coste es la dimensión adversa de SHAP. El promedio de 24,804 ms esconde una heterogeneidad de dos órdenes de magnitud: para XGBoost, TreeSHAP opera en ~1 ms/instancia, mientras que KernelSHAP sobre SVM requiere ~159,059 ms/instancia. Esta disparidad tiene implicaciones prácticas directas: el despliegue de SHAP sobre modelos de núcleo o redes neuronales en entornos de baja latencia puede ser inviable sin aproximaciones adicionales.</w:t>
      </w:r>
    </w:p>
    <w:p w14:paraId="1FD56CD9" w14:textId="77777777" w:rsidR="000A4CDF" w:rsidRDefault="00000000">
      <w:pPr>
        <w:pStyle w:val="BodyText"/>
      </w:pPr>
      <w:r>
        <w:t>Por modelo, los picos de fidelidad se observan en logreg (0.946) y SVM (0.928), donde la linealidad o la estructura de margen del modelo facilita la aproximación local por valores de Shapley. La fidelidad más baja se registra en MLP (0.717), coherente con la complejidad de los gradientes de una red profunda. XGBoost presenta el balance óptimo calidad-coste: fidelidad 0.759, coste 1.2 ms.</w:t>
      </w:r>
    </w:p>
    <w:p w14:paraId="59BD7641" w14:textId="77777777" w:rsidR="000A4CDF" w:rsidRDefault="00000000">
      <w:pPr>
        <w:pStyle w:val="Heading3"/>
      </w:pPr>
      <w:bookmarkStart w:id="157" w:name="lime"/>
      <w:bookmarkStart w:id="158" w:name="_Toc228522600"/>
      <w:bookmarkEnd w:id="155"/>
      <w:r>
        <w:t>LIME</w:t>
      </w:r>
      <w:bookmarkEnd w:id="158"/>
    </w:p>
    <w:p w14:paraId="546E8902" w14:textId="77777777" w:rsidR="000A4CDF" w:rsidRDefault="00000000">
      <w:r>
        <w:t xml:space="preserve">LIME es el método más económico en coste (media 226 ms, rango 3–1,088 ms por modelo), con una fidelidad media moderada (0.560) y parsimonia baja consistente (0.085 en todos los </w:t>
      </w:r>
      <w:r>
        <w:lastRenderedPageBreak/>
        <w:t>modelos, por diseño). Su fortaleza operativa es la velocidad y la parsimonia de sus explicaciones, que facilitan la interpretación por parte de usuarios no técnicos.</w:t>
      </w:r>
    </w:p>
    <w:p w14:paraId="2F8AF30F" w14:textId="77777777" w:rsidR="000A4CDF" w:rsidRDefault="00000000">
      <w:pPr>
        <w:pStyle w:val="BodyText"/>
      </w:pPr>
      <w:r>
        <w:t>La limitación estructural de LIME es su estabilidad casi nula (0.014). La hipótesis explicativa es conocida en la literatura: la perturbación por muestreo local genera distribuciones que difieren sustancialmente de instancia a instancia, haciendo que los coeficientes del modelo lineal local sean altamente sensibles al conjunto de puntos de la vecindad (Ribeiro 2016; Bhattacharya and Verbert 2024). En los datos de este benchmark, esta inestabilidad se confirmó cuantitativamente: el CV de estabilidad bajo semillas distintas es del 86.2%, y la similitud coseno media de 0.014 implica que dos explicaciones de la misma instancia con semillas distintas son casi ortogonales. Este hallazgo descalifica a LIME como método de referencia en contextos donde se requiere consistencia explicativa (auditoría, decisiones de alto riesgo, comparación entre instancias).</w:t>
      </w:r>
    </w:p>
    <w:p w14:paraId="009B5E6B" w14:textId="77777777" w:rsidR="000A4CDF" w:rsidRDefault="00000000">
      <w:pPr>
        <w:pStyle w:val="Heading3"/>
      </w:pPr>
      <w:bookmarkStart w:id="159" w:name="anchors"/>
      <w:bookmarkStart w:id="160" w:name="_Toc228522601"/>
      <w:bookmarkEnd w:id="157"/>
      <w:r>
        <w:t>Anchors</w:t>
      </w:r>
      <w:bookmarkEnd w:id="160"/>
    </w:p>
    <w:p w14:paraId="6381EBC9" w14:textId="77777777" w:rsidR="000A4CDF" w:rsidRDefault="00000000">
      <w:r>
        <w:t>Anchors tiene una cobertura de solo 56 celdas calificadas (74.7%), lo que refleja que en los estratos de mayor incertidumbre el algoritmo de búsqueda de reglas no converge a una regla con la precisión mínima exigida. Sobre los bloques calificados, la fidelidad media es 0.386 y la estabilidad 0.052, ambas inferiores a las de SHAP y LIME. El coste es elevado y muy variable: desde 2,027 ms para logreg hasta 64,131 ms para RF y 68,874 ms para SVM. El comportamiento de Anchors refleja la dificultad intrínseca de encontrar reglas locales de alta precisión en modelos no lineales: en logreg, la estructura lineal facilita la búsqueda; en RF y SVM, el espacio de decisión es fragmentado y el algoritmo de búsqueda incurre en costes de exploración elevados.</w:t>
      </w:r>
    </w:p>
    <w:p w14:paraId="0A3F71B7" w14:textId="77777777" w:rsidR="000A4CDF" w:rsidRDefault="00000000">
      <w:pPr>
        <w:pStyle w:val="BodyText"/>
      </w:pPr>
      <w:r>
        <w:lastRenderedPageBreak/>
        <w:t>La parsimonia de Anchors es comparable a la de LIME (0.085), pero con mayor variabilidad (0.059 de desviación típica). Las reglas IF-THEN que Anchors produce tienen un valor explicativo cualitativo distinto al de los pesos de importancia numérica: son más comprensibles para usuarios finales, pero no permiten comparación cuantitativa directa con las métricas de importancia por las que SHAP y LIME son evaluados. Esta limitación conceptual —no un defecto de implementación— sugiere que la fidelidad y estabilidad métricas de Anchors deben interpretarse con cautela.</w:t>
      </w:r>
    </w:p>
    <w:p w14:paraId="3EFA2371" w14:textId="77777777" w:rsidR="000A4CDF" w:rsidRDefault="00000000">
      <w:pPr>
        <w:pStyle w:val="Heading3"/>
      </w:pPr>
      <w:bookmarkStart w:id="161" w:name="dice"/>
      <w:bookmarkStart w:id="162" w:name="_Toc228522602"/>
      <w:bookmarkEnd w:id="159"/>
      <w:r>
        <w:t>DiCE</w:t>
      </w:r>
      <w:bookmarkEnd w:id="162"/>
    </w:p>
    <w:p w14:paraId="1D2E751A" w14:textId="77777777" w:rsidR="000A4CDF" w:rsidRDefault="00000000">
      <w:r>
        <w:t>DiCE ocupa el último lugar en fidelidad (0.172) y una posición intermedia en estabilidad (0.366). Esta combinación es coherente con su paradigma de diseño: como método contrafactual, DiCE genera instancias alternativas que cambian la predicción, no pesos de importancia que explican la predicción actual. La baja fidelidad refleja que las características más modificadas en los contrafactuales no son necesariamente las que más influyen en la predicción local, lo que no es un fallo sino una consecuencia de su objetivo optimizado.</w:t>
      </w:r>
    </w:p>
    <w:p w14:paraId="1A4F3220" w14:textId="77777777" w:rsidR="000A4CDF" w:rsidRDefault="00000000">
      <w:pPr>
        <w:pStyle w:val="BodyText"/>
      </w:pPr>
      <w:r>
        <w:t>La estabilidad moderada de DiCE (0.366) es coherente: los contrafactuales generados para instancias perturbadas similarmente tienden a explorar regiones similares del espacio de decisión. La parsimonia es la más baja de todos los métodos (0.017), reflejando que los contrafactuales de DiCE modifican pocas características por construcción (objetivo de proximidad). El coste moderado (2,056 ms en media) hace a DiCE más económico que Anchors para la mayoría de modelos.</w:t>
      </w:r>
    </w:p>
    <w:p w14:paraId="6B42BAA2" w14:textId="77777777" w:rsidR="000A4CDF" w:rsidRDefault="00000000">
      <w:pPr>
        <w:pStyle w:val="Heading2"/>
      </w:pPr>
      <w:bookmarkStart w:id="163" w:name="sec-transversal"/>
      <w:bookmarkStart w:id="164" w:name="_Toc228522603"/>
      <w:bookmarkEnd w:id="153"/>
      <w:bookmarkEnd w:id="161"/>
      <w:r>
        <w:lastRenderedPageBreak/>
        <w:t>Análisis transversal: efecto del modelo base y del tamaño de muestra</w:t>
      </w:r>
      <w:bookmarkEnd w:id="164"/>
    </w:p>
    <w:p w14:paraId="79FEBDDA" w14:textId="77777777" w:rsidR="000A4CDF" w:rsidRDefault="00000000">
      <w:pPr>
        <w:pStyle w:val="Heading3"/>
      </w:pPr>
      <w:bookmarkStart w:id="165" w:name="Xd0dc4cebb30e80d859f681a41b6366a7a2cd5a6"/>
      <w:bookmarkStart w:id="166" w:name="_Toc228522604"/>
      <w:r>
        <w:t>Efecto del modelo base sobre las métricas</w:t>
      </w:r>
      <w:bookmarkEnd w:id="166"/>
    </w:p>
    <w:p w14:paraId="3CC64EB4" w14:textId="77777777" w:rsidR="000A4CDF" w:rsidRDefault="00000000">
      <w:r>
        <w:t>El modelo base influye significativamente sobre los valores absolutos de las métricas, aunque el ordenamiento entre métodos se mantiene constante. Las diferencias más notables son:</w:t>
      </w:r>
    </w:p>
    <w:p w14:paraId="1EC628A2" w14:textId="77777777" w:rsidR="000A4CDF" w:rsidRDefault="00000000">
      <w:pPr>
        <w:pStyle w:val="BodyText"/>
      </w:pPr>
      <w:r>
        <w:rPr>
          <w:b/>
          <w:bCs/>
        </w:rPr>
        <w:t>XGBoost</w:t>
      </w:r>
      <w:r>
        <w:t xml:space="preserve"> presenta el perfil calidad-coste más favorable para SHAP: fidelidad 0.759, coste 1.2 ms. Esto se debe al uso de TreeSHAP (Lundberg 2017), que calcula valores exactos de Shapley aprovechando la estructura de árbol y no requiere muestreo ni perturbación. Es el único método-modelo donde SHAP tiene un coste computacional inferior al de LIME (~9 ms).</w:t>
      </w:r>
    </w:p>
    <w:p w14:paraId="33118F24" w14:textId="77777777" w:rsidR="000A4CDF" w:rsidRDefault="00000000">
      <w:pPr>
        <w:pStyle w:val="BodyText"/>
      </w:pPr>
      <w:r>
        <w:rPr>
          <w:b/>
          <w:bCs/>
        </w:rPr>
        <w:t>SVM</w:t>
      </w:r>
      <w:r>
        <w:t xml:space="preserve"> es el modelo donde SHAP muestra la mayor fidelidad (0.928) pero el coste más elevado (159,059 ms). KernelSHAP requiere resolver un problema de optimización cuadrática por instancia, lo que escala quadráticamente con el número de muestras de referencia. Para SVM, Anchors también es costoso (68,874 ms) debido al espacio de búsqueda fragmentado.</w:t>
      </w:r>
    </w:p>
    <w:p w14:paraId="43AD2C13" w14:textId="77777777" w:rsidR="000A4CDF" w:rsidRDefault="00000000">
      <w:pPr>
        <w:pStyle w:val="BodyText"/>
      </w:pPr>
      <w:r>
        <w:rPr>
          <w:b/>
          <w:bCs/>
        </w:rPr>
        <w:t>Regresión logística (logreg)</w:t>
      </w:r>
      <w:r>
        <w:t xml:space="preserve"> produce la fidelidad SHAP más alta (0.946) y el coste SHAP más bajo entre modelos no basados en árboles (85 ms). La linearidad de logreg garantiza que las aproximaciones locales de Shapley son globalmente coherentes.</w:t>
      </w:r>
    </w:p>
    <w:p w14:paraId="6580A021" w14:textId="77777777" w:rsidR="000A4CDF" w:rsidRDefault="00000000">
      <w:pPr>
        <w:pStyle w:val="BodyText"/>
      </w:pPr>
      <w:r>
        <w:rPr>
          <w:b/>
          <w:bCs/>
        </w:rPr>
        <w:t>MLP</w:t>
      </w:r>
      <w:r>
        <w:t xml:space="preserve"> es el modelo con fidelidades más bajas en todos los métodos: SHAP=0.717, LIME=0.541, Anchors=0.299, DiCE=0.026. La complejidad del espacio de gradientes de redes profuntas dificulta la aproximación local de cualquier explicador post-hoc. El coste de Anchors sobre MLP (10,352 ms) es intermedio, pero la baja fidelidad lo descalifica para uso en auditoría.</w:t>
      </w:r>
    </w:p>
    <w:p w14:paraId="128BF9EB" w14:textId="77777777" w:rsidR="000A4CDF" w:rsidRDefault="00000000">
      <w:pPr>
        <w:pStyle w:val="Heading3"/>
      </w:pPr>
      <w:bookmarkStart w:id="167" w:name="X4b1cce5291d3b83ee4e2fe33ac88be27315f5a8"/>
      <w:bookmarkStart w:id="168" w:name="_Toc228522605"/>
      <w:bookmarkEnd w:id="165"/>
      <w:r>
        <w:lastRenderedPageBreak/>
        <w:t>Efecto del tamaño de muestra estratificado</w:t>
      </w:r>
      <w:bookmarkEnd w:id="168"/>
    </w:p>
    <w:p w14:paraId="1EFF5D60" w14:textId="77777777" w:rsidR="000A4CDF" w:rsidRDefault="00000000">
      <w:r>
        <w:t xml:space="preserve">El análisis del efecto de </w:t>
      </w:r>
      <m:oMath>
        <m:r>
          <w:rPr>
            <w:rFonts w:ascii="Cambria Math" w:hAnsi="Cambria Math"/>
          </w:rPr>
          <m:t>N</m:t>
        </m:r>
      </m:oMath>
      <w:r>
        <w:t xml:space="preserve"> (50, 100, 200 instancias por estrato) sobre las métricas primarias revela una estabilidad notable. Para SHAP, las medias de fidelidad según </w:t>
      </w:r>
      <m:oMath>
        <m:r>
          <w:rPr>
            <w:rFonts w:ascii="Cambria Math" w:hAnsi="Cambria Math"/>
          </w:rPr>
          <m:t>N</m:t>
        </m:r>
      </m:oMath>
      <w:r>
        <w:t xml:space="preserve"> son: </w:t>
      </w:r>
      <m:oMath>
        <m:r>
          <w:rPr>
            <w:rFonts w:ascii="Cambria Math" w:hAnsi="Cambria Math"/>
          </w:rPr>
          <m:t>N</m:t>
        </m:r>
        <m:r>
          <m:rPr>
            <m:sty m:val="p"/>
          </m:rPr>
          <w:rPr>
            <w:rFonts w:ascii="Cambria Math" w:hAnsi="Cambria Math"/>
          </w:rPr>
          <m:t>=</m:t>
        </m:r>
        <m:r>
          <w:rPr>
            <w:rFonts w:ascii="Cambria Math" w:hAnsi="Cambria Math"/>
          </w:rPr>
          <m:t>50</m:t>
        </m:r>
      </m:oMath>
      <w:r>
        <w:t xml:space="preserve">: 0.811, </w:t>
      </w:r>
      <m:oMath>
        <m:r>
          <w:rPr>
            <w:rFonts w:ascii="Cambria Math" w:hAnsi="Cambria Math"/>
          </w:rPr>
          <m:t>N</m:t>
        </m:r>
        <m:r>
          <m:rPr>
            <m:sty m:val="p"/>
          </m:rPr>
          <w:rPr>
            <w:rFonts w:ascii="Cambria Math" w:hAnsi="Cambria Math"/>
          </w:rPr>
          <m:t>=</m:t>
        </m:r>
        <m:r>
          <w:rPr>
            <w:rFonts w:ascii="Cambria Math" w:hAnsi="Cambria Math"/>
          </w:rPr>
          <m:t>100</m:t>
        </m:r>
      </m:oMath>
      <w:r>
        <w:t xml:space="preserve">: 0.804, </w:t>
      </w:r>
      <m:oMath>
        <m:r>
          <w:rPr>
            <w:rFonts w:ascii="Cambria Math" w:hAnsi="Cambria Math"/>
          </w:rPr>
          <m:t>N</m:t>
        </m:r>
        <m:r>
          <m:rPr>
            <m:sty m:val="p"/>
          </m:rPr>
          <w:rPr>
            <w:rFonts w:ascii="Cambria Math" w:hAnsi="Cambria Math"/>
          </w:rPr>
          <m:t>=</m:t>
        </m:r>
        <m:r>
          <w:rPr>
            <w:rFonts w:ascii="Cambria Math" w:hAnsi="Cambria Math"/>
          </w:rPr>
          <m:t>200</m:t>
        </m:r>
      </m:oMath>
      <w:r>
        <w:t xml:space="preserve">: 0.814, con diferencias absolutas inferiores a 0.010. Para LIME: </w:t>
      </w:r>
      <m:oMath>
        <m:r>
          <w:rPr>
            <w:rFonts w:ascii="Cambria Math" w:hAnsi="Cambria Math"/>
          </w:rPr>
          <m:t>N</m:t>
        </m:r>
        <m:r>
          <m:rPr>
            <m:sty m:val="p"/>
          </m:rPr>
          <w:rPr>
            <w:rFonts w:ascii="Cambria Math" w:hAnsi="Cambria Math"/>
          </w:rPr>
          <m:t>=</m:t>
        </m:r>
        <m:r>
          <w:rPr>
            <w:rFonts w:ascii="Cambria Math" w:hAnsi="Cambria Math"/>
          </w:rPr>
          <m:t>50</m:t>
        </m:r>
      </m:oMath>
      <w:r>
        <w:t xml:space="preserve">: 0.559, </w:t>
      </w:r>
      <m:oMath>
        <m:r>
          <w:rPr>
            <w:rFonts w:ascii="Cambria Math" w:hAnsi="Cambria Math"/>
          </w:rPr>
          <m:t>N</m:t>
        </m:r>
        <m:r>
          <m:rPr>
            <m:sty m:val="p"/>
          </m:rPr>
          <w:rPr>
            <w:rFonts w:ascii="Cambria Math" w:hAnsi="Cambria Math"/>
          </w:rPr>
          <m:t>=</m:t>
        </m:r>
        <m:r>
          <w:rPr>
            <w:rFonts w:ascii="Cambria Math" w:hAnsi="Cambria Math"/>
          </w:rPr>
          <m:t>100</m:t>
        </m:r>
      </m:oMath>
      <w:r>
        <w:t xml:space="preserve">: 0.561, </w:t>
      </w:r>
      <m:oMath>
        <m:r>
          <w:rPr>
            <w:rFonts w:ascii="Cambria Math" w:hAnsi="Cambria Math"/>
          </w:rPr>
          <m:t>N</m:t>
        </m:r>
        <m:r>
          <m:rPr>
            <m:sty m:val="p"/>
          </m:rPr>
          <w:rPr>
            <w:rFonts w:ascii="Cambria Math" w:hAnsi="Cambria Math"/>
          </w:rPr>
          <m:t>=</m:t>
        </m:r>
        <m:r>
          <w:rPr>
            <w:rFonts w:ascii="Cambria Math" w:hAnsi="Cambria Math"/>
          </w:rPr>
          <m:t>200</m:t>
        </m:r>
      </m:oMath>
      <w:r>
        <w:t>: 0.562. Estas diferencias son inferiores a un punto porcentual y no muestran tendencia monótona.</w:t>
      </w:r>
    </w:p>
    <w:p w14:paraId="45ADFDC6" w14:textId="77777777" w:rsidR="000A4CDF" w:rsidRDefault="00000000">
      <w:pPr>
        <w:pStyle w:val="BodyText"/>
      </w:pPr>
      <w:r>
        <w:t xml:space="preserve">La invarianza de las métricas ante el tamaño de muestra tiene dos implicaciones: (1) la estimación por estrato converge rápidamente, de modo que </w:t>
      </w:r>
      <m:oMath>
        <m:r>
          <w:rPr>
            <w:rFonts w:ascii="Cambria Math" w:hAnsi="Cambria Math"/>
          </w:rPr>
          <m:t>N</m:t>
        </m:r>
        <m:r>
          <m:rPr>
            <m:sty m:val="p"/>
          </m:rPr>
          <w:rPr>
            <w:rFonts w:ascii="Cambria Math" w:hAnsi="Cambria Math"/>
          </w:rPr>
          <m:t>=</m:t>
        </m:r>
        <m:r>
          <w:rPr>
            <w:rFonts w:ascii="Cambria Math" w:hAnsi="Cambria Math"/>
          </w:rPr>
          <m:t>50</m:t>
        </m:r>
      </m:oMath>
      <w:r>
        <w:t xml:space="preserve"> es suficiente para obtener medias representativas; (2) el diseño con tres tamaños de muestra aporta replicación estadística útil sin añadir variabilidad sistemática, lo que confirma la elección de niveles del Capítulo 3. Los costes computacionales crecen proporcionalmente con </w:t>
      </w:r>
      <m:oMath>
        <m:r>
          <w:rPr>
            <w:rFonts w:ascii="Cambria Math" w:hAnsi="Cambria Math"/>
          </w:rPr>
          <m:t>N</m:t>
        </m:r>
      </m:oMath>
      <w:r>
        <w:t xml:space="preserve"> en LIME (estructura lineal) pero no en SHAP para modelos de árbol (TreeSHAP escala logarítmicamente).</w:t>
      </w:r>
    </w:p>
    <w:p w14:paraId="3EED5CDC" w14:textId="77777777" w:rsidR="000A4CDF" w:rsidRDefault="00000000">
      <w:pPr>
        <w:pStyle w:val="Heading2"/>
      </w:pPr>
      <w:bookmarkStart w:id="169" w:name="sec-estudio-d"/>
      <w:bookmarkStart w:id="170" w:name="_Toc228522606"/>
      <w:bookmarkEnd w:id="163"/>
      <w:bookmarkEnd w:id="167"/>
      <w:r>
        <w:t>Estudio D: Evaluación semántica proxy mediante LLMs (EXP4)</w:t>
      </w:r>
      <w:bookmarkEnd w:id="170"/>
    </w:p>
    <w:p w14:paraId="33104C26" w14:textId="77777777" w:rsidR="000A4CDF" w:rsidRDefault="00000000">
      <w:pPr>
        <w:pStyle w:val="Heading3"/>
      </w:pPr>
      <w:bookmarkStart w:id="171" w:name="diseño-y-corpus-de-evaluación"/>
      <w:bookmarkStart w:id="172" w:name="_Toc228522607"/>
      <w:r>
        <w:t>Diseño y corpus de evaluación</w:t>
      </w:r>
      <w:bookmarkEnd w:id="172"/>
    </w:p>
    <w:p w14:paraId="13461AAF" w14:textId="77777777" w:rsidR="000A4CDF" w:rsidRDefault="00000000">
      <w:r>
        <w:t>EXP4 introduce una capa de evaluación semántica complementaria al benchmark técnico, basada en LLMs como jueces rubricados. El objetivo no es sustituir las métricas funcionales de los Estudios A–C, sino estimar dimensiones que esas métricas no capturan directamente: claridad, completitud, concisión, plausibilidad semántica, utilidad auditora y capacidad de apoyar interpretación de decisiones.</w:t>
      </w:r>
    </w:p>
    <w:p w14:paraId="037A6CFE" w14:textId="77777777" w:rsidR="000A4CDF" w:rsidRDefault="00000000">
      <w:pPr>
        <w:pStyle w:val="BodyText"/>
      </w:pPr>
      <w:r>
        <w:t xml:space="preserve">El corpus comprende </w:t>
      </w:r>
      <w:r>
        <w:rPr>
          <w:b/>
          <w:bCs/>
        </w:rPr>
        <w:t>192 casos</w:t>
      </w:r>
      <w:r>
        <w:t xml:space="preserve"> seleccionados del experimento EXP2 escalado, estratificados por método explicador (SHAP, LIME, Anchors, DiCE) y cuadrante de predicción (VP, VN, FP, FN). Los casos se evaluaron bajo tres condiciones de </w:t>
      </w:r>
      <w:r>
        <w:rPr>
          <w:i/>
          <w:iCs/>
        </w:rPr>
        <w:t>prompt</w:t>
      </w:r>
      <w:r>
        <w:t xml:space="preserve">: (1) hidden_label_primary —condición </w:t>
      </w:r>
      <w:r>
        <w:lastRenderedPageBreak/>
        <w:t xml:space="preserve">principal, etiqueta verdadera oculta al juez para evitar sesgo de confirmación—, (2) label_visible_bias_probe —sonda de sesgo con etiqueta visible—, y (3) rubric_alt_sensitivity —rúbrica alternativa para análisis de sensibilidad. La instantánea analítica canónica de EXP4 es outputs/analysis/exp4_llm_evaluation/exp4_analysis_summary.json: se obtuvieron </w:t>
      </w:r>
      <w:r>
        <w:rPr>
          <w:b/>
          <w:bCs/>
        </w:rPr>
        <w:t>4 790 juicios parseados</w:t>
      </w:r>
      <w:r>
        <w:t xml:space="preserve"> de tres modelos-juez: GPT-4.1-2025-04-14 (OpenAI direct), GPT-4.1-2025-04-14 (vía OpenRouter) y GPT-4.1-mini (vía OpenRouter). Tras excluir 15 filas de prueba (</w:t>
      </w:r>
      <w:r>
        <w:rPr>
          <w:i/>
          <w:iCs/>
        </w:rPr>
        <w:t>dry-run</w:t>
      </w:r>
      <w:r>
        <w:t xml:space="preserve">), el conjunto analítico contiene </w:t>
      </w:r>
      <w:r>
        <w:rPr>
          <w:b/>
          <w:bCs/>
        </w:rPr>
        <w:t>4 775 juicios reales</w:t>
      </w:r>
      <w:r>
        <w:t>. Las notas previas de OpenRouter que reportan 1 728 juicios describen una instantánea anterior de un solo juez y no sustituyen esta síntesis multi-juez.</w:t>
      </w:r>
    </w:p>
    <w:p w14:paraId="0AB3EF58" w14:textId="77777777" w:rsidR="000A4CDF" w:rsidRDefault="00000000">
      <w:pPr>
        <w:pStyle w:val="Heading3"/>
      </w:pPr>
      <w:bookmarkStart w:id="173" w:name="X41aee2f133833ec7dd64df3473f96ff01673a88"/>
      <w:bookmarkStart w:id="174" w:name="_Toc228522608"/>
      <w:bookmarkEnd w:id="171"/>
      <w:r>
        <w:t>Acuerdo inter-juez: ICC(2,1) y α de Krippendorff</w:t>
      </w:r>
      <w:bookmarkEnd w:id="174"/>
    </w:p>
    <w:p w14:paraId="33F1B6BF" w14:textId="77777777" w:rsidR="000A4CDF" w:rsidRDefault="00000000">
      <w:r>
        <w:t>La consistencia entre los tres modelos-juez se cuantifica con dos estimadores: el coeficiente de correlación intraclase ICC(2,1) —efectos mixtos de dos vías, acuerdo absoluto, juez único— sobre los 147 casos para los que los tres jueces produjeron puntuaciones completas, y el α de Krippendorff ordinal sobre los 192 casos.</w:t>
      </w:r>
    </w:p>
    <w:tbl>
      <w:tblPr>
        <w:tblW w:w="5000" w:type="pct"/>
        <w:tblLayout w:type="fixed"/>
        <w:tblLook w:val="0000" w:firstRow="0" w:lastRow="0" w:firstColumn="0" w:lastColumn="0" w:noHBand="0" w:noVBand="0"/>
      </w:tblPr>
      <w:tblGrid>
        <w:gridCol w:w="9576"/>
      </w:tblGrid>
      <w:tr w:rsidR="000A4CDF" w14:paraId="7C760EDC" w14:textId="77777777">
        <w:tc>
          <w:tcPr>
            <w:tcW w:w="7920" w:type="dxa"/>
          </w:tcPr>
          <w:p w14:paraId="5AFC8491" w14:textId="77777777" w:rsidR="000A4CDF" w:rsidRDefault="00000000">
            <w:pPr>
              <w:spacing w:before="200"/>
              <w:jc w:val="left"/>
            </w:pPr>
            <w:bookmarkStart w:id="175" w:name="tbl-exp4-icc"/>
            <w:r>
              <w:t>Table 5.6: Fiabilidad inter-juez en EXP4 (n = 147 casos completos para ICC; n = 192 para Krippendorff; 3 jueces).</w:t>
            </w:r>
          </w:p>
          <w:tbl>
            <w:tblPr>
              <w:tblW w:w="5000" w:type="pct"/>
              <w:tblLayout w:type="fixed"/>
              <w:tblLook w:val="0020" w:firstRow="1" w:lastRow="0" w:firstColumn="0" w:lastColumn="0" w:noHBand="0" w:noVBand="0"/>
            </w:tblPr>
            <w:tblGrid>
              <w:gridCol w:w="1872"/>
              <w:gridCol w:w="1872"/>
              <w:gridCol w:w="1872"/>
              <w:gridCol w:w="1872"/>
              <w:gridCol w:w="1872"/>
            </w:tblGrid>
            <w:tr w:rsidR="000A4CDF" w14:paraId="49967057" w14:textId="77777777">
              <w:trPr>
                <w:tblHeader/>
              </w:trPr>
              <w:tc>
                <w:tcPr>
                  <w:tcW w:w="1584" w:type="dxa"/>
                </w:tcPr>
                <w:p w14:paraId="24769DF2" w14:textId="77777777" w:rsidR="000A4CDF" w:rsidRDefault="00000000">
                  <w:pPr>
                    <w:jc w:val="center"/>
                  </w:pPr>
                  <w:r>
                    <w:t>Dimensión</w:t>
                  </w:r>
                </w:p>
              </w:tc>
              <w:tc>
                <w:tcPr>
                  <w:tcW w:w="1584" w:type="dxa"/>
                </w:tcPr>
                <w:p w14:paraId="75961CA3" w14:textId="77777777" w:rsidR="000A4CDF" w:rsidRDefault="00000000">
                  <w:pPr>
                    <w:jc w:val="center"/>
                  </w:pPr>
                  <w:r>
                    <w:t>ICC(2,1)</w:t>
                  </w:r>
                </w:p>
              </w:tc>
              <w:tc>
                <w:tcPr>
                  <w:tcW w:w="1584" w:type="dxa"/>
                </w:tcPr>
                <w:p w14:paraId="1AD57D3F" w14:textId="77777777" w:rsidR="000A4CDF" w:rsidRDefault="00000000">
                  <w:pPr>
                    <w:jc w:val="center"/>
                  </w:pPr>
                  <w:r>
                    <w:t>IC 95 %</w:t>
                  </w:r>
                </w:p>
              </w:tc>
              <w:tc>
                <w:tcPr>
                  <w:tcW w:w="1584" w:type="dxa"/>
                </w:tcPr>
                <w:p w14:paraId="0B32A03F" w14:textId="77777777" w:rsidR="000A4CDF" w:rsidRDefault="00000000">
                  <w:pPr>
                    <w:jc w:val="center"/>
                  </w:pPr>
                  <w:r>
                    <w:t>α Krippendorff</w:t>
                  </w:r>
                </w:p>
              </w:tc>
              <w:tc>
                <w:tcPr>
                  <w:tcW w:w="1584" w:type="dxa"/>
                </w:tcPr>
                <w:p w14:paraId="303A59DE" w14:textId="77777777" w:rsidR="000A4CDF" w:rsidRDefault="00000000">
                  <w:pPr>
                    <w:jc w:val="center"/>
                  </w:pPr>
                  <w:r>
                    <w:t>Interpretación</w:t>
                  </w:r>
                </w:p>
              </w:tc>
            </w:tr>
            <w:tr w:rsidR="000A4CDF" w14:paraId="03E358F8" w14:textId="77777777">
              <w:tc>
                <w:tcPr>
                  <w:tcW w:w="1584" w:type="dxa"/>
                </w:tcPr>
                <w:p w14:paraId="2B609984" w14:textId="77777777" w:rsidR="000A4CDF" w:rsidRDefault="00000000">
                  <w:pPr>
                    <w:jc w:val="center"/>
                  </w:pPr>
                  <w:r>
                    <w:t>Claridad</w:t>
                  </w:r>
                </w:p>
              </w:tc>
              <w:tc>
                <w:tcPr>
                  <w:tcW w:w="1584" w:type="dxa"/>
                </w:tcPr>
                <w:p w14:paraId="33EE239D" w14:textId="77777777" w:rsidR="000A4CDF" w:rsidRDefault="00000000">
                  <w:pPr>
                    <w:jc w:val="center"/>
                  </w:pPr>
                  <w:r>
                    <w:t>0.321</w:t>
                  </w:r>
                </w:p>
              </w:tc>
              <w:tc>
                <w:tcPr>
                  <w:tcW w:w="1584" w:type="dxa"/>
                </w:tcPr>
                <w:p w14:paraId="51D8FC86" w14:textId="77777777" w:rsidR="000A4CDF" w:rsidRDefault="00000000">
                  <w:pPr>
                    <w:jc w:val="center"/>
                  </w:pPr>
                  <w:r>
                    <w:t>[0.167, 0.459]</w:t>
                  </w:r>
                </w:p>
              </w:tc>
              <w:tc>
                <w:tcPr>
                  <w:tcW w:w="1584" w:type="dxa"/>
                </w:tcPr>
                <w:p w14:paraId="0C5C8D41" w14:textId="77777777" w:rsidR="000A4CDF" w:rsidRDefault="00000000">
                  <w:pPr>
                    <w:jc w:val="center"/>
                  </w:pPr>
                  <w:r>
                    <w:t>0.278</w:t>
                  </w:r>
                </w:p>
              </w:tc>
              <w:tc>
                <w:tcPr>
                  <w:tcW w:w="1584" w:type="dxa"/>
                </w:tcPr>
                <w:p w14:paraId="55A3B1A8" w14:textId="77777777" w:rsidR="000A4CDF" w:rsidRDefault="00000000">
                  <w:pPr>
                    <w:jc w:val="center"/>
                  </w:pPr>
                  <w:r>
                    <w:t>Acuerdo débil</w:t>
                  </w:r>
                </w:p>
              </w:tc>
            </w:tr>
            <w:tr w:rsidR="000A4CDF" w14:paraId="398C5366" w14:textId="77777777">
              <w:tc>
                <w:tcPr>
                  <w:tcW w:w="1584" w:type="dxa"/>
                </w:tcPr>
                <w:p w14:paraId="43D8DAE4" w14:textId="77777777" w:rsidR="000A4CDF" w:rsidRDefault="00000000">
                  <w:pPr>
                    <w:jc w:val="center"/>
                  </w:pPr>
                  <w:r>
                    <w:t>Completitud</w:t>
                  </w:r>
                </w:p>
              </w:tc>
              <w:tc>
                <w:tcPr>
                  <w:tcW w:w="1584" w:type="dxa"/>
                </w:tcPr>
                <w:p w14:paraId="71522A87" w14:textId="77777777" w:rsidR="000A4CDF" w:rsidRDefault="00000000">
                  <w:pPr>
                    <w:jc w:val="center"/>
                  </w:pPr>
                  <w:r>
                    <w:rPr>
                      <w:b/>
                      <w:bCs/>
                    </w:rPr>
                    <w:t>0.585</w:t>
                  </w:r>
                </w:p>
              </w:tc>
              <w:tc>
                <w:tcPr>
                  <w:tcW w:w="1584" w:type="dxa"/>
                </w:tcPr>
                <w:p w14:paraId="783664BE" w14:textId="77777777" w:rsidR="000A4CDF" w:rsidRDefault="00000000">
                  <w:pPr>
                    <w:jc w:val="center"/>
                  </w:pPr>
                  <w:r>
                    <w:t>[0.467, 0.682]</w:t>
                  </w:r>
                </w:p>
              </w:tc>
              <w:tc>
                <w:tcPr>
                  <w:tcW w:w="1584" w:type="dxa"/>
                </w:tcPr>
                <w:p w14:paraId="59C3B5D9" w14:textId="77777777" w:rsidR="000A4CDF" w:rsidRDefault="00000000">
                  <w:pPr>
                    <w:jc w:val="center"/>
                  </w:pPr>
                  <w:r>
                    <w:rPr>
                      <w:b/>
                      <w:bCs/>
                    </w:rPr>
                    <w:t>0.566</w:t>
                  </w:r>
                </w:p>
              </w:tc>
              <w:tc>
                <w:tcPr>
                  <w:tcW w:w="1584" w:type="dxa"/>
                </w:tcPr>
                <w:p w14:paraId="4424242B" w14:textId="77777777" w:rsidR="000A4CDF" w:rsidRDefault="00000000">
                  <w:pPr>
                    <w:jc w:val="center"/>
                  </w:pPr>
                  <w:r>
                    <w:t>Acuerdo moderado</w:t>
                  </w:r>
                </w:p>
              </w:tc>
            </w:tr>
            <w:tr w:rsidR="000A4CDF" w14:paraId="105961E8" w14:textId="77777777">
              <w:tc>
                <w:tcPr>
                  <w:tcW w:w="1584" w:type="dxa"/>
                </w:tcPr>
                <w:p w14:paraId="5768385C" w14:textId="77777777" w:rsidR="000A4CDF" w:rsidRDefault="00000000">
                  <w:pPr>
                    <w:jc w:val="center"/>
                  </w:pPr>
                  <w:r>
                    <w:lastRenderedPageBreak/>
                    <w:t>Concisión</w:t>
                  </w:r>
                </w:p>
              </w:tc>
              <w:tc>
                <w:tcPr>
                  <w:tcW w:w="1584" w:type="dxa"/>
                </w:tcPr>
                <w:p w14:paraId="54470620" w14:textId="77777777" w:rsidR="000A4CDF" w:rsidRDefault="00000000">
                  <w:pPr>
                    <w:jc w:val="center"/>
                  </w:pPr>
                  <w:r>
                    <w:t>0.453</w:t>
                  </w:r>
                </w:p>
              </w:tc>
              <w:tc>
                <w:tcPr>
                  <w:tcW w:w="1584" w:type="dxa"/>
                </w:tcPr>
                <w:p w14:paraId="43C2D842" w14:textId="77777777" w:rsidR="000A4CDF" w:rsidRDefault="00000000">
                  <w:pPr>
                    <w:jc w:val="center"/>
                  </w:pPr>
                  <w:r>
                    <w:t>[0.314, 0.573]</w:t>
                  </w:r>
                </w:p>
              </w:tc>
              <w:tc>
                <w:tcPr>
                  <w:tcW w:w="1584" w:type="dxa"/>
                </w:tcPr>
                <w:p w14:paraId="24EF45A1" w14:textId="77777777" w:rsidR="000A4CDF" w:rsidRDefault="00000000">
                  <w:pPr>
                    <w:jc w:val="center"/>
                  </w:pPr>
                  <w:r>
                    <w:t>0.409</w:t>
                  </w:r>
                </w:p>
              </w:tc>
              <w:tc>
                <w:tcPr>
                  <w:tcW w:w="1584" w:type="dxa"/>
                </w:tcPr>
                <w:p w14:paraId="0A4EE950" w14:textId="77777777" w:rsidR="000A4CDF" w:rsidRDefault="00000000">
                  <w:pPr>
                    <w:jc w:val="center"/>
                  </w:pPr>
                  <w:r>
                    <w:t>Acuerdo moderado</w:t>
                  </w:r>
                </w:p>
              </w:tc>
            </w:tr>
            <w:tr w:rsidR="000A4CDF" w14:paraId="171E5C36" w14:textId="77777777">
              <w:tc>
                <w:tcPr>
                  <w:tcW w:w="1584" w:type="dxa"/>
                </w:tcPr>
                <w:p w14:paraId="500DAB77" w14:textId="77777777" w:rsidR="000A4CDF" w:rsidRDefault="00000000">
                  <w:pPr>
                    <w:jc w:val="center"/>
                  </w:pPr>
                  <w:r>
                    <w:t>Plausibilidad semántica</w:t>
                  </w:r>
                </w:p>
              </w:tc>
              <w:tc>
                <w:tcPr>
                  <w:tcW w:w="1584" w:type="dxa"/>
                </w:tcPr>
                <w:p w14:paraId="3777D830" w14:textId="77777777" w:rsidR="000A4CDF" w:rsidRDefault="00000000">
                  <w:pPr>
                    <w:jc w:val="center"/>
                  </w:pPr>
                  <w:r>
                    <w:rPr>
                      <w:b/>
                      <w:bCs/>
                    </w:rPr>
                    <w:t>0.601</w:t>
                  </w:r>
                </w:p>
              </w:tc>
              <w:tc>
                <w:tcPr>
                  <w:tcW w:w="1584" w:type="dxa"/>
                </w:tcPr>
                <w:p w14:paraId="0BAD68C1" w14:textId="77777777" w:rsidR="000A4CDF" w:rsidRDefault="00000000">
                  <w:pPr>
                    <w:jc w:val="center"/>
                  </w:pPr>
                  <w:r>
                    <w:t>[0.486, 0.695]</w:t>
                  </w:r>
                </w:p>
              </w:tc>
              <w:tc>
                <w:tcPr>
                  <w:tcW w:w="1584" w:type="dxa"/>
                </w:tcPr>
                <w:p w14:paraId="16987A40" w14:textId="77777777" w:rsidR="000A4CDF" w:rsidRDefault="00000000">
                  <w:pPr>
                    <w:jc w:val="center"/>
                  </w:pPr>
                  <w:r>
                    <w:rPr>
                      <w:b/>
                      <w:bCs/>
                    </w:rPr>
                    <w:t>0.573</w:t>
                  </w:r>
                </w:p>
              </w:tc>
              <w:tc>
                <w:tcPr>
                  <w:tcW w:w="1584" w:type="dxa"/>
                </w:tcPr>
                <w:p w14:paraId="72969D53" w14:textId="77777777" w:rsidR="000A4CDF" w:rsidRDefault="00000000">
                  <w:pPr>
                    <w:jc w:val="center"/>
                  </w:pPr>
                  <w:r>
                    <w:t>Acuerdo moderado–bueno</w:t>
                  </w:r>
                </w:p>
              </w:tc>
            </w:tr>
            <w:tr w:rsidR="000A4CDF" w14:paraId="0963584C" w14:textId="77777777">
              <w:tc>
                <w:tcPr>
                  <w:tcW w:w="1584" w:type="dxa"/>
                </w:tcPr>
                <w:p w14:paraId="02C43C31" w14:textId="77777777" w:rsidR="000A4CDF" w:rsidRDefault="00000000">
                  <w:pPr>
                    <w:jc w:val="center"/>
                  </w:pPr>
                  <w:r>
                    <w:t>Utilidad auditora</w:t>
                  </w:r>
                </w:p>
              </w:tc>
              <w:tc>
                <w:tcPr>
                  <w:tcW w:w="1584" w:type="dxa"/>
                </w:tcPr>
                <w:p w14:paraId="3D45DC99" w14:textId="77777777" w:rsidR="000A4CDF" w:rsidRDefault="00000000">
                  <w:pPr>
                    <w:jc w:val="center"/>
                  </w:pPr>
                  <w:r>
                    <w:t>0.376</w:t>
                  </w:r>
                </w:p>
              </w:tc>
              <w:tc>
                <w:tcPr>
                  <w:tcW w:w="1584" w:type="dxa"/>
                </w:tcPr>
                <w:p w14:paraId="3C2CA749" w14:textId="77777777" w:rsidR="000A4CDF" w:rsidRDefault="00000000">
                  <w:pPr>
                    <w:jc w:val="center"/>
                  </w:pPr>
                  <w:r>
                    <w:t>[0.228, 0.507]</w:t>
                  </w:r>
                </w:p>
              </w:tc>
              <w:tc>
                <w:tcPr>
                  <w:tcW w:w="1584" w:type="dxa"/>
                </w:tcPr>
                <w:p w14:paraId="181A73DD" w14:textId="77777777" w:rsidR="000A4CDF" w:rsidRDefault="00000000">
                  <w:pPr>
                    <w:jc w:val="center"/>
                  </w:pPr>
                  <w:r>
                    <w:t>0.340</w:t>
                  </w:r>
                </w:p>
              </w:tc>
              <w:tc>
                <w:tcPr>
                  <w:tcW w:w="1584" w:type="dxa"/>
                </w:tcPr>
                <w:p w14:paraId="49DB9EAE" w14:textId="77777777" w:rsidR="000A4CDF" w:rsidRDefault="00000000">
                  <w:pPr>
                    <w:jc w:val="center"/>
                  </w:pPr>
                  <w:r>
                    <w:t>Acuerdo débil</w:t>
                  </w:r>
                </w:p>
              </w:tc>
            </w:tr>
            <w:tr w:rsidR="000A4CDF" w14:paraId="736E3F53" w14:textId="77777777">
              <w:tc>
                <w:tcPr>
                  <w:tcW w:w="1584" w:type="dxa"/>
                </w:tcPr>
                <w:p w14:paraId="433F2258" w14:textId="77777777" w:rsidR="000A4CDF" w:rsidRDefault="00000000">
                  <w:pPr>
                    <w:jc w:val="center"/>
                  </w:pPr>
                  <w:r>
                    <w:t>Accionabilidad</w:t>
                  </w:r>
                </w:p>
              </w:tc>
              <w:tc>
                <w:tcPr>
                  <w:tcW w:w="1584" w:type="dxa"/>
                </w:tcPr>
                <w:p w14:paraId="68154F6D" w14:textId="77777777" w:rsidR="000A4CDF" w:rsidRDefault="00000000">
                  <w:pPr>
                    <w:jc w:val="center"/>
                  </w:pPr>
                  <w:r>
                    <w:t>0.400</w:t>
                  </w:r>
                </w:p>
              </w:tc>
              <w:tc>
                <w:tcPr>
                  <w:tcW w:w="1584" w:type="dxa"/>
                </w:tcPr>
                <w:p w14:paraId="1494F10D" w14:textId="77777777" w:rsidR="000A4CDF" w:rsidRDefault="00000000">
                  <w:pPr>
                    <w:jc w:val="center"/>
                  </w:pPr>
                  <w:r>
                    <w:t>[0.254, 0.528]</w:t>
                  </w:r>
                </w:p>
              </w:tc>
              <w:tc>
                <w:tcPr>
                  <w:tcW w:w="1584" w:type="dxa"/>
                </w:tcPr>
                <w:p w14:paraId="30F03B24" w14:textId="77777777" w:rsidR="000A4CDF" w:rsidRDefault="00000000">
                  <w:pPr>
                    <w:jc w:val="center"/>
                  </w:pPr>
                  <w:r>
                    <w:t>0.362</w:t>
                  </w:r>
                </w:p>
              </w:tc>
              <w:tc>
                <w:tcPr>
                  <w:tcW w:w="1584" w:type="dxa"/>
                </w:tcPr>
                <w:p w14:paraId="0B19AF7F" w14:textId="77777777" w:rsidR="000A4CDF" w:rsidRDefault="00000000">
                  <w:pPr>
                    <w:jc w:val="center"/>
                  </w:pPr>
                  <w:r>
                    <w:t>Acuerdo débil</w:t>
                  </w:r>
                </w:p>
              </w:tc>
            </w:tr>
            <w:tr w:rsidR="000A4CDF" w14:paraId="7DC1D4CE" w14:textId="77777777">
              <w:tc>
                <w:tcPr>
                  <w:tcW w:w="1584" w:type="dxa"/>
                </w:tcPr>
                <w:p w14:paraId="67804916" w14:textId="77777777" w:rsidR="000A4CDF" w:rsidRDefault="00000000">
                  <w:pPr>
                    <w:jc w:val="center"/>
                  </w:pPr>
                  <w:r>
                    <w:t>Calidad global</w:t>
                  </w:r>
                </w:p>
              </w:tc>
              <w:tc>
                <w:tcPr>
                  <w:tcW w:w="1584" w:type="dxa"/>
                </w:tcPr>
                <w:p w14:paraId="3F80CD99" w14:textId="77777777" w:rsidR="000A4CDF" w:rsidRDefault="00000000">
                  <w:pPr>
                    <w:jc w:val="center"/>
                  </w:pPr>
                  <w:r>
                    <w:t>0.431</w:t>
                  </w:r>
                </w:p>
              </w:tc>
              <w:tc>
                <w:tcPr>
                  <w:tcW w:w="1584" w:type="dxa"/>
                </w:tcPr>
                <w:p w14:paraId="4B5C430B" w14:textId="77777777" w:rsidR="000A4CDF" w:rsidRDefault="00000000">
                  <w:pPr>
                    <w:jc w:val="center"/>
                  </w:pPr>
                  <w:r>
                    <w:t>[0.289, 0.554]</w:t>
                  </w:r>
                </w:p>
              </w:tc>
              <w:tc>
                <w:tcPr>
                  <w:tcW w:w="1584" w:type="dxa"/>
                </w:tcPr>
                <w:p w14:paraId="2D84DC62" w14:textId="77777777" w:rsidR="000A4CDF" w:rsidRDefault="00000000">
                  <w:pPr>
                    <w:jc w:val="center"/>
                  </w:pPr>
                  <w:r>
                    <w:t>0.394</w:t>
                  </w:r>
                </w:p>
              </w:tc>
              <w:tc>
                <w:tcPr>
                  <w:tcW w:w="1584" w:type="dxa"/>
                </w:tcPr>
                <w:p w14:paraId="5D0757D8" w14:textId="77777777" w:rsidR="000A4CDF" w:rsidRDefault="00000000">
                  <w:pPr>
                    <w:jc w:val="center"/>
                  </w:pPr>
                  <w:r>
                    <w:t>Acuerdo débil–moderado</w:t>
                  </w:r>
                </w:p>
              </w:tc>
            </w:tr>
            <w:bookmarkEnd w:id="175"/>
          </w:tbl>
          <w:p w14:paraId="100DCCCA" w14:textId="77777777" w:rsidR="000A4CDF" w:rsidRDefault="000A4CDF"/>
        </w:tc>
      </w:tr>
    </w:tbl>
    <w:p w14:paraId="582517F0" w14:textId="77777777" w:rsidR="000A4CDF" w:rsidRDefault="00000000">
      <w:pPr>
        <w:pStyle w:val="BodyText"/>
      </w:pPr>
      <w:r>
        <w:lastRenderedPageBreak/>
        <w:t xml:space="preserve">Los valores más altos se concentran en </w:t>
      </w:r>
      <w:r>
        <w:rPr>
          <w:i/>
          <w:iCs/>
        </w:rPr>
        <w:t>completitud</w:t>
      </w:r>
      <w:r>
        <w:t xml:space="preserve"> y </w:t>
      </w:r>
      <w:r>
        <w:rPr>
          <w:i/>
          <w:iCs/>
        </w:rPr>
        <w:t>plausibilidad semántica</w:t>
      </w:r>
      <w:r>
        <w:t xml:space="preserve">, dimensiones que los jueces interpretan de forma más convergente. </w:t>
      </w:r>
      <w:r>
        <w:rPr>
          <w:i/>
          <w:iCs/>
        </w:rPr>
        <w:t>Claridad</w:t>
      </w:r>
      <w:r>
        <w:t xml:space="preserve"> y </w:t>
      </w:r>
      <w:r>
        <w:rPr>
          <w:i/>
          <w:iCs/>
        </w:rPr>
        <w:t>utilidad auditora</w:t>
      </w:r>
      <w:r>
        <w:t xml:space="preserve"> muestran acuerdo más débil, lo que sugiere mayor variabilidad entre modelos-juez en la interpretación de esos constructos. Estos niveles son comparables a los reportados en estudios de fiabilidad inter-juez con LLMs sobre tareas de evaluación estructurada (Zheng et al. 2023; Gu et al. 2024).</w:t>
      </w:r>
    </w:p>
    <w:p w14:paraId="22144282" w14:textId="77777777" w:rsidR="000A4CDF" w:rsidRDefault="00000000">
      <w:pPr>
        <w:pStyle w:val="Heading3"/>
      </w:pPr>
      <w:bookmarkStart w:id="176" w:name="Xe3c8605283ab2bc8fd7ba90f608759bf36e40a2"/>
      <w:bookmarkStart w:id="177" w:name="_Toc228522609"/>
      <w:bookmarkEnd w:id="173"/>
      <w:r>
        <w:t>Perfiles semánticos por método explicador</w:t>
      </w:r>
      <w:bookmarkEnd w:id="177"/>
    </w:p>
    <w:p w14:paraId="7E48336A" w14:textId="77777777" w:rsidR="000A4CDF" w:rsidRDefault="00000000">
      <w:r>
        <w:t>Bajo la condición hidden_label_primary, los perfiles medios por explainer revelan una jerarquía semántica coherente con la técnica:</w:t>
      </w:r>
    </w:p>
    <w:p w14:paraId="32E96092" w14:textId="77777777" w:rsidR="000A4CDF" w:rsidRDefault="00000000">
      <w:pPr>
        <w:numPr>
          <w:ilvl w:val="0"/>
          <w:numId w:val="67"/>
        </w:numPr>
      </w:pPr>
      <w:r>
        <w:rPr>
          <w:b/>
          <w:bCs/>
        </w:rPr>
        <w:t>SHAP</w:t>
      </w:r>
      <w:r>
        <w:t xml:space="preserve"> obtiene las puntuaciones más altas en claridad, completitud y plausibilidad semántica, coherente con su capacidad de producir explicaciones con valores de importancia precisos y ordenados.</w:t>
      </w:r>
    </w:p>
    <w:p w14:paraId="3E2A8CA4" w14:textId="77777777" w:rsidR="000A4CDF" w:rsidRDefault="00000000">
      <w:pPr>
        <w:numPr>
          <w:ilvl w:val="0"/>
          <w:numId w:val="67"/>
        </w:numPr>
      </w:pPr>
      <w:r>
        <w:rPr>
          <w:b/>
          <w:bCs/>
        </w:rPr>
        <w:lastRenderedPageBreak/>
        <w:t>LIME</w:t>
      </w:r>
      <w:r>
        <w:t xml:space="preserve"> alcanza puntuaciones medias similares a SHAP en varias dimensiones, con ventaja en concisión dado su subconjunto reducido de características activas.</w:t>
      </w:r>
    </w:p>
    <w:p w14:paraId="016253FC" w14:textId="77777777" w:rsidR="000A4CDF" w:rsidRDefault="00000000">
      <w:pPr>
        <w:numPr>
          <w:ilvl w:val="0"/>
          <w:numId w:val="67"/>
        </w:numPr>
      </w:pPr>
      <w:r>
        <w:rPr>
          <w:b/>
          <w:bCs/>
        </w:rPr>
        <w:t>Anchors</w:t>
      </w:r>
      <w:r>
        <w:t xml:space="preserve"> muestra puntuaciones dispares: alta concisión semántica (reglas IF-THEN compactas) pero baja completitud, coherente con que las reglas de anclaje no cubren todos los factores predictivos.</w:t>
      </w:r>
    </w:p>
    <w:p w14:paraId="343CAD4F" w14:textId="77777777" w:rsidR="000A4CDF" w:rsidRDefault="00000000">
      <w:pPr>
        <w:numPr>
          <w:ilvl w:val="0"/>
          <w:numId w:val="67"/>
        </w:numPr>
      </w:pPr>
      <w:r>
        <w:rPr>
          <w:b/>
          <w:bCs/>
        </w:rPr>
        <w:t>DiCE</w:t>
      </w:r>
      <w:r>
        <w:t xml:space="preserve"> obtiene puntuaciones consistentemente bajas en completitud y calidad global, confirmando que los contrafácticos responden una pregunta diferente (¿qué cambiaría la decisión?) y no una explicación del caso actual.</w:t>
      </w:r>
    </w:p>
    <w:p w14:paraId="16D18379" w14:textId="77777777" w:rsidR="000A4CDF" w:rsidRDefault="00000000">
      <w:pPr>
        <w:pStyle w:val="Heading3"/>
      </w:pPr>
      <w:bookmarkStart w:id="178" w:name="alineación-llmmétricas-técnicas"/>
      <w:bookmarkStart w:id="179" w:name="_Toc228522610"/>
      <w:bookmarkEnd w:id="176"/>
      <w:r>
        <w:t>Alineación LLM–métricas técnicas</w:t>
      </w:r>
      <w:bookmarkEnd w:id="179"/>
    </w:p>
    <w:p w14:paraId="7EAD7AC7" w14:textId="77777777" w:rsidR="000A4CDF" w:rsidRDefault="00000000">
      <w:r>
        <w:t xml:space="preserve">La correlación de Spearman entre puntuaciones LLM y métricas técnicas cuantifica en qué medida las dimensiones semánticas captan varianza adicional respecto a las métricas funcionales. Las correlaciones más altas (ρ ≈ 0.38–0.40) se observan entre </w:t>
      </w:r>
      <w:r>
        <w:rPr>
          <w:i/>
          <w:iCs/>
        </w:rPr>
        <w:t>completitud</w:t>
      </w:r>
      <w:r>
        <w:t xml:space="preserve"> y </w:t>
      </w:r>
      <w:r>
        <w:rPr>
          <w:i/>
          <w:iCs/>
        </w:rPr>
        <w:t>esparsidad</w:t>
      </w:r>
      <w:r>
        <w:t xml:space="preserve">, y entre </w:t>
      </w:r>
      <w:r>
        <w:rPr>
          <w:i/>
          <w:iCs/>
        </w:rPr>
        <w:t>concisión</w:t>
      </w:r>
      <w:r>
        <w:t xml:space="preserve"> y </w:t>
      </w:r>
      <w:r>
        <w:rPr>
          <w:i/>
          <w:iCs/>
        </w:rPr>
        <w:t>esparsidad</w:t>
      </w:r>
      <w:r>
        <w:t>, indicando que la esparsidad de la explicación —número de características activas— es la métrica técnica con mayor solapamiento semántico. En contraste, las correlaciones con fidelidad y estabilidad son más débiles (ρ ≈ 0.28–0.32), lo que confirma que las dimensiones semánticas aportan información no redundante respecto al benchmark técnico.</w:t>
      </w:r>
    </w:p>
    <w:p w14:paraId="604C273A" w14:textId="77777777" w:rsidR="000A4CDF" w:rsidRDefault="00000000">
      <w:pPr>
        <w:pStyle w:val="Heading3"/>
      </w:pPr>
      <w:bookmarkStart w:id="180" w:name="X316304d21e0d8162a115c8735e31f5f0443ac68"/>
      <w:bookmarkStart w:id="181" w:name="_Toc228522611"/>
      <w:bookmarkEnd w:id="178"/>
      <w:r>
        <w:t>Diagnóstico de sesgo por visibilidad de etiqueta</w:t>
      </w:r>
      <w:bookmarkEnd w:id="181"/>
    </w:p>
    <w:p w14:paraId="6489D920" w14:textId="77777777" w:rsidR="000A4CDF" w:rsidRDefault="00000000">
      <w:r>
        <w:t xml:space="preserve">La sonda de sesgo compara las puntuaciones de la condición label_visible_bias_probe con la condición hidden_label_primary. Las diferencias medias son pequeñas (todas con mediana = 0), lo que indica que los modelos-juez no alteran sistemáticamente sus evaluaciones cuando se les </w:t>
      </w:r>
      <w:r>
        <w:lastRenderedPageBreak/>
        <w:t xml:space="preserve">informa del resultado de la predicción. La diferencia más grande se observa en </w:t>
      </w:r>
      <w:r>
        <w:rPr>
          <w:i/>
          <w:iCs/>
        </w:rPr>
        <w:t>concisión</w:t>
      </w:r>
      <w:r>
        <w:t xml:space="preserve"> (Δmedio = +0.20), lo que sugiere una leve tendencia a puntuar más alto la concisión cuando la etiqueta es visible, pero sin alcanzar magnitud prácticamente relevante.</w:t>
      </w:r>
    </w:p>
    <w:p w14:paraId="175B8089" w14:textId="77777777" w:rsidR="000A4CDF" w:rsidRDefault="00000000">
      <w:pPr>
        <w:pStyle w:val="Heading3"/>
      </w:pPr>
      <w:bookmarkStart w:id="182" w:name="síntesis-integradora-exp1exp4"/>
      <w:bookmarkStart w:id="183" w:name="_Toc228522612"/>
      <w:bookmarkEnd w:id="180"/>
      <w:r>
        <w:t>Síntesis integradora EXP1–EXP4</w:t>
      </w:r>
      <w:bookmarkEnd w:id="183"/>
    </w:p>
    <w:p w14:paraId="2C5ECE6E" w14:textId="77777777" w:rsidR="000A4CDF" w:rsidRDefault="00000000">
      <w:r>
        <w:t>Los cuatro estudios forman una cadena de evidencia complementaria. EXP1 establece la reproducibilidad del protocolo. EXP2 proporciona el benchmark técnico confirmativo. EXP3 valida la portabilidad del marco a dominios tabulares adicionales. EXP4 añade una capa semántica que muestra que parte de la jerarquía técnica SHAP &gt; LIME &gt; Anchors se refleja, en líneas generales, en las dimensiones de comprensibilidad y plausibilidad evaluadas por los jueces LLM. La evaluación semántica proxy de EXP4 tiene carácter exploratorio: sus afirmaciones son válidas como evidencia de consistencia entre métodos y como diagnóstico de fiabilidad entre jueces automáticos, pero no reemplazan la validación con usuarios reales (véase §5.4 sobre trabajo futuro). La validación humana con anotadores legos, iniciada en paralelo mediante interfaz web con 20 respuestas recolectadas, constituye evidencia piloto insuficiente para afirmaciones confirmatorias; su función actual es preparar el análisis humano–LLM posterior.</w:t>
      </w:r>
    </w:p>
    <w:p w14:paraId="4C221073" w14:textId="77777777" w:rsidR="000A4CDF" w:rsidRDefault="00000000">
      <w:pPr>
        <w:pStyle w:val="Heading2"/>
      </w:pPr>
      <w:bookmarkStart w:id="184" w:name="sec-discusion"/>
      <w:bookmarkStart w:id="185" w:name="_Toc228522613"/>
      <w:bookmarkEnd w:id="169"/>
      <w:bookmarkEnd w:id="182"/>
      <w:r>
        <w:t>Discusión</w:t>
      </w:r>
      <w:bookmarkEnd w:id="185"/>
    </w:p>
    <w:p w14:paraId="51DDF859" w14:textId="77777777" w:rsidR="000A4CDF" w:rsidRDefault="00000000">
      <w:pPr>
        <w:pStyle w:val="Heading3"/>
      </w:pPr>
      <w:bookmarkStart w:id="186" w:name="interpretación-conjunta-de-h1-h2-y-h3"/>
      <w:bookmarkStart w:id="187" w:name="_Toc228522614"/>
      <w:r>
        <w:t>Interpretación conjunta de H1, H2 y H3</w:t>
      </w:r>
      <w:bookmarkEnd w:id="187"/>
    </w:p>
    <w:p w14:paraId="4B8D4FBD" w14:textId="77777777" w:rsidR="000A4CDF" w:rsidRDefault="00000000">
      <w:r>
        <w:t xml:space="preserve">Los tres ejes confirmatorios convergen en una imagen coherente: SHAP es el método más fiable bajo un criterio multidimensional que incluye fidelidad, estabilidad y reproducibilidad, al precio de un coste computacional heterogéneo que puede ser prohibitivo para ciertos pares modelo-despliegue. LIME es la alternativa viable en entornos donde el coste es crítico, con la caveat explícita de que sus explicaciones son inestables y no deben usarse para comparación entre </w:t>
      </w:r>
      <w:r>
        <w:lastRenderedPageBreak/>
        <w:t>instancias ni para auditoría. Anchors y DiCE tienen perfiles de calidad bajos bajo las métricas de atribución, pero atienden a objetivos de evaluación cualitativamente distintos (reglas y contrafactuales), lo que limita la comparación directa.</w:t>
      </w:r>
    </w:p>
    <w:p w14:paraId="0738E499" w14:textId="77777777" w:rsidR="000A4CDF" w:rsidRDefault="00000000">
      <w:pPr>
        <w:pStyle w:val="BodyText"/>
      </w:pPr>
      <w:r>
        <w:t>El hallazgo quizás más relevante para el campo es la disociación entre fidelidad y estabilidad en los distintos métodos. Un método puede tener fidelidad moderada pero inestabilidad total (LIME) o estabilidad moderada con fidelidad baja (DiCE). Esta disociación valida la necesidad de un marco multi-métrico como el propuesto en esta tesis: una evaluación unidimensional basada únicamente en fidelidad habría presentado a LIME como método aceptable, sin capturar su deficiencia crítica en estabilidad.</w:t>
      </w:r>
    </w:p>
    <w:p w14:paraId="2CA67A61" w14:textId="77777777" w:rsidR="000A4CDF" w:rsidRDefault="00000000">
      <w:pPr>
        <w:pStyle w:val="BodyText"/>
      </w:pPr>
      <w:r>
        <w:t>La magnitud del efecto en las comparaciones SHAP-LIME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3.85</m:t>
        </m:r>
      </m:oMath>
      <w:r>
        <w:t xml:space="preserve"> para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2.85</m:t>
        </m:r>
      </m:oMath>
      <w:r>
        <w:t xml:space="preserve"> para estabilidad) es inusualmente grande en el contexto de experimentos de benchmarking XAI. Trabajos recientes de referencia en el campo (Hedström et al. 2023; Agarwal et al. 2022) reportan diferencias significativas entre métodos, pero raramente con tamaños de efecto de esta magnitud. La consistencia del ordenamiento en los 71 pares sin una sola excepción en fidelidad y estabilidad (0 diferencias negativas) fortalece la interpretación causal: la superioridad de SHAP no es un artefacto estadístico marginal sino una propiedad estructural del método bajo el diseño experimental de este benchmark.</w:t>
      </w:r>
    </w:p>
    <w:p w14:paraId="09B1A8F1" w14:textId="77777777" w:rsidR="000A4CDF" w:rsidRDefault="00000000">
      <w:pPr>
        <w:pStyle w:val="Heading3"/>
      </w:pPr>
      <w:bookmarkStart w:id="188" w:name="Xc1ed5f3543a7dd0de955900be27cfdca3c1471a"/>
      <w:bookmarkStart w:id="189" w:name="_Toc228522615"/>
      <w:bookmarkEnd w:id="186"/>
      <w:r>
        <w:t>Trade-off calidad-coste y criterios de selección operativa</w:t>
      </w:r>
      <w:bookmarkEnd w:id="189"/>
    </w:p>
    <w:p w14:paraId="7FAAE6E2" w14:textId="77777777" w:rsidR="000A4CDF" w:rsidRDefault="00000000">
      <w:r>
        <w:t>Los resultados permiten derivar criterios técnicos de selección de método XAI en función del contexto operativo. Se propone la siguiente taxonomía de decisión:</w:t>
      </w:r>
    </w:p>
    <w:p w14:paraId="5A687B4A" w14:textId="77777777" w:rsidR="000A4CDF" w:rsidRDefault="00000000">
      <w:pPr>
        <w:pStyle w:val="BodyText"/>
      </w:pPr>
      <w:r>
        <w:rPr>
          <w:b/>
          <w:bCs/>
        </w:rPr>
        <w:t>Contexto A — Alta fidelidad, sin restricción de latencia</w:t>
      </w:r>
      <w:r>
        <w:t xml:space="preserve"> (p. ej., auditoría regulatoria, análisis forense de decisiones): SHAP es la única opción con evidencia empírica de fidelidad ≥ 0.80 y </w:t>
      </w:r>
      <w:r>
        <w:lastRenderedPageBreak/>
        <w:t>estabilidad ≥ 0.70. Para modelos basados en árboles (XGBoost, RF), el coste de TreeSHAP hace esta elección también eficiente. Para SVM y redes neuronales, la latencia de KernelSHAP puede requerir infraestructura de cómputo dedicada o ejecución asíncrona.</w:t>
      </w:r>
    </w:p>
    <w:p w14:paraId="754EA437" w14:textId="77777777" w:rsidR="000A4CDF" w:rsidRDefault="00000000">
      <w:pPr>
        <w:pStyle w:val="BodyText"/>
      </w:pPr>
      <w:r>
        <w:rPr>
          <w:b/>
          <w:bCs/>
        </w:rPr>
        <w:t>Contexto B — Velocidad crítica, consistencia explicativa no requerida</w:t>
      </w:r>
      <w:r>
        <w:t xml:space="preserve"> (p. ej., sistemas de recomendación con retroalimentación explicativa en tiempo real): LIME es viable para modelos logreg/xgb/mlp con costes de 3–9 ms, aceptando que la explicación de una misma instancia puede variar entre ejecuciones. Los usuarios finales de estos sistemas deben ser informados de que las explicaciones tienen naturaleza estocástica y no son comparables entre ejecuciones.</w:t>
      </w:r>
    </w:p>
    <w:p w14:paraId="64FEC61E" w14:textId="77777777" w:rsidR="000A4CDF" w:rsidRDefault="00000000">
      <w:pPr>
        <w:pStyle w:val="BodyText"/>
      </w:pPr>
      <w:r>
        <w:rPr>
          <w:b/>
          <w:bCs/>
        </w:rPr>
        <w:t>Contexto C — Explicaciones comprensibles para usuarios no técnicos sin requisito cuantitativo</w:t>
      </w:r>
      <w:r>
        <w:t>: Anchors ofrece reglas IF-THEN semánticamente comprensibles, pero solo en modelos con frontera de decisión suficientemente regular (logreg, xgb); para RF y SVM, el coste y la baja tasa de cobertura lo hacen impracticable.</w:t>
      </w:r>
    </w:p>
    <w:p w14:paraId="1D035BB8" w14:textId="77777777" w:rsidR="000A4CDF" w:rsidRDefault="00000000">
      <w:pPr>
        <w:pStyle w:val="BodyText"/>
      </w:pPr>
      <w:r>
        <w:rPr>
          <w:b/>
          <w:bCs/>
        </w:rPr>
        <w:t>Contexto D — Análisis de acciones correctivas</w:t>
      </w:r>
      <w:r>
        <w:t xml:space="preserve"> (p. ej., ¿qué debe cambiar una instancia para obtener otro resultado?): DiCE es el único método de los cuatro evaluados diseñado para responder esta pregunta. Su baja fidelidad bajo métricas de atribución es irrelevante para este caso de uso.</w:t>
      </w:r>
    </w:p>
    <w:p w14:paraId="24E26E1F" w14:textId="77777777" w:rsidR="000A4CDF" w:rsidRDefault="00000000">
      <w:pPr>
        <w:pStyle w:val="Heading3"/>
      </w:pPr>
      <w:bookmarkStart w:id="190" w:name="Xa2617ef42ac6420ee93bf06c7919501975a208b"/>
      <w:bookmarkStart w:id="191" w:name="_Toc228522616"/>
      <w:bookmarkEnd w:id="188"/>
      <w:r>
        <w:t>Validación externa EXP3: integración con EXP1 y EXP2</w:t>
      </w:r>
      <w:bookmarkEnd w:id="191"/>
    </w:p>
    <w:p w14:paraId="1DA771A8" w14:textId="77777777" w:rsidR="000A4CDF" w:rsidRDefault="00000000">
      <w:r>
        <w:t xml:space="preserve">La evidencia empírica queda organizada en tres capas complementarias. EXP1 funciona como calibración sobre Adult; EXP2 constituye el benchmark confirmativo principal sobre Adult; y EXP3 opera como validación externa compacta sobre dos dominios tabulares adicionales. En conjunto, la formulación más precisa para la tesis es: </w:t>
      </w:r>
      <w:r>
        <w:rPr>
          <w:b/>
          <w:bCs/>
        </w:rPr>
        <w:t>benchmark centrado en Adult con validación tabular externa en dos dominios</w:t>
      </w:r>
      <w:r>
        <w:t>.</w:t>
      </w:r>
    </w:p>
    <w:p w14:paraId="3BBFFE11" w14:textId="77777777" w:rsidR="000A4CDF" w:rsidRDefault="00000000">
      <w:pPr>
        <w:pStyle w:val="BodyText"/>
      </w:pPr>
      <w:r>
        <w:lastRenderedPageBreak/>
        <w:t>EXP2 conserva el peso inferencial principal: 275 ejecuciones analizables después de aplicar la superposición de recuperación documentada. EXP3 añade 24 ejecuciones completas, distribuidas entre Breast Cancer y German Credit, y permite comprobar si los patrones técnicos principales se mantienen fuera de Adult. Esta separación evita mezclar unidades estadísticas heterogéneas: EXP3 no se agrega al contraste Friedman de EXP2, sino que se interpreta como una prueba de portabilidad del protocolo, del contrato de artefactos y del paquete de métricas.</w:t>
      </w:r>
    </w:p>
    <w:p w14:paraId="4F82A951" w14:textId="77777777" w:rsidR="000A4CDF" w:rsidRDefault="00000000">
      <w:pPr>
        <w:pStyle w:val="BodyText"/>
      </w:pPr>
      <w:r>
        <w:t>La síntesis integrada muestra continuidad en la ventaja técnica de SHAP en fidelidad y estabilidad. En EXP3, SHAP alcanza medias de fidelidad 0.702 y estabilidad 0.873, frente a 0.319 y 0.533 en Anchors. Anchors conserva, sin embargo, su perfil de explicación compacta: el ratio de características activas es 0.080 frente a 0.756 en SHAP. El argumento de coste también debe formularse con cautela: LIME sigue siendo el comparador de baja latencia en EXP2, mientras que en EXP3 Anchors resulta computacionalmente más costoso que SHAP en promedio (2744 ms frente a 1003 ms).</w:t>
      </w:r>
    </w:p>
    <w:p w14:paraId="62A66BC7" w14:textId="77777777" w:rsidR="000A4CDF" w:rsidRDefault="00000000">
      <w:pPr>
        <w:pStyle w:val="BodyText"/>
      </w:pPr>
      <w:r>
        <w:t>El impacto interpretativo es doble. Primero, EXP3 debilita la objeción de que el marco solo funciona sobre UCI Adult Income, porque los mismos componentes operativos se ejecutan en un dominio biomédico y un dominio de riesgo crediticio. Segundo, EXP3 no autoriza una afirmación universal de superioridad entre métodos. La conclusión integrada debe formularse como una frontera de selección dependiente del objetivo: fidelidad/estabilidad, parsimonia, forma explicativa y restricciones de tiempo.</w:t>
      </w:r>
    </w:p>
    <w:p w14:paraId="2581ABF4" w14:textId="77777777" w:rsidR="000A4CDF" w:rsidRDefault="00000000">
      <w:pPr>
        <w:pStyle w:val="Heading3"/>
      </w:pPr>
      <w:bookmarkStart w:id="192" w:name="X99626a17a471bd5fb48825a2c4d4fcdcb69bcee"/>
      <w:bookmarkStart w:id="193" w:name="_Toc228522617"/>
      <w:bookmarkEnd w:id="190"/>
      <w:r>
        <w:t>Contribuciones, limitaciones y extensiones</w:t>
      </w:r>
      <w:bookmarkEnd w:id="193"/>
    </w:p>
    <w:p w14:paraId="7AAE7060" w14:textId="77777777" w:rsidR="000A4CDF" w:rsidRDefault="00000000">
      <w:r>
        <w:t xml:space="preserve">Los hallazgos de este benchmark contribuyen al campo en tres dimensiones. En primer lugar, confirman empíricamente sobre datos tabulares reales y con una batería multidimensional de </w:t>
      </w:r>
      <w:r>
        <w:lastRenderedPageBreak/>
        <w:t>métricas la jerarquía SHAP &gt; LIME &gt; Anchors en fidelidad, que ha sido asumida teóricamente pero rara vez demostrada bajo un diseño estadístico riguroso (Pawlicki et al. 2024; Altukhi 2025). En segundo lugar, documentan cuantitativamente la inestabilidad estructural de LIME, un hallazgo que los estudios basados en fidelidad exclusiva sistemáticamente omiten (Bhattacharya and Verbert 2024). En tercer lugar, demuestran que el protocolo FOM-7 produce resultados reproducibles (CV &lt; 3% en fidelidad primaria) y que los criterios de cobertura y exclusión de artefactos del benchmark son implementables sin pérdida sustancial de potencia estadística.</w:t>
      </w:r>
    </w:p>
    <w:p w14:paraId="111A10AF" w14:textId="77777777" w:rsidR="000A4CDF" w:rsidRDefault="00000000">
      <w:pPr>
        <w:pStyle w:val="BodyText"/>
      </w:pPr>
      <w:r>
        <w:t>Las limitaciones principales del estudio son las siguientes. Primero, el universo inferencial confirmativo se acota al conjunto de datos UCI Adult Income y a problemas de clasificación tabular binaria. EXP3 amplía la validez externa a Breast Cancer y German Credit como dominios tabulares adicionales, pero no convierte el benchmark en una prueba universal ni cubre modalidades como imágenes, texto o series temporales; esas extensiones requieren rediseño de las métricas de fidelidad y estabilidad. Segundo, las métricas utilizadas son operacionalizaciones específicas de los constructos de calidad: fidelidad como correlación de importancias, estabilidad como similitud coseno. Otras operacionalizaciones posibles (p. ej., fidelidad como perturbación ROAR (Hedström et al. 2023) o estabilidad como distancia entre vecindades) pueden producir ordenamientos distintos. Tercero, el diseño no contempla la dimensión del usuario (comprensibilidad percibida, utilidad para la toma de decisiones), que es una dimensión de calidad no capturabe por métricas automáticas. Estos aspectos constituyen extensiones naturales para investigación futura que el protocolo FOM-7 está diseñado para acomodar mediante la adición de puertas adicionales.</w:t>
      </w:r>
    </w:p>
    <w:p w14:paraId="2FFEBC27" w14:textId="77777777" w:rsidR="000A4CDF" w:rsidRDefault="00000000">
      <w:pPr>
        <w:pStyle w:val="Heading1"/>
      </w:pPr>
      <w:bookmarkStart w:id="194" w:name="conclusiones"/>
      <w:bookmarkStart w:id="195" w:name="_Toc228522618"/>
      <w:bookmarkEnd w:id="130"/>
      <w:bookmarkEnd w:id="184"/>
      <w:bookmarkEnd w:id="192"/>
      <w:r>
        <w:lastRenderedPageBreak/>
        <w:t>Conclusiones</w:t>
      </w:r>
      <w:bookmarkEnd w:id="195"/>
    </w:p>
    <w:p w14:paraId="5A84EEF2" w14:textId="77777777" w:rsidR="000A4CDF" w:rsidRDefault="00000000">
      <w:r>
        <w:t>Esta tesis parte de una constatación empírica recurrente en la literatura: el campo de la evaluación de métodos XAI carece de protocolos que conecten la ejecución experimental con la inferencia estadística admisible (Pawlicki et al. 2024; Abdul Kadir et al. 2023; Canha et al. 2025). El problema no es la ausencia de métricas —se han identificado más de noventa constructos distintos (Pawlicki et al. 2024)— sino la fragmentación conceptual y la falta de trazabilidad entre el diseño experimental, los artefactos de resultado y las afirmaciones inferenciales. Esta tesis responde a ese problema con tres contribuciones articuladas: un protocolo de operación reproducible (FOM-7), un benchmark multi-métrico sobre datos tabulares reales y una taxonomía estructurada del espacio de métricas de evaluación XAI.</w:t>
      </w:r>
    </w:p>
    <w:p w14:paraId="38CF9E65" w14:textId="77777777" w:rsidR="000A4CDF" w:rsidRDefault="00000000">
      <w:pPr>
        <w:pStyle w:val="Heading2"/>
      </w:pPr>
      <w:bookmarkStart w:id="196" w:name="sec-respuesta"/>
      <w:bookmarkStart w:id="197" w:name="_Toc228522619"/>
      <w:r>
        <w:t>Respuesta al problema de investigación e hipótesis</w:t>
      </w:r>
      <w:bookmarkEnd w:id="197"/>
    </w:p>
    <w:p w14:paraId="0FFC526D" w14:textId="77777777" w:rsidR="000A4CDF" w:rsidRDefault="00000000">
      <w:r>
        <w:t xml:space="preserve">El problema de investigación formulado en el Capítulo 1 pregunta: </w:t>
      </w:r>
      <w:r>
        <w:rPr>
          <w:i/>
          <w:iCs/>
        </w:rPr>
        <w:t>¿En qué medida difieren los métodos de explicabilidad agnósticos al modelo en un conjunto multidimensional de métricas de calidad bajo condiciones de benchmarking controladas y reproducibles, y qué criterios técnicos permiten orientar su selección en función de los objetivos operativos?</w:t>
      </w:r>
    </w:p>
    <w:p w14:paraId="5DF2C8E2" w14:textId="77777777" w:rsidR="000A4CDF" w:rsidRDefault="00000000">
      <w:pPr>
        <w:pStyle w:val="BodyText"/>
      </w:pPr>
      <w:r>
        <w:t xml:space="preserve">Los resultados del benchmark responden esta pregunta con precisión cuantitativa. Las diferencias entre métodos son grandes, consistentes y estadísticamente incontrovertibles bajo el protocolo FOM-7. La respuesta directa es: </w:t>
      </w:r>
      <w:r>
        <w:rPr>
          <w:b/>
          <w:bCs/>
        </w:rPr>
        <w:t>SHAP domina en fidelidad y estabilidad en todos los contextos modelo-muestra evaluados; LIME es la única alternativa cuando el coste computacional es crítico, con la condición de aceptar explicaciones estructuralmente inestables; Anchors y DiCE atienden objetivos explicativos cualitativamente distintos que las métricas de atribución no capturan plenamente.</w:t>
      </w:r>
      <w:r>
        <w:t xml:space="preserve"> Esta orientación es robusta: emerge de </w:t>
      </w:r>
      <w:r>
        <w:lastRenderedPageBreak/>
        <w:t>275 artefactos calificados, se replica a través de cinco modelos, cinco semillas y tres tamaños de muestra, y es resistente al 8.3% de datos ausentes del diseño.</w:t>
      </w:r>
    </w:p>
    <w:p w14:paraId="4611632A" w14:textId="77777777" w:rsidR="000A4CDF" w:rsidRDefault="00000000">
      <w:pPr>
        <w:pStyle w:val="BodyText"/>
      </w:pPr>
      <w:r>
        <w:t>La resolución formal de las hipótesis y objetivos se sintetiza en la tabla siguiente:</w:t>
      </w:r>
    </w:p>
    <w:tbl>
      <w:tblPr>
        <w:tblW w:w="5000" w:type="pct"/>
        <w:tblLayout w:type="fixed"/>
        <w:tblLook w:val="0000" w:firstRow="0" w:lastRow="0" w:firstColumn="0" w:lastColumn="0" w:noHBand="0" w:noVBand="0"/>
      </w:tblPr>
      <w:tblGrid>
        <w:gridCol w:w="9576"/>
      </w:tblGrid>
      <w:tr w:rsidR="000A4CDF" w14:paraId="0B175DAE" w14:textId="77777777">
        <w:tc>
          <w:tcPr>
            <w:tcW w:w="7920" w:type="dxa"/>
          </w:tcPr>
          <w:p w14:paraId="24160CAA" w14:textId="77777777" w:rsidR="000A4CDF" w:rsidRDefault="00000000">
            <w:pPr>
              <w:spacing w:before="200"/>
              <w:jc w:val="left"/>
            </w:pPr>
            <w:bookmarkStart w:id="198" w:name="tbl-hipotesis"/>
            <w:r>
              <w:t>Table 6.1: Síntesis de hipótesis y proposición de trabajo.</w:t>
            </w:r>
          </w:p>
          <w:tbl>
            <w:tblPr>
              <w:tblW w:w="5000" w:type="pct"/>
              <w:tblLayout w:type="fixed"/>
              <w:tblLook w:val="0020" w:firstRow="1" w:lastRow="0" w:firstColumn="0" w:lastColumn="0" w:noHBand="0" w:noVBand="0"/>
            </w:tblPr>
            <w:tblGrid>
              <w:gridCol w:w="4255"/>
              <w:gridCol w:w="1557"/>
              <w:gridCol w:w="3548"/>
            </w:tblGrid>
            <w:tr w:rsidR="000A4CDF" w14:paraId="0DE4DFF8" w14:textId="77777777" w:rsidTr="009843E3">
              <w:trPr>
                <w:tblHeader/>
              </w:trPr>
              <w:tc>
                <w:tcPr>
                  <w:tcW w:w="4255" w:type="dxa"/>
                </w:tcPr>
                <w:p w14:paraId="7CF09764" w14:textId="77777777" w:rsidR="000A4CDF" w:rsidRDefault="00000000">
                  <w:pPr>
                    <w:jc w:val="center"/>
                  </w:pPr>
                  <w:r>
                    <w:t>Hipótesis / Proposición</w:t>
                  </w:r>
                </w:p>
              </w:tc>
              <w:tc>
                <w:tcPr>
                  <w:tcW w:w="1557" w:type="dxa"/>
                </w:tcPr>
                <w:p w14:paraId="34ECDC07" w14:textId="77777777" w:rsidR="000A4CDF" w:rsidRDefault="00000000">
                  <w:pPr>
                    <w:jc w:val="center"/>
                  </w:pPr>
                  <w:r>
                    <w:t>Resultado</w:t>
                  </w:r>
                </w:p>
              </w:tc>
              <w:tc>
                <w:tcPr>
                  <w:tcW w:w="3548" w:type="dxa"/>
                </w:tcPr>
                <w:p w14:paraId="7DC1C664" w14:textId="77777777" w:rsidR="000A4CDF" w:rsidRDefault="00000000">
                  <w:pPr>
                    <w:jc w:val="center"/>
                  </w:pPr>
                  <w:r>
                    <w:t>Estadístico clave</w:t>
                  </w:r>
                </w:p>
              </w:tc>
            </w:tr>
            <w:tr w:rsidR="000A4CDF" w14:paraId="4796811B" w14:textId="77777777" w:rsidTr="009843E3">
              <w:tc>
                <w:tcPr>
                  <w:tcW w:w="4255" w:type="dxa"/>
                </w:tcPr>
                <w:p w14:paraId="2070E777" w14:textId="77777777" w:rsidR="000A4CDF" w:rsidRDefault="00000000">
                  <w:pPr>
                    <w:jc w:val="center"/>
                  </w:pPr>
                  <w:r>
                    <w:t>H1: diferencias en fidelidad</w:t>
                  </w:r>
                </w:p>
              </w:tc>
              <w:tc>
                <w:tcPr>
                  <w:tcW w:w="1557" w:type="dxa"/>
                </w:tcPr>
                <w:p w14:paraId="266C86D1" w14:textId="77777777" w:rsidR="000A4CDF" w:rsidRDefault="00000000">
                  <w:pPr>
                    <w:jc w:val="center"/>
                  </w:pPr>
                  <w:r>
                    <w:rPr>
                      <w:b/>
                      <w:bCs/>
                    </w:rPr>
                    <w:t>Confirmada</w:t>
                  </w:r>
                </w:p>
              </w:tc>
              <w:tc>
                <w:tcPr>
                  <w:tcW w:w="3548" w:type="dxa"/>
                </w:tcPr>
                <w:p w14:paraId="2C7CB773" w14:textId="77777777" w:rsidR="000A4CDF" w:rsidRDefault="00000000">
                  <w:pPr>
                    <w:jc w:val="center"/>
                  </w:p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margen 439%</w:t>
                  </w:r>
                </w:p>
              </w:tc>
            </w:tr>
            <w:tr w:rsidR="000A4CDF" w14:paraId="7D278C0C" w14:textId="77777777" w:rsidTr="009843E3">
              <w:tc>
                <w:tcPr>
                  <w:tcW w:w="4255" w:type="dxa"/>
                </w:tcPr>
                <w:p w14:paraId="73E3C9D6" w14:textId="77777777" w:rsidR="000A4CDF" w:rsidRDefault="00000000">
                  <w:pPr>
                    <w:jc w:val="center"/>
                  </w:pPr>
                  <w:r>
                    <w:t>H2: diferencias en estabilidad</w:t>
                  </w:r>
                </w:p>
              </w:tc>
              <w:tc>
                <w:tcPr>
                  <w:tcW w:w="1557" w:type="dxa"/>
                </w:tcPr>
                <w:p w14:paraId="04C31F91" w14:textId="77777777" w:rsidR="000A4CDF" w:rsidRDefault="00000000">
                  <w:pPr>
                    <w:jc w:val="center"/>
                  </w:pPr>
                  <w:r>
                    <w:rPr>
                      <w:b/>
                      <w:bCs/>
                    </w:rPr>
                    <w:t>Confirmada</w:t>
                  </w:r>
                </w:p>
              </w:tc>
              <w:tc>
                <w:tcPr>
                  <w:tcW w:w="3548" w:type="dxa"/>
                </w:tcPr>
                <w:p w14:paraId="4C9EA4DD" w14:textId="77777777" w:rsidR="000A4CDF" w:rsidRDefault="00000000">
                  <w:pPr>
                    <w:jc w:val="center"/>
                  </w:p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margen 421%</w:t>
                  </w:r>
                </w:p>
              </w:tc>
            </w:tr>
            <w:tr w:rsidR="000A4CDF" w14:paraId="32A70737" w14:textId="77777777" w:rsidTr="009843E3">
              <w:tc>
                <w:tcPr>
                  <w:tcW w:w="4255" w:type="dxa"/>
                </w:tcPr>
                <w:p w14:paraId="7134996C" w14:textId="77777777" w:rsidR="000A4CDF" w:rsidRDefault="00000000">
                  <w:pPr>
                    <w:jc w:val="center"/>
                  </w:pPr>
                  <w:r>
                    <w:t>H3: SHAP-LIME difieren en calidad y coste</w:t>
                  </w:r>
                </w:p>
              </w:tc>
              <w:tc>
                <w:tcPr>
                  <w:tcW w:w="1557" w:type="dxa"/>
                </w:tcPr>
                <w:p w14:paraId="09EEC830" w14:textId="77777777" w:rsidR="000A4CDF" w:rsidRDefault="00000000">
                  <w:pPr>
                    <w:jc w:val="center"/>
                  </w:pPr>
                  <w:r>
                    <w:rPr>
                      <w:b/>
                      <w:bCs/>
                    </w:rPr>
                    <w:t>Confirmada</w:t>
                  </w:r>
                </w:p>
              </w:tc>
              <w:tc>
                <w:tcPr>
                  <w:tcW w:w="3548" w:type="dxa"/>
                </w:tcPr>
                <w:p w14:paraId="288287F8" w14:textId="77777777" w:rsidR="000A4CDF" w:rsidRDefault="00000000">
                  <w:pPr>
                    <w:jc w:val="center"/>
                  </w:p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(estabilidad); 75/75 positivas</w:t>
                  </w:r>
                </w:p>
              </w:tc>
            </w:tr>
            <w:tr w:rsidR="000A4CDF" w14:paraId="446301D0" w14:textId="77777777" w:rsidTr="009843E3">
              <w:tc>
                <w:tcPr>
                  <w:tcW w:w="4255" w:type="dxa"/>
                </w:tcPr>
                <w:p w14:paraId="4CCCA5D1" w14:textId="77777777" w:rsidR="000A4CDF" w:rsidRDefault="00000000">
                  <w:pPr>
                    <w:jc w:val="center"/>
                  </w:pPr>
                  <w:r>
                    <w:t>P1: CV &lt; 15% en métricas primarias</w:t>
                  </w:r>
                </w:p>
              </w:tc>
              <w:tc>
                <w:tcPr>
                  <w:tcW w:w="1557" w:type="dxa"/>
                </w:tcPr>
                <w:p w14:paraId="62021EC9" w14:textId="77777777" w:rsidR="000A4CDF" w:rsidRDefault="00000000">
                  <w:pPr>
                    <w:jc w:val="center"/>
                  </w:pPr>
                  <w:r>
                    <w:rPr>
                      <w:b/>
                      <w:bCs/>
                    </w:rPr>
                    <w:t>Parcialmente confirmada</w:t>
                  </w:r>
                </w:p>
              </w:tc>
              <w:tc>
                <w:tcPr>
                  <w:tcW w:w="3548" w:type="dxa"/>
                </w:tcPr>
                <w:p w14:paraId="0663F963" w14:textId="77777777" w:rsidR="000A4CDF" w:rsidRDefault="00000000">
                  <w:pPr>
                    <w:jc w:val="center"/>
                  </w:pPr>
                  <w:r>
                    <w:t>SHAP-fidelidad: CV=0.8%; LIME-estabilidad: CV=86.2% (incoherencia estructural, no ruido del protocolo)</w:t>
                  </w:r>
                </w:p>
              </w:tc>
            </w:tr>
            <w:bookmarkEnd w:id="198"/>
          </w:tbl>
          <w:p w14:paraId="254960E8" w14:textId="77777777" w:rsidR="000A4CDF" w:rsidRDefault="000A4CDF"/>
        </w:tc>
      </w:tr>
    </w:tbl>
    <w:p w14:paraId="1A7194EF" w14:textId="77777777" w:rsidR="000A4CDF"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0A4CDF" w14:paraId="1E61155C" w14:textId="77777777">
        <w:tc>
          <w:tcPr>
            <w:tcW w:w="7920" w:type="dxa"/>
          </w:tcPr>
          <w:p w14:paraId="126B5B8F" w14:textId="77777777" w:rsidR="000A4CDF" w:rsidRDefault="00000000">
            <w:pPr>
              <w:spacing w:before="200"/>
              <w:jc w:val="left"/>
            </w:pPr>
            <w:bookmarkStart w:id="199" w:name="tbl-objetivos"/>
            <w:r>
              <w:t>Table 6.2: Cierre de objetivos específicos.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65"/>
              <w:gridCol w:w="5385"/>
            </w:tblGrid>
            <w:tr w:rsidR="000A4CDF" w14:paraId="05D55138" w14:textId="77777777" w:rsidTr="001B51D7">
              <w:trPr>
                <w:tblHeader/>
              </w:trPr>
              <w:tc>
                <w:tcPr>
                  <w:tcW w:w="3969" w:type="dxa"/>
                </w:tcPr>
                <w:p w14:paraId="3BA44269" w14:textId="77777777" w:rsidR="000A4CDF" w:rsidRDefault="00000000">
                  <w:pPr>
                    <w:jc w:val="center"/>
                  </w:pPr>
                  <w:r>
                    <w:t>Objetivo específico</w:t>
                  </w:r>
                </w:p>
              </w:tc>
              <w:tc>
                <w:tcPr>
                  <w:tcW w:w="5391" w:type="dxa"/>
                </w:tcPr>
                <w:p w14:paraId="2794783C" w14:textId="77777777" w:rsidR="000A4CDF" w:rsidRDefault="00000000">
                  <w:pPr>
                    <w:jc w:val="center"/>
                  </w:pPr>
                  <w:r>
                    <w:t>Estado</w:t>
                  </w:r>
                </w:p>
              </w:tc>
            </w:tr>
            <w:tr w:rsidR="000A4CDF" w14:paraId="1EE18F77" w14:textId="77777777" w:rsidTr="001B51D7">
              <w:tc>
                <w:tcPr>
                  <w:tcW w:w="3969" w:type="dxa"/>
                </w:tcPr>
                <w:p w14:paraId="63998664" w14:textId="77777777" w:rsidR="000A4CDF" w:rsidRDefault="00000000">
                  <w:pPr>
                    <w:jc w:val="center"/>
                  </w:pPr>
                  <w:r>
                    <w:t>OE1 — Formalizar protocolo FOM-7</w:t>
                  </w:r>
                </w:p>
              </w:tc>
              <w:tc>
                <w:tcPr>
                  <w:tcW w:w="5391" w:type="dxa"/>
                </w:tcPr>
                <w:p w14:paraId="13C59B40" w14:textId="77777777" w:rsidR="000A4CDF" w:rsidRDefault="00000000">
                  <w:pPr>
                    <w:jc w:val="center"/>
                  </w:pPr>
                  <w:r>
                    <w:t xml:space="preserve">Completado. El protocolo opera como secuencia de 7 </w:t>
                  </w:r>
                  <w:r>
                    <w:lastRenderedPageBreak/>
                    <w:t>puertas y produjo 275 artefactos calificados con trazabilidad completa.</w:t>
                  </w:r>
                </w:p>
              </w:tc>
            </w:tr>
            <w:tr w:rsidR="000A4CDF" w14:paraId="5925A074" w14:textId="77777777" w:rsidTr="001B51D7">
              <w:tc>
                <w:tcPr>
                  <w:tcW w:w="3969" w:type="dxa"/>
                </w:tcPr>
                <w:p w14:paraId="4E4977F6" w14:textId="77777777" w:rsidR="000A4CDF" w:rsidRDefault="00000000">
                  <w:pPr>
                    <w:jc w:val="center"/>
                  </w:pPr>
                  <w:r>
                    <w:lastRenderedPageBreak/>
                    <w:t>OE2 — Evaluar SHAP, LIME, Anchors, DiCE sobre 5 modelos</w:t>
                  </w:r>
                </w:p>
              </w:tc>
              <w:tc>
                <w:tcPr>
                  <w:tcW w:w="5391" w:type="dxa"/>
                </w:tcPr>
                <w:p w14:paraId="738BE6E4" w14:textId="77777777" w:rsidR="000A4CDF" w:rsidRDefault="00000000">
                  <w:pPr>
                    <w:jc w:val="center"/>
                  </w:pPr>
                  <w:r>
                    <w:t>Completado. Benchmark multi-métrico sobre UCI Adult Income con 5 métricas primarias.</w:t>
                  </w:r>
                </w:p>
              </w:tc>
            </w:tr>
            <w:tr w:rsidR="000A4CDF" w14:paraId="228FC024" w14:textId="77777777" w:rsidTr="001B51D7">
              <w:tc>
                <w:tcPr>
                  <w:tcW w:w="3969" w:type="dxa"/>
                </w:tcPr>
                <w:p w14:paraId="13896413" w14:textId="77777777" w:rsidR="000A4CDF" w:rsidRDefault="00000000">
                  <w:pPr>
                    <w:jc w:val="center"/>
                  </w:pPr>
                  <w:r>
                    <w:t>OE3 — Cuantificar trade-off calidad-coste SHAP-LIME</w:t>
                  </w:r>
                </w:p>
              </w:tc>
              <w:tc>
                <w:tcPr>
                  <w:tcW w:w="5391" w:type="dxa"/>
                </w:tcPr>
                <w:p w14:paraId="18D0EFE4" w14:textId="77777777" w:rsidR="000A4CDF" w:rsidRDefault="00000000">
                  <w:pPr>
                    <w:jc w:val="center"/>
                  </w:pPr>
                  <w:r>
                    <w:t>Completado. Análisis pareado sobre 75 celdas coincidentes con corrección de multiplicidad Holm-Bonferroni.</w:t>
                  </w:r>
                </w:p>
              </w:tc>
            </w:tr>
            <w:tr w:rsidR="000A4CDF" w14:paraId="1DD0AA59" w14:textId="77777777" w:rsidTr="001B51D7">
              <w:tc>
                <w:tcPr>
                  <w:tcW w:w="3969" w:type="dxa"/>
                </w:tcPr>
                <w:p w14:paraId="7FCAF566" w14:textId="77777777" w:rsidR="000A4CDF" w:rsidRDefault="00000000">
                  <w:pPr>
                    <w:jc w:val="center"/>
                  </w:pPr>
                  <w:r>
                    <w:t>OE4 — Caracterizar reproducibilidad del protocolo</w:t>
                  </w:r>
                </w:p>
              </w:tc>
              <w:tc>
                <w:tcPr>
                  <w:tcW w:w="5391" w:type="dxa"/>
                </w:tcPr>
                <w:p w14:paraId="28353F78" w14:textId="77777777" w:rsidR="000A4CDF" w:rsidRDefault="00000000">
                  <w:pPr>
                    <w:jc w:val="center"/>
                  </w:pPr>
                  <w:r>
                    <w:t>Completado. CV &lt; 3% para fidelidad; variabilidad del coste inherente a la heterogeneidad del hardware.</w:t>
                  </w:r>
                </w:p>
              </w:tc>
            </w:tr>
            <w:tr w:rsidR="000A4CDF" w14:paraId="46C9A7A6" w14:textId="77777777" w:rsidTr="001B51D7">
              <w:tc>
                <w:tcPr>
                  <w:tcW w:w="3969" w:type="dxa"/>
                </w:tcPr>
                <w:p w14:paraId="6923E44F" w14:textId="77777777" w:rsidR="000A4CDF" w:rsidRDefault="00000000">
                  <w:pPr>
                    <w:jc w:val="center"/>
                  </w:pPr>
                  <w:r>
                    <w:t>OE5 — Construir taxonomía estructurada</w:t>
                  </w:r>
                </w:p>
              </w:tc>
              <w:tc>
                <w:tcPr>
                  <w:tcW w:w="5391" w:type="dxa"/>
                </w:tcPr>
                <w:p w14:paraId="20FA8B95" w14:textId="77777777" w:rsidR="000A4CDF" w:rsidRDefault="00000000">
                  <w:pPr>
                    <w:jc w:val="center"/>
                  </w:pPr>
                  <w:r>
                    <w:t>Completado. Véase Sección 5.2.</w:t>
                  </w:r>
                </w:p>
              </w:tc>
            </w:tr>
            <w:bookmarkEnd w:id="199"/>
          </w:tbl>
          <w:p w14:paraId="413160F3" w14:textId="77777777" w:rsidR="000A4CDF" w:rsidRDefault="000A4CDF"/>
        </w:tc>
      </w:tr>
    </w:tbl>
    <w:p w14:paraId="0D7D1E0D" w14:textId="77777777" w:rsidR="000A4CDF" w:rsidRDefault="00000000">
      <w:pPr>
        <w:pStyle w:val="Heading2"/>
      </w:pPr>
      <w:bookmarkStart w:id="200" w:name="sec-taxonomia"/>
      <w:bookmarkStart w:id="201" w:name="_Toc228522620"/>
      <w:bookmarkEnd w:id="196"/>
      <w:r>
        <w:lastRenderedPageBreak/>
        <w:t>Estudio C: Taxonomía estructurada del espacio de métricas de evaluación XAI</w:t>
      </w:r>
      <w:bookmarkEnd w:id="201"/>
    </w:p>
    <w:p w14:paraId="13F691F9" w14:textId="77777777" w:rsidR="000A4CDF" w:rsidRDefault="00000000">
      <w:pPr>
        <w:pStyle w:val="Heading3"/>
      </w:pPr>
      <w:bookmarkStart w:id="202" w:name="motivación-y-posicionamiento"/>
      <w:bookmarkStart w:id="203" w:name="_Toc228522621"/>
      <w:r>
        <w:t>Motivación y posicionamiento</w:t>
      </w:r>
      <w:bookmarkEnd w:id="203"/>
    </w:p>
    <w:p w14:paraId="754AA83D" w14:textId="77777777" w:rsidR="000A4CDF" w:rsidRDefault="00000000">
      <w:r>
        <w:t xml:space="preserve">El estado del arte en evaluación XAI muestra un patrón claro: los estudios proponen métricas de forma proliferante pero sin un marco conceptual integrador que permita comparar, seleccionar o acumular evidencia entre ellas (Pawlicki et al. 2024; Abdul Kadir et al. 2023; Bhattacharya and Verbert 2024). La revisión sistemática de Pawlicki et al. (2024) identificó casi noventa métricas distintas en la literatura, con solapes conceptuales notorios (e.g., el constructo “completeness” es denominado de forma independiente en al menos cuatro trabajos). Canha et al. (2025) y Bhattacharya y Verbert (2024) convergen en señalar la necesidad de un marco que distinga métricas </w:t>
      </w:r>
      <w:r>
        <w:rPr>
          <w:i/>
          <w:iCs/>
        </w:rPr>
        <w:t>functionally-grounded</w:t>
      </w:r>
      <w:r>
        <w:t xml:space="preserve"> (calculadas sin participantes humanos) de métricas </w:t>
      </w:r>
      <w:r>
        <w:rPr>
          <w:i/>
          <w:iCs/>
        </w:rPr>
        <w:t>human-</w:t>
      </w:r>
      <w:r>
        <w:rPr>
          <w:i/>
          <w:iCs/>
        </w:rPr>
        <w:lastRenderedPageBreak/>
        <w:t>centered</w:t>
      </w:r>
      <w:r>
        <w:t xml:space="preserve"> (basadas en estudios de usuario), y que organice el espacio por la propiedad de calidad que cada métrica pretende capturar.</w:t>
      </w:r>
    </w:p>
    <w:p w14:paraId="4C25217F" w14:textId="77777777" w:rsidR="000A4CDF" w:rsidRDefault="00000000">
      <w:pPr>
        <w:pStyle w:val="BodyText"/>
      </w:pPr>
      <w:r>
        <w:t xml:space="preserve">El Estudio C propone una taxonomía estructurada en cuatro ejes ortogonales que permite clasificar cualquier métrica del espacio de evaluación XAI. Los cuatro ejes responden a preguntas distintas y complementarias: </w:t>
      </w:r>
      <w:r>
        <w:rPr>
          <w:i/>
          <w:iCs/>
        </w:rPr>
        <w:t>¿qué se evalúa?</w:t>
      </w:r>
      <w:r>
        <w:t xml:space="preserve"> (objetivo de evaluación), </w:t>
      </w:r>
      <w:r>
        <w:rPr>
          <w:i/>
          <w:iCs/>
        </w:rPr>
        <w:t>¿con qué evidencia?</w:t>
      </w:r>
      <w:r>
        <w:t xml:space="preserve"> (fuente de evidencia), </w:t>
      </w:r>
      <w:r>
        <w:rPr>
          <w:i/>
          <w:iCs/>
        </w:rPr>
        <w:t>¿qué propiedad de calidad?</w:t>
      </w:r>
      <w:r>
        <w:t xml:space="preserve"> (propiedad de calidad), y </w:t>
      </w:r>
      <w:r>
        <w:rPr>
          <w:i/>
          <w:iCs/>
        </w:rPr>
        <w:t>¿para qué tarea?</w:t>
      </w:r>
      <w:r>
        <w:t xml:space="preserve"> (contexto de tarea). La ortogonalidad de los ejes permite que una métrica sea caracterizada por la intersección de sus cuatro coordenadas, facilitando la comparación sistemática entre métricas y la detección de brechas de cobertura en un benchmark.</w:t>
      </w:r>
    </w:p>
    <w:p w14:paraId="4782F05C" w14:textId="77777777" w:rsidR="000A4CDF" w:rsidRDefault="00000000">
      <w:pPr>
        <w:pStyle w:val="Heading3"/>
      </w:pPr>
      <w:bookmarkStart w:id="204" w:name="los-cuatro-ejes-de-la-taxonomía"/>
      <w:bookmarkStart w:id="205" w:name="_Toc228522622"/>
      <w:bookmarkEnd w:id="202"/>
      <w:r>
        <w:t>Los cuatro ejes de la taxonomía</w:t>
      </w:r>
      <w:bookmarkEnd w:id="205"/>
    </w:p>
    <w:p w14:paraId="054BD07E" w14:textId="77777777" w:rsidR="000A4CDF" w:rsidRDefault="00000000">
      <w:r>
        <w:rPr>
          <w:b/>
          <w:bCs/>
        </w:rPr>
        <w:t>Eje 1 — Objetivo de evaluación</w:t>
      </w:r>
      <w:r>
        <w:t xml:space="preserve"> (</w:t>
      </w:r>
      <w:r>
        <w:rPr>
          <w:i/>
          <w:iCs/>
        </w:rPr>
        <w:t>¿Qué aspecto de la explicación se examina?</w:t>
      </w:r>
      <w:r>
        <w:t>)</w:t>
      </w:r>
    </w:p>
    <w:p w14:paraId="488A27CC" w14:textId="77777777" w:rsidR="000A4CDF" w:rsidRDefault="00000000">
      <w:pPr>
        <w:pStyle w:val="BodyText"/>
      </w:pPr>
      <w:r>
        <w:t>Este eje clasifica la dimensión de la explicación que la métrica interroga. Se identifican cinco objetivos primarios:</w:t>
      </w:r>
    </w:p>
    <w:p w14:paraId="77259586" w14:textId="77777777" w:rsidR="000A4CDF" w:rsidRDefault="00000000">
      <w:pPr>
        <w:numPr>
          <w:ilvl w:val="0"/>
          <w:numId w:val="68"/>
        </w:numPr>
      </w:pPr>
      <w:r>
        <w:rPr>
          <w:i/>
          <w:iCs/>
        </w:rPr>
        <w:t>Representatividad local</w:t>
      </w:r>
      <w:r>
        <w:t>: en qué medida la explicación captura la función del modelo en la vecindad de la instancia. Las métricas de fidelidad e infidelidad (Abdul Kadir et al. 2023) operan en este objetivo.</w:t>
      </w:r>
    </w:p>
    <w:p w14:paraId="77E61C67" w14:textId="77777777" w:rsidR="000A4CDF" w:rsidRDefault="00000000">
      <w:pPr>
        <w:numPr>
          <w:ilvl w:val="0"/>
          <w:numId w:val="68"/>
        </w:numPr>
      </w:pPr>
      <w:r>
        <w:rPr>
          <w:i/>
          <w:iCs/>
        </w:rPr>
        <w:t>Consistencia bajo perturbación</w:t>
      </w:r>
      <w:r>
        <w:t>: en qué medida la explicación es estable ante pequeñas variaciones de la instancia de entrada. Las métricas de estabilidad y robustez (Schwalbe 2023; Pawlicki et al. 2024) operan en este objetivo.</w:t>
      </w:r>
    </w:p>
    <w:p w14:paraId="51DC9CD2" w14:textId="77777777" w:rsidR="000A4CDF" w:rsidRDefault="00000000">
      <w:pPr>
        <w:numPr>
          <w:ilvl w:val="0"/>
          <w:numId w:val="68"/>
        </w:numPr>
      </w:pPr>
      <w:r>
        <w:rPr>
          <w:i/>
          <w:iCs/>
        </w:rPr>
        <w:t>Compacidad explicativa</w:t>
      </w:r>
      <w:r>
        <w:t>: en qué medida la explicación es concisa y no redundante. La parsimonia y la complejidad efectiva (Pawlicki et al. 2024) operan en este objetivo.</w:t>
      </w:r>
    </w:p>
    <w:p w14:paraId="1778F271" w14:textId="77777777" w:rsidR="000A4CDF" w:rsidRDefault="00000000">
      <w:pPr>
        <w:numPr>
          <w:ilvl w:val="0"/>
          <w:numId w:val="68"/>
        </w:numPr>
      </w:pPr>
      <w:r>
        <w:rPr>
          <w:i/>
          <w:iCs/>
        </w:rPr>
        <w:lastRenderedPageBreak/>
        <w:t>Relevancia causal local</w:t>
      </w:r>
      <w:r>
        <w:t>: en qué medida actuar sobre las características explicadas produce los efectos predichos por la explicación. La brecha de fidelidad (</w:t>
      </w:r>
      <w:r>
        <w:rPr>
          <w:i/>
          <w:iCs/>
        </w:rPr>
        <w:t>faithfulness gap</w:t>
      </w:r>
      <w:r>
        <w:t>) y las métricas de pixel-flipping operan en este objetivo (Abdul Kadir et al. 2023; Zheng et al. 2025).</w:t>
      </w:r>
    </w:p>
    <w:p w14:paraId="15F99DD6" w14:textId="77777777" w:rsidR="000A4CDF" w:rsidRDefault="00000000">
      <w:pPr>
        <w:numPr>
          <w:ilvl w:val="0"/>
          <w:numId w:val="68"/>
        </w:numPr>
      </w:pPr>
      <w:r>
        <w:rPr>
          <w:i/>
          <w:iCs/>
        </w:rPr>
        <w:t>Eficiencia operativa</w:t>
      </w:r>
      <w:r>
        <w:t>: tiempo y coste computacional de producir la explicación, relevante para despliegues de baja latencia (Canha et al. 2025).</w:t>
      </w:r>
    </w:p>
    <w:p w14:paraId="2428EAD8" w14:textId="77777777" w:rsidR="000A4CDF" w:rsidRDefault="00000000">
      <w:r>
        <w:rPr>
          <w:b/>
          <w:bCs/>
        </w:rPr>
        <w:t>Eje 2 — Fuente de evidencia</w:t>
      </w:r>
      <w:r>
        <w:t xml:space="preserve"> (</w:t>
      </w:r>
      <w:r>
        <w:rPr>
          <w:i/>
          <w:iCs/>
        </w:rPr>
        <w:t>¿Mediante qué mecanismo se obtiene la evidencia?</w:t>
      </w:r>
      <w:r>
        <w:t>)</w:t>
      </w:r>
    </w:p>
    <w:p w14:paraId="50C61A9D" w14:textId="77777777" w:rsidR="000A4CDF" w:rsidRDefault="00000000">
      <w:pPr>
        <w:pStyle w:val="BodyText"/>
      </w:pPr>
      <w:r>
        <w:t>Las métricas se diferencian por la operación que genera la señal de evaluación. Se distinguen cuatro fuentes:</w:t>
      </w:r>
    </w:p>
    <w:p w14:paraId="5AF7D113" w14:textId="77777777" w:rsidR="000A4CDF" w:rsidRDefault="00000000">
      <w:pPr>
        <w:numPr>
          <w:ilvl w:val="0"/>
          <w:numId w:val="69"/>
        </w:numPr>
      </w:pPr>
      <w:r>
        <w:rPr>
          <w:i/>
          <w:iCs/>
        </w:rPr>
        <w:t>Enmascaramiento de características</w:t>
      </w:r>
      <w:r>
        <w:t>: se eliminan o reemplazan características del input y se mide el cambio en la salida del modelo. Son métricas de esta clase: fidelidad por correlación de importancias, faithfulness gap, ROAR, MoRF (Zheng et al. 2025; Abdul Kadir et al. 2023).</w:t>
      </w:r>
    </w:p>
    <w:p w14:paraId="701CB026" w14:textId="77777777" w:rsidR="000A4CDF" w:rsidRDefault="00000000">
      <w:pPr>
        <w:numPr>
          <w:ilvl w:val="0"/>
          <w:numId w:val="69"/>
        </w:numPr>
      </w:pPr>
      <w:r>
        <w:rPr>
          <w:i/>
          <w:iCs/>
        </w:rPr>
        <w:t>Perturbación del input</w:t>
      </w:r>
      <w:r>
        <w:t>: se añade ruido o transformación a la instancia y se mide la similitud entre las explicaciones resultantes. Son métricas de esta clase: estabilidad como similitud coseno, Local Lipschitz Estimate (Pawlicki et al. 2024; Canha et al. 2025).</w:t>
      </w:r>
    </w:p>
    <w:p w14:paraId="179E9160" w14:textId="77777777" w:rsidR="000A4CDF" w:rsidRDefault="00000000">
      <w:pPr>
        <w:numPr>
          <w:ilvl w:val="0"/>
          <w:numId w:val="69"/>
        </w:numPr>
      </w:pPr>
      <w:r>
        <w:rPr>
          <w:i/>
          <w:iCs/>
        </w:rPr>
        <w:t>Comparación con verdad-terreno</w:t>
      </w:r>
      <w:r>
        <w:t>: la explicación se compara con explicaciones de referencia conocidas, disponibles en benchmarks sintéticos. Son métricas de esta clase: Feature Agreement (Pawlicki et al. 2024), métricas basadas en anotaciones humanas.</w:t>
      </w:r>
    </w:p>
    <w:p w14:paraId="393BD52F" w14:textId="77777777" w:rsidR="000A4CDF" w:rsidRDefault="00000000">
      <w:pPr>
        <w:numPr>
          <w:ilvl w:val="0"/>
          <w:numId w:val="69"/>
        </w:numPr>
      </w:pPr>
      <w:r>
        <w:rPr>
          <w:i/>
          <w:iCs/>
        </w:rPr>
        <w:lastRenderedPageBreak/>
        <w:t>Estudio con usuario</w:t>
      </w:r>
      <w:r>
        <w:t>: la explicación se evalúa a través de la comprensión, confianza o utilidad percibida por participantes humanos. Son métricas de esta clase: comprehensibility ratings, user satisfaction (Bhattacharya and Verbert 2024; Arrieta 2019a).</w:t>
      </w:r>
    </w:p>
    <w:p w14:paraId="476E4696" w14:textId="77777777" w:rsidR="000A4CDF" w:rsidRDefault="00000000">
      <w:r>
        <w:rPr>
          <w:b/>
          <w:bCs/>
        </w:rPr>
        <w:t>Eje 3 — Propiedad de calidad</w:t>
      </w:r>
      <w:r>
        <w:t xml:space="preserve"> (</w:t>
      </w:r>
      <w:r>
        <w:rPr>
          <w:i/>
          <w:iCs/>
        </w:rPr>
        <w:t>¿Qué constructo de calidad de la explicación se operacionaliza?</w:t>
      </w:r>
      <w:r>
        <w:t>)</w:t>
      </w:r>
    </w:p>
    <w:p w14:paraId="6C96D283" w14:textId="77777777" w:rsidR="000A4CDF" w:rsidRDefault="00000000">
      <w:pPr>
        <w:pStyle w:val="BodyText"/>
      </w:pPr>
      <w:r>
        <w:t>Siguiendo la sistematización de Schwalbe y Finzel (2023) y la revisión de Pawlicki et al. (2024), se identifican seis propiedades primarias del espacio de calidad XAI:</w:t>
      </w:r>
    </w:p>
    <w:p w14:paraId="7116EC9D" w14:textId="77777777" w:rsidR="000A4CDF" w:rsidRDefault="00000000">
      <w:pPr>
        <w:numPr>
          <w:ilvl w:val="0"/>
          <w:numId w:val="70"/>
        </w:numPr>
      </w:pPr>
      <w:r>
        <w:rPr>
          <w:i/>
          <w:iCs/>
        </w:rPr>
        <w:t>Faithfulness / Fidelidad</w:t>
      </w:r>
      <w:r>
        <w:t>: correspondencia entre la importancia asignada por el explicador y el efecto real sobre la salida del modelo. Es la propiedad más citada en la literatura (Pawlicki et al. 2024).</w:t>
      </w:r>
    </w:p>
    <w:p w14:paraId="17803B26" w14:textId="77777777" w:rsidR="000A4CDF" w:rsidRDefault="00000000">
      <w:pPr>
        <w:numPr>
          <w:ilvl w:val="0"/>
          <w:numId w:val="70"/>
        </w:numPr>
      </w:pPr>
      <w:r>
        <w:rPr>
          <w:i/>
          <w:iCs/>
        </w:rPr>
        <w:t>Robustness / Estabilidad</w:t>
      </w:r>
      <w:r>
        <w:t>: consistencia de las explicaciones bajo perturbaciones del input. El estudio empírico de esta tesis demuestra que esta propiedad es estadísticamente disociada de la fidelidad.</w:t>
      </w:r>
    </w:p>
    <w:p w14:paraId="2D69DAE0" w14:textId="77777777" w:rsidR="000A4CDF" w:rsidRDefault="00000000">
      <w:pPr>
        <w:numPr>
          <w:ilvl w:val="0"/>
          <w:numId w:val="70"/>
        </w:numPr>
      </w:pPr>
      <w:r>
        <w:rPr>
          <w:i/>
          <w:iCs/>
        </w:rPr>
        <w:t>Simplicity / Parsimonia</w:t>
      </w:r>
      <w:r>
        <w:t>: compacidad de la representación explicativa, inversamente relacionada con la complejidad (Schwalbe 2023).</w:t>
      </w:r>
    </w:p>
    <w:p w14:paraId="50FE9472" w14:textId="77777777" w:rsidR="000A4CDF" w:rsidRDefault="00000000">
      <w:pPr>
        <w:numPr>
          <w:ilvl w:val="0"/>
          <w:numId w:val="70"/>
        </w:numPr>
      </w:pPr>
      <w:r>
        <w:rPr>
          <w:i/>
          <w:iCs/>
        </w:rPr>
        <w:t>Completeness</w:t>
      </w:r>
      <w:r>
        <w:t>: cobertura de los factores relevantes del modelo por la explicación, relacionada con soundness y razonamiento completo.</w:t>
      </w:r>
    </w:p>
    <w:p w14:paraId="5191C7C8" w14:textId="77777777" w:rsidR="000A4CDF" w:rsidRDefault="00000000">
      <w:pPr>
        <w:numPr>
          <w:ilvl w:val="0"/>
          <w:numId w:val="70"/>
        </w:numPr>
      </w:pPr>
      <w:r>
        <w:rPr>
          <w:i/>
          <w:iCs/>
        </w:rPr>
        <w:t>Efficiency</w:t>
      </w:r>
      <w:r>
        <w:t>: coste computacional de generar la explicación, dimensión crítica para despliegues en producción.</w:t>
      </w:r>
    </w:p>
    <w:p w14:paraId="60AA32D9" w14:textId="77777777" w:rsidR="000A4CDF" w:rsidRDefault="00000000">
      <w:pPr>
        <w:numPr>
          <w:ilvl w:val="0"/>
          <w:numId w:val="70"/>
        </w:numPr>
      </w:pPr>
      <w:r>
        <w:rPr>
          <w:i/>
          <w:iCs/>
        </w:rPr>
        <w:lastRenderedPageBreak/>
        <w:t>Fairness</w:t>
      </w:r>
      <w:r>
        <w:t>: equidad en la calidad de las explicaciones entre subgrupos demográficos, dimensión transversal identificada por OpenXAI (Agarwal et al. 2022).</w:t>
      </w:r>
    </w:p>
    <w:p w14:paraId="7C6D9DF3" w14:textId="77777777" w:rsidR="000A4CDF" w:rsidRDefault="00000000">
      <w:r>
        <w:rPr>
          <w:b/>
          <w:bCs/>
        </w:rPr>
        <w:t>Eje 4 — Contexto de tarea</w:t>
      </w:r>
      <w:r>
        <w:t xml:space="preserve"> (</w:t>
      </w:r>
      <w:r>
        <w:rPr>
          <w:i/>
          <w:iCs/>
        </w:rPr>
        <w:t>¿En qué escenario de despliegue es relevante la métrica?</w:t>
      </w:r>
      <w:r>
        <w:t>)</w:t>
      </w:r>
    </w:p>
    <w:p w14:paraId="14515B6E" w14:textId="77777777" w:rsidR="000A4CDF" w:rsidRDefault="00000000">
      <w:pPr>
        <w:pStyle w:val="BodyText"/>
      </w:pPr>
      <w:r>
        <w:t>El contexto de tarea determina qué propiedades de calidad son prioritarias y qué nivel de costo es aceptable (Arrieta 2019a; Bhattacharya and Verbert 2024). Se identifican cuatro contextos canónicos:</w:t>
      </w:r>
    </w:p>
    <w:p w14:paraId="102D5106" w14:textId="77777777" w:rsidR="000A4CDF" w:rsidRDefault="00000000">
      <w:pPr>
        <w:numPr>
          <w:ilvl w:val="0"/>
          <w:numId w:val="71"/>
        </w:numPr>
      </w:pPr>
      <w:r>
        <w:rPr>
          <w:i/>
          <w:iCs/>
        </w:rPr>
        <w:t>Auditoría y cumplimiento regulatorio</w:t>
      </w:r>
      <w:r>
        <w:t>: requiere alta fidelidad y estabilidad; el coste computacional no es crítico.</w:t>
      </w:r>
    </w:p>
    <w:p w14:paraId="358A004A" w14:textId="77777777" w:rsidR="000A4CDF" w:rsidRDefault="00000000">
      <w:pPr>
        <w:numPr>
          <w:ilvl w:val="0"/>
          <w:numId w:val="71"/>
        </w:numPr>
      </w:pPr>
      <w:r>
        <w:rPr>
          <w:i/>
          <w:iCs/>
        </w:rPr>
        <w:t>Inferencia en tiempo real</w:t>
      </w:r>
      <w:r>
        <w:t>: requiere baja latencia; admite fidelidad moderada si la latencia se reduce órdenes de magnitud.</w:t>
      </w:r>
    </w:p>
    <w:p w14:paraId="0A39D7B3" w14:textId="77777777" w:rsidR="000A4CDF" w:rsidRDefault="00000000">
      <w:pPr>
        <w:numPr>
          <w:ilvl w:val="0"/>
          <w:numId w:val="71"/>
        </w:numPr>
      </w:pPr>
      <w:r>
        <w:rPr>
          <w:i/>
          <w:iCs/>
        </w:rPr>
        <w:t>Soporte a usuario final</w:t>
      </w:r>
      <w:r>
        <w:t>: requiere parsimonia y comprehensibilidad; las métricas de estabilidad y faithfulness son secundarias.</w:t>
      </w:r>
    </w:p>
    <w:p w14:paraId="6814A612" w14:textId="77777777" w:rsidR="000A4CDF" w:rsidRDefault="00000000">
      <w:pPr>
        <w:numPr>
          <w:ilvl w:val="0"/>
          <w:numId w:val="71"/>
        </w:numPr>
      </w:pPr>
      <w:r>
        <w:rPr>
          <w:i/>
          <w:iCs/>
        </w:rPr>
        <w:t>Diagnóstico de modelos y depuración</w:t>
      </w:r>
      <w:r>
        <w:t>: requiere fidelidad causal local y cobertura; la eficiencia es secundaria.</w:t>
      </w:r>
    </w:p>
    <w:p w14:paraId="7B33FBA5" w14:textId="77777777" w:rsidR="000A4CDF" w:rsidRDefault="00000000">
      <w:pPr>
        <w:pStyle w:val="Heading3"/>
      </w:pPr>
      <w:bookmarkStart w:id="206" w:name="Xc578c0836cd38dc2fc367c6ce0cfc8bb694bc01"/>
      <w:bookmarkStart w:id="207" w:name="_Toc228522623"/>
      <w:bookmarkEnd w:id="204"/>
      <w:r>
        <w:t>Mapeo de las métricas del benchmark a la taxonomía</w:t>
      </w:r>
      <w:bookmarkEnd w:id="207"/>
    </w:p>
    <w:p w14:paraId="1449D37E" w14:textId="77777777" w:rsidR="000A4CDF" w:rsidRDefault="00000000">
      <w:r>
        <w:t>Las cinco métricas operacionalizadas en los Estudios A y B se localizan en la taxonomía de la siguiente manera:</w:t>
      </w:r>
    </w:p>
    <w:tbl>
      <w:tblPr>
        <w:tblW w:w="5000" w:type="pct"/>
        <w:tblLayout w:type="fixed"/>
        <w:tblLook w:val="0000" w:firstRow="0" w:lastRow="0" w:firstColumn="0" w:lastColumn="0" w:noHBand="0" w:noVBand="0"/>
      </w:tblPr>
      <w:tblGrid>
        <w:gridCol w:w="9576"/>
      </w:tblGrid>
      <w:tr w:rsidR="000A4CDF" w14:paraId="5B474F2F" w14:textId="77777777">
        <w:tc>
          <w:tcPr>
            <w:tcW w:w="7920" w:type="dxa"/>
          </w:tcPr>
          <w:p w14:paraId="6F4347A3" w14:textId="77777777" w:rsidR="000A4CDF" w:rsidRDefault="00000000">
            <w:pPr>
              <w:spacing w:before="200"/>
              <w:jc w:val="left"/>
            </w:pPr>
            <w:bookmarkStart w:id="208" w:name="tbl-taxonomia"/>
            <w:r>
              <w:t>Table 6.3: Mapeo de las métricas del benchmark a los cuatro ejes de la taxonomía.</w:t>
            </w:r>
          </w:p>
          <w:tbl>
            <w:tblPr>
              <w:tblW w:w="5000" w:type="pct"/>
              <w:tblLayout w:type="fixed"/>
              <w:tblLook w:val="0020" w:firstRow="1" w:lastRow="0" w:firstColumn="0" w:lastColumn="0" w:noHBand="0" w:noVBand="0"/>
            </w:tblPr>
            <w:tblGrid>
              <w:gridCol w:w="1349"/>
              <w:gridCol w:w="1507"/>
              <w:gridCol w:w="2459"/>
              <w:gridCol w:w="1428"/>
              <w:gridCol w:w="2617"/>
            </w:tblGrid>
            <w:tr w:rsidR="000A4CDF" w14:paraId="50B7BCA0" w14:textId="77777777">
              <w:trPr>
                <w:tblHeader/>
              </w:trPr>
              <w:tc>
                <w:tcPr>
                  <w:tcW w:w="1141" w:type="dxa"/>
                </w:tcPr>
                <w:p w14:paraId="03202145" w14:textId="77777777" w:rsidR="000A4CDF" w:rsidRDefault="00000000">
                  <w:pPr>
                    <w:jc w:val="center"/>
                  </w:pPr>
                  <w:r>
                    <w:lastRenderedPageBreak/>
                    <w:t>Métrica</w:t>
                  </w:r>
                </w:p>
              </w:tc>
              <w:tc>
                <w:tcPr>
                  <w:tcW w:w="1275" w:type="dxa"/>
                </w:tcPr>
                <w:p w14:paraId="02A8FAA9" w14:textId="77777777" w:rsidR="000A4CDF" w:rsidRDefault="00000000">
                  <w:pPr>
                    <w:jc w:val="center"/>
                  </w:pPr>
                  <w:r>
                    <w:t>Eje 1: Objetivo</w:t>
                  </w:r>
                </w:p>
              </w:tc>
              <w:tc>
                <w:tcPr>
                  <w:tcW w:w="2080" w:type="dxa"/>
                </w:tcPr>
                <w:p w14:paraId="27A4C76B" w14:textId="77777777" w:rsidR="000A4CDF" w:rsidRDefault="00000000">
                  <w:pPr>
                    <w:jc w:val="center"/>
                  </w:pPr>
                  <w:r>
                    <w:t>Eje 2: Fuente evidencia</w:t>
                  </w:r>
                </w:p>
              </w:tc>
              <w:tc>
                <w:tcPr>
                  <w:tcW w:w="1208" w:type="dxa"/>
                </w:tcPr>
                <w:p w14:paraId="778309D0" w14:textId="77777777" w:rsidR="000A4CDF" w:rsidRDefault="00000000">
                  <w:pPr>
                    <w:jc w:val="center"/>
                  </w:pPr>
                  <w:r>
                    <w:t>Eje 3: Propiedad</w:t>
                  </w:r>
                </w:p>
              </w:tc>
              <w:tc>
                <w:tcPr>
                  <w:tcW w:w="2214" w:type="dxa"/>
                </w:tcPr>
                <w:p w14:paraId="791C60BA" w14:textId="77777777" w:rsidR="000A4CDF" w:rsidRDefault="00000000">
                  <w:pPr>
                    <w:jc w:val="center"/>
                  </w:pPr>
                  <w:r>
                    <w:t>Eje 4: Contexto prioritario</w:t>
                  </w:r>
                </w:p>
              </w:tc>
            </w:tr>
            <w:tr w:rsidR="000A4CDF" w14:paraId="5A725F00" w14:textId="77777777">
              <w:tc>
                <w:tcPr>
                  <w:tcW w:w="1141" w:type="dxa"/>
                </w:tcPr>
                <w:p w14:paraId="33CC261C" w14:textId="77777777" w:rsidR="000A4CDF" w:rsidRDefault="00000000">
                  <w:pPr>
                    <w:jc w:val="center"/>
                  </w:pPr>
                  <w:r>
                    <w:t>Fidelidad (F)</w:t>
                  </w:r>
                </w:p>
              </w:tc>
              <w:tc>
                <w:tcPr>
                  <w:tcW w:w="1275" w:type="dxa"/>
                </w:tcPr>
                <w:p w14:paraId="39DECDCC" w14:textId="77777777" w:rsidR="000A4CDF" w:rsidRDefault="00000000">
                  <w:pPr>
                    <w:jc w:val="center"/>
                  </w:pPr>
                  <w:r>
                    <w:t>Representatividad local</w:t>
                  </w:r>
                </w:p>
              </w:tc>
              <w:tc>
                <w:tcPr>
                  <w:tcW w:w="2080" w:type="dxa"/>
                </w:tcPr>
                <w:p w14:paraId="3389EBD8" w14:textId="77777777" w:rsidR="000A4CDF" w:rsidRDefault="00000000">
                  <w:pPr>
                    <w:jc w:val="center"/>
                  </w:pPr>
                  <w:r>
                    <w:t>Enmascaramiento de características</w:t>
                  </w:r>
                </w:p>
              </w:tc>
              <w:tc>
                <w:tcPr>
                  <w:tcW w:w="1208" w:type="dxa"/>
                </w:tcPr>
                <w:p w14:paraId="4D29840D" w14:textId="77777777" w:rsidR="000A4CDF" w:rsidRDefault="00000000">
                  <w:pPr>
                    <w:jc w:val="center"/>
                  </w:pPr>
                  <w:r>
                    <w:t>Faithfulness</w:t>
                  </w:r>
                </w:p>
              </w:tc>
              <w:tc>
                <w:tcPr>
                  <w:tcW w:w="2214" w:type="dxa"/>
                </w:tcPr>
                <w:p w14:paraId="4CBBC49B" w14:textId="77777777" w:rsidR="000A4CDF" w:rsidRDefault="00000000">
                  <w:pPr>
                    <w:jc w:val="center"/>
                  </w:pPr>
                  <w:r>
                    <w:t>Auditoría, diagnóstico</w:t>
                  </w:r>
                </w:p>
              </w:tc>
            </w:tr>
            <w:tr w:rsidR="000A4CDF" w14:paraId="49AA8379" w14:textId="77777777">
              <w:tc>
                <w:tcPr>
                  <w:tcW w:w="1141" w:type="dxa"/>
                </w:tcPr>
                <w:p w14:paraId="70B36408" w14:textId="77777777" w:rsidR="000A4CDF" w:rsidRDefault="00000000">
                  <w:pPr>
                    <w:jc w:val="center"/>
                  </w:pPr>
                  <w:r>
                    <w:t>Estabilidad (S)</w:t>
                  </w:r>
                </w:p>
              </w:tc>
              <w:tc>
                <w:tcPr>
                  <w:tcW w:w="1275" w:type="dxa"/>
                </w:tcPr>
                <w:p w14:paraId="2D11695D" w14:textId="77777777" w:rsidR="000A4CDF" w:rsidRDefault="00000000">
                  <w:pPr>
                    <w:jc w:val="center"/>
                  </w:pPr>
                  <w:r>
                    <w:t>Consistencia bajo perturbación</w:t>
                  </w:r>
                </w:p>
              </w:tc>
              <w:tc>
                <w:tcPr>
                  <w:tcW w:w="2080" w:type="dxa"/>
                </w:tcPr>
                <w:p w14:paraId="1003E257" w14:textId="77777777" w:rsidR="000A4CDF" w:rsidRDefault="00000000">
                  <w:pPr>
                    <w:jc w:val="center"/>
                  </w:pPr>
                  <w:r>
                    <w:t>Perturbación gaussiana del input</w:t>
                  </w:r>
                </w:p>
              </w:tc>
              <w:tc>
                <w:tcPr>
                  <w:tcW w:w="1208" w:type="dxa"/>
                </w:tcPr>
                <w:p w14:paraId="000ED703" w14:textId="77777777" w:rsidR="000A4CDF" w:rsidRDefault="00000000">
                  <w:pPr>
                    <w:jc w:val="center"/>
                  </w:pPr>
                  <w:r>
                    <w:t>Robustness</w:t>
                  </w:r>
                </w:p>
              </w:tc>
              <w:tc>
                <w:tcPr>
                  <w:tcW w:w="2214" w:type="dxa"/>
                </w:tcPr>
                <w:p w14:paraId="545B326E" w14:textId="77777777" w:rsidR="000A4CDF" w:rsidRDefault="00000000">
                  <w:pPr>
                    <w:jc w:val="center"/>
                  </w:pPr>
                  <w:r>
                    <w:t>Auditoría, alto riesgo</w:t>
                  </w:r>
                </w:p>
              </w:tc>
            </w:tr>
            <w:tr w:rsidR="000A4CDF" w14:paraId="2E832B8C" w14:textId="77777777">
              <w:tc>
                <w:tcPr>
                  <w:tcW w:w="1141" w:type="dxa"/>
                </w:tcPr>
                <w:p w14:paraId="2D829472" w14:textId="77777777" w:rsidR="000A4CDF" w:rsidRDefault="00000000">
                  <w:pPr>
                    <w:jc w:val="center"/>
                  </w:pPr>
                  <w:r>
                    <w:t>Parsimonia (P)</w:t>
                  </w:r>
                </w:p>
              </w:tc>
              <w:tc>
                <w:tcPr>
                  <w:tcW w:w="1275" w:type="dxa"/>
                </w:tcPr>
                <w:p w14:paraId="0585AAF1" w14:textId="77777777" w:rsidR="000A4CDF" w:rsidRDefault="00000000">
                  <w:pPr>
                    <w:jc w:val="center"/>
                  </w:pPr>
                  <w:r>
                    <w:t>Compacidad explicativa</w:t>
                  </w:r>
                </w:p>
              </w:tc>
              <w:tc>
                <w:tcPr>
                  <w:tcW w:w="2080" w:type="dxa"/>
                </w:tcPr>
                <w:p w14:paraId="73FB84A3" w14:textId="77777777" w:rsidR="000A4CDF" w:rsidRDefault="00000000">
                  <w:pPr>
                    <w:jc w:val="center"/>
                  </w:pPr>
                  <w:r>
                    <w:t>Conteo de atribuciones activas</w:t>
                  </w:r>
                </w:p>
              </w:tc>
              <w:tc>
                <w:tcPr>
                  <w:tcW w:w="1208" w:type="dxa"/>
                </w:tcPr>
                <w:p w14:paraId="131C5E0C" w14:textId="77777777" w:rsidR="000A4CDF" w:rsidRDefault="00000000">
                  <w:pPr>
                    <w:jc w:val="center"/>
                  </w:pPr>
                  <w:r>
                    <w:t>Simplicity</w:t>
                  </w:r>
                </w:p>
              </w:tc>
              <w:tc>
                <w:tcPr>
                  <w:tcW w:w="2214" w:type="dxa"/>
                </w:tcPr>
                <w:p w14:paraId="4250BD83" w14:textId="77777777" w:rsidR="000A4CDF" w:rsidRDefault="00000000">
                  <w:pPr>
                    <w:jc w:val="center"/>
                  </w:pPr>
                  <w:r>
                    <w:t>Usuario final, interfaces</w:t>
                  </w:r>
                </w:p>
              </w:tc>
            </w:tr>
            <w:tr w:rsidR="000A4CDF" w14:paraId="745AAF8D" w14:textId="77777777">
              <w:tc>
                <w:tcPr>
                  <w:tcW w:w="1141" w:type="dxa"/>
                </w:tcPr>
                <w:p w14:paraId="792A7558" w14:textId="77777777" w:rsidR="000A4CDF" w:rsidRDefault="00000000">
                  <w:pPr>
                    <w:jc w:val="center"/>
                  </w:pPr>
                  <w:r>
                    <w:t>Brecha fidelidad (Δk)</w:t>
                  </w:r>
                </w:p>
              </w:tc>
              <w:tc>
                <w:tcPr>
                  <w:tcW w:w="1275" w:type="dxa"/>
                </w:tcPr>
                <w:p w14:paraId="6CE4A8DA" w14:textId="77777777" w:rsidR="000A4CDF" w:rsidRDefault="00000000">
                  <w:pPr>
                    <w:jc w:val="center"/>
                  </w:pPr>
                  <w:r>
                    <w:t>Relevancia causal local</w:t>
                  </w:r>
                </w:p>
              </w:tc>
              <w:tc>
                <w:tcPr>
                  <w:tcW w:w="2080" w:type="dxa"/>
                </w:tcPr>
                <w:p w14:paraId="1B2EA504" w14:textId="77777777" w:rsidR="000A4CDF" w:rsidRDefault="00000000">
                  <w:pPr>
                    <w:jc w:val="center"/>
                  </w:pPr>
                  <w:r>
                    <w:t>Enmascaramiento top-k</w:t>
                  </w:r>
                </w:p>
              </w:tc>
              <w:tc>
                <w:tcPr>
                  <w:tcW w:w="1208" w:type="dxa"/>
                </w:tcPr>
                <w:p w14:paraId="677D3AA1" w14:textId="77777777" w:rsidR="000A4CDF" w:rsidRDefault="00000000">
                  <w:pPr>
                    <w:jc w:val="center"/>
                  </w:pPr>
                  <w:r>
                    <w:t>Faithfulness (causal)</w:t>
                  </w:r>
                </w:p>
              </w:tc>
              <w:tc>
                <w:tcPr>
                  <w:tcW w:w="2214" w:type="dxa"/>
                </w:tcPr>
                <w:p w14:paraId="4A3F2AD3" w14:textId="77777777" w:rsidR="000A4CDF" w:rsidRDefault="00000000">
                  <w:pPr>
                    <w:jc w:val="center"/>
                  </w:pPr>
                  <w:r>
                    <w:t>Diagnóstico, responsabilidad</w:t>
                  </w:r>
                </w:p>
              </w:tc>
            </w:tr>
            <w:tr w:rsidR="000A4CDF" w14:paraId="59D60800" w14:textId="77777777">
              <w:tc>
                <w:tcPr>
                  <w:tcW w:w="1141" w:type="dxa"/>
                </w:tcPr>
                <w:p w14:paraId="560D9853" w14:textId="77777777" w:rsidR="000A4CDF" w:rsidRDefault="00000000">
                  <w:pPr>
                    <w:jc w:val="center"/>
                  </w:pPr>
                  <w:r>
                    <w:t>Coste (C)</w:t>
                  </w:r>
                </w:p>
              </w:tc>
              <w:tc>
                <w:tcPr>
                  <w:tcW w:w="1275" w:type="dxa"/>
                </w:tcPr>
                <w:p w14:paraId="62999BC4" w14:textId="77777777" w:rsidR="000A4CDF" w:rsidRDefault="00000000">
                  <w:pPr>
                    <w:jc w:val="center"/>
                  </w:pPr>
                  <w:r>
                    <w:t>Eficiencia operativa</w:t>
                  </w:r>
                </w:p>
              </w:tc>
              <w:tc>
                <w:tcPr>
                  <w:tcW w:w="2080" w:type="dxa"/>
                </w:tcPr>
                <w:p w14:paraId="39F99275" w14:textId="77777777" w:rsidR="000A4CDF" w:rsidRDefault="00000000">
                  <w:pPr>
                    <w:jc w:val="center"/>
                  </w:pPr>
                  <w:r>
                    <w:t>Tiempo de reloj por instancia</w:t>
                  </w:r>
                </w:p>
              </w:tc>
              <w:tc>
                <w:tcPr>
                  <w:tcW w:w="1208" w:type="dxa"/>
                </w:tcPr>
                <w:p w14:paraId="36746DB1" w14:textId="77777777" w:rsidR="000A4CDF" w:rsidRDefault="00000000">
                  <w:pPr>
                    <w:jc w:val="center"/>
                  </w:pPr>
                  <w:r>
                    <w:t>Efficiency</w:t>
                  </w:r>
                </w:p>
              </w:tc>
              <w:tc>
                <w:tcPr>
                  <w:tcW w:w="2214" w:type="dxa"/>
                </w:tcPr>
                <w:p w14:paraId="2BA0FB50" w14:textId="77777777" w:rsidR="000A4CDF" w:rsidRDefault="00000000">
                  <w:pPr>
                    <w:jc w:val="center"/>
                  </w:pPr>
                  <w:r>
                    <w:t>Despliegue en tiempo real</w:t>
                  </w:r>
                </w:p>
              </w:tc>
            </w:tr>
            <w:bookmarkEnd w:id="208"/>
          </w:tbl>
          <w:p w14:paraId="02FDBCF9" w14:textId="77777777" w:rsidR="000A4CDF" w:rsidRDefault="000A4CDF"/>
        </w:tc>
      </w:tr>
    </w:tbl>
    <w:p w14:paraId="59B596CA" w14:textId="77777777" w:rsidR="000A4CDF" w:rsidRDefault="00000000">
      <w:pPr>
        <w:pStyle w:val="Heading3"/>
      </w:pPr>
      <w:bookmarkStart w:id="209" w:name="contribución-teórica-de-la-taxonomía"/>
      <w:bookmarkStart w:id="210" w:name="_Toc228522624"/>
      <w:bookmarkEnd w:id="206"/>
      <w:r>
        <w:t>Contribución teórica de la taxonomía</w:t>
      </w:r>
      <w:bookmarkEnd w:id="210"/>
    </w:p>
    <w:p w14:paraId="2666B6A0" w14:textId="77777777" w:rsidR="000A4CDF" w:rsidRDefault="00000000">
      <w:r>
        <w:t>El valor de la taxonomía no es meramente descriptivo. Permite derivar dos afirmaciones con implicaciones directas para el diseño de futuros benchmarks:</w:t>
      </w:r>
    </w:p>
    <w:p w14:paraId="4D78D989" w14:textId="77777777" w:rsidR="000A4CDF" w:rsidRDefault="00000000">
      <w:pPr>
        <w:pStyle w:val="BodyText"/>
      </w:pPr>
      <w:r>
        <w:rPr>
          <w:b/>
          <w:bCs/>
        </w:rPr>
        <w:t>Primera afirmación:</w:t>
      </w:r>
      <w:r>
        <w:t xml:space="preserve"> Las propiedades de los Ejes 3 (Propiedad de calidad) no son redundantes. La evidencia empírica de este benchmark demuestra que fidelidad y estabilidad son disociables: LIME obtiene una fidelidad media de 0.560 —moderada— y una estabilidad de 0.014 —prácticamente nula. Esta disociación habría sido invisible en un benchmark mono-métrico de </w:t>
      </w:r>
      <w:r>
        <w:lastRenderedPageBreak/>
        <w:t>fidelidad, confirmando que la evaluación multi-métrica organizada por eje es necesaria para detectar perfiles de riesgo ocultos en los métodos evaluados. Este hallazgo es coherente con la posición de Bhattacharya y Verbert (2024), que argumentan que la evaluación unidimensional produce comparaciones engañosas entre métodos que atienden distintas dimensiones de explicabilidad.</w:t>
      </w:r>
    </w:p>
    <w:p w14:paraId="303E4C90" w14:textId="77777777" w:rsidR="000A4CDF" w:rsidRDefault="00000000">
      <w:pPr>
        <w:pStyle w:val="BodyText"/>
      </w:pPr>
      <w:r>
        <w:rPr>
          <w:b/>
          <w:bCs/>
        </w:rPr>
        <w:t>Segunda afirmación:</w:t>
      </w:r>
      <w:r>
        <w:t xml:space="preserve"> La taxonomía evidencia la brecha de cobertura de este benchmark. El Eje 2 de fuente de evidencia no incluye </w:t>
      </w:r>
      <w:r>
        <w:rPr>
          <w:i/>
          <w:iCs/>
        </w:rPr>
        <w:t>estudios con usuario</w:t>
      </w:r>
      <w:r>
        <w:t xml:space="preserve"> (evaluación human-centered), y el Eje 4 de contexto de tarea no incluye </w:t>
      </w:r>
      <w:r>
        <w:rPr>
          <w:i/>
          <w:iCs/>
        </w:rPr>
        <w:t>soporte a usuario final</w:t>
      </w:r>
      <w:r>
        <w:t xml:space="preserve"> como escenario experimental. Esta brecha es deliberada —el benchmark es funcionally-grounded por diseño, siguiendo la clasificación de Canha et al. (2025)— pero la taxonomía la hace explícita y trazable, orientando las extensiones futuras hacia la dimensión faltante.</w:t>
      </w:r>
    </w:p>
    <w:p w14:paraId="610C0A73" w14:textId="77777777" w:rsidR="000A4CDF" w:rsidRDefault="00000000">
      <w:pPr>
        <w:pStyle w:val="Heading2"/>
      </w:pPr>
      <w:bookmarkStart w:id="211" w:name="sec-contribuciones"/>
      <w:bookmarkStart w:id="212" w:name="_Toc228522625"/>
      <w:bookmarkEnd w:id="200"/>
      <w:bookmarkEnd w:id="209"/>
      <w:r>
        <w:t>Contribuciones científicas</w:t>
      </w:r>
      <w:bookmarkEnd w:id="212"/>
    </w:p>
    <w:p w14:paraId="25F9CB53" w14:textId="77777777" w:rsidR="000A4CDF" w:rsidRDefault="00000000">
      <w:pPr>
        <w:pStyle w:val="Heading3"/>
      </w:pPr>
      <w:bookmarkStart w:id="213" w:name="X2e7af289f3df14f7e31f2445fc83a79cfc8b431"/>
      <w:bookmarkStart w:id="214" w:name="_Toc228522626"/>
      <w:r>
        <w:t>Contribución metodológica: protocolo FOM-7</w:t>
      </w:r>
      <w:bookmarkEnd w:id="214"/>
    </w:p>
    <w:p w14:paraId="7AF9F80E" w14:textId="77777777" w:rsidR="000A4CDF" w:rsidRDefault="00000000">
      <w:r>
        <w:t>El protocolo FOM-7 (</w:t>
      </w:r>
      <w:r>
        <w:rPr>
          <w:i/>
          <w:iCs/>
        </w:rPr>
        <w:t>Framework Operation Method</w:t>
      </w:r>
      <w:r>
        <w:t>, siete puertas) formaliza los requisitos de benchmarking reproducible identificados en la literatura (Canha et al. 2025; Agarwal et al. 2022; Hedström et al. 2023) en una secuencia operativa implementable: (1) congelación del protocolo, (2) ejecución por lotes con semillas declarativas, (3) auditoría de integridad de artefactos, (4) armonización a tablas de análisis, (5) exportación inferencial determinista, (6) perfilado de reproducibilidad, (7) reporte con trazabilidad de afirmaciones.</w:t>
      </w:r>
    </w:p>
    <w:p w14:paraId="62AE272C" w14:textId="77777777" w:rsidR="000A4CDF" w:rsidRDefault="00000000">
      <w:pPr>
        <w:pStyle w:val="BodyText"/>
      </w:pPr>
      <w:r>
        <w:t xml:space="preserve">La contribución metodológica no es la lista de siete pasos —cada uno de ellos es un requisito conocido individualmente— sino su integración en una secuencia que garantiza que </w:t>
      </w:r>
      <w:r>
        <w:rPr>
          <w:i/>
          <w:iCs/>
        </w:rPr>
        <w:t>ninguna afirmación inferencial puede formularse sin que todas las puertas previas estén satisfechas</w:t>
      </w:r>
      <w:r>
        <w:t xml:space="preserve">. Esta </w:t>
      </w:r>
      <w:r>
        <w:lastRenderedPageBreak/>
        <w:t>propiedad de cierre secuencial elimina la categoría de estudios que reportan estadísticos significativos sobre artefactos contaminados (datos de calibración mezclados con datos confirmatorios, artefactos malformados no detectados, corrección de multiplicidad omitida). Es precisamente este tipo de contaminación el que, según Pawlicki et al. (2024), hace que los estudios publicados en evaluación XAI sean frecuentemente inconmensurables entre sí.</w:t>
      </w:r>
    </w:p>
    <w:p w14:paraId="4E21A703" w14:textId="77777777" w:rsidR="000A4CDF" w:rsidRDefault="00000000">
      <w:pPr>
        <w:pStyle w:val="BodyText"/>
      </w:pPr>
      <w:r>
        <w:t xml:space="preserve">El protocolo FOM-7 está disponible como código fuente reproducible con trazabilidad de artefactos, satisfaciendo los criterios de reproducibilidad de la iniciativa </w:t>
      </w:r>
      <w:r>
        <w:rPr>
          <w:i/>
          <w:iCs/>
        </w:rPr>
        <w:t>Reproducible AI</w:t>
      </w:r>
      <w:r>
        <w:t xml:space="preserve"> discutidos en (Canha et al. 2025).</w:t>
      </w:r>
    </w:p>
    <w:p w14:paraId="7C110ABC" w14:textId="77777777" w:rsidR="000A4CDF" w:rsidRDefault="00000000">
      <w:pPr>
        <w:pStyle w:val="Heading3"/>
      </w:pPr>
      <w:bookmarkStart w:id="215" w:name="X93d1d918ce055ba24ba9e9f0b305f424c9a5ca8"/>
      <w:bookmarkStart w:id="216" w:name="_Toc228522627"/>
      <w:bookmarkEnd w:id="213"/>
      <w:r>
        <w:t>Contribución teórica: disociación fidelidad-estabilidad y taxonomía de métricas</w:t>
      </w:r>
      <w:bookmarkEnd w:id="216"/>
    </w:p>
    <w:p w14:paraId="34D5B6AC" w14:textId="77777777" w:rsidR="000A4CDF" w:rsidRDefault="00000000">
      <w:r>
        <w:t>La disociación empírica entre fidelidad y estabilidad, documentada con tamaños de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2.8</m:t>
        </m:r>
      </m:oMath>
      <w:r>
        <w:t>) y sin excepciones en 75 pares, constituye evidencia cuantitativa de una propiedad que la literatura había asumido pero raramente demostrado: las dimensiones de calidad de las explicaciones XAI son parcialmente independientes y no sustituibles entre sí (Brown et al. 2020; Bhattacharya and Verbert 2024). Específicamente, la inestabilidad de LIME no es un artefacto de escenarios extremos sino una propiedad estructural del método bajo condiciones controladas. Esta demostración cuantifica el riesgo de usar LIME en contextos donde se exija consistencia explicativa (auditoría, decisiones de alto riesgo), un riesgo que los trabajos de referencia sobre LIME (Ribeiro 2016) no cuantifican en benchmarks multi-métricos.</w:t>
      </w:r>
    </w:p>
    <w:p w14:paraId="05CDBF60" w14:textId="77777777" w:rsidR="000A4CDF" w:rsidRDefault="00000000">
      <w:pPr>
        <w:pStyle w:val="BodyText"/>
      </w:pPr>
      <w:r>
        <w:t xml:space="preserve">La taxonomía del Estudio C complementa este hallazgo empírico con un marco conceptual que organiza el espacio de métricas de evaluación en cuatro ejes y que localiza explícitamente las dimensiones no cubiertas por los benchmarks funcionally-grounded, incluyendo la </w:t>
      </w:r>
      <w:r>
        <w:lastRenderedPageBreak/>
        <w:t>comprehensibilidad percibida por el usuario (Bhattacharya and Verbert 2024; Arrieta 2019a). La taxonomía integra y extiende los marcos previos de Schwalbe y Finzel (2023), Abdulkadir et al. (2023) y Canha et al. (2025), alineándola explícitamente con el espacio experimental del benchmark.</w:t>
      </w:r>
    </w:p>
    <w:p w14:paraId="41338604" w14:textId="77777777" w:rsidR="000A4CDF" w:rsidRDefault="00000000">
      <w:pPr>
        <w:pStyle w:val="Heading3"/>
      </w:pPr>
      <w:bookmarkStart w:id="217" w:name="X6583905c1b1630bf3acfdae91528ca52ef61481"/>
      <w:bookmarkStart w:id="218" w:name="_Toc228522628"/>
      <w:bookmarkEnd w:id="215"/>
      <w:r>
        <w:t>Contribución aplicada: criterios prescriptivos de selección de métodos XAI</w:t>
      </w:r>
      <w:bookmarkEnd w:id="218"/>
    </w:p>
    <w:p w14:paraId="70A90D82" w14:textId="77777777" w:rsidR="000A4CDF" w:rsidRDefault="00000000">
      <w:r>
        <w:t>Los resultados del benchmark son suficientemente consistentes para formular criterios de selección prescriptivos en lugar de simples “recomendaciones contextuales”:</w:t>
      </w:r>
    </w:p>
    <w:p w14:paraId="20782E10" w14:textId="77777777" w:rsidR="000A4CDF" w:rsidRDefault="00000000">
      <w:pPr>
        <w:pStyle w:val="BodyText"/>
      </w:pPr>
      <w:r>
        <w:rPr>
          <w:b/>
          <w:bCs/>
        </w:rPr>
        <w:t>SHAP debe seleccionarse</w:t>
      </w:r>
      <w:r>
        <w:t xml:space="preserve"> como método primario en cualquier aplicación que requiera fidelidad verificable (</w:t>
      </w:r>
      <m:oMath>
        <m:acc>
          <m:accPr>
            <m:chr m:val="‾"/>
            <m:ctrlPr>
              <w:rPr>
                <w:rFonts w:ascii="Cambria Math" w:hAnsi="Cambria Math"/>
              </w:rPr>
            </m:ctrlPr>
          </m:accPr>
          <m:e>
            <m:r>
              <w:rPr>
                <w:rFonts w:ascii="Cambria Math" w:hAnsi="Cambria Math"/>
              </w:rPr>
              <m:t>F</m:t>
            </m:r>
          </m:e>
        </m:acc>
        <m:r>
          <m:rPr>
            <m:sty m:val="p"/>
          </m:rPr>
          <w:rPr>
            <w:rFonts w:ascii="Cambria Math" w:hAnsi="Cambria Math"/>
          </w:rPr>
          <m:t>≥</m:t>
        </m:r>
        <m:r>
          <w:rPr>
            <w:rFonts w:ascii="Cambria Math" w:hAnsi="Cambria Math"/>
          </w:rPr>
          <m:t>0.80</m:t>
        </m:r>
      </m:oMath>
      <w:r>
        <w:t>) o consistencia explicativa (</w:t>
      </w:r>
      <m:oMath>
        <m:acc>
          <m:accPr>
            <m:chr m:val="‾"/>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0.70</m:t>
        </m:r>
      </m:oMath>
      <w:r>
        <w:t>). Para modelos basados en árboles (XGBoost, Random Forest), TreeSHAP produce estas garantías con un coste de 1–322 ms/ instancia, lo que hace esta elección también la más eficiente.</w:t>
      </w:r>
    </w:p>
    <w:p w14:paraId="3D8BDCC7" w14:textId="77777777" w:rsidR="000A4CDF" w:rsidRDefault="00000000">
      <w:pPr>
        <w:pStyle w:val="BodyText"/>
      </w:pPr>
      <w:r>
        <w:rPr>
          <w:b/>
          <w:bCs/>
        </w:rPr>
        <w:t>LIME puede seleccionarse</w:t>
      </w:r>
      <w:r>
        <w:t xml:space="preserve"> exclusivamente cuando el coste computacional es el criterio dominante y la aplicación no requiere comparación de explicaciones entre instancias ni auditoría de consistencia. Los 3–9 ms de LIME en logreg/xgb/mlp hacen posible la explicación en tiempo real, con la condición explícita de que las explicaciones no sean comparadas entre ejecuciones.</w:t>
      </w:r>
    </w:p>
    <w:p w14:paraId="39A18447" w14:textId="77777777" w:rsidR="000A4CDF" w:rsidRDefault="00000000">
      <w:pPr>
        <w:pStyle w:val="BodyText"/>
      </w:pPr>
      <w:r>
        <w:rPr>
          <w:b/>
          <w:bCs/>
        </w:rPr>
        <w:t>Anchors debe descartarse</w:t>
      </w:r>
      <w:r>
        <w:t xml:space="preserve"> para modelos no-lineales (RF, SVM, MLP) en aplicaciones de latencia crítica: sus costes de 10,000–70,000 ms/instancia son inviables en producción. Su uso es justificable exclusivamente cuando la forma semántica IF-THEN es un requisito regulatorio o de usuario y el modelo es de complejidad baja (logreg).</w:t>
      </w:r>
    </w:p>
    <w:p w14:paraId="045C644C" w14:textId="77777777" w:rsidR="000A4CDF" w:rsidRDefault="00000000">
      <w:pPr>
        <w:pStyle w:val="BodyText"/>
      </w:pPr>
      <w:r>
        <w:rPr>
          <w:b/>
          <w:bCs/>
        </w:rPr>
        <w:lastRenderedPageBreak/>
        <w:t>DiCE es la única opción</w:t>
      </w:r>
      <w:r>
        <w:t xml:space="preserve"> cuando el objetivo es generar acciones correctivas (</w:t>
      </w:r>
      <w:r>
        <w:rPr>
          <w:i/>
          <w:iCs/>
        </w:rPr>
        <w:t>algorithmic recourse</w:t>
      </w:r>
      <w:r>
        <w:t>) para cambiar la predicción. Sus métricas de fidelidad bajas son irrelevantes para este objetivo; sus costes moderados (770–4,500 ms) son aceptables en la mayoría de los contextos.</w:t>
      </w:r>
    </w:p>
    <w:p w14:paraId="67807C8B" w14:textId="77777777" w:rsidR="000A4CDF" w:rsidRDefault="00000000">
      <w:pPr>
        <w:pStyle w:val="Heading2"/>
      </w:pPr>
      <w:bookmarkStart w:id="219" w:name="sec-limitaciones"/>
      <w:bookmarkStart w:id="220" w:name="_Toc228522629"/>
      <w:bookmarkEnd w:id="211"/>
      <w:bookmarkEnd w:id="217"/>
      <w:r>
        <w:t>Limitaciones del estudio</w:t>
      </w:r>
      <w:bookmarkEnd w:id="220"/>
    </w:p>
    <w:p w14:paraId="4736BE88" w14:textId="77777777" w:rsidR="000A4CDF" w:rsidRDefault="00000000">
      <w:r>
        <w:t>Cuatro limitaciones deben tenerse en cuenta al interpretar los resultados y generalizar los criterios de selección.</w:t>
      </w:r>
    </w:p>
    <w:p w14:paraId="1A383FAD" w14:textId="77777777" w:rsidR="000A4CDF" w:rsidRDefault="00000000">
      <w:pPr>
        <w:pStyle w:val="BodyText"/>
      </w:pPr>
      <w:r>
        <w:rPr>
          <w:b/>
          <w:bCs/>
        </w:rPr>
        <w:t>Universo experimental acotado.</w:t>
      </w:r>
      <w:r>
        <w:t xml:space="preserve"> El benchmark confirmativo opera sobre el conjunto de datos UCI Adult Income, que es tabular, binario y de tamaño moderado (48,842 instancias). EXP3 añade validación tabular externa en Breast Cancer y German Credit, pero no resuelve la transferencia a datos de imagen, texto o series temporales. Esas modalidades requieren redefinir las operacionalizaciones de fidelidad y estabilidad, que en este benchmark son específicas de la estructura de características tabulares.</w:t>
      </w:r>
    </w:p>
    <w:p w14:paraId="7AEF8245" w14:textId="77777777" w:rsidR="000A4CDF" w:rsidRDefault="00000000">
      <w:pPr>
        <w:pStyle w:val="BodyText"/>
      </w:pPr>
      <w:r>
        <w:rPr>
          <w:b/>
          <w:bCs/>
        </w:rPr>
        <w:t>Operacionalizaciones métricas específicas.</w:t>
      </w:r>
      <w:r>
        <w:t xml:space="preserve"> Fidelidad y estabilidad se operacionalizan aquí mediante enmascaramiento de características y perturbación gaussiana, respectivamente. Otras operacionalizaciones —por ejemplo, fidelidad como ROAR (Zheng et al. 2025) o estabilidad como estimación de la constante de Lipschitz local (Canha et al. 2025)— pueden producir ordenamientos distintos, especialmente en el rango medio de los métodos (Anchors-DiCE).</w:t>
      </w:r>
    </w:p>
    <w:p w14:paraId="51659AA2" w14:textId="77777777" w:rsidR="000A4CDF" w:rsidRDefault="00000000">
      <w:pPr>
        <w:pStyle w:val="BodyText"/>
      </w:pPr>
      <w:r>
        <w:rPr>
          <w:b/>
          <w:bCs/>
        </w:rPr>
        <w:t>Evaluación semántica no humana.</w:t>
      </w:r>
      <w:r>
        <w:t xml:space="preserve"> El benchmark confirmativo de EXP2 es </w:t>
      </w:r>
      <w:r>
        <w:rPr>
          <w:i/>
          <w:iCs/>
        </w:rPr>
        <w:t>functionally-grounded</w:t>
      </w:r>
      <w:r>
        <w:t xml:space="preserve">. EXP4 añade una capa de evaluación semántica proxy con LLMs como jueces, pero no sustituye una validación con participantes humanos. La dimensión de comprehensibilidad percibida, utilidad para la toma de decisiones, confianza del usuario y coherencia semántica de la explicación (Bhattacharya and Verbert 2024) queda parcialmente aproximada por EXP4, pero no </w:t>
      </w:r>
      <w:r>
        <w:lastRenderedPageBreak/>
        <w:t>confirmada como experiencia de usuario real. La taxonomía del Estudio C hace explícita esta limitación y la localiza en los Ejes 2 y 4.</w:t>
      </w:r>
    </w:p>
    <w:p w14:paraId="41EA2593" w14:textId="77777777" w:rsidR="000A4CDF" w:rsidRDefault="00000000">
      <w:pPr>
        <w:pStyle w:val="BodyText"/>
      </w:pPr>
      <w:r>
        <w:rPr>
          <w:b/>
          <w:bCs/>
        </w:rPr>
        <w:t>Configuraciones de referencia.</w:t>
      </w:r>
      <w:r>
        <w:t xml:space="preserve"> Los resultados son válidos bajo las configuraciones predeterminadas de cada método (número de muestras de LIME, número de vecinos de SHAP, parámetros de búsqueda de Anchors). La sensibilidad de los resultados a variaciones sistemáticas de hiperparámetros no ha sido explorada de forma exhaustiva en este benchmark.</w:t>
      </w:r>
    </w:p>
    <w:p w14:paraId="4EB04162" w14:textId="77777777" w:rsidR="000A4CDF" w:rsidRDefault="00000000">
      <w:pPr>
        <w:pStyle w:val="Heading2"/>
      </w:pPr>
      <w:bookmarkStart w:id="221" w:name="sec-futuro"/>
      <w:bookmarkStart w:id="222" w:name="_Toc228522630"/>
      <w:bookmarkEnd w:id="219"/>
      <w:r>
        <w:t>Líneas de investigación futura</w:t>
      </w:r>
      <w:bookmarkEnd w:id="222"/>
    </w:p>
    <w:p w14:paraId="5AC9234B" w14:textId="77777777" w:rsidR="000A4CDF" w:rsidRDefault="00000000">
      <w:r>
        <w:t>Los resultados, las limitaciones y la taxonomía del Estudio C convergen en señalar seis extensiones de investigación con fundamento empírico:</w:t>
      </w:r>
    </w:p>
    <w:p w14:paraId="715BD427" w14:textId="77777777" w:rsidR="000A4CDF" w:rsidRDefault="00000000">
      <w:pPr>
        <w:pStyle w:val="BodyText"/>
      </w:pPr>
      <w:r>
        <w:rPr>
          <w:b/>
          <w:bCs/>
        </w:rPr>
        <w:t>1. Extensión del benchmark a dominios de imagen y texto.</w:t>
      </w:r>
      <w:r>
        <w:t xml:space="preserve"> La arquitectura experimental del FOM-7 es portátil. Su aplicación a dominios no tabulares requiere redefinir las métricas de fidelidad (sustituyendo enmascaramiento de características por pixel-flipping o eliminación de tokens) y estabilidad (sustituyendo perturbación gaussiana por transformaciones específicas del dominio). El protocolo FOM-7 está diseñado para acomodar esta extensión sin cambios en su lógica de puertas.</w:t>
      </w:r>
    </w:p>
    <w:p w14:paraId="6AE6C930" w14:textId="77777777" w:rsidR="000A4CDF" w:rsidRDefault="00000000">
      <w:pPr>
        <w:pStyle w:val="BodyText"/>
      </w:pPr>
      <w:r>
        <w:rPr>
          <w:b/>
          <w:bCs/>
        </w:rPr>
        <w:t>2. Evaluación semántica proxy mediante LLMs (EXP4) — completada como evidencia proxy.</w:t>
      </w:r>
      <w:r>
        <w:t xml:space="preserve"> La evaluación semántica con LLMs como jueces rubricados ha sido ejecutada y sus resultados se presentan en el §4.7. EXP4 analizó 4 775 juicios reales de tres modelos-juez (GPT-4.1-2025-04-14 × 2 rutas, GPT-4.1-mini) sobre 192 casos del benchmark; esta cifra procede de outputs/analysis/exp4_llm_evaluation/exp4_analysis_summary.json, después de excluir 15 filas de prueba. El acuerdo inter-juez es moderado en las dimensiones más objetivas —completitud ICC(2,1) = 0.585, plausibilidad semántica ICC(2,1) = 0.601— y débil en dimensiones más </w:t>
      </w:r>
      <w:r>
        <w:lastRenderedPageBreak/>
        <w:t>interpretativas como claridad (0.321). El diagnóstico de sesgo por visibilidad de etiqueta no detectó diferencias sistemáticas (mediana Δ = 0 en todas las dimensiones). La alineación con métricas técnicas es más alta para la esparsidad (ρ ≈ 0.40), confirmando que las dimensiones semánticas aportan información parcialmente no redundante. La evaluación semántica proxy tiene carácter exploratorio; la conversión en afirmaciones confirmatorias requiere validación humana adicional.</w:t>
      </w:r>
    </w:p>
    <w:p w14:paraId="32C11B5E" w14:textId="77777777" w:rsidR="000A4CDF" w:rsidRDefault="00000000">
      <w:pPr>
        <w:pStyle w:val="BodyText"/>
      </w:pPr>
      <w:r>
        <w:rPr>
          <w:b/>
          <w:bCs/>
        </w:rPr>
        <w:t>3. Validación humana calibrada — pendiente como evidencia confirmatoria.</w:t>
      </w:r>
      <w:r>
        <w:t xml:space="preserve"> La brecha identificada en el Eje 2 (fuente de evidencia) de la taxonomía apunta a la necesidad de integrar estudios de usuario en el protocolo. Una cohorte inicial de anotadores legos ha completado 20 respuestas mediante la interfaz de validación desplegada en https://xai-benchmark.onrender.com/validation, pero el tamaño de muestra es insuficiente para correlación LLM–humano. El objetivo es reclutar 5–10 anotadores para ejecutar el análisis de correlación de Spearman entre puntuaciones LLM y humanas, y calcular el ICC(2,1) de fiabilidad inter-anotador humano. La hipótesis de validez proxy (ρ &gt;= 0.40) permitiría convertir los perfiles semánticos de EXP4 en evidencia confirmativa. Hasta entonces, EXP4 debe citarse como evaluación semántica proxy reproducible, no como validación humana.</w:t>
      </w:r>
    </w:p>
    <w:p w14:paraId="3543B267" w14:textId="77777777" w:rsidR="000A4CDF" w:rsidRDefault="00000000">
      <w:pPr>
        <w:pStyle w:val="BodyText"/>
      </w:pPr>
      <w:r>
        <w:rPr>
          <w:b/>
          <w:bCs/>
        </w:rPr>
        <w:t>4. Análisis de la sensibilidad a la configuración de hiperparámetros.</w:t>
      </w:r>
      <w:r>
        <w:t xml:space="preserve"> El benchmark primario opera con configuraciones de referencia. Un diseño factorial extendido que varíe sistemáticamente los hiperparámetros clave —número de muestras de LIME, estrategia de referencia de SHAP, parámetros de umbral de Anchors— permitiría determinar en qué medida los perfiles de calidad obtenidos son robustos a la sintonización de cada método.</w:t>
      </w:r>
    </w:p>
    <w:p w14:paraId="011FD750" w14:textId="77777777" w:rsidR="000A4CDF" w:rsidRDefault="00000000">
      <w:pPr>
        <w:pStyle w:val="BodyText"/>
      </w:pPr>
      <w:r>
        <w:rPr>
          <w:b/>
          <w:bCs/>
        </w:rPr>
        <w:lastRenderedPageBreak/>
        <w:t>5. Replicación en dominios de alto riesgo.</w:t>
      </w:r>
      <w:r>
        <w:t xml:space="preserve"> Los criterios prescriptivos derivados de este benchmark son válidos bajo el contexto experimental de UCI Adult Income. Su validación en dominios regulados (crédito, salud, justicia) con restricciones normativas explícitas (EU AI Act, GDPR) constituye la extensión de mayor impacto práctico de esta línea de investigación.</w:t>
      </w:r>
    </w:p>
    <w:p w14:paraId="3D93CCE3" w14:textId="77777777" w:rsidR="000A4CDF" w:rsidRDefault="00000000">
      <w:pPr>
        <w:pStyle w:val="BodyText"/>
      </w:pPr>
      <w:r>
        <w:rPr>
          <w:b/>
          <w:bCs/>
        </w:rPr>
        <w:t>6. Formalización del eje de comprehensibilidad en la taxonomía.</w:t>
      </w:r>
      <w:r>
        <w:t xml:space="preserve"> El Eje 4 (contexto de tarea) de la taxonomía incluye el contexto </w:t>
      </w:r>
      <w:r>
        <w:rPr>
          <w:i/>
          <w:iCs/>
        </w:rPr>
        <w:t>usuario final</w:t>
      </w:r>
      <w:r>
        <w:t xml:space="preserve"> pero no dispone de métricas experimentales en este benchmark. La formalización de métricas de comprehensibilidad normalizadas —siguiendo la propuesta de Bhattacharya y Verbert (2024) de escalas normalizadas entre sistemas— permitiría cerrar el espacio taxonómico con evidencia empírica comparable a la obtenida en los ejes funcionales.</w:t>
      </w:r>
    </w:p>
    <w:p w14:paraId="6A27FC7A" w14:textId="77777777" w:rsidR="000A4CDF" w:rsidRDefault="00000000">
      <w:pPr>
        <w:pStyle w:val="Heading2"/>
      </w:pPr>
      <w:bookmarkStart w:id="223" w:name="sec-sintesis"/>
      <w:bookmarkStart w:id="224" w:name="_Toc228522631"/>
      <w:bookmarkEnd w:id="221"/>
      <w:r>
        <w:t>Síntesis final</w:t>
      </w:r>
      <w:bookmarkEnd w:id="224"/>
    </w:p>
    <w:p w14:paraId="1B0DBBB9" w14:textId="77777777" w:rsidR="000A4CDF" w:rsidRDefault="00000000">
      <w:r>
        <w:t>Esta tesis demuestra empíricamente que los métodos de explicabilidad post-hoc agnósticos al modelo difieren de forma sustantiva, consistente y estadísticamente robusta en múltiples dimensiones de calidad simultáneas. Bajo un protocolo reproducible y trazable, con márgenes de seguridad inferencial que superan el umbral crítico en más de quince veces, los resultados no dejan espacio para interpretaciones alternativas: SHAP es el método más fiable cuando fidelidad y estabilidad son requisitos; LIME es la alternativa eficiente con inestabilidad estructural documentada; Anchors y DiCE satisfacen objetivos explicativos cualitativamente distintos que las métricas de atribución no capturan de forma adecuada.</w:t>
      </w:r>
    </w:p>
    <w:p w14:paraId="78E77528" w14:textId="77777777" w:rsidR="000A4CDF" w:rsidRDefault="00000000">
      <w:pPr>
        <w:pStyle w:val="BodyText"/>
      </w:pPr>
      <w:r>
        <w:t xml:space="preserve">El aporte adicional de esta investigación no es solo el resultado del benchmark —que podría derivarse de otros estudios comparativos— sino la arquitectura que lo soporta. El protocolo FOM-7 proporciona las condiciones bajo las cuales afirmaciones inferenciales sobre métodos </w:t>
      </w:r>
      <w:r>
        <w:lastRenderedPageBreak/>
        <w:t>XAI pueden considerarse científicamente acumulables. La taxonomía de cuatro ejes proporciona el mapa conceptual que permite situar cualquier métrica futura en relación con las ya evaluadas. Juntos, protocolo y taxonomía constituyen la infraestructura metodológica que el campo de evaluación XAI necesita para avanzar de la proliferación de métricas hacia la acumulación sistemática de evidencia (Pawlicki et al. 2024; Canha et al. 2025; Bhattacharya and Verbert 2024).</w:t>
      </w:r>
    </w:p>
    <w:p w14:paraId="62866E46" w14:textId="77777777" w:rsidR="000A4CDF" w:rsidRDefault="00000000">
      <w:pPr>
        <w:pStyle w:val="Heading1"/>
      </w:pPr>
      <w:bookmarkStart w:id="225" w:name="referencias"/>
      <w:bookmarkStart w:id="226" w:name="_Toc228522632"/>
      <w:bookmarkEnd w:id="194"/>
      <w:bookmarkEnd w:id="223"/>
      <w:r>
        <w:t>Referencias</w:t>
      </w:r>
      <w:bookmarkEnd w:id="226"/>
    </w:p>
    <w:p w14:paraId="5A415F40" w14:textId="77777777" w:rsidR="000A4CDF" w:rsidRDefault="00000000">
      <w:bookmarkStart w:id="227" w:name="ref-ref_7"/>
      <w:bookmarkStart w:id="228" w:name="refs"/>
      <w:r>
        <w:t>n.d.</w:t>
      </w:r>
    </w:p>
    <w:p w14:paraId="18F002B4" w14:textId="77777777" w:rsidR="000A4CDF" w:rsidRPr="0058197F" w:rsidRDefault="00000000">
      <w:pPr>
        <w:rPr>
          <w:lang w:val="en-US"/>
        </w:rPr>
      </w:pPr>
      <w:bookmarkStart w:id="229" w:name="ref-abdulkadir2023"/>
      <w:bookmarkEnd w:id="227"/>
      <w:r w:rsidRPr="0058197F">
        <w:rPr>
          <w:lang w:val="en-US"/>
        </w:rPr>
        <w:t xml:space="preserve">Abdul Kadir, M., A. </w:t>
      </w:r>
      <w:proofErr w:type="spellStart"/>
      <w:r w:rsidRPr="0058197F">
        <w:rPr>
          <w:lang w:val="en-US"/>
        </w:rPr>
        <w:t>Mosavi</w:t>
      </w:r>
      <w:proofErr w:type="spellEnd"/>
      <w:r w:rsidRPr="0058197F">
        <w:rPr>
          <w:lang w:val="en-US"/>
        </w:rPr>
        <w:t xml:space="preserve">, and D. Sonntag. </w:t>
      </w:r>
      <w:r w:rsidRPr="001B51D7">
        <w:rPr>
          <w:lang w:val="en-US"/>
        </w:rPr>
        <w:t xml:space="preserve">2023. “Evaluation Metrics for XAI: A Review, Taxonomy, and Practical Applications.” </w:t>
      </w:r>
      <w:r w:rsidRPr="0058197F">
        <w:rPr>
          <w:i/>
          <w:iCs/>
          <w:lang w:val="en-US"/>
        </w:rPr>
        <w:t>INES 2023 Proceedings</w:t>
      </w:r>
      <w:r w:rsidRPr="0058197F">
        <w:rPr>
          <w:lang w:val="en-US"/>
        </w:rPr>
        <w:t xml:space="preserve">, ahead of print. </w:t>
      </w:r>
      <w:hyperlink r:id="rId7">
        <w:r w:rsidRPr="0058197F">
          <w:rPr>
            <w:rStyle w:val="Hyperlink"/>
            <w:lang w:val="en-US"/>
          </w:rPr>
          <w:t>https://doi.org/10.1109/INES59045.2023.1030000</w:t>
        </w:r>
      </w:hyperlink>
      <w:r w:rsidRPr="0058197F">
        <w:rPr>
          <w:lang w:val="en-US"/>
        </w:rPr>
        <w:t>.</w:t>
      </w:r>
    </w:p>
    <w:p w14:paraId="4AA46ECF" w14:textId="77777777" w:rsidR="000A4CDF" w:rsidRPr="001B51D7" w:rsidRDefault="00000000">
      <w:pPr>
        <w:rPr>
          <w:lang w:val="en-US"/>
        </w:rPr>
      </w:pPr>
      <w:bookmarkStart w:id="230" w:name="ref-adadi2018"/>
      <w:bookmarkEnd w:id="229"/>
      <w:proofErr w:type="spellStart"/>
      <w:r w:rsidRPr="0058197F">
        <w:rPr>
          <w:lang w:val="en-US"/>
        </w:rPr>
        <w:t>Adadi</w:t>
      </w:r>
      <w:proofErr w:type="spellEnd"/>
      <w:r w:rsidRPr="0058197F">
        <w:rPr>
          <w:lang w:val="en-US"/>
        </w:rPr>
        <w:t xml:space="preserve">, &amp; Berrada, A. 2018. “Peeking Inside the Black-Box: A Survey on Explainable Artificial Intelligence (XAI).” </w:t>
      </w:r>
      <w:r w:rsidRPr="001B51D7">
        <w:rPr>
          <w:i/>
          <w:iCs/>
          <w:lang w:val="en-US"/>
        </w:rPr>
        <w:t>IEEE Access, 6, 52138–52160</w:t>
      </w:r>
      <w:r w:rsidRPr="001B51D7">
        <w:rPr>
          <w:lang w:val="en-US"/>
        </w:rPr>
        <w:t xml:space="preserve">, ahead of print. </w:t>
      </w:r>
      <w:hyperlink r:id="rId8">
        <w:r w:rsidRPr="001B51D7">
          <w:rPr>
            <w:rStyle w:val="Hyperlink"/>
            <w:lang w:val="en-US"/>
          </w:rPr>
          <w:t>https://doi.org/10.1109/access.2018.2870052</w:t>
        </w:r>
      </w:hyperlink>
      <w:r w:rsidRPr="001B51D7">
        <w:rPr>
          <w:lang w:val="en-US"/>
        </w:rPr>
        <w:t>.</w:t>
      </w:r>
    </w:p>
    <w:p w14:paraId="213BD69D" w14:textId="77777777" w:rsidR="000A4CDF" w:rsidRDefault="00000000">
      <w:bookmarkStart w:id="231" w:name="ref-agarwal2022"/>
      <w:bookmarkEnd w:id="230"/>
      <w:r w:rsidRPr="001B51D7">
        <w:rPr>
          <w:lang w:val="en-US"/>
        </w:rPr>
        <w:t>Agarwal, C., D. Ley, S. Krishna, et al. 2022. “</w:t>
      </w:r>
      <w:proofErr w:type="spellStart"/>
      <w:r w:rsidRPr="001B51D7">
        <w:rPr>
          <w:lang w:val="en-US"/>
        </w:rPr>
        <w:t>OpenXAI</w:t>
      </w:r>
      <w:proofErr w:type="spellEnd"/>
      <w:r w:rsidRPr="001B51D7">
        <w:rPr>
          <w:lang w:val="en-US"/>
        </w:rPr>
        <w:t xml:space="preserve">: Towards a Transparent Evaluation of Post Hoc Model Explanations.”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Systems (NeurIPS)</w:t>
      </w:r>
      <w:r>
        <w:t>.</w:t>
      </w:r>
    </w:p>
    <w:p w14:paraId="0FA50F98" w14:textId="77777777" w:rsidR="000A4CDF" w:rsidRPr="0058197F" w:rsidRDefault="00000000">
      <w:pPr>
        <w:rPr>
          <w:lang w:val="en-US"/>
        </w:rPr>
      </w:pPr>
      <w:bookmarkStart w:id="232" w:name="ref-ali2023"/>
      <w:bookmarkEnd w:id="231"/>
      <w:r w:rsidRPr="0058197F">
        <w:rPr>
          <w:lang w:val="en-US"/>
        </w:rPr>
        <w:t xml:space="preserve">Ali, </w:t>
      </w:r>
      <w:proofErr w:type="spellStart"/>
      <w:r w:rsidRPr="0058197F">
        <w:rPr>
          <w:lang w:val="en-US"/>
        </w:rPr>
        <w:t>Abuhmed</w:t>
      </w:r>
      <w:proofErr w:type="spellEnd"/>
      <w:r w:rsidRPr="0058197F">
        <w:rPr>
          <w:lang w:val="en-US"/>
        </w:rPr>
        <w:t xml:space="preserve">, S. 2023. “Explainable Artificial Intelligence (XAI): What We Know and What Is Left to Attain Trustworthy Artificial Intelligence.” </w:t>
      </w:r>
      <w:r w:rsidRPr="0058197F">
        <w:rPr>
          <w:i/>
          <w:iCs/>
          <w:lang w:val="en-US"/>
        </w:rPr>
        <w:t>Information Fusion, 99, 101805</w:t>
      </w:r>
      <w:r w:rsidRPr="0058197F">
        <w:rPr>
          <w:lang w:val="en-US"/>
        </w:rPr>
        <w:t xml:space="preserve">, ahead of print. </w:t>
      </w:r>
      <w:hyperlink r:id="rId9">
        <w:r w:rsidRPr="0058197F">
          <w:rPr>
            <w:rStyle w:val="Hyperlink"/>
            <w:lang w:val="en-US"/>
          </w:rPr>
          <w:t>https://doi.org/10.1016/j.inffus.2023.101805</w:t>
        </w:r>
      </w:hyperlink>
      <w:r w:rsidRPr="0058197F">
        <w:rPr>
          <w:lang w:val="en-US"/>
        </w:rPr>
        <w:t>.</w:t>
      </w:r>
    </w:p>
    <w:p w14:paraId="4A53E36E" w14:textId="77777777" w:rsidR="000A4CDF" w:rsidRPr="0058197F" w:rsidRDefault="00000000">
      <w:pPr>
        <w:rPr>
          <w:lang w:val="en-US"/>
        </w:rPr>
      </w:pPr>
      <w:bookmarkStart w:id="233" w:name="ref-allen2024"/>
      <w:bookmarkEnd w:id="232"/>
      <w:r w:rsidRPr="0058197F">
        <w:rPr>
          <w:lang w:val="en-US"/>
        </w:rPr>
        <w:lastRenderedPageBreak/>
        <w:t xml:space="preserve">Allen, Gan, G. I. 2024. “Interpretable Machine Learning for Discovery: Statistical Challenges and Opportunities.” </w:t>
      </w:r>
      <w:r w:rsidRPr="0058197F">
        <w:rPr>
          <w:i/>
          <w:iCs/>
          <w:lang w:val="en-US"/>
        </w:rPr>
        <w:t>Annual Review of Statistics and Its Application, 11(1), 97–121</w:t>
      </w:r>
      <w:r w:rsidRPr="0058197F">
        <w:rPr>
          <w:lang w:val="en-US"/>
        </w:rPr>
        <w:t xml:space="preserve">, ahead of print. </w:t>
      </w:r>
      <w:hyperlink r:id="rId10">
        <w:r w:rsidRPr="0058197F">
          <w:rPr>
            <w:rStyle w:val="Hyperlink"/>
            <w:lang w:val="en-US"/>
          </w:rPr>
          <w:t>https://doi.org/10.1146/annurev-statistics-040120-030919</w:t>
        </w:r>
      </w:hyperlink>
      <w:r w:rsidRPr="0058197F">
        <w:rPr>
          <w:lang w:val="en-US"/>
        </w:rPr>
        <w:t>.</w:t>
      </w:r>
    </w:p>
    <w:p w14:paraId="0F48C90F" w14:textId="77777777" w:rsidR="000A4CDF" w:rsidRPr="0058197F" w:rsidRDefault="00000000">
      <w:pPr>
        <w:rPr>
          <w:lang w:val="en-US"/>
        </w:rPr>
      </w:pPr>
      <w:bookmarkStart w:id="234" w:name="ref-altukhi2025"/>
      <w:bookmarkEnd w:id="233"/>
      <w:proofErr w:type="spellStart"/>
      <w:r w:rsidRPr="0058197F">
        <w:rPr>
          <w:lang w:val="en-US"/>
        </w:rPr>
        <w:t>Altukhi</w:t>
      </w:r>
      <w:proofErr w:type="spellEnd"/>
      <w:r w:rsidRPr="0058197F">
        <w:rPr>
          <w:lang w:val="en-US"/>
        </w:rPr>
        <w:t xml:space="preserve">, Pradhan, Z. M. 2025. “A Systematic Literature Review of the Latest Advancements in XAI.” </w:t>
      </w:r>
      <w:r w:rsidRPr="0058197F">
        <w:rPr>
          <w:i/>
          <w:iCs/>
          <w:lang w:val="en-US"/>
        </w:rPr>
        <w:t>Technologies, 13(3), 93</w:t>
      </w:r>
      <w:r w:rsidRPr="0058197F">
        <w:rPr>
          <w:lang w:val="en-US"/>
        </w:rPr>
        <w:t xml:space="preserve">, ahead of print. </w:t>
      </w:r>
      <w:hyperlink r:id="rId11">
        <w:r w:rsidRPr="0058197F">
          <w:rPr>
            <w:rStyle w:val="Hyperlink"/>
            <w:lang w:val="en-US"/>
          </w:rPr>
          <w:t>https://doi.org/10.3390/technologies13030093</w:t>
        </w:r>
      </w:hyperlink>
      <w:r w:rsidRPr="0058197F">
        <w:rPr>
          <w:lang w:val="en-US"/>
        </w:rPr>
        <w:t>.</w:t>
      </w:r>
    </w:p>
    <w:p w14:paraId="7655EC9C" w14:textId="77777777" w:rsidR="000A4CDF" w:rsidRDefault="00000000">
      <w:bookmarkStart w:id="235" w:name="ref-angelov2021"/>
      <w:bookmarkEnd w:id="234"/>
      <w:r w:rsidRPr="0058197F">
        <w:rPr>
          <w:lang w:val="en-US"/>
        </w:rPr>
        <w:t xml:space="preserve">Angelov, Soares, P. P. 2021. “Explainable Artificial Intelligence: An Analytical Review.” </w:t>
      </w:r>
      <w:r w:rsidRPr="0058197F">
        <w:rPr>
          <w:i/>
          <w:iCs/>
          <w:lang w:val="en-US"/>
        </w:rPr>
        <w:t>Wiley Interdisciplinary Reviews Data Mining and Knowledge Discovery, 11(5)</w:t>
      </w:r>
      <w:r w:rsidRPr="0058197F">
        <w:rPr>
          <w:lang w:val="en-US"/>
        </w:rPr>
        <w:t xml:space="preserve">, ahead of print. </w:t>
      </w:r>
      <w:hyperlink r:id="rId12">
        <w:r>
          <w:rPr>
            <w:rStyle w:val="Hyperlink"/>
          </w:rPr>
          <w:t>https://doi.org/10.1002/widm.1424</w:t>
        </w:r>
      </w:hyperlink>
      <w:r>
        <w:t>.</w:t>
      </w:r>
    </w:p>
    <w:p w14:paraId="5963044C" w14:textId="77777777" w:rsidR="000A4CDF" w:rsidRDefault="00000000">
      <w:bookmarkStart w:id="236" w:name="ref-arrieta2019a"/>
      <w:bookmarkEnd w:id="235"/>
      <w:r>
        <w:t xml:space="preserve">Arrieta, Díaz-Rodríguez, A. B. 2019a. </w:t>
      </w:r>
      <w:r w:rsidRPr="001B51D7">
        <w:rPr>
          <w:lang w:val="en-US"/>
        </w:rPr>
        <w:t xml:space="preserve">“Explainable Artificial Intelligence (XAI): Concepts, Taxonomies, Opportunities and Challenges Toward Responsible AI.” </w:t>
      </w:r>
      <w:r w:rsidRPr="001B51D7">
        <w:rPr>
          <w:i/>
          <w:iCs/>
          <w:lang w:val="en-US"/>
        </w:rPr>
        <w:t>Information Fusion, 58, 82–115</w:t>
      </w:r>
      <w:r w:rsidRPr="001B51D7">
        <w:rPr>
          <w:lang w:val="en-US"/>
        </w:rPr>
        <w:t xml:space="preserve">, ahead of print, 2019a. </w:t>
      </w:r>
      <w:hyperlink r:id="rId13">
        <w:r>
          <w:rPr>
            <w:rStyle w:val="Hyperlink"/>
          </w:rPr>
          <w:t>https://doi.org/10.1016/j.inffus.2019.12.012</w:t>
        </w:r>
      </w:hyperlink>
      <w:r>
        <w:t>.</w:t>
      </w:r>
    </w:p>
    <w:p w14:paraId="46A8B98A" w14:textId="77777777" w:rsidR="000A4CDF" w:rsidRPr="0058197F" w:rsidRDefault="00000000">
      <w:pPr>
        <w:rPr>
          <w:lang w:val="en-US"/>
        </w:rPr>
      </w:pPr>
      <w:bookmarkStart w:id="237" w:name="ref-belle2021"/>
      <w:bookmarkEnd w:id="236"/>
      <w:r w:rsidRPr="0058197F">
        <w:rPr>
          <w:lang w:val="en-US"/>
        </w:rPr>
        <w:t xml:space="preserve">Belle, &amp; </w:t>
      </w:r>
      <w:proofErr w:type="spellStart"/>
      <w:r w:rsidRPr="0058197F">
        <w:rPr>
          <w:lang w:val="en-US"/>
        </w:rPr>
        <w:t>Papantonis</w:t>
      </w:r>
      <w:proofErr w:type="spellEnd"/>
      <w:r w:rsidRPr="0058197F">
        <w:rPr>
          <w:lang w:val="en-US"/>
        </w:rPr>
        <w:t xml:space="preserve">, V. 2021. “Principles and Practice of Explainable Machine Learning.” </w:t>
      </w:r>
      <w:r w:rsidRPr="0058197F">
        <w:rPr>
          <w:i/>
          <w:iCs/>
          <w:lang w:val="en-US"/>
        </w:rPr>
        <w:t>Frontiers in Big Data, 4</w:t>
      </w:r>
      <w:r w:rsidRPr="0058197F">
        <w:rPr>
          <w:lang w:val="en-US"/>
        </w:rPr>
        <w:t xml:space="preserve">, ahead of print. </w:t>
      </w:r>
      <w:hyperlink r:id="rId14">
        <w:r w:rsidRPr="0058197F">
          <w:rPr>
            <w:rStyle w:val="Hyperlink"/>
            <w:lang w:val="en-US"/>
          </w:rPr>
          <w:t>https://doi.org/10.3389/fdata.2021.688969</w:t>
        </w:r>
      </w:hyperlink>
      <w:r w:rsidRPr="0058197F">
        <w:rPr>
          <w:lang w:val="en-US"/>
        </w:rPr>
        <w:t>.</w:t>
      </w:r>
    </w:p>
    <w:p w14:paraId="51E2CC7B" w14:textId="77777777" w:rsidR="000A4CDF" w:rsidRPr="0058197F" w:rsidRDefault="00000000">
      <w:pPr>
        <w:rPr>
          <w:lang w:val="en-US"/>
        </w:rPr>
      </w:pPr>
      <w:bookmarkStart w:id="238" w:name="ref-bhattacharya2024"/>
      <w:bookmarkEnd w:id="237"/>
      <w:r w:rsidRPr="0058197F">
        <w:rPr>
          <w:lang w:val="en-US"/>
        </w:rPr>
        <w:t xml:space="preserve">Bhattacharya, A., and K. Verbert. </w:t>
      </w:r>
      <w:r w:rsidRPr="001B51D7">
        <w:rPr>
          <w:lang w:val="en-US"/>
        </w:rPr>
        <w:t xml:space="preserve">2024. “How Good Is Your </w:t>
      </w:r>
      <w:proofErr w:type="gramStart"/>
      <w:r w:rsidRPr="001B51D7">
        <w:rPr>
          <w:lang w:val="en-US"/>
        </w:rPr>
        <w:t>Explanation?:</w:t>
      </w:r>
      <w:proofErr w:type="gramEnd"/>
      <w:r w:rsidRPr="001B51D7">
        <w:rPr>
          <w:lang w:val="en-US"/>
        </w:rPr>
        <w:t xml:space="preserve"> Towards a </w:t>
      </w:r>
      <w:proofErr w:type="spellStart"/>
      <w:r w:rsidRPr="001B51D7">
        <w:rPr>
          <w:lang w:val="en-US"/>
        </w:rPr>
        <w:t>Standardised</w:t>
      </w:r>
      <w:proofErr w:type="spellEnd"/>
      <w:r w:rsidRPr="001B51D7">
        <w:rPr>
          <w:lang w:val="en-US"/>
        </w:rPr>
        <w:t xml:space="preserve"> Evaluation Approach for Diverse XAI Methods on Multiple Dimensions of Explainability.” </w:t>
      </w:r>
      <w:r w:rsidRPr="0058197F">
        <w:rPr>
          <w:i/>
          <w:iCs/>
          <w:lang w:val="en-US"/>
        </w:rPr>
        <w:t>Proceedings of the 32nd ACM Conference on User Modeling, Adaptation and Personalization (UMAP Adjunct ’24)</w:t>
      </w:r>
      <w:r w:rsidRPr="0058197F">
        <w:rPr>
          <w:lang w:val="en-US"/>
        </w:rPr>
        <w:t xml:space="preserve">. </w:t>
      </w:r>
      <w:hyperlink r:id="rId15">
        <w:r w:rsidRPr="0058197F">
          <w:rPr>
            <w:rStyle w:val="Hyperlink"/>
            <w:lang w:val="en-US"/>
          </w:rPr>
          <w:t>https://doi.org/10.1145/3631700.3664911</w:t>
        </w:r>
      </w:hyperlink>
      <w:r w:rsidRPr="0058197F">
        <w:rPr>
          <w:lang w:val="en-US"/>
        </w:rPr>
        <w:t>.</w:t>
      </w:r>
    </w:p>
    <w:p w14:paraId="04CB735D" w14:textId="77777777" w:rsidR="000A4CDF" w:rsidRPr="0058197F" w:rsidRDefault="00000000">
      <w:pPr>
        <w:rPr>
          <w:lang w:val="nl-NL"/>
        </w:rPr>
      </w:pPr>
      <w:bookmarkStart w:id="239" w:name="ref-breiman2001"/>
      <w:bookmarkEnd w:id="238"/>
      <w:proofErr w:type="spellStart"/>
      <w:r w:rsidRPr="0058197F">
        <w:rPr>
          <w:lang w:val="en-US"/>
        </w:rPr>
        <w:t>Breiman</w:t>
      </w:r>
      <w:proofErr w:type="spellEnd"/>
      <w:r w:rsidRPr="0058197F">
        <w:rPr>
          <w:lang w:val="en-US"/>
        </w:rPr>
        <w:t xml:space="preserve">, L. 2001. “Random Forests.” </w:t>
      </w:r>
      <w:r w:rsidRPr="0058197F">
        <w:rPr>
          <w:i/>
          <w:iCs/>
          <w:lang w:val="en-US"/>
        </w:rPr>
        <w:t>Machine Learning, 45(1), 5–32</w:t>
      </w:r>
      <w:r w:rsidRPr="0058197F">
        <w:rPr>
          <w:lang w:val="en-US"/>
        </w:rPr>
        <w:t xml:space="preserve">, ahead of print. </w:t>
      </w:r>
      <w:hyperlink r:id="rId16">
        <w:r w:rsidRPr="0058197F">
          <w:rPr>
            <w:rStyle w:val="Hyperlink"/>
            <w:lang w:val="nl-NL"/>
          </w:rPr>
          <w:t>https://doi.org/10.1023/a:1010933404324</w:t>
        </w:r>
      </w:hyperlink>
      <w:r w:rsidRPr="0058197F">
        <w:rPr>
          <w:lang w:val="nl-NL"/>
        </w:rPr>
        <w:t>.</w:t>
      </w:r>
    </w:p>
    <w:p w14:paraId="0C1560C0" w14:textId="77777777" w:rsidR="000A4CDF" w:rsidRPr="0058197F" w:rsidRDefault="00000000">
      <w:pPr>
        <w:rPr>
          <w:lang w:val="en-US"/>
        </w:rPr>
      </w:pPr>
      <w:bookmarkStart w:id="240" w:name="ref-brown2020"/>
      <w:bookmarkEnd w:id="239"/>
      <w:r w:rsidRPr="0058197F">
        <w:rPr>
          <w:lang w:val="nl-NL"/>
        </w:rPr>
        <w:t xml:space="preserve">Brown, Tom B., Benjamin Mann, Nick Ryder, et al. 2020. </w:t>
      </w:r>
      <w:r w:rsidRPr="0058197F">
        <w:rPr>
          <w:lang w:val="en-US"/>
        </w:rPr>
        <w:t xml:space="preserve">“Language Models Are Few-Shot Learners.” </w:t>
      </w:r>
      <w:r w:rsidRPr="0058197F">
        <w:rPr>
          <w:i/>
          <w:iCs/>
          <w:lang w:val="en-US"/>
        </w:rPr>
        <w:t>Advances in Neural Information Processing Systems</w:t>
      </w:r>
      <w:r w:rsidRPr="0058197F">
        <w:rPr>
          <w:lang w:val="en-US"/>
        </w:rPr>
        <w:t xml:space="preserve"> 33: 1877–901. </w:t>
      </w:r>
      <w:hyperlink r:id="rId17">
        <w:r w:rsidRPr="0058197F">
          <w:rPr>
            <w:rStyle w:val="Hyperlink"/>
            <w:lang w:val="en-US"/>
          </w:rPr>
          <w:t>https://proceedings.neurips.cc/paper/2020/hash/1457c0d6bfcb4967418bfb8ac142f64a-Abstract.html</w:t>
        </w:r>
      </w:hyperlink>
      <w:r w:rsidRPr="0058197F">
        <w:rPr>
          <w:lang w:val="en-US"/>
        </w:rPr>
        <w:t>.</w:t>
      </w:r>
    </w:p>
    <w:p w14:paraId="2B2D4E70" w14:textId="77777777" w:rsidR="000A4CDF" w:rsidRPr="001B51D7" w:rsidRDefault="00000000">
      <w:pPr>
        <w:rPr>
          <w:lang w:val="en-US"/>
        </w:rPr>
      </w:pPr>
      <w:bookmarkStart w:id="241" w:name="ref-canha2025"/>
      <w:bookmarkEnd w:id="240"/>
      <w:r w:rsidRPr="0058197F">
        <w:rPr>
          <w:lang w:val="en-US"/>
        </w:rPr>
        <w:t xml:space="preserve">Canha, D., S. Kubler, K. </w:t>
      </w:r>
      <w:proofErr w:type="spellStart"/>
      <w:r w:rsidRPr="0058197F">
        <w:rPr>
          <w:lang w:val="en-US"/>
        </w:rPr>
        <w:t>Främling</w:t>
      </w:r>
      <w:proofErr w:type="spellEnd"/>
      <w:r w:rsidRPr="0058197F">
        <w:rPr>
          <w:lang w:val="en-US"/>
        </w:rPr>
        <w:t xml:space="preserve">, and G. Fagherazzi. </w:t>
      </w:r>
      <w:r w:rsidRPr="001B51D7">
        <w:rPr>
          <w:lang w:val="en-US"/>
        </w:rPr>
        <w:t xml:space="preserve">2025. “A </w:t>
      </w:r>
      <w:proofErr w:type="gramStart"/>
      <w:r w:rsidRPr="001B51D7">
        <w:rPr>
          <w:lang w:val="en-US"/>
        </w:rPr>
        <w:t>Functionally-Grounded</w:t>
      </w:r>
      <w:proofErr w:type="gramEnd"/>
      <w:r w:rsidRPr="001B51D7">
        <w:rPr>
          <w:lang w:val="en-US"/>
        </w:rPr>
        <w:t xml:space="preserve"> Benchmark Framework for XAI Methods: Insights and Foundations from a Systematic Literature Review.” </w:t>
      </w:r>
      <w:r w:rsidRPr="001B51D7">
        <w:rPr>
          <w:i/>
          <w:iCs/>
          <w:lang w:val="en-US"/>
        </w:rPr>
        <w:t>ACM Computing Surveys</w:t>
      </w:r>
      <w:r w:rsidRPr="001B51D7">
        <w:rPr>
          <w:lang w:val="en-US"/>
        </w:rPr>
        <w:t xml:space="preserve"> 57 (12). </w:t>
      </w:r>
      <w:hyperlink r:id="rId18">
        <w:r w:rsidRPr="001B51D7">
          <w:rPr>
            <w:rStyle w:val="Hyperlink"/>
            <w:lang w:val="en-US"/>
          </w:rPr>
          <w:t>https://doi.org/10.1145/3737445</w:t>
        </w:r>
      </w:hyperlink>
      <w:r w:rsidRPr="001B51D7">
        <w:rPr>
          <w:lang w:val="en-US"/>
        </w:rPr>
        <w:t>.</w:t>
      </w:r>
    </w:p>
    <w:p w14:paraId="0426EA5E" w14:textId="77777777" w:rsidR="000A4CDF" w:rsidRPr="0058197F" w:rsidRDefault="00000000">
      <w:pPr>
        <w:rPr>
          <w:lang w:val="en-US"/>
        </w:rPr>
      </w:pPr>
      <w:bookmarkStart w:id="242" w:name="ref-demsar2006"/>
      <w:bookmarkEnd w:id="241"/>
      <w:r w:rsidRPr="001B51D7">
        <w:rPr>
          <w:lang w:val="en-US"/>
        </w:rPr>
        <w:t xml:space="preserve">Demšar, Janez. 2006. “Statistical Comparisons of Classifiers over Multiple Data Sets.” </w:t>
      </w:r>
      <w:r w:rsidRPr="0058197F">
        <w:rPr>
          <w:i/>
          <w:iCs/>
          <w:lang w:val="en-US"/>
        </w:rPr>
        <w:t>Journal of Machine Learning Research</w:t>
      </w:r>
      <w:r w:rsidRPr="0058197F">
        <w:rPr>
          <w:lang w:val="en-US"/>
        </w:rPr>
        <w:t xml:space="preserve"> 7: 1–30. </w:t>
      </w:r>
      <w:hyperlink r:id="rId19">
        <w:r w:rsidRPr="0058197F">
          <w:rPr>
            <w:rStyle w:val="Hyperlink"/>
            <w:lang w:val="en-US"/>
          </w:rPr>
          <w:t>https://www.jmlr.org/papers/v7/demsar06a.html</w:t>
        </w:r>
      </w:hyperlink>
      <w:r w:rsidRPr="0058197F">
        <w:rPr>
          <w:lang w:val="en-US"/>
        </w:rPr>
        <w:t>.</w:t>
      </w:r>
    </w:p>
    <w:p w14:paraId="63F9DD28" w14:textId="77777777" w:rsidR="000A4CDF" w:rsidRPr="0058197F" w:rsidRDefault="00000000">
      <w:pPr>
        <w:rPr>
          <w:lang w:val="en-US"/>
        </w:rPr>
      </w:pPr>
      <w:bookmarkStart w:id="243" w:name="ref-doshi-velez2017"/>
      <w:bookmarkEnd w:id="242"/>
      <w:r w:rsidRPr="0058197F">
        <w:rPr>
          <w:lang w:val="en-US"/>
        </w:rPr>
        <w:t xml:space="preserve">Doshi-Velez, &amp; Kim, F. 2017. “Towards a Rigorous Science of Interpretable Machine Learning.” </w:t>
      </w:r>
      <w:proofErr w:type="spellStart"/>
      <w:r w:rsidRPr="0058197F">
        <w:rPr>
          <w:i/>
          <w:iCs/>
          <w:lang w:val="en-US"/>
        </w:rPr>
        <w:t>arXiv</w:t>
      </w:r>
      <w:proofErr w:type="spellEnd"/>
      <w:r w:rsidRPr="0058197F">
        <w:rPr>
          <w:i/>
          <w:iCs/>
          <w:lang w:val="en-US"/>
        </w:rPr>
        <w:t xml:space="preserve"> (Cornell University)</w:t>
      </w:r>
      <w:r w:rsidRPr="0058197F">
        <w:rPr>
          <w:lang w:val="en-US"/>
        </w:rPr>
        <w:t xml:space="preserve">, ahead of print. </w:t>
      </w:r>
      <w:hyperlink r:id="rId20">
        <w:r w:rsidRPr="0058197F">
          <w:rPr>
            <w:rStyle w:val="Hyperlink"/>
            <w:lang w:val="en-US"/>
          </w:rPr>
          <w:t>https://doi.org/10.48550/arxiv.1702.08608</w:t>
        </w:r>
      </w:hyperlink>
      <w:r w:rsidRPr="0058197F">
        <w:rPr>
          <w:lang w:val="en-US"/>
        </w:rPr>
        <w:t>.</w:t>
      </w:r>
    </w:p>
    <w:p w14:paraId="03A62C8A" w14:textId="77777777" w:rsidR="000A4CDF" w:rsidRPr="0058197F" w:rsidRDefault="00000000">
      <w:pPr>
        <w:rPr>
          <w:lang w:val="en-US"/>
        </w:rPr>
      </w:pPr>
      <w:bookmarkStart w:id="244" w:name="ref-floridi2018"/>
      <w:bookmarkEnd w:id="243"/>
      <w:proofErr w:type="spellStart"/>
      <w:r w:rsidRPr="0058197F">
        <w:rPr>
          <w:lang w:val="en-US"/>
        </w:rPr>
        <w:t>Floridi</w:t>
      </w:r>
      <w:proofErr w:type="spellEnd"/>
      <w:r w:rsidRPr="0058197F">
        <w:rPr>
          <w:lang w:val="en-US"/>
        </w:rPr>
        <w:t xml:space="preserve">, Cowls, L. 2018. “AI4People—an Ethical Framework for a Good AI Society: Opportunities, Risks, Principles, and Recommendations.” </w:t>
      </w:r>
      <w:r w:rsidRPr="0058197F">
        <w:rPr>
          <w:i/>
          <w:iCs/>
          <w:lang w:val="en-US"/>
        </w:rPr>
        <w:t>Minds and Machines, 28(4), 689–707</w:t>
      </w:r>
      <w:r w:rsidRPr="0058197F">
        <w:rPr>
          <w:lang w:val="en-US"/>
        </w:rPr>
        <w:t xml:space="preserve">, ahead of print. </w:t>
      </w:r>
      <w:hyperlink r:id="rId21">
        <w:r w:rsidRPr="0058197F">
          <w:rPr>
            <w:rStyle w:val="Hyperlink"/>
            <w:lang w:val="en-US"/>
          </w:rPr>
          <w:t>https://doi.org/10.1007/s11023-018-9482-5</w:t>
        </w:r>
      </w:hyperlink>
      <w:r w:rsidRPr="0058197F">
        <w:rPr>
          <w:lang w:val="en-US"/>
        </w:rPr>
        <w:t>.</w:t>
      </w:r>
    </w:p>
    <w:p w14:paraId="190757EB" w14:textId="77777777" w:rsidR="000A4CDF" w:rsidRPr="0058197F" w:rsidRDefault="00000000">
      <w:pPr>
        <w:rPr>
          <w:lang w:val="en-US"/>
        </w:rPr>
      </w:pPr>
      <w:bookmarkStart w:id="245" w:name="ref-friedman1937"/>
      <w:bookmarkEnd w:id="244"/>
      <w:r w:rsidRPr="001B51D7">
        <w:rPr>
          <w:lang w:val="en-US"/>
        </w:rPr>
        <w:t xml:space="preserve">Friedman, Milton. 1937. “The Use of Ranks to Avoid the Assumption of Normality Implicit in the Analysis of Variance.” </w:t>
      </w:r>
      <w:r w:rsidRPr="0058197F">
        <w:rPr>
          <w:i/>
          <w:iCs/>
          <w:lang w:val="en-US"/>
        </w:rPr>
        <w:t>Journal of the American Statistical Association</w:t>
      </w:r>
      <w:r w:rsidRPr="0058197F">
        <w:rPr>
          <w:lang w:val="en-US"/>
        </w:rPr>
        <w:t xml:space="preserve"> 32 (200): 675–701. </w:t>
      </w:r>
      <w:hyperlink r:id="rId22">
        <w:r w:rsidRPr="0058197F">
          <w:rPr>
            <w:rStyle w:val="Hyperlink"/>
            <w:lang w:val="en-US"/>
          </w:rPr>
          <w:t>https://doi.org/10.1080/01621459.1937.10503522</w:t>
        </w:r>
      </w:hyperlink>
      <w:r w:rsidRPr="0058197F">
        <w:rPr>
          <w:lang w:val="en-US"/>
        </w:rPr>
        <w:t>.</w:t>
      </w:r>
    </w:p>
    <w:p w14:paraId="49C4852C" w14:textId="77777777" w:rsidR="000A4CDF" w:rsidRDefault="00000000">
      <w:bookmarkStart w:id="246" w:name="ref-gilpin2018"/>
      <w:bookmarkEnd w:id="245"/>
      <w:r w:rsidRPr="0058197F">
        <w:rPr>
          <w:lang w:val="en-US"/>
        </w:rPr>
        <w:t xml:space="preserve">Gilpin, Bau, L. H. 2018. “Explaining Explanations: An Overview of Interpretability of Machine Learning.” </w:t>
      </w:r>
      <w:r w:rsidRPr="001B51D7">
        <w:rPr>
          <w:i/>
          <w:iCs/>
          <w:lang w:val="en-US"/>
        </w:rPr>
        <w:t>2022 IEEE 9th International Conference on Data Science and Advanced Analytics (DSAA), 80–89</w:t>
      </w:r>
      <w:r w:rsidRPr="001B51D7">
        <w:rPr>
          <w:lang w:val="en-US"/>
        </w:rPr>
        <w:t xml:space="preserve">, ahead of print. </w:t>
      </w:r>
      <w:hyperlink r:id="rId23">
        <w:r>
          <w:rPr>
            <w:rStyle w:val="Hyperlink"/>
          </w:rPr>
          <w:t>https://doi.org/10.1109/dsaa.2018.00018</w:t>
        </w:r>
      </w:hyperlink>
      <w:r>
        <w:t>.</w:t>
      </w:r>
    </w:p>
    <w:p w14:paraId="1335C8AC" w14:textId="77777777" w:rsidR="000A4CDF" w:rsidRPr="0058197F" w:rsidRDefault="00000000">
      <w:pPr>
        <w:rPr>
          <w:lang w:val="en-US"/>
        </w:rPr>
      </w:pPr>
      <w:bookmarkStart w:id="247" w:name="ref-gu2024llmjudge"/>
      <w:bookmarkEnd w:id="246"/>
      <w:r>
        <w:t xml:space="preserve">Gu, Jiawei, Xuhui Jiang, Zhichao Shi, et al. 2024. </w:t>
      </w:r>
      <w:r w:rsidRPr="0058197F">
        <w:rPr>
          <w:i/>
          <w:iCs/>
          <w:lang w:val="en-US"/>
        </w:rPr>
        <w:t>A Survey on LLM-as-a-Judge</w:t>
      </w:r>
      <w:r w:rsidRPr="0058197F">
        <w:rPr>
          <w:lang w:val="en-US"/>
        </w:rPr>
        <w:t xml:space="preserve">. </w:t>
      </w:r>
      <w:hyperlink r:id="rId24">
        <w:r w:rsidRPr="0058197F">
          <w:rPr>
            <w:rStyle w:val="Hyperlink"/>
            <w:lang w:val="en-US"/>
          </w:rPr>
          <w:t>https://doi.org/10.48550/arXiv.2411.15594</w:t>
        </w:r>
      </w:hyperlink>
      <w:r w:rsidRPr="0058197F">
        <w:rPr>
          <w:lang w:val="en-US"/>
        </w:rPr>
        <w:t>.</w:t>
      </w:r>
    </w:p>
    <w:p w14:paraId="1160203D" w14:textId="77777777" w:rsidR="000A4CDF" w:rsidRPr="001B51D7" w:rsidRDefault="00000000">
      <w:pPr>
        <w:rPr>
          <w:lang w:val="en-US"/>
        </w:rPr>
      </w:pPr>
      <w:bookmarkStart w:id="248" w:name="ref-hassija2023"/>
      <w:bookmarkEnd w:id="247"/>
      <w:proofErr w:type="spellStart"/>
      <w:r w:rsidRPr="0058197F">
        <w:rPr>
          <w:lang w:val="en-US"/>
        </w:rPr>
        <w:lastRenderedPageBreak/>
        <w:t>Hassija</w:t>
      </w:r>
      <w:proofErr w:type="spellEnd"/>
      <w:r w:rsidRPr="0058197F">
        <w:rPr>
          <w:lang w:val="en-US"/>
        </w:rPr>
        <w:t xml:space="preserve">, </w:t>
      </w:r>
      <w:proofErr w:type="spellStart"/>
      <w:r w:rsidRPr="0058197F">
        <w:rPr>
          <w:lang w:val="en-US"/>
        </w:rPr>
        <w:t>Chamola</w:t>
      </w:r>
      <w:proofErr w:type="spellEnd"/>
      <w:r w:rsidRPr="0058197F">
        <w:rPr>
          <w:lang w:val="en-US"/>
        </w:rPr>
        <w:t xml:space="preserve">, V. 2023. “Interpreting Black-Box Models: A Review on Explainable Artificial Intelligence.” </w:t>
      </w:r>
      <w:r w:rsidRPr="001B51D7">
        <w:rPr>
          <w:i/>
          <w:iCs/>
          <w:lang w:val="en-US"/>
        </w:rPr>
        <w:t>Cognitive Computation, 16(1), 45–74</w:t>
      </w:r>
      <w:r w:rsidRPr="001B51D7">
        <w:rPr>
          <w:lang w:val="en-US"/>
        </w:rPr>
        <w:t xml:space="preserve">, ahead of print. </w:t>
      </w:r>
      <w:hyperlink r:id="rId25">
        <w:r w:rsidRPr="001B51D7">
          <w:rPr>
            <w:rStyle w:val="Hyperlink"/>
            <w:lang w:val="en-US"/>
          </w:rPr>
          <w:t>https://doi.org/10.1007/s12559-023-10179-8</w:t>
        </w:r>
      </w:hyperlink>
      <w:r w:rsidRPr="001B51D7">
        <w:rPr>
          <w:lang w:val="en-US"/>
        </w:rPr>
        <w:t>.</w:t>
      </w:r>
    </w:p>
    <w:p w14:paraId="2FC18F04" w14:textId="77777777" w:rsidR="000A4CDF" w:rsidRPr="001B51D7" w:rsidRDefault="00000000">
      <w:pPr>
        <w:rPr>
          <w:lang w:val="en-US"/>
        </w:rPr>
      </w:pPr>
      <w:bookmarkStart w:id="249" w:name="ref-hedstrom2023"/>
      <w:bookmarkEnd w:id="248"/>
      <w:r w:rsidRPr="001B51D7">
        <w:rPr>
          <w:lang w:val="en-US"/>
        </w:rPr>
        <w:t>Hedström, A., L. Weber, D. Bareeva, et al. 2023. “</w:t>
      </w:r>
      <w:proofErr w:type="spellStart"/>
      <w:r w:rsidRPr="001B51D7">
        <w:rPr>
          <w:lang w:val="en-US"/>
        </w:rPr>
        <w:t>Quantus</w:t>
      </w:r>
      <w:proofErr w:type="spellEnd"/>
      <w:r w:rsidRPr="001B51D7">
        <w:rPr>
          <w:lang w:val="en-US"/>
        </w:rPr>
        <w:t xml:space="preserve">: An Explainable AI Toolkit for Responsible Evaluation of Neural Network Explanations and Beyond.” </w:t>
      </w:r>
      <w:r w:rsidRPr="001B51D7">
        <w:rPr>
          <w:i/>
          <w:iCs/>
          <w:lang w:val="en-US"/>
        </w:rPr>
        <w:t>Journal of Machine Learning Research</w:t>
      </w:r>
      <w:r w:rsidRPr="001B51D7">
        <w:rPr>
          <w:lang w:val="en-US"/>
        </w:rPr>
        <w:t xml:space="preserve"> 24 (34): 1–11.</w:t>
      </w:r>
    </w:p>
    <w:p w14:paraId="2F98518A" w14:textId="77777777" w:rsidR="000A4CDF" w:rsidRPr="0058197F" w:rsidRDefault="00000000">
      <w:pPr>
        <w:rPr>
          <w:lang w:val="nl-NL"/>
        </w:rPr>
      </w:pPr>
      <w:bookmarkStart w:id="250" w:name="ref-kohavi1996"/>
      <w:bookmarkEnd w:id="249"/>
      <w:proofErr w:type="spellStart"/>
      <w:r w:rsidRPr="001B51D7">
        <w:rPr>
          <w:lang w:val="en-US"/>
        </w:rPr>
        <w:t>Kohavi</w:t>
      </w:r>
      <w:proofErr w:type="spellEnd"/>
      <w:r w:rsidRPr="001B51D7">
        <w:rPr>
          <w:lang w:val="en-US"/>
        </w:rPr>
        <w:t xml:space="preserve">, Ron. 1996. “Scaling up the Accuracy of Naive-Bayes Classifiers: A Decision-Tree Hybrid.” </w:t>
      </w:r>
      <w:r w:rsidRPr="0058197F">
        <w:rPr>
          <w:i/>
          <w:iCs/>
          <w:lang w:val="en-US"/>
        </w:rPr>
        <w:t>Proceedings of the Second International Conference on Knowledge Discovery and Data Mining</w:t>
      </w:r>
      <w:r w:rsidRPr="0058197F">
        <w:rPr>
          <w:lang w:val="en-US"/>
        </w:rPr>
        <w:t xml:space="preserve">, 202–7. </w:t>
      </w:r>
      <w:hyperlink r:id="rId26">
        <w:r w:rsidRPr="0058197F">
          <w:rPr>
            <w:rStyle w:val="Hyperlink"/>
            <w:lang w:val="nl-NL"/>
          </w:rPr>
          <w:t>https://www.aaai.org/Papers/KDD/1996/KDD96-033.pdf</w:t>
        </w:r>
      </w:hyperlink>
      <w:r w:rsidRPr="0058197F">
        <w:rPr>
          <w:lang w:val="nl-NL"/>
        </w:rPr>
        <w:t>.</w:t>
      </w:r>
    </w:p>
    <w:p w14:paraId="017CE0BF" w14:textId="77777777" w:rsidR="000A4CDF" w:rsidRPr="0058197F" w:rsidRDefault="00000000">
      <w:pPr>
        <w:rPr>
          <w:lang w:val="en-US"/>
        </w:rPr>
      </w:pPr>
      <w:bookmarkStart w:id="251" w:name="ref-lakens2013"/>
      <w:bookmarkEnd w:id="250"/>
      <w:r w:rsidRPr="0058197F">
        <w:rPr>
          <w:lang w:val="nl-NL"/>
        </w:rPr>
        <w:t xml:space="preserve">Lakens, Daniël. </w:t>
      </w:r>
      <w:r w:rsidRPr="001B51D7">
        <w:rPr>
          <w:lang w:val="en-US"/>
        </w:rPr>
        <w:t xml:space="preserve">2013. “Calculating and Reporting Effect Sizes to Facilitate Cumulative Science: A Practical Primer for t-Tests and ANOVAs.” </w:t>
      </w:r>
      <w:r w:rsidRPr="0058197F">
        <w:rPr>
          <w:i/>
          <w:iCs/>
          <w:lang w:val="en-US"/>
        </w:rPr>
        <w:t>Frontiers in Psychology</w:t>
      </w:r>
      <w:r w:rsidRPr="0058197F">
        <w:rPr>
          <w:lang w:val="en-US"/>
        </w:rPr>
        <w:t xml:space="preserve"> 4: 863. </w:t>
      </w:r>
      <w:hyperlink r:id="rId27">
        <w:r w:rsidRPr="0058197F">
          <w:rPr>
            <w:rStyle w:val="Hyperlink"/>
            <w:lang w:val="en-US"/>
          </w:rPr>
          <w:t>https://doi.org/10.3389/fpsyg.2013.00863</w:t>
        </w:r>
      </w:hyperlink>
      <w:r w:rsidRPr="0058197F">
        <w:rPr>
          <w:lang w:val="en-US"/>
        </w:rPr>
        <w:t>.</w:t>
      </w:r>
    </w:p>
    <w:p w14:paraId="2EC6A90C" w14:textId="77777777" w:rsidR="000A4CDF" w:rsidRPr="0058197F" w:rsidRDefault="00000000">
      <w:pPr>
        <w:rPr>
          <w:lang w:val="en-US"/>
        </w:rPr>
      </w:pPr>
      <w:bookmarkStart w:id="252" w:name="ref-linardatos2020"/>
      <w:bookmarkEnd w:id="251"/>
      <w:proofErr w:type="spellStart"/>
      <w:r w:rsidRPr="0058197F">
        <w:rPr>
          <w:lang w:val="en-US"/>
        </w:rPr>
        <w:t>Linardatos</w:t>
      </w:r>
      <w:proofErr w:type="spellEnd"/>
      <w:r w:rsidRPr="0058197F">
        <w:rPr>
          <w:lang w:val="en-US"/>
        </w:rPr>
        <w:t xml:space="preserve">, </w:t>
      </w:r>
      <w:proofErr w:type="spellStart"/>
      <w:r w:rsidRPr="0058197F">
        <w:rPr>
          <w:lang w:val="en-US"/>
        </w:rPr>
        <w:t>Papastefanopoulos</w:t>
      </w:r>
      <w:proofErr w:type="spellEnd"/>
      <w:r w:rsidRPr="0058197F">
        <w:rPr>
          <w:lang w:val="en-US"/>
        </w:rPr>
        <w:t xml:space="preserve">, P. 2020. “Explainable AI: A Review of Machine Learning Interpretability Methods.” </w:t>
      </w:r>
      <w:r w:rsidRPr="0058197F">
        <w:rPr>
          <w:i/>
          <w:iCs/>
          <w:lang w:val="en-US"/>
        </w:rPr>
        <w:t>Entropy, 23(1), 18</w:t>
      </w:r>
      <w:r w:rsidRPr="0058197F">
        <w:rPr>
          <w:lang w:val="en-US"/>
        </w:rPr>
        <w:t xml:space="preserve">, ahead of print. </w:t>
      </w:r>
      <w:hyperlink r:id="rId28">
        <w:r w:rsidRPr="0058197F">
          <w:rPr>
            <w:rStyle w:val="Hyperlink"/>
            <w:lang w:val="en-US"/>
          </w:rPr>
          <w:t>https://doi.org/10.3390/e23010018</w:t>
        </w:r>
      </w:hyperlink>
      <w:r w:rsidRPr="0058197F">
        <w:rPr>
          <w:lang w:val="en-US"/>
        </w:rPr>
        <w:t>.</w:t>
      </w:r>
    </w:p>
    <w:p w14:paraId="16500AE7" w14:textId="77777777" w:rsidR="000A4CDF" w:rsidRPr="0058197F" w:rsidRDefault="00000000">
      <w:pPr>
        <w:rPr>
          <w:lang w:val="en-US"/>
        </w:rPr>
      </w:pPr>
      <w:bookmarkStart w:id="253" w:name="ref-lipton2018"/>
      <w:bookmarkEnd w:id="252"/>
      <w:r w:rsidRPr="0058197F">
        <w:rPr>
          <w:lang w:val="en-US"/>
        </w:rPr>
        <w:t xml:space="preserve">Lipton, Z. C. 2018. “The Mythos of Model Interpretability.” </w:t>
      </w:r>
      <w:r w:rsidRPr="0058197F">
        <w:rPr>
          <w:i/>
          <w:iCs/>
          <w:lang w:val="en-US"/>
        </w:rPr>
        <w:t>Queue, 16(3), 31–57</w:t>
      </w:r>
      <w:r w:rsidRPr="0058197F">
        <w:rPr>
          <w:lang w:val="en-US"/>
        </w:rPr>
        <w:t xml:space="preserve">, ahead of print. </w:t>
      </w:r>
      <w:hyperlink r:id="rId29">
        <w:r w:rsidRPr="0058197F">
          <w:rPr>
            <w:rStyle w:val="Hyperlink"/>
            <w:lang w:val="en-US"/>
          </w:rPr>
          <w:t>https://doi.org/10.1145/3236386.3241340</w:t>
        </w:r>
      </w:hyperlink>
      <w:r w:rsidRPr="0058197F">
        <w:rPr>
          <w:lang w:val="en-US"/>
        </w:rPr>
        <w:t>.</w:t>
      </w:r>
    </w:p>
    <w:p w14:paraId="17BF0139" w14:textId="77777777" w:rsidR="000A4CDF" w:rsidRPr="0058197F" w:rsidRDefault="00000000">
      <w:pPr>
        <w:rPr>
          <w:lang w:val="en-US"/>
        </w:rPr>
      </w:pPr>
      <w:bookmarkStart w:id="254" w:name="ref-lundberg2017"/>
      <w:bookmarkEnd w:id="253"/>
      <w:r w:rsidRPr="0058197F">
        <w:rPr>
          <w:lang w:val="en-US"/>
        </w:rPr>
        <w:t xml:space="preserve">Lundberg, &amp; Lee, S. M. 2017. “A Unified Approach to Interpreting Model Predictions.” </w:t>
      </w:r>
      <w:proofErr w:type="spellStart"/>
      <w:r w:rsidRPr="0058197F">
        <w:rPr>
          <w:i/>
          <w:iCs/>
          <w:lang w:val="en-US"/>
        </w:rPr>
        <w:t>arXiv</w:t>
      </w:r>
      <w:proofErr w:type="spellEnd"/>
      <w:r w:rsidRPr="0058197F">
        <w:rPr>
          <w:i/>
          <w:iCs/>
          <w:lang w:val="en-US"/>
        </w:rPr>
        <w:t xml:space="preserve"> (Cornell University)</w:t>
      </w:r>
      <w:r w:rsidRPr="0058197F">
        <w:rPr>
          <w:lang w:val="en-US"/>
        </w:rPr>
        <w:t xml:space="preserve">, ahead of print. </w:t>
      </w:r>
      <w:hyperlink r:id="rId30">
        <w:r w:rsidRPr="0058197F">
          <w:rPr>
            <w:rStyle w:val="Hyperlink"/>
            <w:lang w:val="en-US"/>
          </w:rPr>
          <w:t>https://doi.org/10.48550/arxiv.1705.07874</w:t>
        </w:r>
      </w:hyperlink>
      <w:r w:rsidRPr="0058197F">
        <w:rPr>
          <w:lang w:val="en-US"/>
        </w:rPr>
        <w:t>.</w:t>
      </w:r>
    </w:p>
    <w:p w14:paraId="159E9381" w14:textId="77777777" w:rsidR="000A4CDF" w:rsidRPr="0058197F" w:rsidRDefault="00000000">
      <w:pPr>
        <w:rPr>
          <w:lang w:val="en-US"/>
        </w:rPr>
      </w:pPr>
      <w:bookmarkStart w:id="255" w:name="ref-malwade2023"/>
      <w:bookmarkEnd w:id="254"/>
      <w:proofErr w:type="spellStart"/>
      <w:r w:rsidRPr="0058197F">
        <w:rPr>
          <w:lang w:val="en-US"/>
        </w:rPr>
        <w:t>Malwade</w:t>
      </w:r>
      <w:proofErr w:type="spellEnd"/>
      <w:r w:rsidRPr="0058197F">
        <w:rPr>
          <w:lang w:val="en-US"/>
        </w:rPr>
        <w:t xml:space="preserve">, &amp; Budhavale, S. S. 2023. “Exploring Explainable AI: Current Trends, Challenges, Techniques and Its Applications.” </w:t>
      </w:r>
      <w:r w:rsidRPr="0058197F">
        <w:rPr>
          <w:i/>
          <w:iCs/>
          <w:lang w:val="en-US"/>
        </w:rPr>
        <w:t xml:space="preserve">ICIMMI ’23: Proceedings of the 5th International Conference </w:t>
      </w:r>
      <w:r w:rsidRPr="0058197F">
        <w:rPr>
          <w:i/>
          <w:iCs/>
          <w:lang w:val="en-US"/>
        </w:rPr>
        <w:lastRenderedPageBreak/>
        <w:t>on Information Management &amp; Machine Intelligence Article No.: 85, 1–9</w:t>
      </w:r>
      <w:r w:rsidRPr="0058197F">
        <w:rPr>
          <w:lang w:val="en-US"/>
        </w:rPr>
        <w:t xml:space="preserve">, ahead of print. </w:t>
      </w:r>
      <w:hyperlink r:id="rId31">
        <w:r w:rsidRPr="0058197F">
          <w:rPr>
            <w:rStyle w:val="Hyperlink"/>
            <w:lang w:val="en-US"/>
          </w:rPr>
          <w:t>https://doi.org/10.1145/3647444.3647912</w:t>
        </w:r>
      </w:hyperlink>
      <w:r w:rsidRPr="0058197F">
        <w:rPr>
          <w:lang w:val="en-US"/>
        </w:rPr>
        <w:t>.</w:t>
      </w:r>
    </w:p>
    <w:p w14:paraId="7F8D8900" w14:textId="77777777" w:rsidR="000A4CDF" w:rsidRPr="0058197F" w:rsidRDefault="00000000">
      <w:pPr>
        <w:rPr>
          <w:lang w:val="en-US"/>
        </w:rPr>
      </w:pPr>
      <w:bookmarkStart w:id="256" w:name="ref-marcinkevičs2023"/>
      <w:bookmarkEnd w:id="255"/>
      <w:proofErr w:type="spellStart"/>
      <w:r w:rsidRPr="0058197F">
        <w:rPr>
          <w:lang w:val="en-US"/>
        </w:rPr>
        <w:t>Marcinkevičs</w:t>
      </w:r>
      <w:proofErr w:type="spellEnd"/>
      <w:r w:rsidRPr="0058197F">
        <w:rPr>
          <w:lang w:val="en-US"/>
        </w:rPr>
        <w:t xml:space="preserve">, &amp; Vogt, R. 2023. “Interpretable and Explainable Machine Learning: A Methods‐centric Overview with Concrete Examples.” </w:t>
      </w:r>
      <w:r w:rsidRPr="0058197F">
        <w:rPr>
          <w:i/>
          <w:iCs/>
          <w:lang w:val="en-US"/>
        </w:rPr>
        <w:t>Wiley Interdisciplinary Reviews Data Mining and Knowledge Discovery, 13(3)</w:t>
      </w:r>
      <w:r w:rsidRPr="0058197F">
        <w:rPr>
          <w:lang w:val="en-US"/>
        </w:rPr>
        <w:t xml:space="preserve">, ahead of print. </w:t>
      </w:r>
      <w:hyperlink r:id="rId32">
        <w:r w:rsidRPr="0058197F">
          <w:rPr>
            <w:rStyle w:val="Hyperlink"/>
            <w:lang w:val="en-US"/>
          </w:rPr>
          <w:t>https://doi.org/10.1002/widm.1493</w:t>
        </w:r>
      </w:hyperlink>
      <w:r w:rsidRPr="0058197F">
        <w:rPr>
          <w:lang w:val="en-US"/>
        </w:rPr>
        <w:t>.</w:t>
      </w:r>
    </w:p>
    <w:p w14:paraId="73CDB1FB" w14:textId="77777777" w:rsidR="000A4CDF" w:rsidRPr="0058197F" w:rsidRDefault="00000000">
      <w:pPr>
        <w:rPr>
          <w:lang w:val="en-US"/>
        </w:rPr>
      </w:pPr>
      <w:bookmarkStart w:id="257" w:name="ref-mittelstadt2019"/>
      <w:bookmarkEnd w:id="256"/>
      <w:r w:rsidRPr="0058197F">
        <w:rPr>
          <w:lang w:val="en-US"/>
        </w:rPr>
        <w:t xml:space="preserve">Mittelstadt, Russell, B. 2019. “Explaining Explanations in AI.” </w:t>
      </w:r>
      <w:r w:rsidRPr="0058197F">
        <w:rPr>
          <w:i/>
          <w:iCs/>
          <w:lang w:val="en-US"/>
        </w:rPr>
        <w:t>FAT* ’19: Proceedings of the Conference on Fairness, Accountability, and Transparency, 279–288</w:t>
      </w:r>
      <w:r w:rsidRPr="0058197F">
        <w:rPr>
          <w:lang w:val="en-US"/>
        </w:rPr>
        <w:t xml:space="preserve">, ahead of print. </w:t>
      </w:r>
      <w:hyperlink r:id="rId33">
        <w:r w:rsidRPr="0058197F">
          <w:rPr>
            <w:rStyle w:val="Hyperlink"/>
            <w:lang w:val="en-US"/>
          </w:rPr>
          <w:t>https://doi.org/10.1145/3287560.3287574</w:t>
        </w:r>
      </w:hyperlink>
      <w:r w:rsidRPr="0058197F">
        <w:rPr>
          <w:lang w:val="en-US"/>
        </w:rPr>
        <w:t>.</w:t>
      </w:r>
    </w:p>
    <w:p w14:paraId="3531DED9" w14:textId="77777777" w:rsidR="000A4CDF" w:rsidRPr="0058197F" w:rsidRDefault="00000000">
      <w:pPr>
        <w:rPr>
          <w:lang w:val="en-US"/>
        </w:rPr>
      </w:pPr>
      <w:bookmarkStart w:id="258" w:name="ref-mothilal2020"/>
      <w:bookmarkEnd w:id="257"/>
      <w:proofErr w:type="spellStart"/>
      <w:r w:rsidRPr="0058197F">
        <w:rPr>
          <w:lang w:val="en-US"/>
        </w:rPr>
        <w:t>Mothilal</w:t>
      </w:r>
      <w:proofErr w:type="spellEnd"/>
      <w:r w:rsidRPr="0058197F">
        <w:rPr>
          <w:lang w:val="en-US"/>
        </w:rPr>
        <w:t xml:space="preserve">, Sharma, R. K. 2020. “Explaining Machine Learning Classifiers Through Diverse Counterfactual Explanations.” </w:t>
      </w:r>
      <w:r w:rsidRPr="0058197F">
        <w:rPr>
          <w:i/>
          <w:iCs/>
          <w:lang w:val="en-US"/>
        </w:rPr>
        <w:t>FAT* ’20: Proceedings of the 2020 Conference on Fairness, Accountability, and Transparency</w:t>
      </w:r>
      <w:r w:rsidRPr="0058197F">
        <w:rPr>
          <w:lang w:val="en-US"/>
        </w:rPr>
        <w:t xml:space="preserve">, ahead of print. </w:t>
      </w:r>
      <w:hyperlink r:id="rId34">
        <w:r w:rsidRPr="0058197F">
          <w:rPr>
            <w:rStyle w:val="Hyperlink"/>
            <w:lang w:val="en-US"/>
          </w:rPr>
          <w:t>https://doi.org/10.1145/3351095.3372850</w:t>
        </w:r>
      </w:hyperlink>
      <w:r w:rsidRPr="0058197F">
        <w:rPr>
          <w:lang w:val="en-US"/>
        </w:rPr>
        <w:t>.</w:t>
      </w:r>
    </w:p>
    <w:p w14:paraId="553EFDA0" w14:textId="77777777" w:rsidR="000A4CDF" w:rsidRPr="001B51D7" w:rsidRDefault="00000000">
      <w:pPr>
        <w:rPr>
          <w:lang w:val="en-US"/>
        </w:rPr>
      </w:pPr>
      <w:bookmarkStart w:id="259" w:name="ref-murdoch2019"/>
      <w:bookmarkEnd w:id="258"/>
      <w:r w:rsidRPr="0058197F">
        <w:rPr>
          <w:lang w:val="en-US"/>
        </w:rPr>
        <w:t xml:space="preserve">Murdoch, Singh, W. J. 2019. “Definitions, Methods, and Applications in Interpretable Machine Learning.” </w:t>
      </w:r>
      <w:r w:rsidRPr="0058197F">
        <w:rPr>
          <w:i/>
          <w:iCs/>
          <w:lang w:val="en-US"/>
        </w:rPr>
        <w:t>Proceedings of the National Academy of Sciences, 116(44), 22071–22080</w:t>
      </w:r>
      <w:r w:rsidRPr="0058197F">
        <w:rPr>
          <w:lang w:val="en-US"/>
        </w:rPr>
        <w:t xml:space="preserve">, ahead of print. </w:t>
      </w:r>
      <w:hyperlink r:id="rId35">
        <w:r w:rsidRPr="001B51D7">
          <w:rPr>
            <w:rStyle w:val="Hyperlink"/>
            <w:lang w:val="en-US"/>
          </w:rPr>
          <w:t>https://doi.org/10.1073/pnas.1900654116</w:t>
        </w:r>
      </w:hyperlink>
      <w:r w:rsidRPr="001B51D7">
        <w:rPr>
          <w:lang w:val="en-US"/>
        </w:rPr>
        <w:t>.</w:t>
      </w:r>
    </w:p>
    <w:p w14:paraId="6C94D84F" w14:textId="77777777" w:rsidR="000A4CDF" w:rsidRPr="001B51D7" w:rsidRDefault="00000000">
      <w:pPr>
        <w:rPr>
          <w:lang w:val="en-US"/>
        </w:rPr>
      </w:pPr>
      <w:bookmarkStart w:id="260" w:name="ref-nemenyi1963"/>
      <w:bookmarkEnd w:id="259"/>
      <w:proofErr w:type="spellStart"/>
      <w:r w:rsidRPr="001B51D7">
        <w:rPr>
          <w:lang w:val="en-US"/>
        </w:rPr>
        <w:t>Nemenyi</w:t>
      </w:r>
      <w:proofErr w:type="spellEnd"/>
      <w:r w:rsidRPr="001B51D7">
        <w:rPr>
          <w:lang w:val="en-US"/>
        </w:rPr>
        <w:t>, Peter B. 1963. “Distribution-Free Multiple Comparisons.” PhD thesis, Princeton University.</w:t>
      </w:r>
    </w:p>
    <w:p w14:paraId="253B5233" w14:textId="77777777" w:rsidR="000A4CDF" w:rsidRDefault="00000000">
      <w:bookmarkStart w:id="261" w:name="ref-nizam2023"/>
      <w:bookmarkEnd w:id="260"/>
      <w:r w:rsidRPr="001B51D7">
        <w:rPr>
          <w:lang w:val="en-US"/>
        </w:rPr>
        <w:t xml:space="preserve">Nizam, T., and S. Zafar. 2023. “Towards a </w:t>
      </w:r>
      <w:proofErr w:type="spellStart"/>
      <w:r w:rsidRPr="001B51D7">
        <w:rPr>
          <w:lang w:val="en-US"/>
        </w:rPr>
        <w:t>Standardised</w:t>
      </w:r>
      <w:proofErr w:type="spellEnd"/>
      <w:r w:rsidRPr="001B51D7">
        <w:rPr>
          <w:lang w:val="en-US"/>
        </w:rPr>
        <w:t xml:space="preserve"> Evaluation Approach for Diverse XAI Methods.” </w:t>
      </w:r>
      <w:proofErr w:type="spellStart"/>
      <w:r>
        <w:rPr>
          <w:i/>
          <w:iCs/>
        </w:rPr>
        <w:t>Explainable</w:t>
      </w:r>
      <w:proofErr w:type="spellEnd"/>
      <w:r>
        <w:rPr>
          <w:i/>
          <w:iCs/>
        </w:rPr>
        <w:t xml:space="preserve"> Artificial </w:t>
      </w:r>
      <w:proofErr w:type="spellStart"/>
      <w:r>
        <w:rPr>
          <w:i/>
          <w:iCs/>
        </w:rPr>
        <w:t>Intelligence</w:t>
      </w:r>
      <w:proofErr w:type="spellEnd"/>
      <w:r>
        <w:rPr>
          <w:i/>
          <w:iCs/>
        </w:rPr>
        <w:t xml:space="preserve"> (XAI): Conception, Visualization and Assessment</w:t>
      </w:r>
      <w:r>
        <w:t>.</w:t>
      </w:r>
    </w:p>
    <w:p w14:paraId="6FCD3FF9" w14:textId="77777777" w:rsidR="000A4CDF" w:rsidRPr="0058197F" w:rsidRDefault="00000000">
      <w:pPr>
        <w:rPr>
          <w:lang w:val="en-US"/>
        </w:rPr>
      </w:pPr>
      <w:bookmarkStart w:id="262" w:name="ref-nussberger2022"/>
      <w:bookmarkEnd w:id="261"/>
      <w:r w:rsidRPr="0058197F">
        <w:rPr>
          <w:lang w:val="en-US"/>
        </w:rPr>
        <w:t xml:space="preserve">Nussberger, Luo, A. 2022. “Public Attitudes Value Interpretability but Prioritize Accuracy in Artificial Intelligence.” </w:t>
      </w:r>
      <w:r w:rsidRPr="0058197F">
        <w:rPr>
          <w:i/>
          <w:iCs/>
          <w:lang w:val="en-US"/>
        </w:rPr>
        <w:t>Nature Communications, 13(1)</w:t>
      </w:r>
      <w:r w:rsidRPr="0058197F">
        <w:rPr>
          <w:lang w:val="en-US"/>
        </w:rPr>
        <w:t xml:space="preserve">, ahead of print. </w:t>
      </w:r>
      <w:hyperlink r:id="rId36">
        <w:r w:rsidRPr="0058197F">
          <w:rPr>
            <w:rStyle w:val="Hyperlink"/>
            <w:lang w:val="en-US"/>
          </w:rPr>
          <w:t>https://doi.org/10.1038/s41467-022-33417-3</w:t>
        </w:r>
      </w:hyperlink>
      <w:r w:rsidRPr="0058197F">
        <w:rPr>
          <w:lang w:val="en-US"/>
        </w:rPr>
        <w:t>.</w:t>
      </w:r>
    </w:p>
    <w:p w14:paraId="301C1E4E" w14:textId="77777777" w:rsidR="000A4CDF" w:rsidRPr="001B51D7" w:rsidRDefault="00000000">
      <w:pPr>
        <w:rPr>
          <w:lang w:val="nl-NL"/>
        </w:rPr>
      </w:pPr>
      <w:bookmarkStart w:id="263" w:name="ref-pawlicki2024"/>
      <w:bookmarkEnd w:id="262"/>
      <w:r w:rsidRPr="0058197F">
        <w:rPr>
          <w:lang w:val="en-US"/>
        </w:rPr>
        <w:lastRenderedPageBreak/>
        <w:t xml:space="preserve">Pawlicki, M., A. Pawlicka, F. Uccello, et al. 2024. “Evaluating the Necessity of the Multiple Metrics for Assessing Explainable AI: A Critical Examination.” </w:t>
      </w:r>
      <w:r w:rsidRPr="001B51D7">
        <w:rPr>
          <w:i/>
          <w:iCs/>
          <w:lang w:val="nl-NL"/>
        </w:rPr>
        <w:t>Neurocomputing</w:t>
      </w:r>
      <w:r w:rsidRPr="001B51D7">
        <w:rPr>
          <w:lang w:val="nl-NL"/>
        </w:rPr>
        <w:t xml:space="preserve"> 602 (128282). </w:t>
      </w:r>
      <w:r>
        <w:fldChar w:fldCharType="begin"/>
      </w:r>
      <w:r w:rsidRPr="001B51D7">
        <w:rPr>
          <w:lang w:val="nl-NL"/>
        </w:rPr>
        <w:instrText>HYPERLINK "https://doi.org/10.1016/j.neucom.2024.128282" \h</w:instrText>
      </w:r>
      <w:r>
        <w:fldChar w:fldCharType="separate"/>
      </w:r>
      <w:r w:rsidRPr="001B51D7">
        <w:rPr>
          <w:rStyle w:val="Hyperlink"/>
          <w:lang w:val="nl-NL"/>
        </w:rPr>
        <w:t>https://doi.org/10.1016/j.neucom.2024.128282</w:t>
      </w:r>
      <w:r>
        <w:fldChar w:fldCharType="end"/>
      </w:r>
      <w:r w:rsidRPr="001B51D7">
        <w:rPr>
          <w:lang w:val="nl-NL"/>
        </w:rPr>
        <w:t>.</w:t>
      </w:r>
    </w:p>
    <w:p w14:paraId="41C37113" w14:textId="77777777" w:rsidR="000A4CDF" w:rsidRDefault="00000000">
      <w:bookmarkStart w:id="264" w:name="ref-reif2024"/>
      <w:bookmarkEnd w:id="263"/>
      <w:r w:rsidRPr="001B51D7">
        <w:rPr>
          <w:lang w:val="nl-NL"/>
        </w:rPr>
        <w:t xml:space="preserve">Reif, E. et al. 2024. </w:t>
      </w:r>
      <w:r w:rsidRPr="001B51D7">
        <w:rPr>
          <w:lang w:val="en-US"/>
        </w:rPr>
        <w:t xml:space="preserve">“Evidence of a Social Evaluation Penalty for Using AI.” </w:t>
      </w:r>
      <w:proofErr w:type="spellStart"/>
      <w:r>
        <w:rPr>
          <w:i/>
          <w:iCs/>
        </w:rPr>
        <w:t>Research</w:t>
      </w:r>
      <w:proofErr w:type="spellEnd"/>
      <w:r>
        <w:rPr>
          <w:i/>
          <w:iCs/>
        </w:rPr>
        <w:t xml:space="preserve"> Note</w:t>
      </w:r>
      <w:r>
        <w:t>.</w:t>
      </w:r>
    </w:p>
    <w:p w14:paraId="01D5BE79" w14:textId="77777777" w:rsidR="000A4CDF" w:rsidRPr="0058197F" w:rsidRDefault="00000000">
      <w:pPr>
        <w:rPr>
          <w:lang w:val="en-US"/>
        </w:rPr>
      </w:pPr>
      <w:bookmarkStart w:id="265" w:name="ref-ribeiro2016"/>
      <w:bookmarkEnd w:id="264"/>
      <w:r w:rsidRPr="0058197F">
        <w:rPr>
          <w:lang w:val="en-US"/>
        </w:rPr>
        <w:t xml:space="preserve">Ribeiro, Singh, M. T. 2016. “"Why Should </w:t>
      </w:r>
      <w:proofErr w:type="spellStart"/>
      <w:r w:rsidRPr="0058197F">
        <w:rPr>
          <w:lang w:val="en-US"/>
        </w:rPr>
        <w:t>i</w:t>
      </w:r>
      <w:proofErr w:type="spellEnd"/>
      <w:r w:rsidRPr="0058197F">
        <w:rPr>
          <w:lang w:val="en-US"/>
        </w:rPr>
        <w:t xml:space="preserve"> Trust You?": Explaining the Predictions of Any Classifier.” </w:t>
      </w:r>
      <w:proofErr w:type="spellStart"/>
      <w:r w:rsidRPr="0058197F">
        <w:rPr>
          <w:i/>
          <w:iCs/>
          <w:lang w:val="en-US"/>
        </w:rPr>
        <w:t>arXiv</w:t>
      </w:r>
      <w:proofErr w:type="spellEnd"/>
      <w:r w:rsidRPr="0058197F">
        <w:rPr>
          <w:i/>
          <w:iCs/>
          <w:lang w:val="en-US"/>
        </w:rPr>
        <w:t xml:space="preserve"> Preprint arXiv:1602.04938</w:t>
      </w:r>
      <w:r w:rsidRPr="0058197F">
        <w:rPr>
          <w:lang w:val="en-US"/>
        </w:rPr>
        <w:t xml:space="preserve">, ahead of print. </w:t>
      </w:r>
      <w:hyperlink r:id="rId37">
        <w:r w:rsidRPr="0058197F">
          <w:rPr>
            <w:rStyle w:val="Hyperlink"/>
            <w:lang w:val="en-US"/>
          </w:rPr>
          <w:t>https://doi.org/10.1145/2939672.2939778</w:t>
        </w:r>
      </w:hyperlink>
      <w:r w:rsidRPr="0058197F">
        <w:rPr>
          <w:lang w:val="en-US"/>
        </w:rPr>
        <w:t>.</w:t>
      </w:r>
    </w:p>
    <w:p w14:paraId="7FF8CFE4" w14:textId="77777777" w:rsidR="000A4CDF" w:rsidRPr="0058197F" w:rsidRDefault="00000000">
      <w:pPr>
        <w:rPr>
          <w:lang w:val="en-US"/>
        </w:rPr>
      </w:pPr>
      <w:bookmarkStart w:id="266" w:name="ref-ribeiro2018"/>
      <w:bookmarkEnd w:id="265"/>
      <w:r w:rsidRPr="0058197F">
        <w:rPr>
          <w:lang w:val="en-US"/>
        </w:rPr>
        <w:t xml:space="preserve">Ribeiro, Singh, M. T. 2018. “Anchors: High-Precision Model-Agnostic Explanations.” </w:t>
      </w:r>
      <w:r w:rsidRPr="0058197F">
        <w:rPr>
          <w:i/>
          <w:iCs/>
          <w:lang w:val="en-US"/>
        </w:rPr>
        <w:t>Proceedings of the AAAI Conference on Artificial Intelligence, 32(1)</w:t>
      </w:r>
      <w:r w:rsidRPr="0058197F">
        <w:rPr>
          <w:lang w:val="en-US"/>
        </w:rPr>
        <w:t xml:space="preserve">, ahead of print. </w:t>
      </w:r>
      <w:hyperlink r:id="rId38">
        <w:r w:rsidRPr="0058197F">
          <w:rPr>
            <w:rStyle w:val="Hyperlink"/>
            <w:lang w:val="en-US"/>
          </w:rPr>
          <w:t>https://doi.org/10.1609/aaai.v32i1.11491</w:t>
        </w:r>
      </w:hyperlink>
      <w:r w:rsidRPr="0058197F">
        <w:rPr>
          <w:lang w:val="en-US"/>
        </w:rPr>
        <w:t>.</w:t>
      </w:r>
    </w:p>
    <w:p w14:paraId="074C56EB" w14:textId="77777777" w:rsidR="000A4CDF" w:rsidRPr="0058197F" w:rsidRDefault="00000000">
      <w:pPr>
        <w:rPr>
          <w:lang w:val="en-US"/>
        </w:rPr>
      </w:pPr>
      <w:bookmarkStart w:id="267" w:name="ref-rudin2022"/>
      <w:bookmarkEnd w:id="266"/>
      <w:r w:rsidRPr="0058197F">
        <w:rPr>
          <w:lang w:val="en-US"/>
        </w:rPr>
        <w:t xml:space="preserve">Rudin, Chen, C. 2022. “Interpretable Machine Learning: Fundamental Principles and 10 Grand Challenges.” </w:t>
      </w:r>
      <w:r w:rsidRPr="0058197F">
        <w:rPr>
          <w:i/>
          <w:iCs/>
          <w:lang w:val="en-US"/>
        </w:rPr>
        <w:t xml:space="preserve">Statistics </w:t>
      </w:r>
      <w:proofErr w:type="gramStart"/>
      <w:r w:rsidRPr="0058197F">
        <w:rPr>
          <w:i/>
          <w:iCs/>
          <w:lang w:val="en-US"/>
        </w:rPr>
        <w:t>Surveys,</w:t>
      </w:r>
      <w:proofErr w:type="gramEnd"/>
      <w:r w:rsidRPr="0058197F">
        <w:rPr>
          <w:i/>
          <w:iCs/>
          <w:lang w:val="en-US"/>
        </w:rPr>
        <w:t xml:space="preserve"> 16(none)</w:t>
      </w:r>
      <w:r w:rsidRPr="0058197F">
        <w:rPr>
          <w:lang w:val="en-US"/>
        </w:rPr>
        <w:t xml:space="preserve">, ahead of print. </w:t>
      </w:r>
      <w:hyperlink r:id="rId39">
        <w:r w:rsidRPr="0058197F">
          <w:rPr>
            <w:rStyle w:val="Hyperlink"/>
            <w:lang w:val="en-US"/>
          </w:rPr>
          <w:t>https://doi.org/10.1214/21-ss133</w:t>
        </w:r>
      </w:hyperlink>
      <w:r w:rsidRPr="0058197F">
        <w:rPr>
          <w:lang w:val="en-US"/>
        </w:rPr>
        <w:t>.</w:t>
      </w:r>
    </w:p>
    <w:p w14:paraId="16AF2DF2" w14:textId="77777777" w:rsidR="000A4CDF" w:rsidRPr="0058197F" w:rsidRDefault="00000000">
      <w:pPr>
        <w:rPr>
          <w:lang w:val="en-US"/>
        </w:rPr>
      </w:pPr>
      <w:bookmarkStart w:id="268" w:name="ref-saarela2024"/>
      <w:bookmarkEnd w:id="267"/>
      <w:r w:rsidRPr="0058197F">
        <w:rPr>
          <w:lang w:val="en-US"/>
        </w:rPr>
        <w:t xml:space="preserve">Saarela, &amp; </w:t>
      </w:r>
      <w:proofErr w:type="spellStart"/>
      <w:r w:rsidRPr="0058197F">
        <w:rPr>
          <w:lang w:val="en-US"/>
        </w:rPr>
        <w:t>Podgorelec</w:t>
      </w:r>
      <w:proofErr w:type="spellEnd"/>
      <w:r w:rsidRPr="0058197F">
        <w:rPr>
          <w:lang w:val="en-US"/>
        </w:rPr>
        <w:t xml:space="preserve">, M. 2024. “Recent Applications of Explainable AI (XAI): A Systematic Literature Review.” </w:t>
      </w:r>
      <w:r w:rsidRPr="0058197F">
        <w:rPr>
          <w:i/>
          <w:iCs/>
          <w:lang w:val="en-US"/>
        </w:rPr>
        <w:t>Applied Sciences, 14(19), 8884</w:t>
      </w:r>
      <w:r w:rsidRPr="0058197F">
        <w:rPr>
          <w:lang w:val="en-US"/>
        </w:rPr>
        <w:t xml:space="preserve">, ahead of print. </w:t>
      </w:r>
      <w:hyperlink r:id="rId40">
        <w:r w:rsidRPr="0058197F">
          <w:rPr>
            <w:rStyle w:val="Hyperlink"/>
            <w:lang w:val="en-US"/>
          </w:rPr>
          <w:t>https://doi.org/10.3390/app14198884</w:t>
        </w:r>
      </w:hyperlink>
      <w:r w:rsidRPr="0058197F">
        <w:rPr>
          <w:lang w:val="en-US"/>
        </w:rPr>
        <w:t>.</w:t>
      </w:r>
    </w:p>
    <w:p w14:paraId="598255B5" w14:textId="77777777" w:rsidR="000A4CDF" w:rsidRPr="0058197F" w:rsidRDefault="00000000">
      <w:pPr>
        <w:rPr>
          <w:lang w:val="en-US"/>
        </w:rPr>
      </w:pPr>
      <w:bookmarkStart w:id="269" w:name="ref-samek2019"/>
      <w:bookmarkEnd w:id="268"/>
      <w:r w:rsidRPr="0058197F">
        <w:rPr>
          <w:lang w:val="en-US"/>
        </w:rPr>
        <w:t xml:space="preserve">Samek, Montavon, W. 2019. “Explainable AI: Interpreting, Explaining and Visualizing Deep Learning.” </w:t>
      </w:r>
      <w:r w:rsidRPr="0058197F">
        <w:rPr>
          <w:i/>
          <w:iCs/>
          <w:lang w:val="en-US"/>
        </w:rPr>
        <w:t>In Lecture Notes in Computer Science</w:t>
      </w:r>
      <w:r w:rsidRPr="0058197F">
        <w:rPr>
          <w:lang w:val="en-US"/>
        </w:rPr>
        <w:t xml:space="preserve">, ahead of print. </w:t>
      </w:r>
      <w:hyperlink r:id="rId41">
        <w:r w:rsidRPr="0058197F">
          <w:rPr>
            <w:rStyle w:val="Hyperlink"/>
            <w:lang w:val="en-US"/>
          </w:rPr>
          <w:t>https://doi.org/10.1007/978-3-030-28954-6</w:t>
        </w:r>
      </w:hyperlink>
      <w:r w:rsidRPr="0058197F">
        <w:rPr>
          <w:lang w:val="en-US"/>
        </w:rPr>
        <w:t>.</w:t>
      </w:r>
    </w:p>
    <w:p w14:paraId="781EF4D1" w14:textId="77777777" w:rsidR="000A4CDF" w:rsidRPr="0058197F" w:rsidRDefault="00000000">
      <w:pPr>
        <w:rPr>
          <w:lang w:val="en-US"/>
        </w:rPr>
      </w:pPr>
      <w:bookmarkStart w:id="270" w:name="ref-schwalbe2023"/>
      <w:bookmarkEnd w:id="269"/>
      <w:r w:rsidRPr="0058197F">
        <w:rPr>
          <w:lang w:val="en-US"/>
        </w:rPr>
        <w:t xml:space="preserve">Schwalbe, &amp; Finzel, G. 2023. “A Comprehensive Taxonomy for Explainable Artificial Intelligence: A Systematic Survey of Surveys on Methods and Concepts.” </w:t>
      </w:r>
      <w:r w:rsidRPr="0058197F">
        <w:rPr>
          <w:i/>
          <w:iCs/>
          <w:lang w:val="en-US"/>
        </w:rPr>
        <w:t xml:space="preserve">Data Mining and </w:t>
      </w:r>
      <w:r w:rsidRPr="0058197F">
        <w:rPr>
          <w:i/>
          <w:iCs/>
          <w:lang w:val="en-US"/>
        </w:rPr>
        <w:lastRenderedPageBreak/>
        <w:t>Knowledge Discovery, 38(5), 3043–3101</w:t>
      </w:r>
      <w:r w:rsidRPr="0058197F">
        <w:rPr>
          <w:lang w:val="en-US"/>
        </w:rPr>
        <w:t xml:space="preserve">, ahead of print. </w:t>
      </w:r>
      <w:hyperlink r:id="rId42">
        <w:r w:rsidRPr="0058197F">
          <w:rPr>
            <w:rStyle w:val="Hyperlink"/>
            <w:lang w:val="en-US"/>
          </w:rPr>
          <w:t>https://doi.org/10.1007/s10618-022-00867-8</w:t>
        </w:r>
      </w:hyperlink>
      <w:r w:rsidRPr="0058197F">
        <w:rPr>
          <w:lang w:val="en-US"/>
        </w:rPr>
        <w:t>.</w:t>
      </w:r>
    </w:p>
    <w:p w14:paraId="56A2DDA0" w14:textId="77777777" w:rsidR="000A4CDF" w:rsidRPr="0058197F" w:rsidRDefault="00000000">
      <w:pPr>
        <w:rPr>
          <w:lang w:val="en-US"/>
        </w:rPr>
      </w:pPr>
      <w:bookmarkStart w:id="271" w:name="ref-tripathy2024"/>
      <w:bookmarkEnd w:id="270"/>
      <w:r w:rsidRPr="0058197F">
        <w:rPr>
          <w:lang w:val="en-US"/>
        </w:rPr>
        <w:t xml:space="preserve">Tripathy, &amp; Seetha, B. K. 2024. “Explainable, Interpretable, and Transparent AI Systems.” </w:t>
      </w:r>
      <w:r w:rsidRPr="0058197F">
        <w:rPr>
          <w:i/>
          <w:iCs/>
          <w:lang w:val="en-US"/>
        </w:rPr>
        <w:t>In CRC Press eBooks</w:t>
      </w:r>
      <w:r w:rsidRPr="0058197F">
        <w:rPr>
          <w:lang w:val="en-US"/>
        </w:rPr>
        <w:t xml:space="preserve">, ahead of print. </w:t>
      </w:r>
      <w:hyperlink r:id="rId43">
        <w:r w:rsidRPr="0058197F">
          <w:rPr>
            <w:rStyle w:val="Hyperlink"/>
            <w:lang w:val="en-US"/>
          </w:rPr>
          <w:t>https://doi.org/10.1201/9781003442509</w:t>
        </w:r>
      </w:hyperlink>
      <w:r w:rsidRPr="0058197F">
        <w:rPr>
          <w:lang w:val="en-US"/>
        </w:rPr>
        <w:t>.</w:t>
      </w:r>
    </w:p>
    <w:p w14:paraId="411D2BF3" w14:textId="77777777" w:rsidR="000A4CDF" w:rsidRPr="0058197F" w:rsidRDefault="00000000">
      <w:pPr>
        <w:rPr>
          <w:lang w:val="en-US"/>
        </w:rPr>
      </w:pPr>
      <w:bookmarkStart w:id="272" w:name="ref-wachter2017"/>
      <w:bookmarkEnd w:id="271"/>
      <w:r w:rsidRPr="0058197F">
        <w:rPr>
          <w:lang w:val="en-US"/>
        </w:rPr>
        <w:t xml:space="preserve">Wachter, Mittelstadt, S. 2017. “Counterfactual Explanations Without Opening the Black Box: Automated Decisions and the GDPR.” </w:t>
      </w:r>
      <w:r w:rsidRPr="0058197F">
        <w:rPr>
          <w:i/>
          <w:iCs/>
          <w:lang w:val="en-US"/>
        </w:rPr>
        <w:t>SSRN Electronic Journal</w:t>
      </w:r>
      <w:r w:rsidRPr="0058197F">
        <w:rPr>
          <w:lang w:val="en-US"/>
        </w:rPr>
        <w:t xml:space="preserve">, ahead of print. </w:t>
      </w:r>
      <w:hyperlink r:id="rId44">
        <w:r w:rsidRPr="0058197F">
          <w:rPr>
            <w:rStyle w:val="Hyperlink"/>
            <w:lang w:val="en-US"/>
          </w:rPr>
          <w:t>https://doi.org/10.2139/ssrn.3063289</w:t>
        </w:r>
      </w:hyperlink>
      <w:r w:rsidRPr="0058197F">
        <w:rPr>
          <w:lang w:val="en-US"/>
        </w:rPr>
        <w:t>.</w:t>
      </w:r>
    </w:p>
    <w:p w14:paraId="172BE78A" w14:textId="77777777" w:rsidR="000A4CDF" w:rsidRPr="0058197F" w:rsidRDefault="00000000">
      <w:pPr>
        <w:rPr>
          <w:lang w:val="en-US"/>
        </w:rPr>
      </w:pPr>
      <w:bookmarkStart w:id="273" w:name="ref-wilcoxon1945"/>
      <w:bookmarkEnd w:id="272"/>
      <w:r w:rsidRPr="001B51D7">
        <w:rPr>
          <w:lang w:val="en-US"/>
        </w:rPr>
        <w:t xml:space="preserve">Wilcoxon, Frank. 1945. “Individual Comparisons by Ranking Methods.” </w:t>
      </w:r>
      <w:r w:rsidRPr="0058197F">
        <w:rPr>
          <w:i/>
          <w:iCs/>
          <w:lang w:val="en-US"/>
        </w:rPr>
        <w:t>Biometrics Bulletin</w:t>
      </w:r>
      <w:r w:rsidRPr="0058197F">
        <w:rPr>
          <w:lang w:val="en-US"/>
        </w:rPr>
        <w:t xml:space="preserve"> 1 (6): 80–83. </w:t>
      </w:r>
      <w:hyperlink r:id="rId45">
        <w:r w:rsidRPr="0058197F">
          <w:rPr>
            <w:rStyle w:val="Hyperlink"/>
            <w:lang w:val="en-US"/>
          </w:rPr>
          <w:t>https://doi.org/10.2307/3001968</w:t>
        </w:r>
      </w:hyperlink>
      <w:r w:rsidRPr="0058197F">
        <w:rPr>
          <w:lang w:val="en-US"/>
        </w:rPr>
        <w:t>.</w:t>
      </w:r>
    </w:p>
    <w:p w14:paraId="0A5E5FF2" w14:textId="77777777" w:rsidR="000A4CDF" w:rsidRPr="0058197F" w:rsidRDefault="00000000">
      <w:pPr>
        <w:rPr>
          <w:lang w:val="en-US"/>
        </w:rPr>
      </w:pPr>
      <w:bookmarkStart w:id="274" w:name="ref-zheng2023judging"/>
      <w:bookmarkEnd w:id="273"/>
      <w:r w:rsidRPr="0058197F">
        <w:rPr>
          <w:lang w:val="en-US"/>
        </w:rPr>
        <w:t xml:space="preserve">Zheng, </w:t>
      </w:r>
      <w:proofErr w:type="spellStart"/>
      <w:r w:rsidRPr="0058197F">
        <w:rPr>
          <w:lang w:val="en-US"/>
        </w:rPr>
        <w:t>Lianmin</w:t>
      </w:r>
      <w:proofErr w:type="spellEnd"/>
      <w:r w:rsidRPr="0058197F">
        <w:rPr>
          <w:lang w:val="en-US"/>
        </w:rPr>
        <w:t xml:space="preserve">, Wei-Lin Chiang, Ying Sheng, et al. 2023. “Judging LLM-as-a-Judge with MT-Bench and Chatbot Arena.” </w:t>
      </w:r>
      <w:r w:rsidRPr="0058197F">
        <w:rPr>
          <w:i/>
          <w:iCs/>
          <w:lang w:val="en-US"/>
        </w:rPr>
        <w:t>Advances in Neural Information Processing Systems</w:t>
      </w:r>
      <w:r w:rsidRPr="0058197F">
        <w:rPr>
          <w:lang w:val="en-US"/>
        </w:rPr>
        <w:t xml:space="preserve"> 36. </w:t>
      </w:r>
      <w:hyperlink r:id="rId46">
        <w:r w:rsidRPr="0058197F">
          <w:rPr>
            <w:rStyle w:val="Hyperlink"/>
            <w:lang w:val="en-US"/>
          </w:rPr>
          <w:t>https://proceedings.neurips.cc/paper_files/paper/2023/hash/91f18a1287b398d378ef22505bf41832-Abstract-Datasets_and_Benchmarks.html</w:t>
        </w:r>
      </w:hyperlink>
      <w:r w:rsidRPr="0058197F">
        <w:rPr>
          <w:lang w:val="en-US"/>
        </w:rPr>
        <w:t>.</w:t>
      </w:r>
    </w:p>
    <w:p w14:paraId="61936CFA" w14:textId="77777777" w:rsidR="000A4CDF" w:rsidRDefault="00000000">
      <w:bookmarkStart w:id="275" w:name="ref-zheng2025"/>
      <w:bookmarkEnd w:id="274"/>
      <w:r w:rsidRPr="0058197F">
        <w:rPr>
          <w:lang w:val="nl-NL"/>
        </w:rPr>
        <w:t xml:space="preserve">Zheng, X., F. Shirani, Z. Chen, et al. 2025. </w:t>
      </w:r>
      <w:r w:rsidRPr="0058197F">
        <w:rPr>
          <w:lang w:val="en-US"/>
        </w:rPr>
        <w:t xml:space="preserve">“F-FIDELITY: A Robust Framework for Faithfulness Evaluation of Explainable AI.” </w:t>
      </w:r>
      <w:r>
        <w:rPr>
          <w:i/>
          <w:iCs/>
        </w:rPr>
        <w:t xml:space="preserve">ICLR 2025 </w:t>
      </w:r>
      <w:proofErr w:type="spellStart"/>
      <w:r>
        <w:rPr>
          <w:i/>
          <w:iCs/>
        </w:rPr>
        <w:t>Proceedings</w:t>
      </w:r>
      <w:proofErr w:type="spellEnd"/>
      <w:r>
        <w:t xml:space="preserve">. </w:t>
      </w:r>
      <w:hyperlink r:id="rId47">
        <w:r>
          <w:rPr>
            <w:rStyle w:val="Hyperlink"/>
          </w:rPr>
          <w:t>https://trustai4s-lab.github.io/ffidelity</w:t>
        </w:r>
      </w:hyperlink>
      <w:r>
        <w:t>.</w:t>
      </w:r>
    </w:p>
    <w:p w14:paraId="6FC89726" w14:textId="77777777" w:rsidR="000A4CDF" w:rsidRDefault="00000000">
      <w:pPr>
        <w:pStyle w:val="Heading1"/>
      </w:pPr>
      <w:bookmarkStart w:id="276" w:name="apéndices"/>
      <w:bookmarkStart w:id="277" w:name="_Toc228522633"/>
      <w:bookmarkEnd w:id="225"/>
      <w:bookmarkEnd w:id="228"/>
      <w:bookmarkEnd w:id="275"/>
      <w:r>
        <w:lastRenderedPageBreak/>
        <w:t>Apéndices</w:t>
      </w:r>
      <w:bookmarkEnd w:id="277"/>
    </w:p>
    <w:p w14:paraId="7D5B6EF5" w14:textId="77777777" w:rsidR="000A4CDF" w:rsidRDefault="00000000">
      <w:pPr>
        <w:pStyle w:val="Heading2"/>
      </w:pPr>
      <w:bookmarkStart w:id="278" w:name="apéndice-a-detalles-del-corpus-de-datos"/>
      <w:bookmarkStart w:id="279" w:name="_Toc228522634"/>
      <w:r>
        <w:t>Apéndice A: Detalles del corpus de datos</w:t>
      </w:r>
      <w:bookmarkEnd w:id="279"/>
    </w:p>
    <w:p w14:paraId="37BCAB69" w14:textId="77777777" w:rsidR="000A4CDF" w:rsidRDefault="00000000">
      <w:pPr>
        <w:pStyle w:val="Heading2"/>
      </w:pPr>
      <w:bookmarkStart w:id="280" w:name="X099ba691e46175a7ccd6698c94b9cfe7ba4975a"/>
      <w:bookmarkStart w:id="281" w:name="_Toc228522635"/>
      <w:bookmarkEnd w:id="278"/>
      <w:r>
        <w:t>Apéndice B: Configuración de los modelos de caja negra</w:t>
      </w:r>
      <w:bookmarkEnd w:id="281"/>
    </w:p>
    <w:p w14:paraId="5C089F1A" w14:textId="77777777" w:rsidR="000A4CDF" w:rsidRDefault="00000000">
      <w:pPr>
        <w:pStyle w:val="Heading2"/>
      </w:pPr>
      <w:bookmarkStart w:id="282" w:name="X5b83c2b52b591af985fdc6bd60765899560a8c0"/>
      <w:bookmarkStart w:id="283" w:name="_Toc228522636"/>
      <w:bookmarkEnd w:id="280"/>
      <w:r>
        <w:t>Apéndice C: Trazabilidad de evidencias y afirmaciones</w:t>
      </w:r>
      <w:bookmarkEnd w:id="283"/>
    </w:p>
    <w:p w14:paraId="51CC9EFB" w14:textId="77777777" w:rsidR="000A4CDF" w:rsidRDefault="00000000">
      <w:r>
        <w:t>La tesis utiliza una regla de trazabilidad única: las cifras reportadas en el texto deben proceder de artefactos generados por los scripts de análisis. Las notas narrativas, reportes intermedios y manuscritos derivados se consideran capas de interpretación. Cuando exista discrepancia, prevalece el artefacto generado más cercano al análisis.</w:t>
      </w:r>
    </w:p>
    <w:tbl>
      <w:tblPr>
        <w:tblW w:w="5000" w:type="pct"/>
        <w:tblLayout w:type="fixed"/>
        <w:tblLook w:val="0020" w:firstRow="1" w:lastRow="0" w:firstColumn="0" w:lastColumn="0" w:noHBand="0" w:noVBand="0"/>
      </w:tblPr>
      <w:tblGrid>
        <w:gridCol w:w="2394"/>
        <w:gridCol w:w="2394"/>
        <w:gridCol w:w="2394"/>
        <w:gridCol w:w="2394"/>
      </w:tblGrid>
      <w:tr w:rsidR="000A4CDF" w14:paraId="2EFA47E8" w14:textId="77777777">
        <w:trPr>
          <w:tblHeader/>
        </w:trPr>
        <w:tc>
          <w:tcPr>
            <w:tcW w:w="1980" w:type="dxa"/>
          </w:tcPr>
          <w:p w14:paraId="31FBEAA9" w14:textId="77777777" w:rsidR="000A4CDF" w:rsidRDefault="00000000">
            <w:r>
              <w:t>Afirmación o componente</w:t>
            </w:r>
          </w:p>
        </w:tc>
        <w:tc>
          <w:tcPr>
            <w:tcW w:w="1980" w:type="dxa"/>
          </w:tcPr>
          <w:p w14:paraId="28662951" w14:textId="77777777" w:rsidR="000A4CDF" w:rsidRDefault="00000000">
            <w:r>
              <w:t>Fuente canónica</w:t>
            </w:r>
          </w:p>
        </w:tc>
        <w:tc>
          <w:tcPr>
            <w:tcW w:w="1980" w:type="dxa"/>
          </w:tcPr>
          <w:p w14:paraId="724BCCAF" w14:textId="77777777" w:rsidR="000A4CDF" w:rsidRDefault="00000000">
            <w:r>
              <w:t>Sección principal</w:t>
            </w:r>
          </w:p>
        </w:tc>
        <w:tc>
          <w:tcPr>
            <w:tcW w:w="1980" w:type="dxa"/>
          </w:tcPr>
          <w:p w14:paraId="60F8419F" w14:textId="77777777" w:rsidR="000A4CDF" w:rsidRDefault="00000000">
            <w:r>
              <w:t>Límite de interpretación</w:t>
            </w:r>
          </w:p>
        </w:tc>
      </w:tr>
      <w:tr w:rsidR="000A4CDF" w14:paraId="4A26B4F1" w14:textId="77777777">
        <w:tc>
          <w:tcPr>
            <w:tcW w:w="1980" w:type="dxa"/>
          </w:tcPr>
          <w:p w14:paraId="52A54C46" w14:textId="77777777" w:rsidR="000A4CDF" w:rsidRDefault="00000000">
            <w:r>
              <w:t>Cobertura, bloques completos e inferencia de EXP2</w:t>
            </w:r>
          </w:p>
        </w:tc>
        <w:tc>
          <w:tcPr>
            <w:tcW w:w="1980" w:type="dxa"/>
          </w:tcPr>
          <w:p w14:paraId="2A6BEDBA" w14:textId="77777777" w:rsidR="000A4CDF" w:rsidRPr="001B51D7" w:rsidRDefault="00000000">
            <w:pPr>
              <w:rPr>
                <w:lang w:val="en-US"/>
              </w:rPr>
            </w:pPr>
            <w:r w:rsidRPr="001B51D7">
              <w:rPr>
                <w:lang w:val="en-US"/>
              </w:rPr>
              <w:t>outputs/analysis/paper_a_exp2_stats/</w:t>
            </w:r>
            <w:proofErr w:type="spellStart"/>
            <w:r w:rsidRPr="001B51D7">
              <w:rPr>
                <w:lang w:val="en-US"/>
              </w:rPr>
              <w:t>analysis_summary.json</w:t>
            </w:r>
            <w:proofErr w:type="spellEnd"/>
          </w:p>
        </w:tc>
        <w:tc>
          <w:tcPr>
            <w:tcW w:w="1980" w:type="dxa"/>
          </w:tcPr>
          <w:p w14:paraId="098BB950" w14:textId="77777777" w:rsidR="000A4CDF" w:rsidRDefault="00000000">
            <w:r>
              <w:t>Capítulos 3–4</w:t>
            </w:r>
          </w:p>
        </w:tc>
        <w:tc>
          <w:tcPr>
            <w:tcW w:w="1980" w:type="dxa"/>
          </w:tcPr>
          <w:p w14:paraId="5050E324" w14:textId="77777777" w:rsidR="000A4CDF" w:rsidRDefault="00000000">
            <w:r>
              <w:t>Benchmark confirmativo centrado en Adult Income.</w:t>
            </w:r>
          </w:p>
        </w:tc>
      </w:tr>
      <w:tr w:rsidR="000A4CDF" w14:paraId="14538DC8" w14:textId="77777777">
        <w:tc>
          <w:tcPr>
            <w:tcW w:w="1980" w:type="dxa"/>
          </w:tcPr>
          <w:p w14:paraId="49F86BB9" w14:textId="77777777" w:rsidR="000A4CDF" w:rsidRDefault="00000000">
            <w:r>
              <w:t>Inventario de artefactos EXP2</w:t>
            </w:r>
          </w:p>
        </w:tc>
        <w:tc>
          <w:tcPr>
            <w:tcW w:w="1980" w:type="dxa"/>
          </w:tcPr>
          <w:p w14:paraId="5A4980CE" w14:textId="77777777" w:rsidR="000A4CDF" w:rsidRPr="001B51D7" w:rsidRDefault="00000000">
            <w:pPr>
              <w:rPr>
                <w:lang w:val="en-US"/>
              </w:rPr>
            </w:pPr>
            <w:r w:rsidRPr="001B51D7">
              <w:rPr>
                <w:lang w:val="en-US"/>
              </w:rPr>
              <w:t>outputs/analysis/paper_a_exp2_stats/exp2_run_inventory.csv</w:t>
            </w:r>
          </w:p>
        </w:tc>
        <w:tc>
          <w:tcPr>
            <w:tcW w:w="1980" w:type="dxa"/>
          </w:tcPr>
          <w:p w14:paraId="50DF4E8E" w14:textId="77777777" w:rsidR="000A4CDF" w:rsidRDefault="00000000">
            <w:r>
              <w:t>Capítulo 3</w:t>
            </w:r>
          </w:p>
        </w:tc>
        <w:tc>
          <w:tcPr>
            <w:tcW w:w="1980" w:type="dxa"/>
          </w:tcPr>
          <w:p w14:paraId="21D570C2" w14:textId="77777777" w:rsidR="000A4CDF" w:rsidRDefault="00000000">
            <w:r>
              <w:t>Distingue artefactos presentes, vacíos y analizables.</w:t>
            </w:r>
          </w:p>
        </w:tc>
      </w:tr>
      <w:tr w:rsidR="000A4CDF" w14:paraId="081E7426" w14:textId="77777777">
        <w:tc>
          <w:tcPr>
            <w:tcW w:w="1980" w:type="dxa"/>
          </w:tcPr>
          <w:p w14:paraId="6472FA2F" w14:textId="77777777" w:rsidR="000A4CDF" w:rsidRDefault="00000000">
            <w:r>
              <w:t>Métricas por ejecución EXP2</w:t>
            </w:r>
          </w:p>
        </w:tc>
        <w:tc>
          <w:tcPr>
            <w:tcW w:w="1980" w:type="dxa"/>
          </w:tcPr>
          <w:p w14:paraId="29F4D6AF" w14:textId="77777777" w:rsidR="000A4CDF" w:rsidRPr="001B51D7" w:rsidRDefault="00000000">
            <w:pPr>
              <w:rPr>
                <w:lang w:val="en-US"/>
              </w:rPr>
            </w:pPr>
            <w:r w:rsidRPr="001B51D7">
              <w:rPr>
                <w:lang w:val="en-US"/>
              </w:rPr>
              <w:t>outputs/analysis/paper_a_exp2_stats/exp2_run_level_metrics.csv</w:t>
            </w:r>
          </w:p>
        </w:tc>
        <w:tc>
          <w:tcPr>
            <w:tcW w:w="1980" w:type="dxa"/>
          </w:tcPr>
          <w:p w14:paraId="30DCC9D9" w14:textId="77777777" w:rsidR="000A4CDF" w:rsidRDefault="00000000">
            <w:r>
              <w:t>Capítulo 4</w:t>
            </w:r>
          </w:p>
        </w:tc>
        <w:tc>
          <w:tcPr>
            <w:tcW w:w="1980" w:type="dxa"/>
          </w:tcPr>
          <w:p w14:paraId="21384E3E" w14:textId="77777777" w:rsidR="000A4CDF" w:rsidRDefault="00000000">
            <w:r>
              <w:t>No debe interpretarse con pruebas a nivel de instancia.</w:t>
            </w:r>
          </w:p>
        </w:tc>
      </w:tr>
      <w:tr w:rsidR="000A4CDF" w14:paraId="127DD7DF" w14:textId="77777777">
        <w:tc>
          <w:tcPr>
            <w:tcW w:w="1980" w:type="dxa"/>
          </w:tcPr>
          <w:p w14:paraId="135A7E32" w14:textId="77777777" w:rsidR="000A4CDF" w:rsidRDefault="00000000">
            <w:r>
              <w:t xml:space="preserve">Evidencia integrada </w:t>
            </w:r>
            <w:r>
              <w:lastRenderedPageBreak/>
              <w:t>EXP1–EXP3</w:t>
            </w:r>
          </w:p>
        </w:tc>
        <w:tc>
          <w:tcPr>
            <w:tcW w:w="1980" w:type="dxa"/>
          </w:tcPr>
          <w:p w14:paraId="11A7F3F9" w14:textId="77777777" w:rsidR="000A4CDF" w:rsidRPr="001B51D7" w:rsidRDefault="00000000">
            <w:pPr>
              <w:rPr>
                <w:lang w:val="en-US"/>
              </w:rPr>
            </w:pPr>
            <w:r w:rsidRPr="001B51D7">
              <w:rPr>
                <w:lang w:val="en-US"/>
              </w:rPr>
              <w:lastRenderedPageBreak/>
              <w:t>outputs/analysis/</w:t>
            </w:r>
            <w:proofErr w:type="spellStart"/>
            <w:r w:rsidRPr="001B51D7">
              <w:rPr>
                <w:lang w:val="en-US"/>
              </w:rPr>
              <w:t>integr</w:t>
            </w:r>
            <w:r w:rsidRPr="001B51D7">
              <w:rPr>
                <w:lang w:val="en-US"/>
              </w:rPr>
              <w:lastRenderedPageBreak/>
              <w:t>ated_evidence</w:t>
            </w:r>
            <w:proofErr w:type="spellEnd"/>
            <w:r w:rsidRPr="001B51D7">
              <w:rPr>
                <w:lang w:val="en-US"/>
              </w:rPr>
              <w:t>/</w:t>
            </w:r>
            <w:proofErr w:type="spellStart"/>
            <w:r w:rsidRPr="001B51D7">
              <w:rPr>
                <w:lang w:val="en-US"/>
              </w:rPr>
              <w:t>evidence_snapshot.json</w:t>
            </w:r>
            <w:proofErr w:type="spellEnd"/>
          </w:p>
        </w:tc>
        <w:tc>
          <w:tcPr>
            <w:tcW w:w="1980" w:type="dxa"/>
          </w:tcPr>
          <w:p w14:paraId="73474696" w14:textId="77777777" w:rsidR="000A4CDF" w:rsidRDefault="00000000">
            <w:r>
              <w:lastRenderedPageBreak/>
              <w:t>Capítulos 4–5</w:t>
            </w:r>
          </w:p>
        </w:tc>
        <w:tc>
          <w:tcPr>
            <w:tcW w:w="1980" w:type="dxa"/>
          </w:tcPr>
          <w:p w14:paraId="106BCC00" w14:textId="77777777" w:rsidR="000A4CDF" w:rsidRDefault="00000000">
            <w:r>
              <w:t xml:space="preserve">EXP3 es validación </w:t>
            </w:r>
            <w:r>
              <w:lastRenderedPageBreak/>
              <w:t>externa descriptiva, no prueba omnibus combinada.</w:t>
            </w:r>
          </w:p>
        </w:tc>
      </w:tr>
      <w:tr w:rsidR="000A4CDF" w14:paraId="0D9522A0" w14:textId="77777777">
        <w:tc>
          <w:tcPr>
            <w:tcW w:w="1980" w:type="dxa"/>
          </w:tcPr>
          <w:p w14:paraId="00CF3E83" w14:textId="77777777" w:rsidR="000A4CDF" w:rsidRDefault="00000000">
            <w:r>
              <w:lastRenderedPageBreak/>
              <w:t>Evaluación semántica EXP4</w:t>
            </w:r>
          </w:p>
        </w:tc>
        <w:tc>
          <w:tcPr>
            <w:tcW w:w="1980" w:type="dxa"/>
          </w:tcPr>
          <w:p w14:paraId="299DD96B" w14:textId="77777777" w:rsidR="000A4CDF" w:rsidRPr="001B51D7" w:rsidRDefault="00000000">
            <w:pPr>
              <w:rPr>
                <w:lang w:val="en-US"/>
              </w:rPr>
            </w:pPr>
            <w:r w:rsidRPr="001B51D7">
              <w:rPr>
                <w:lang w:val="en-US"/>
              </w:rPr>
              <w:t>outputs/analysis/exp4_llm_evaluation/exp4_analysis_summary.json</w:t>
            </w:r>
          </w:p>
        </w:tc>
        <w:tc>
          <w:tcPr>
            <w:tcW w:w="1980" w:type="dxa"/>
          </w:tcPr>
          <w:p w14:paraId="27AAAFB2" w14:textId="77777777" w:rsidR="000A4CDF" w:rsidRDefault="00000000">
            <w:r>
              <w:t>Capítulos 4–5</w:t>
            </w:r>
          </w:p>
        </w:tc>
        <w:tc>
          <w:tcPr>
            <w:tcW w:w="1980" w:type="dxa"/>
          </w:tcPr>
          <w:p w14:paraId="5A230C21" w14:textId="77777777" w:rsidR="000A4CDF" w:rsidRDefault="00000000">
            <w:r>
              <w:t>Evidencia proxy con LLMs; no validación humana confirmatoria.</w:t>
            </w:r>
          </w:p>
        </w:tc>
      </w:tr>
      <w:tr w:rsidR="000A4CDF" w14:paraId="34B5EE97" w14:textId="77777777">
        <w:tc>
          <w:tcPr>
            <w:tcW w:w="1980" w:type="dxa"/>
          </w:tcPr>
          <w:p w14:paraId="2D5DFAA4" w14:textId="77777777" w:rsidR="000A4CDF" w:rsidRDefault="00000000">
            <w:r>
              <w:t>Tesis compilada</w:t>
            </w:r>
          </w:p>
        </w:tc>
        <w:tc>
          <w:tcPr>
            <w:tcW w:w="1980" w:type="dxa"/>
          </w:tcPr>
          <w:p w14:paraId="096526FF" w14:textId="77777777" w:rsidR="000A4CDF" w:rsidRDefault="00000000">
            <w:r>
              <w:t>thesis/_output/JHerrera_XAI_Tesis_Doctorado.docx</w:t>
            </w:r>
          </w:p>
        </w:tc>
        <w:tc>
          <w:tcPr>
            <w:tcW w:w="1980" w:type="dxa"/>
          </w:tcPr>
          <w:p w14:paraId="0895A7B5" w14:textId="77777777" w:rsidR="000A4CDF" w:rsidRDefault="00000000">
            <w:r>
              <w:t>Documento completo</w:t>
            </w:r>
          </w:p>
        </w:tc>
        <w:tc>
          <w:tcPr>
            <w:tcW w:w="1980" w:type="dxa"/>
          </w:tcPr>
          <w:p w14:paraId="704F7E87" w14:textId="77777777" w:rsidR="000A4CDF" w:rsidRDefault="00000000">
            <w:r>
              <w:t>Requiere actualización manual del índice en Word antes de entrega final.</w:t>
            </w:r>
          </w:p>
        </w:tc>
      </w:tr>
    </w:tbl>
    <w:p w14:paraId="428EDFE9" w14:textId="77777777" w:rsidR="000A4CDF" w:rsidRDefault="00000000">
      <w:pPr>
        <w:pStyle w:val="Heading2"/>
      </w:pPr>
      <w:bookmarkStart w:id="284" w:name="apéndice-d-mapa-de-contribuciones"/>
      <w:bookmarkStart w:id="285" w:name="_Toc228522637"/>
      <w:bookmarkEnd w:id="282"/>
      <w:r>
        <w:t>Apéndice D: Mapa de contribuciones</w:t>
      </w:r>
      <w:bookmarkEnd w:id="285"/>
    </w:p>
    <w:tbl>
      <w:tblPr>
        <w:tblW w:w="5000" w:type="pct"/>
        <w:tblLayout w:type="fixed"/>
        <w:tblLook w:val="0020" w:firstRow="1" w:lastRow="0" w:firstColumn="0" w:lastColumn="0" w:noHBand="0" w:noVBand="0"/>
      </w:tblPr>
      <w:tblGrid>
        <w:gridCol w:w="2394"/>
        <w:gridCol w:w="2394"/>
        <w:gridCol w:w="2394"/>
        <w:gridCol w:w="2394"/>
      </w:tblGrid>
      <w:tr w:rsidR="000A4CDF" w14:paraId="543B60A4" w14:textId="77777777">
        <w:trPr>
          <w:tblHeader/>
        </w:trPr>
        <w:tc>
          <w:tcPr>
            <w:tcW w:w="1980" w:type="dxa"/>
          </w:tcPr>
          <w:p w14:paraId="7E30CB4D" w14:textId="77777777" w:rsidR="000A4CDF" w:rsidRDefault="00000000">
            <w:r>
              <w:t>Contribución</w:t>
            </w:r>
          </w:p>
        </w:tc>
        <w:tc>
          <w:tcPr>
            <w:tcW w:w="1980" w:type="dxa"/>
          </w:tcPr>
          <w:p w14:paraId="30F44B20" w14:textId="77777777" w:rsidR="000A4CDF" w:rsidRDefault="00000000">
            <w:r>
              <w:t>Evidencia principal</w:t>
            </w:r>
          </w:p>
        </w:tc>
        <w:tc>
          <w:tcPr>
            <w:tcW w:w="1980" w:type="dxa"/>
          </w:tcPr>
          <w:p w14:paraId="26F2D1BC" w14:textId="77777777" w:rsidR="000A4CDF" w:rsidRDefault="00000000">
            <w:r>
              <w:t>Sección</w:t>
            </w:r>
          </w:p>
        </w:tc>
        <w:tc>
          <w:tcPr>
            <w:tcW w:w="1980" w:type="dxa"/>
          </w:tcPr>
          <w:p w14:paraId="4C64DB3C" w14:textId="77777777" w:rsidR="000A4CDF" w:rsidRDefault="00000000">
            <w:r>
              <w:t>Limitación asociada</w:t>
            </w:r>
          </w:p>
        </w:tc>
      </w:tr>
      <w:tr w:rsidR="000A4CDF" w14:paraId="7D8EC563" w14:textId="77777777">
        <w:tc>
          <w:tcPr>
            <w:tcW w:w="1980" w:type="dxa"/>
          </w:tcPr>
          <w:p w14:paraId="04F7573D" w14:textId="77777777" w:rsidR="000A4CDF" w:rsidRDefault="00000000">
            <w:r>
              <w:t>Protocolo FOM-7 para benchmarking reproducible</w:t>
            </w:r>
          </w:p>
        </w:tc>
        <w:tc>
          <w:tcPr>
            <w:tcW w:w="1980" w:type="dxa"/>
          </w:tcPr>
          <w:p w14:paraId="1FDA629B" w14:textId="77777777" w:rsidR="000A4CDF" w:rsidRDefault="00000000">
            <w:r>
              <w:t>Diseño de puertas, inventario de artefactos y análisis regenerable</w:t>
            </w:r>
          </w:p>
        </w:tc>
        <w:tc>
          <w:tcPr>
            <w:tcW w:w="1980" w:type="dxa"/>
          </w:tcPr>
          <w:p w14:paraId="18058491" w14:textId="77777777" w:rsidR="000A4CDF" w:rsidRDefault="00000000">
            <w:r>
              <w:t>Capítulo 3</w:t>
            </w:r>
          </w:p>
        </w:tc>
        <w:tc>
          <w:tcPr>
            <w:tcW w:w="1980" w:type="dxa"/>
          </w:tcPr>
          <w:p w14:paraId="26BB6141" w14:textId="77777777" w:rsidR="000A4CDF" w:rsidRDefault="00000000">
            <w:r>
              <w:t>La portabilidad se demuestra solo en dominios tabulares.</w:t>
            </w:r>
          </w:p>
        </w:tc>
      </w:tr>
      <w:tr w:rsidR="000A4CDF" w14:paraId="04759C68" w14:textId="77777777">
        <w:tc>
          <w:tcPr>
            <w:tcW w:w="1980" w:type="dxa"/>
          </w:tcPr>
          <w:p w14:paraId="693771CE" w14:textId="77777777" w:rsidR="000A4CDF" w:rsidRDefault="00000000">
            <w:r>
              <w:t xml:space="preserve">Benchmark </w:t>
            </w:r>
            <w:r>
              <w:lastRenderedPageBreak/>
              <w:t>multimétrico de métodos XAI agnósticos</w:t>
            </w:r>
          </w:p>
        </w:tc>
        <w:tc>
          <w:tcPr>
            <w:tcW w:w="1980" w:type="dxa"/>
          </w:tcPr>
          <w:p w14:paraId="0F15DC02" w14:textId="77777777" w:rsidR="000A4CDF" w:rsidRDefault="00000000">
            <w:r>
              <w:lastRenderedPageBreak/>
              <w:t xml:space="preserve">EXP2 con 275 </w:t>
            </w:r>
            <w:r>
              <w:lastRenderedPageBreak/>
              <w:t>ejecuciones analizables y 15 bloques completos</w:t>
            </w:r>
          </w:p>
        </w:tc>
        <w:tc>
          <w:tcPr>
            <w:tcW w:w="1980" w:type="dxa"/>
          </w:tcPr>
          <w:p w14:paraId="54A5E8FB" w14:textId="77777777" w:rsidR="000A4CDF" w:rsidRDefault="00000000">
            <w:r>
              <w:lastRenderedPageBreak/>
              <w:t>Capítulo 4</w:t>
            </w:r>
          </w:p>
        </w:tc>
        <w:tc>
          <w:tcPr>
            <w:tcW w:w="1980" w:type="dxa"/>
          </w:tcPr>
          <w:p w14:paraId="7BE7BE1F" w14:textId="77777777" w:rsidR="000A4CDF" w:rsidRDefault="00000000">
            <w:r>
              <w:t xml:space="preserve">Adult Income </w:t>
            </w:r>
            <w:r>
              <w:lastRenderedPageBreak/>
              <w:t>concentra el peso inferencial confirmativo.</w:t>
            </w:r>
          </w:p>
        </w:tc>
      </w:tr>
      <w:tr w:rsidR="000A4CDF" w14:paraId="5F103CB7" w14:textId="77777777">
        <w:tc>
          <w:tcPr>
            <w:tcW w:w="1980" w:type="dxa"/>
          </w:tcPr>
          <w:p w14:paraId="2EFE000C" w14:textId="77777777" w:rsidR="000A4CDF" w:rsidRDefault="00000000">
            <w:r>
              <w:lastRenderedPageBreak/>
              <w:t>Análisis pareado SHAP–LIME</w:t>
            </w:r>
          </w:p>
        </w:tc>
        <w:tc>
          <w:tcPr>
            <w:tcW w:w="1980" w:type="dxa"/>
          </w:tcPr>
          <w:p w14:paraId="6154A406" w14:textId="77777777" w:rsidR="000A4CDF" w:rsidRDefault="00000000">
            <w:r>
              <w:t>75 celdas coincidentes por modelo, semilla y tamaño muestral</w:t>
            </w:r>
          </w:p>
        </w:tc>
        <w:tc>
          <w:tcPr>
            <w:tcW w:w="1980" w:type="dxa"/>
          </w:tcPr>
          <w:p w14:paraId="072567F4" w14:textId="77777777" w:rsidR="000A4CDF" w:rsidRDefault="00000000">
            <w:r>
              <w:t>Capítulo 4</w:t>
            </w:r>
          </w:p>
        </w:tc>
        <w:tc>
          <w:tcPr>
            <w:tcW w:w="1980" w:type="dxa"/>
          </w:tcPr>
          <w:p w14:paraId="4111B316" w14:textId="77777777" w:rsidR="000A4CDF" w:rsidRDefault="00000000">
            <w:r>
              <w:t>Contraste limitado a métodos de atribución comparables.</w:t>
            </w:r>
          </w:p>
        </w:tc>
      </w:tr>
      <w:tr w:rsidR="000A4CDF" w14:paraId="42B74A70" w14:textId="77777777">
        <w:tc>
          <w:tcPr>
            <w:tcW w:w="1980" w:type="dxa"/>
          </w:tcPr>
          <w:p w14:paraId="0CF61DA3" w14:textId="77777777" w:rsidR="000A4CDF" w:rsidRDefault="00000000">
            <w:r>
              <w:t>Validación externa compacta</w:t>
            </w:r>
          </w:p>
        </w:tc>
        <w:tc>
          <w:tcPr>
            <w:tcW w:w="1980" w:type="dxa"/>
          </w:tcPr>
          <w:p w14:paraId="58DBB1EE" w14:textId="77777777" w:rsidR="000A4CDF" w:rsidRPr="001B51D7" w:rsidRDefault="00000000">
            <w:pPr>
              <w:rPr>
                <w:lang w:val="en-US"/>
              </w:rPr>
            </w:pPr>
            <w:r w:rsidRPr="001B51D7">
              <w:rPr>
                <w:lang w:val="en-US"/>
              </w:rPr>
              <w:t>EXP3 con Breast Cancer y German Credit</w:t>
            </w:r>
          </w:p>
        </w:tc>
        <w:tc>
          <w:tcPr>
            <w:tcW w:w="1980" w:type="dxa"/>
          </w:tcPr>
          <w:p w14:paraId="7F45EEBE" w14:textId="77777777" w:rsidR="000A4CDF" w:rsidRDefault="00000000">
            <w:r>
              <w:t>Capítulo 4</w:t>
            </w:r>
          </w:p>
        </w:tc>
        <w:tc>
          <w:tcPr>
            <w:tcW w:w="1980" w:type="dxa"/>
          </w:tcPr>
          <w:p w14:paraId="38E4F5D2" w14:textId="77777777" w:rsidR="000A4CDF" w:rsidRDefault="00000000">
            <w:r>
              <w:t>Evidencia descriptiva; no sustituye un benchmark multidominio completo.</w:t>
            </w:r>
          </w:p>
        </w:tc>
      </w:tr>
      <w:tr w:rsidR="000A4CDF" w14:paraId="5537D57B" w14:textId="77777777">
        <w:tc>
          <w:tcPr>
            <w:tcW w:w="1980" w:type="dxa"/>
          </w:tcPr>
          <w:p w14:paraId="0CAF79AA" w14:textId="77777777" w:rsidR="000A4CDF" w:rsidRDefault="00000000">
            <w:r>
              <w:t>Taxonomía de métricas XAI</w:t>
            </w:r>
          </w:p>
        </w:tc>
        <w:tc>
          <w:tcPr>
            <w:tcW w:w="1980" w:type="dxa"/>
          </w:tcPr>
          <w:p w14:paraId="42DB3378" w14:textId="77777777" w:rsidR="000A4CDF" w:rsidRDefault="00000000">
            <w:r>
              <w:t>Revisión estructurada y mapeo de métricas del benchmark</w:t>
            </w:r>
          </w:p>
        </w:tc>
        <w:tc>
          <w:tcPr>
            <w:tcW w:w="1980" w:type="dxa"/>
          </w:tcPr>
          <w:p w14:paraId="6E524BB9" w14:textId="77777777" w:rsidR="000A4CDF" w:rsidRDefault="00000000">
            <w:r>
              <w:t>Capítulo 5</w:t>
            </w:r>
          </w:p>
        </w:tc>
        <w:tc>
          <w:tcPr>
            <w:tcW w:w="1980" w:type="dxa"/>
          </w:tcPr>
          <w:p w14:paraId="662FDCD5" w14:textId="77777777" w:rsidR="000A4CDF" w:rsidRDefault="00000000">
            <w:r>
              <w:t>No es una revisión bibliométrica exhaustiva.</w:t>
            </w:r>
          </w:p>
        </w:tc>
      </w:tr>
      <w:tr w:rsidR="000A4CDF" w14:paraId="3576A4A4" w14:textId="77777777">
        <w:tc>
          <w:tcPr>
            <w:tcW w:w="1980" w:type="dxa"/>
          </w:tcPr>
          <w:p w14:paraId="5A05C46C" w14:textId="77777777" w:rsidR="000A4CDF" w:rsidRDefault="00000000">
            <w:r>
              <w:t>Evaluación semántica proxy</w:t>
            </w:r>
          </w:p>
        </w:tc>
        <w:tc>
          <w:tcPr>
            <w:tcW w:w="1980" w:type="dxa"/>
          </w:tcPr>
          <w:p w14:paraId="2A4D3CED" w14:textId="77777777" w:rsidR="000A4CDF" w:rsidRDefault="00000000">
            <w:r>
              <w:t>EXP4 con 4 775 juicios reales de tres modelos-juez</w:t>
            </w:r>
          </w:p>
        </w:tc>
        <w:tc>
          <w:tcPr>
            <w:tcW w:w="1980" w:type="dxa"/>
          </w:tcPr>
          <w:p w14:paraId="702713D5" w14:textId="77777777" w:rsidR="000A4CDF" w:rsidRDefault="00000000">
            <w:r>
              <w:t>Capítulo 4</w:t>
            </w:r>
          </w:p>
        </w:tc>
        <w:tc>
          <w:tcPr>
            <w:tcW w:w="1980" w:type="dxa"/>
          </w:tcPr>
          <w:p w14:paraId="2630B403" w14:textId="77777777" w:rsidR="000A4CDF" w:rsidRDefault="00000000">
            <w:r>
              <w:t>No constituye validación con usuarios reales.</w:t>
            </w:r>
          </w:p>
        </w:tc>
      </w:tr>
    </w:tbl>
    <w:p w14:paraId="23970158" w14:textId="77777777" w:rsidR="000A4CDF" w:rsidRDefault="00000000">
      <w:pPr>
        <w:pStyle w:val="Heading2"/>
      </w:pPr>
      <w:bookmarkStart w:id="286" w:name="X5d4a48ef6d801c7a3e0e29077fcc96a7f19ab0f"/>
      <w:bookmarkStart w:id="287" w:name="_Toc228522638"/>
      <w:bookmarkEnd w:id="284"/>
      <w:r>
        <w:t>Apéndice E: Inventario de celdas EXP2 no analizables</w:t>
      </w:r>
      <w:bookmarkEnd w:id="287"/>
    </w:p>
    <w:p w14:paraId="731B57AB" w14:textId="77777777" w:rsidR="000A4CDF" w:rsidRDefault="00000000">
      <w:r>
        <w:t xml:space="preserve">La instantánea canónica de EXP2 contiene 299 archivos results.json presentes, 274 con evaluaciones de instancia y 25 artefactos vacíos. Tras aplicar la superposición de recuperación </w:t>
      </w:r>
      <w:r>
        <w:lastRenderedPageBreak/>
        <w:t>SHAP, el conjunto analítico contiene 275 ejecuciones analizables. Las 25 celdas no analizables restantes se concentran en Anchors y DiCE:</w:t>
      </w:r>
    </w:p>
    <w:tbl>
      <w:tblPr>
        <w:tblW w:w="0" w:type="auto"/>
        <w:tblLook w:val="0020" w:firstRow="1" w:lastRow="0" w:firstColumn="0" w:lastColumn="0" w:noHBand="0" w:noVBand="0"/>
      </w:tblPr>
      <w:tblGrid>
        <w:gridCol w:w="963"/>
        <w:gridCol w:w="963"/>
        <w:gridCol w:w="2296"/>
      </w:tblGrid>
      <w:tr w:rsidR="000A4CDF" w14:paraId="0E897608" w14:textId="77777777">
        <w:trPr>
          <w:tblHeader/>
        </w:trPr>
        <w:tc>
          <w:tcPr>
            <w:tcW w:w="0" w:type="auto"/>
          </w:tcPr>
          <w:p w14:paraId="7AFF3EFE" w14:textId="77777777" w:rsidR="000A4CDF" w:rsidRDefault="00000000">
            <w:r>
              <w:t>Modelo</w:t>
            </w:r>
          </w:p>
        </w:tc>
        <w:tc>
          <w:tcPr>
            <w:tcW w:w="0" w:type="auto"/>
          </w:tcPr>
          <w:p w14:paraId="2D208A7D" w14:textId="77777777" w:rsidR="000A4CDF" w:rsidRDefault="00000000">
            <w:pPr>
              <w:jc w:val="right"/>
            </w:pPr>
            <w:r>
              <w:t>Método</w:t>
            </w:r>
          </w:p>
        </w:tc>
        <w:tc>
          <w:tcPr>
            <w:tcW w:w="0" w:type="auto"/>
          </w:tcPr>
          <w:p w14:paraId="546DACC2" w14:textId="77777777" w:rsidR="000A4CDF" w:rsidRDefault="00000000">
            <w:pPr>
              <w:jc w:val="right"/>
            </w:pPr>
            <w:r>
              <w:t>Celdas no analizables</w:t>
            </w:r>
          </w:p>
        </w:tc>
      </w:tr>
      <w:tr w:rsidR="000A4CDF" w14:paraId="4F15046D" w14:textId="77777777">
        <w:tc>
          <w:tcPr>
            <w:tcW w:w="0" w:type="auto"/>
          </w:tcPr>
          <w:p w14:paraId="4A81C56E" w14:textId="77777777" w:rsidR="000A4CDF" w:rsidRDefault="00000000">
            <w:r>
              <w:t>logreg</w:t>
            </w:r>
          </w:p>
        </w:tc>
        <w:tc>
          <w:tcPr>
            <w:tcW w:w="0" w:type="auto"/>
          </w:tcPr>
          <w:p w14:paraId="6F7FF376" w14:textId="77777777" w:rsidR="000A4CDF" w:rsidRDefault="00000000">
            <w:pPr>
              <w:jc w:val="right"/>
            </w:pPr>
            <w:r>
              <w:t>anchors</w:t>
            </w:r>
          </w:p>
        </w:tc>
        <w:tc>
          <w:tcPr>
            <w:tcW w:w="0" w:type="auto"/>
          </w:tcPr>
          <w:p w14:paraId="1AABE24B" w14:textId="77777777" w:rsidR="000A4CDF" w:rsidRDefault="00000000">
            <w:pPr>
              <w:jc w:val="right"/>
            </w:pPr>
            <w:r>
              <w:t>8</w:t>
            </w:r>
          </w:p>
        </w:tc>
      </w:tr>
      <w:tr w:rsidR="000A4CDF" w14:paraId="06AEB39D" w14:textId="77777777">
        <w:tc>
          <w:tcPr>
            <w:tcW w:w="0" w:type="auto"/>
          </w:tcPr>
          <w:p w14:paraId="7457B7BD" w14:textId="77777777" w:rsidR="000A4CDF" w:rsidRDefault="00000000">
            <w:r>
              <w:t>mlp</w:t>
            </w:r>
          </w:p>
        </w:tc>
        <w:tc>
          <w:tcPr>
            <w:tcW w:w="0" w:type="auto"/>
          </w:tcPr>
          <w:p w14:paraId="6430CE4F" w14:textId="77777777" w:rsidR="000A4CDF" w:rsidRDefault="00000000">
            <w:pPr>
              <w:jc w:val="right"/>
            </w:pPr>
            <w:r>
              <w:t>anchors</w:t>
            </w:r>
          </w:p>
        </w:tc>
        <w:tc>
          <w:tcPr>
            <w:tcW w:w="0" w:type="auto"/>
          </w:tcPr>
          <w:p w14:paraId="3F67A842" w14:textId="77777777" w:rsidR="000A4CDF" w:rsidRDefault="00000000">
            <w:pPr>
              <w:jc w:val="right"/>
            </w:pPr>
            <w:r>
              <w:t>8</w:t>
            </w:r>
          </w:p>
        </w:tc>
      </w:tr>
      <w:tr w:rsidR="000A4CDF" w14:paraId="56943667" w14:textId="77777777">
        <w:tc>
          <w:tcPr>
            <w:tcW w:w="0" w:type="auto"/>
          </w:tcPr>
          <w:p w14:paraId="772D3405" w14:textId="77777777" w:rsidR="000A4CDF" w:rsidRDefault="00000000">
            <w:r>
              <w:t>xgb</w:t>
            </w:r>
          </w:p>
        </w:tc>
        <w:tc>
          <w:tcPr>
            <w:tcW w:w="0" w:type="auto"/>
          </w:tcPr>
          <w:p w14:paraId="1C31A78B" w14:textId="77777777" w:rsidR="000A4CDF" w:rsidRDefault="00000000">
            <w:pPr>
              <w:jc w:val="right"/>
            </w:pPr>
            <w:r>
              <w:t>anchors</w:t>
            </w:r>
          </w:p>
        </w:tc>
        <w:tc>
          <w:tcPr>
            <w:tcW w:w="0" w:type="auto"/>
          </w:tcPr>
          <w:p w14:paraId="37F53F90" w14:textId="77777777" w:rsidR="000A4CDF" w:rsidRDefault="00000000">
            <w:pPr>
              <w:jc w:val="right"/>
            </w:pPr>
            <w:r>
              <w:t>2</w:t>
            </w:r>
          </w:p>
        </w:tc>
      </w:tr>
      <w:tr w:rsidR="000A4CDF" w14:paraId="1E24E9CF" w14:textId="77777777">
        <w:tc>
          <w:tcPr>
            <w:tcW w:w="0" w:type="auto"/>
          </w:tcPr>
          <w:p w14:paraId="0EF7E503" w14:textId="77777777" w:rsidR="000A4CDF" w:rsidRDefault="00000000">
            <w:r>
              <w:t>logreg</w:t>
            </w:r>
          </w:p>
        </w:tc>
        <w:tc>
          <w:tcPr>
            <w:tcW w:w="0" w:type="auto"/>
          </w:tcPr>
          <w:p w14:paraId="57196487" w14:textId="77777777" w:rsidR="000A4CDF" w:rsidRDefault="00000000">
            <w:pPr>
              <w:jc w:val="right"/>
            </w:pPr>
            <w:r>
              <w:t>dice</w:t>
            </w:r>
          </w:p>
        </w:tc>
        <w:tc>
          <w:tcPr>
            <w:tcW w:w="0" w:type="auto"/>
          </w:tcPr>
          <w:p w14:paraId="043270FA" w14:textId="77777777" w:rsidR="000A4CDF" w:rsidRDefault="00000000">
            <w:pPr>
              <w:jc w:val="right"/>
            </w:pPr>
            <w:r>
              <w:t>2</w:t>
            </w:r>
          </w:p>
        </w:tc>
      </w:tr>
      <w:tr w:rsidR="000A4CDF" w14:paraId="7BCD4020" w14:textId="77777777">
        <w:tc>
          <w:tcPr>
            <w:tcW w:w="0" w:type="auto"/>
          </w:tcPr>
          <w:p w14:paraId="092A6C84" w14:textId="77777777" w:rsidR="000A4CDF" w:rsidRDefault="00000000">
            <w:r>
              <w:t>mlp</w:t>
            </w:r>
          </w:p>
        </w:tc>
        <w:tc>
          <w:tcPr>
            <w:tcW w:w="0" w:type="auto"/>
          </w:tcPr>
          <w:p w14:paraId="3B91ADEA" w14:textId="77777777" w:rsidR="000A4CDF" w:rsidRDefault="00000000">
            <w:pPr>
              <w:jc w:val="right"/>
            </w:pPr>
            <w:r>
              <w:t>dice</w:t>
            </w:r>
          </w:p>
        </w:tc>
        <w:tc>
          <w:tcPr>
            <w:tcW w:w="0" w:type="auto"/>
          </w:tcPr>
          <w:p w14:paraId="5EC9B90E" w14:textId="77777777" w:rsidR="000A4CDF" w:rsidRDefault="00000000">
            <w:pPr>
              <w:jc w:val="right"/>
            </w:pPr>
            <w:r>
              <w:t>2</w:t>
            </w:r>
          </w:p>
        </w:tc>
      </w:tr>
      <w:tr w:rsidR="000A4CDF" w14:paraId="35386843" w14:textId="77777777">
        <w:tc>
          <w:tcPr>
            <w:tcW w:w="0" w:type="auto"/>
          </w:tcPr>
          <w:p w14:paraId="0C21F700" w14:textId="77777777" w:rsidR="000A4CDF" w:rsidRDefault="00000000">
            <w:r>
              <w:t>svm</w:t>
            </w:r>
          </w:p>
        </w:tc>
        <w:tc>
          <w:tcPr>
            <w:tcW w:w="0" w:type="auto"/>
          </w:tcPr>
          <w:p w14:paraId="0E0D79B8" w14:textId="77777777" w:rsidR="000A4CDF" w:rsidRDefault="00000000">
            <w:pPr>
              <w:jc w:val="right"/>
            </w:pPr>
            <w:r>
              <w:t>dice</w:t>
            </w:r>
          </w:p>
        </w:tc>
        <w:tc>
          <w:tcPr>
            <w:tcW w:w="0" w:type="auto"/>
          </w:tcPr>
          <w:p w14:paraId="36033C98" w14:textId="77777777" w:rsidR="000A4CDF" w:rsidRDefault="00000000">
            <w:pPr>
              <w:jc w:val="right"/>
            </w:pPr>
            <w:r>
              <w:t>2</w:t>
            </w:r>
          </w:p>
        </w:tc>
      </w:tr>
      <w:tr w:rsidR="000A4CDF" w14:paraId="30708954" w14:textId="77777777">
        <w:tc>
          <w:tcPr>
            <w:tcW w:w="0" w:type="auto"/>
          </w:tcPr>
          <w:p w14:paraId="5004B266" w14:textId="77777777" w:rsidR="000A4CDF" w:rsidRDefault="00000000">
            <w:r>
              <w:t>xgb</w:t>
            </w:r>
          </w:p>
        </w:tc>
        <w:tc>
          <w:tcPr>
            <w:tcW w:w="0" w:type="auto"/>
          </w:tcPr>
          <w:p w14:paraId="5F3CC7A6" w14:textId="77777777" w:rsidR="000A4CDF" w:rsidRDefault="00000000">
            <w:pPr>
              <w:jc w:val="right"/>
            </w:pPr>
            <w:r>
              <w:t>dice</w:t>
            </w:r>
          </w:p>
        </w:tc>
        <w:tc>
          <w:tcPr>
            <w:tcW w:w="0" w:type="auto"/>
          </w:tcPr>
          <w:p w14:paraId="39C407EB" w14:textId="77777777" w:rsidR="000A4CDF" w:rsidRDefault="00000000">
            <w:pPr>
              <w:jc w:val="right"/>
            </w:pPr>
            <w:r>
              <w:t>1</w:t>
            </w:r>
          </w:p>
        </w:tc>
      </w:tr>
    </w:tbl>
    <w:p w14:paraId="685135E1" w14:textId="77777777" w:rsidR="000A4CDF" w:rsidRDefault="00000000">
      <w:pPr>
        <w:pStyle w:val="BodyText"/>
      </w:pPr>
      <w:r>
        <w:t>El detalle completo reside en outputs/analysis/paper_a_exp2_stats/exp2_run_inventory.csv. La lista de celdas vacías en la instantánea regenerada es:</w:t>
      </w:r>
    </w:p>
    <w:tbl>
      <w:tblPr>
        <w:tblW w:w="0" w:type="auto"/>
        <w:tblLook w:val="0020" w:firstRow="1" w:lastRow="0" w:firstColumn="0" w:lastColumn="0" w:noHBand="0" w:noVBand="0"/>
      </w:tblPr>
      <w:tblGrid>
        <w:gridCol w:w="963"/>
        <w:gridCol w:w="963"/>
        <w:gridCol w:w="950"/>
        <w:gridCol w:w="576"/>
        <w:gridCol w:w="870"/>
      </w:tblGrid>
      <w:tr w:rsidR="000A4CDF" w14:paraId="70F36F36" w14:textId="77777777">
        <w:trPr>
          <w:tblHeader/>
        </w:trPr>
        <w:tc>
          <w:tcPr>
            <w:tcW w:w="0" w:type="auto"/>
          </w:tcPr>
          <w:p w14:paraId="0E8CD4D4" w14:textId="77777777" w:rsidR="000A4CDF" w:rsidRDefault="00000000">
            <w:r>
              <w:t>Modelo</w:t>
            </w:r>
          </w:p>
        </w:tc>
        <w:tc>
          <w:tcPr>
            <w:tcW w:w="0" w:type="auto"/>
          </w:tcPr>
          <w:p w14:paraId="4BCD858F" w14:textId="77777777" w:rsidR="000A4CDF" w:rsidRDefault="00000000">
            <w:r>
              <w:t>Método</w:t>
            </w:r>
          </w:p>
        </w:tc>
        <w:tc>
          <w:tcPr>
            <w:tcW w:w="0" w:type="auto"/>
          </w:tcPr>
          <w:p w14:paraId="26898FCC" w14:textId="77777777" w:rsidR="000A4CDF" w:rsidRDefault="00000000">
            <w:pPr>
              <w:jc w:val="right"/>
            </w:pPr>
            <w:r>
              <w:t>Semilla</w:t>
            </w:r>
          </w:p>
        </w:tc>
        <w:tc>
          <w:tcPr>
            <w:tcW w:w="0" w:type="auto"/>
          </w:tcPr>
          <w:p w14:paraId="065E5E94" w14:textId="77777777" w:rsidR="000A4CDF" w:rsidRDefault="00000000">
            <w:pPr>
              <w:jc w:val="right"/>
            </w:pPr>
            <w:r>
              <w:t>N</w:t>
            </w:r>
          </w:p>
        </w:tc>
        <w:tc>
          <w:tcPr>
            <w:tcW w:w="0" w:type="auto"/>
          </w:tcPr>
          <w:p w14:paraId="6D5F0298" w14:textId="77777777" w:rsidR="000A4CDF" w:rsidRDefault="00000000">
            <w:r>
              <w:t>Estado</w:t>
            </w:r>
          </w:p>
        </w:tc>
      </w:tr>
      <w:tr w:rsidR="000A4CDF" w14:paraId="0BCCDDA2" w14:textId="77777777">
        <w:tc>
          <w:tcPr>
            <w:tcW w:w="0" w:type="auto"/>
          </w:tcPr>
          <w:p w14:paraId="45FE5D55" w14:textId="77777777" w:rsidR="000A4CDF" w:rsidRDefault="00000000">
            <w:r>
              <w:t>logreg</w:t>
            </w:r>
          </w:p>
        </w:tc>
        <w:tc>
          <w:tcPr>
            <w:tcW w:w="0" w:type="auto"/>
          </w:tcPr>
          <w:p w14:paraId="4A4F6350" w14:textId="77777777" w:rsidR="000A4CDF" w:rsidRDefault="00000000">
            <w:r>
              <w:t>anchors</w:t>
            </w:r>
          </w:p>
        </w:tc>
        <w:tc>
          <w:tcPr>
            <w:tcW w:w="0" w:type="auto"/>
          </w:tcPr>
          <w:p w14:paraId="62A1E14E" w14:textId="77777777" w:rsidR="000A4CDF" w:rsidRDefault="00000000">
            <w:pPr>
              <w:jc w:val="right"/>
            </w:pPr>
            <w:r>
              <w:t>42</w:t>
            </w:r>
          </w:p>
        </w:tc>
        <w:tc>
          <w:tcPr>
            <w:tcW w:w="0" w:type="auto"/>
          </w:tcPr>
          <w:p w14:paraId="774D6717" w14:textId="77777777" w:rsidR="000A4CDF" w:rsidRDefault="00000000">
            <w:pPr>
              <w:jc w:val="right"/>
            </w:pPr>
            <w:r>
              <w:t>50</w:t>
            </w:r>
          </w:p>
        </w:tc>
        <w:tc>
          <w:tcPr>
            <w:tcW w:w="0" w:type="auto"/>
          </w:tcPr>
          <w:p w14:paraId="6F78E3ED" w14:textId="77777777" w:rsidR="000A4CDF" w:rsidRDefault="00000000">
            <w:r>
              <w:t>empty</w:t>
            </w:r>
          </w:p>
        </w:tc>
      </w:tr>
      <w:tr w:rsidR="000A4CDF" w14:paraId="2E542882" w14:textId="77777777">
        <w:tc>
          <w:tcPr>
            <w:tcW w:w="0" w:type="auto"/>
          </w:tcPr>
          <w:p w14:paraId="4D5F3DEF" w14:textId="77777777" w:rsidR="000A4CDF" w:rsidRDefault="00000000">
            <w:r>
              <w:t>logreg</w:t>
            </w:r>
          </w:p>
        </w:tc>
        <w:tc>
          <w:tcPr>
            <w:tcW w:w="0" w:type="auto"/>
          </w:tcPr>
          <w:p w14:paraId="59D7C87F" w14:textId="77777777" w:rsidR="000A4CDF" w:rsidRDefault="00000000">
            <w:r>
              <w:t>anchors</w:t>
            </w:r>
          </w:p>
        </w:tc>
        <w:tc>
          <w:tcPr>
            <w:tcW w:w="0" w:type="auto"/>
          </w:tcPr>
          <w:p w14:paraId="4633A5B3" w14:textId="77777777" w:rsidR="000A4CDF" w:rsidRDefault="00000000">
            <w:pPr>
              <w:jc w:val="right"/>
            </w:pPr>
            <w:r>
              <w:t>42</w:t>
            </w:r>
          </w:p>
        </w:tc>
        <w:tc>
          <w:tcPr>
            <w:tcW w:w="0" w:type="auto"/>
          </w:tcPr>
          <w:p w14:paraId="46689DA4" w14:textId="77777777" w:rsidR="000A4CDF" w:rsidRDefault="00000000">
            <w:pPr>
              <w:jc w:val="right"/>
            </w:pPr>
            <w:r>
              <w:t>200</w:t>
            </w:r>
          </w:p>
        </w:tc>
        <w:tc>
          <w:tcPr>
            <w:tcW w:w="0" w:type="auto"/>
          </w:tcPr>
          <w:p w14:paraId="36747FB6" w14:textId="77777777" w:rsidR="000A4CDF" w:rsidRDefault="00000000">
            <w:r>
              <w:t>empty</w:t>
            </w:r>
          </w:p>
        </w:tc>
      </w:tr>
      <w:tr w:rsidR="000A4CDF" w14:paraId="7620ABA5" w14:textId="77777777">
        <w:tc>
          <w:tcPr>
            <w:tcW w:w="0" w:type="auto"/>
          </w:tcPr>
          <w:p w14:paraId="6DA2D053" w14:textId="77777777" w:rsidR="000A4CDF" w:rsidRDefault="00000000">
            <w:r>
              <w:t>logreg</w:t>
            </w:r>
          </w:p>
        </w:tc>
        <w:tc>
          <w:tcPr>
            <w:tcW w:w="0" w:type="auto"/>
          </w:tcPr>
          <w:p w14:paraId="1A1EFCD6" w14:textId="77777777" w:rsidR="000A4CDF" w:rsidRDefault="00000000">
            <w:r>
              <w:t>anchors</w:t>
            </w:r>
          </w:p>
        </w:tc>
        <w:tc>
          <w:tcPr>
            <w:tcW w:w="0" w:type="auto"/>
          </w:tcPr>
          <w:p w14:paraId="31D65ACF" w14:textId="77777777" w:rsidR="000A4CDF" w:rsidRDefault="00000000">
            <w:pPr>
              <w:jc w:val="right"/>
            </w:pPr>
            <w:r>
              <w:t>123</w:t>
            </w:r>
          </w:p>
        </w:tc>
        <w:tc>
          <w:tcPr>
            <w:tcW w:w="0" w:type="auto"/>
          </w:tcPr>
          <w:p w14:paraId="07669277" w14:textId="77777777" w:rsidR="000A4CDF" w:rsidRDefault="00000000">
            <w:pPr>
              <w:jc w:val="right"/>
            </w:pPr>
            <w:r>
              <w:t>50</w:t>
            </w:r>
          </w:p>
        </w:tc>
        <w:tc>
          <w:tcPr>
            <w:tcW w:w="0" w:type="auto"/>
          </w:tcPr>
          <w:p w14:paraId="050D9BDA" w14:textId="77777777" w:rsidR="000A4CDF" w:rsidRDefault="00000000">
            <w:r>
              <w:t>empty</w:t>
            </w:r>
          </w:p>
        </w:tc>
      </w:tr>
      <w:tr w:rsidR="000A4CDF" w14:paraId="17EC513E" w14:textId="77777777">
        <w:tc>
          <w:tcPr>
            <w:tcW w:w="0" w:type="auto"/>
          </w:tcPr>
          <w:p w14:paraId="5E65D4A6" w14:textId="77777777" w:rsidR="000A4CDF" w:rsidRDefault="00000000">
            <w:r>
              <w:t>logreg</w:t>
            </w:r>
          </w:p>
        </w:tc>
        <w:tc>
          <w:tcPr>
            <w:tcW w:w="0" w:type="auto"/>
          </w:tcPr>
          <w:p w14:paraId="039BB9F4" w14:textId="77777777" w:rsidR="000A4CDF" w:rsidRDefault="00000000">
            <w:r>
              <w:t>anchors</w:t>
            </w:r>
          </w:p>
        </w:tc>
        <w:tc>
          <w:tcPr>
            <w:tcW w:w="0" w:type="auto"/>
          </w:tcPr>
          <w:p w14:paraId="08396A5C" w14:textId="77777777" w:rsidR="000A4CDF" w:rsidRDefault="00000000">
            <w:pPr>
              <w:jc w:val="right"/>
            </w:pPr>
            <w:r>
              <w:t>123</w:t>
            </w:r>
          </w:p>
        </w:tc>
        <w:tc>
          <w:tcPr>
            <w:tcW w:w="0" w:type="auto"/>
          </w:tcPr>
          <w:p w14:paraId="1DB1FF0D" w14:textId="77777777" w:rsidR="000A4CDF" w:rsidRDefault="00000000">
            <w:pPr>
              <w:jc w:val="right"/>
            </w:pPr>
            <w:r>
              <w:t>200</w:t>
            </w:r>
          </w:p>
        </w:tc>
        <w:tc>
          <w:tcPr>
            <w:tcW w:w="0" w:type="auto"/>
          </w:tcPr>
          <w:p w14:paraId="50924EF8" w14:textId="77777777" w:rsidR="000A4CDF" w:rsidRDefault="00000000">
            <w:r>
              <w:t>empty</w:t>
            </w:r>
          </w:p>
        </w:tc>
      </w:tr>
      <w:tr w:rsidR="000A4CDF" w14:paraId="72BDEEAA" w14:textId="77777777">
        <w:tc>
          <w:tcPr>
            <w:tcW w:w="0" w:type="auto"/>
          </w:tcPr>
          <w:p w14:paraId="5FF5867F" w14:textId="77777777" w:rsidR="000A4CDF" w:rsidRDefault="00000000">
            <w:r>
              <w:t>logreg</w:t>
            </w:r>
          </w:p>
        </w:tc>
        <w:tc>
          <w:tcPr>
            <w:tcW w:w="0" w:type="auto"/>
          </w:tcPr>
          <w:p w14:paraId="6935A135" w14:textId="77777777" w:rsidR="000A4CDF" w:rsidRDefault="00000000">
            <w:r>
              <w:t>anchors</w:t>
            </w:r>
          </w:p>
        </w:tc>
        <w:tc>
          <w:tcPr>
            <w:tcW w:w="0" w:type="auto"/>
          </w:tcPr>
          <w:p w14:paraId="49765DBF" w14:textId="77777777" w:rsidR="000A4CDF" w:rsidRDefault="00000000">
            <w:pPr>
              <w:jc w:val="right"/>
            </w:pPr>
            <w:r>
              <w:t>456</w:t>
            </w:r>
          </w:p>
        </w:tc>
        <w:tc>
          <w:tcPr>
            <w:tcW w:w="0" w:type="auto"/>
          </w:tcPr>
          <w:p w14:paraId="5CF74D04" w14:textId="77777777" w:rsidR="000A4CDF" w:rsidRDefault="00000000">
            <w:pPr>
              <w:jc w:val="right"/>
            </w:pPr>
            <w:r>
              <w:t>100</w:t>
            </w:r>
          </w:p>
        </w:tc>
        <w:tc>
          <w:tcPr>
            <w:tcW w:w="0" w:type="auto"/>
          </w:tcPr>
          <w:p w14:paraId="16526A1F" w14:textId="77777777" w:rsidR="000A4CDF" w:rsidRDefault="00000000">
            <w:r>
              <w:t>empty</w:t>
            </w:r>
          </w:p>
        </w:tc>
      </w:tr>
      <w:tr w:rsidR="000A4CDF" w14:paraId="4929ADBC" w14:textId="77777777">
        <w:tc>
          <w:tcPr>
            <w:tcW w:w="0" w:type="auto"/>
          </w:tcPr>
          <w:p w14:paraId="7B79F3EE" w14:textId="77777777" w:rsidR="000A4CDF" w:rsidRDefault="00000000">
            <w:r>
              <w:lastRenderedPageBreak/>
              <w:t>logreg</w:t>
            </w:r>
          </w:p>
        </w:tc>
        <w:tc>
          <w:tcPr>
            <w:tcW w:w="0" w:type="auto"/>
          </w:tcPr>
          <w:p w14:paraId="108FDB30" w14:textId="77777777" w:rsidR="000A4CDF" w:rsidRDefault="00000000">
            <w:r>
              <w:t>anchors</w:t>
            </w:r>
          </w:p>
        </w:tc>
        <w:tc>
          <w:tcPr>
            <w:tcW w:w="0" w:type="auto"/>
          </w:tcPr>
          <w:p w14:paraId="79D87F4D" w14:textId="77777777" w:rsidR="000A4CDF" w:rsidRDefault="00000000">
            <w:pPr>
              <w:jc w:val="right"/>
            </w:pPr>
            <w:r>
              <w:t>789</w:t>
            </w:r>
          </w:p>
        </w:tc>
        <w:tc>
          <w:tcPr>
            <w:tcW w:w="0" w:type="auto"/>
          </w:tcPr>
          <w:p w14:paraId="01989607" w14:textId="77777777" w:rsidR="000A4CDF" w:rsidRDefault="00000000">
            <w:pPr>
              <w:jc w:val="right"/>
            </w:pPr>
            <w:r>
              <w:t>200</w:t>
            </w:r>
          </w:p>
        </w:tc>
        <w:tc>
          <w:tcPr>
            <w:tcW w:w="0" w:type="auto"/>
          </w:tcPr>
          <w:p w14:paraId="55C03121" w14:textId="77777777" w:rsidR="000A4CDF" w:rsidRDefault="00000000">
            <w:r>
              <w:t>empty</w:t>
            </w:r>
          </w:p>
        </w:tc>
      </w:tr>
      <w:tr w:rsidR="000A4CDF" w14:paraId="5BEE9CBA" w14:textId="77777777">
        <w:tc>
          <w:tcPr>
            <w:tcW w:w="0" w:type="auto"/>
          </w:tcPr>
          <w:p w14:paraId="5EFAD611" w14:textId="77777777" w:rsidR="000A4CDF" w:rsidRDefault="00000000">
            <w:r>
              <w:t>logreg</w:t>
            </w:r>
          </w:p>
        </w:tc>
        <w:tc>
          <w:tcPr>
            <w:tcW w:w="0" w:type="auto"/>
          </w:tcPr>
          <w:p w14:paraId="57F34309" w14:textId="77777777" w:rsidR="000A4CDF" w:rsidRDefault="00000000">
            <w:r>
              <w:t>anchors</w:t>
            </w:r>
          </w:p>
        </w:tc>
        <w:tc>
          <w:tcPr>
            <w:tcW w:w="0" w:type="auto"/>
          </w:tcPr>
          <w:p w14:paraId="2A5F8996" w14:textId="77777777" w:rsidR="000A4CDF" w:rsidRDefault="00000000">
            <w:pPr>
              <w:jc w:val="right"/>
            </w:pPr>
            <w:r>
              <w:t>999</w:t>
            </w:r>
          </w:p>
        </w:tc>
        <w:tc>
          <w:tcPr>
            <w:tcW w:w="0" w:type="auto"/>
          </w:tcPr>
          <w:p w14:paraId="2E2E06C0" w14:textId="77777777" w:rsidR="000A4CDF" w:rsidRDefault="00000000">
            <w:pPr>
              <w:jc w:val="right"/>
            </w:pPr>
            <w:r>
              <w:t>50</w:t>
            </w:r>
          </w:p>
        </w:tc>
        <w:tc>
          <w:tcPr>
            <w:tcW w:w="0" w:type="auto"/>
          </w:tcPr>
          <w:p w14:paraId="36C5C3A0" w14:textId="77777777" w:rsidR="000A4CDF" w:rsidRDefault="00000000">
            <w:r>
              <w:t>empty</w:t>
            </w:r>
          </w:p>
        </w:tc>
      </w:tr>
      <w:tr w:rsidR="000A4CDF" w14:paraId="61431D39" w14:textId="77777777">
        <w:tc>
          <w:tcPr>
            <w:tcW w:w="0" w:type="auto"/>
          </w:tcPr>
          <w:p w14:paraId="6BFF6FF9" w14:textId="77777777" w:rsidR="000A4CDF" w:rsidRDefault="00000000">
            <w:r>
              <w:t>logreg</w:t>
            </w:r>
          </w:p>
        </w:tc>
        <w:tc>
          <w:tcPr>
            <w:tcW w:w="0" w:type="auto"/>
          </w:tcPr>
          <w:p w14:paraId="41778C95" w14:textId="77777777" w:rsidR="000A4CDF" w:rsidRDefault="00000000">
            <w:r>
              <w:t>anchors</w:t>
            </w:r>
          </w:p>
        </w:tc>
        <w:tc>
          <w:tcPr>
            <w:tcW w:w="0" w:type="auto"/>
          </w:tcPr>
          <w:p w14:paraId="225903FA" w14:textId="77777777" w:rsidR="000A4CDF" w:rsidRDefault="00000000">
            <w:pPr>
              <w:jc w:val="right"/>
            </w:pPr>
            <w:r>
              <w:t>999</w:t>
            </w:r>
          </w:p>
        </w:tc>
        <w:tc>
          <w:tcPr>
            <w:tcW w:w="0" w:type="auto"/>
          </w:tcPr>
          <w:p w14:paraId="4BFA4B1C" w14:textId="77777777" w:rsidR="000A4CDF" w:rsidRDefault="00000000">
            <w:pPr>
              <w:jc w:val="right"/>
            </w:pPr>
            <w:r>
              <w:t>200</w:t>
            </w:r>
          </w:p>
        </w:tc>
        <w:tc>
          <w:tcPr>
            <w:tcW w:w="0" w:type="auto"/>
          </w:tcPr>
          <w:p w14:paraId="5C206157" w14:textId="77777777" w:rsidR="000A4CDF" w:rsidRDefault="00000000">
            <w:r>
              <w:t>empty</w:t>
            </w:r>
          </w:p>
        </w:tc>
      </w:tr>
      <w:tr w:rsidR="000A4CDF" w14:paraId="3C7B8CBD" w14:textId="77777777">
        <w:tc>
          <w:tcPr>
            <w:tcW w:w="0" w:type="auto"/>
          </w:tcPr>
          <w:p w14:paraId="66C4ECA5" w14:textId="77777777" w:rsidR="000A4CDF" w:rsidRDefault="00000000">
            <w:r>
              <w:t>logreg</w:t>
            </w:r>
          </w:p>
        </w:tc>
        <w:tc>
          <w:tcPr>
            <w:tcW w:w="0" w:type="auto"/>
          </w:tcPr>
          <w:p w14:paraId="2BB76716" w14:textId="77777777" w:rsidR="000A4CDF" w:rsidRDefault="00000000">
            <w:r>
              <w:t>dice</w:t>
            </w:r>
          </w:p>
        </w:tc>
        <w:tc>
          <w:tcPr>
            <w:tcW w:w="0" w:type="auto"/>
          </w:tcPr>
          <w:p w14:paraId="35FA751C" w14:textId="77777777" w:rsidR="000A4CDF" w:rsidRDefault="00000000">
            <w:pPr>
              <w:jc w:val="right"/>
            </w:pPr>
            <w:r>
              <w:t>123</w:t>
            </w:r>
          </w:p>
        </w:tc>
        <w:tc>
          <w:tcPr>
            <w:tcW w:w="0" w:type="auto"/>
          </w:tcPr>
          <w:p w14:paraId="646B7CE6" w14:textId="77777777" w:rsidR="000A4CDF" w:rsidRDefault="00000000">
            <w:pPr>
              <w:jc w:val="right"/>
            </w:pPr>
            <w:r>
              <w:t>50</w:t>
            </w:r>
          </w:p>
        </w:tc>
        <w:tc>
          <w:tcPr>
            <w:tcW w:w="0" w:type="auto"/>
          </w:tcPr>
          <w:p w14:paraId="0AA37992" w14:textId="77777777" w:rsidR="000A4CDF" w:rsidRDefault="00000000">
            <w:r>
              <w:t>empty</w:t>
            </w:r>
          </w:p>
        </w:tc>
      </w:tr>
      <w:tr w:rsidR="000A4CDF" w14:paraId="41AEFCC7" w14:textId="77777777">
        <w:tc>
          <w:tcPr>
            <w:tcW w:w="0" w:type="auto"/>
          </w:tcPr>
          <w:p w14:paraId="6AD2F910" w14:textId="77777777" w:rsidR="000A4CDF" w:rsidRDefault="00000000">
            <w:r>
              <w:t>logreg</w:t>
            </w:r>
          </w:p>
        </w:tc>
        <w:tc>
          <w:tcPr>
            <w:tcW w:w="0" w:type="auto"/>
          </w:tcPr>
          <w:p w14:paraId="3AA9C2D0" w14:textId="77777777" w:rsidR="000A4CDF" w:rsidRDefault="00000000">
            <w:r>
              <w:t>dice</w:t>
            </w:r>
          </w:p>
        </w:tc>
        <w:tc>
          <w:tcPr>
            <w:tcW w:w="0" w:type="auto"/>
          </w:tcPr>
          <w:p w14:paraId="1DA383E6" w14:textId="77777777" w:rsidR="000A4CDF" w:rsidRDefault="00000000">
            <w:pPr>
              <w:jc w:val="right"/>
            </w:pPr>
            <w:r>
              <w:t>999</w:t>
            </w:r>
          </w:p>
        </w:tc>
        <w:tc>
          <w:tcPr>
            <w:tcW w:w="0" w:type="auto"/>
          </w:tcPr>
          <w:p w14:paraId="2507DC55" w14:textId="77777777" w:rsidR="000A4CDF" w:rsidRDefault="00000000">
            <w:pPr>
              <w:jc w:val="right"/>
            </w:pPr>
            <w:r>
              <w:t>50</w:t>
            </w:r>
          </w:p>
        </w:tc>
        <w:tc>
          <w:tcPr>
            <w:tcW w:w="0" w:type="auto"/>
          </w:tcPr>
          <w:p w14:paraId="399C712F" w14:textId="77777777" w:rsidR="000A4CDF" w:rsidRDefault="00000000">
            <w:r>
              <w:t>empty</w:t>
            </w:r>
          </w:p>
        </w:tc>
      </w:tr>
      <w:tr w:rsidR="000A4CDF" w14:paraId="1E623EE7" w14:textId="77777777">
        <w:tc>
          <w:tcPr>
            <w:tcW w:w="0" w:type="auto"/>
          </w:tcPr>
          <w:p w14:paraId="71243CED" w14:textId="77777777" w:rsidR="000A4CDF" w:rsidRDefault="00000000">
            <w:r>
              <w:t>mlp</w:t>
            </w:r>
          </w:p>
        </w:tc>
        <w:tc>
          <w:tcPr>
            <w:tcW w:w="0" w:type="auto"/>
          </w:tcPr>
          <w:p w14:paraId="164239C0" w14:textId="77777777" w:rsidR="000A4CDF" w:rsidRDefault="00000000">
            <w:r>
              <w:t>anchors</w:t>
            </w:r>
          </w:p>
        </w:tc>
        <w:tc>
          <w:tcPr>
            <w:tcW w:w="0" w:type="auto"/>
          </w:tcPr>
          <w:p w14:paraId="05AE32BA" w14:textId="77777777" w:rsidR="000A4CDF" w:rsidRDefault="00000000">
            <w:pPr>
              <w:jc w:val="right"/>
            </w:pPr>
            <w:r>
              <w:t>42</w:t>
            </w:r>
          </w:p>
        </w:tc>
        <w:tc>
          <w:tcPr>
            <w:tcW w:w="0" w:type="auto"/>
          </w:tcPr>
          <w:p w14:paraId="06DCB0FD" w14:textId="77777777" w:rsidR="000A4CDF" w:rsidRDefault="00000000">
            <w:pPr>
              <w:jc w:val="right"/>
            </w:pPr>
            <w:r>
              <w:t>50</w:t>
            </w:r>
          </w:p>
        </w:tc>
        <w:tc>
          <w:tcPr>
            <w:tcW w:w="0" w:type="auto"/>
          </w:tcPr>
          <w:p w14:paraId="5B7E7BDA" w14:textId="77777777" w:rsidR="000A4CDF" w:rsidRDefault="00000000">
            <w:r>
              <w:t>empty</w:t>
            </w:r>
          </w:p>
        </w:tc>
      </w:tr>
      <w:tr w:rsidR="000A4CDF" w14:paraId="591F4385" w14:textId="77777777">
        <w:tc>
          <w:tcPr>
            <w:tcW w:w="0" w:type="auto"/>
          </w:tcPr>
          <w:p w14:paraId="3A13DC31" w14:textId="77777777" w:rsidR="000A4CDF" w:rsidRDefault="00000000">
            <w:r>
              <w:t>mlp</w:t>
            </w:r>
          </w:p>
        </w:tc>
        <w:tc>
          <w:tcPr>
            <w:tcW w:w="0" w:type="auto"/>
          </w:tcPr>
          <w:p w14:paraId="26F30717" w14:textId="77777777" w:rsidR="000A4CDF" w:rsidRDefault="00000000">
            <w:r>
              <w:t>anchors</w:t>
            </w:r>
          </w:p>
        </w:tc>
        <w:tc>
          <w:tcPr>
            <w:tcW w:w="0" w:type="auto"/>
          </w:tcPr>
          <w:p w14:paraId="5463B52D" w14:textId="77777777" w:rsidR="000A4CDF" w:rsidRDefault="00000000">
            <w:pPr>
              <w:jc w:val="right"/>
            </w:pPr>
            <w:r>
              <w:t>42</w:t>
            </w:r>
          </w:p>
        </w:tc>
        <w:tc>
          <w:tcPr>
            <w:tcW w:w="0" w:type="auto"/>
          </w:tcPr>
          <w:p w14:paraId="102A658E" w14:textId="77777777" w:rsidR="000A4CDF" w:rsidRDefault="00000000">
            <w:pPr>
              <w:jc w:val="right"/>
            </w:pPr>
            <w:r>
              <w:t>100</w:t>
            </w:r>
          </w:p>
        </w:tc>
        <w:tc>
          <w:tcPr>
            <w:tcW w:w="0" w:type="auto"/>
          </w:tcPr>
          <w:p w14:paraId="4586A2C5" w14:textId="77777777" w:rsidR="000A4CDF" w:rsidRDefault="00000000">
            <w:r>
              <w:t>empty</w:t>
            </w:r>
          </w:p>
        </w:tc>
      </w:tr>
      <w:tr w:rsidR="000A4CDF" w14:paraId="597D7841" w14:textId="77777777">
        <w:tc>
          <w:tcPr>
            <w:tcW w:w="0" w:type="auto"/>
          </w:tcPr>
          <w:p w14:paraId="1F6E2AFF" w14:textId="77777777" w:rsidR="000A4CDF" w:rsidRDefault="00000000">
            <w:r>
              <w:t>mlp</w:t>
            </w:r>
          </w:p>
        </w:tc>
        <w:tc>
          <w:tcPr>
            <w:tcW w:w="0" w:type="auto"/>
          </w:tcPr>
          <w:p w14:paraId="60743EC5" w14:textId="77777777" w:rsidR="000A4CDF" w:rsidRDefault="00000000">
            <w:r>
              <w:t>anchors</w:t>
            </w:r>
          </w:p>
        </w:tc>
        <w:tc>
          <w:tcPr>
            <w:tcW w:w="0" w:type="auto"/>
          </w:tcPr>
          <w:p w14:paraId="6698E601" w14:textId="77777777" w:rsidR="000A4CDF" w:rsidRDefault="00000000">
            <w:pPr>
              <w:jc w:val="right"/>
            </w:pPr>
            <w:r>
              <w:t>123</w:t>
            </w:r>
          </w:p>
        </w:tc>
        <w:tc>
          <w:tcPr>
            <w:tcW w:w="0" w:type="auto"/>
          </w:tcPr>
          <w:p w14:paraId="12BC976C" w14:textId="77777777" w:rsidR="000A4CDF" w:rsidRDefault="00000000">
            <w:pPr>
              <w:jc w:val="right"/>
            </w:pPr>
            <w:r>
              <w:t>200</w:t>
            </w:r>
          </w:p>
        </w:tc>
        <w:tc>
          <w:tcPr>
            <w:tcW w:w="0" w:type="auto"/>
          </w:tcPr>
          <w:p w14:paraId="6809C2A7" w14:textId="77777777" w:rsidR="000A4CDF" w:rsidRDefault="00000000">
            <w:r>
              <w:t>empty</w:t>
            </w:r>
          </w:p>
        </w:tc>
      </w:tr>
      <w:tr w:rsidR="000A4CDF" w14:paraId="3F527C43" w14:textId="77777777">
        <w:tc>
          <w:tcPr>
            <w:tcW w:w="0" w:type="auto"/>
          </w:tcPr>
          <w:p w14:paraId="3D7B2B8E" w14:textId="77777777" w:rsidR="000A4CDF" w:rsidRDefault="00000000">
            <w:r>
              <w:t>mlp</w:t>
            </w:r>
          </w:p>
        </w:tc>
        <w:tc>
          <w:tcPr>
            <w:tcW w:w="0" w:type="auto"/>
          </w:tcPr>
          <w:p w14:paraId="3942CD8A" w14:textId="77777777" w:rsidR="000A4CDF" w:rsidRDefault="00000000">
            <w:r>
              <w:t>anchors</w:t>
            </w:r>
          </w:p>
        </w:tc>
        <w:tc>
          <w:tcPr>
            <w:tcW w:w="0" w:type="auto"/>
          </w:tcPr>
          <w:p w14:paraId="52D3F0A3" w14:textId="77777777" w:rsidR="000A4CDF" w:rsidRDefault="00000000">
            <w:pPr>
              <w:jc w:val="right"/>
            </w:pPr>
            <w:r>
              <w:t>456</w:t>
            </w:r>
          </w:p>
        </w:tc>
        <w:tc>
          <w:tcPr>
            <w:tcW w:w="0" w:type="auto"/>
          </w:tcPr>
          <w:p w14:paraId="27C37E53" w14:textId="77777777" w:rsidR="000A4CDF" w:rsidRDefault="00000000">
            <w:pPr>
              <w:jc w:val="right"/>
            </w:pPr>
            <w:r>
              <w:t>50</w:t>
            </w:r>
          </w:p>
        </w:tc>
        <w:tc>
          <w:tcPr>
            <w:tcW w:w="0" w:type="auto"/>
          </w:tcPr>
          <w:p w14:paraId="11D1F937" w14:textId="77777777" w:rsidR="000A4CDF" w:rsidRDefault="00000000">
            <w:r>
              <w:t>empty</w:t>
            </w:r>
          </w:p>
        </w:tc>
      </w:tr>
      <w:tr w:rsidR="000A4CDF" w14:paraId="1BC3F083" w14:textId="77777777">
        <w:tc>
          <w:tcPr>
            <w:tcW w:w="0" w:type="auto"/>
          </w:tcPr>
          <w:p w14:paraId="5A75E28A" w14:textId="77777777" w:rsidR="000A4CDF" w:rsidRDefault="00000000">
            <w:r>
              <w:t>mlp</w:t>
            </w:r>
          </w:p>
        </w:tc>
        <w:tc>
          <w:tcPr>
            <w:tcW w:w="0" w:type="auto"/>
          </w:tcPr>
          <w:p w14:paraId="7780BDEB" w14:textId="77777777" w:rsidR="000A4CDF" w:rsidRDefault="00000000">
            <w:r>
              <w:t>anchors</w:t>
            </w:r>
          </w:p>
        </w:tc>
        <w:tc>
          <w:tcPr>
            <w:tcW w:w="0" w:type="auto"/>
          </w:tcPr>
          <w:p w14:paraId="2102CEE4" w14:textId="77777777" w:rsidR="000A4CDF" w:rsidRDefault="00000000">
            <w:pPr>
              <w:jc w:val="right"/>
            </w:pPr>
            <w:r>
              <w:t>456</w:t>
            </w:r>
          </w:p>
        </w:tc>
        <w:tc>
          <w:tcPr>
            <w:tcW w:w="0" w:type="auto"/>
          </w:tcPr>
          <w:p w14:paraId="03C7D7AD" w14:textId="77777777" w:rsidR="000A4CDF" w:rsidRDefault="00000000">
            <w:pPr>
              <w:jc w:val="right"/>
            </w:pPr>
            <w:r>
              <w:t>100</w:t>
            </w:r>
          </w:p>
        </w:tc>
        <w:tc>
          <w:tcPr>
            <w:tcW w:w="0" w:type="auto"/>
          </w:tcPr>
          <w:p w14:paraId="24A9A8F8" w14:textId="77777777" w:rsidR="000A4CDF" w:rsidRDefault="00000000">
            <w:r>
              <w:t>empty</w:t>
            </w:r>
          </w:p>
        </w:tc>
      </w:tr>
      <w:tr w:rsidR="000A4CDF" w14:paraId="5B2AAA0E" w14:textId="77777777">
        <w:tc>
          <w:tcPr>
            <w:tcW w:w="0" w:type="auto"/>
          </w:tcPr>
          <w:p w14:paraId="46EE90D4" w14:textId="77777777" w:rsidR="000A4CDF" w:rsidRDefault="00000000">
            <w:r>
              <w:t>mlp</w:t>
            </w:r>
          </w:p>
        </w:tc>
        <w:tc>
          <w:tcPr>
            <w:tcW w:w="0" w:type="auto"/>
          </w:tcPr>
          <w:p w14:paraId="4936FA8B" w14:textId="77777777" w:rsidR="000A4CDF" w:rsidRDefault="00000000">
            <w:r>
              <w:t>anchors</w:t>
            </w:r>
          </w:p>
        </w:tc>
        <w:tc>
          <w:tcPr>
            <w:tcW w:w="0" w:type="auto"/>
          </w:tcPr>
          <w:p w14:paraId="5D36850E" w14:textId="77777777" w:rsidR="000A4CDF" w:rsidRDefault="00000000">
            <w:pPr>
              <w:jc w:val="right"/>
            </w:pPr>
            <w:r>
              <w:t>789</w:t>
            </w:r>
          </w:p>
        </w:tc>
        <w:tc>
          <w:tcPr>
            <w:tcW w:w="0" w:type="auto"/>
          </w:tcPr>
          <w:p w14:paraId="0F9B4CC5" w14:textId="77777777" w:rsidR="000A4CDF" w:rsidRDefault="00000000">
            <w:pPr>
              <w:jc w:val="right"/>
            </w:pPr>
            <w:r>
              <w:t>50</w:t>
            </w:r>
          </w:p>
        </w:tc>
        <w:tc>
          <w:tcPr>
            <w:tcW w:w="0" w:type="auto"/>
          </w:tcPr>
          <w:p w14:paraId="53DCDD82" w14:textId="77777777" w:rsidR="000A4CDF" w:rsidRDefault="00000000">
            <w:r>
              <w:t>empty</w:t>
            </w:r>
          </w:p>
        </w:tc>
      </w:tr>
      <w:tr w:rsidR="000A4CDF" w14:paraId="4B37609E" w14:textId="77777777">
        <w:tc>
          <w:tcPr>
            <w:tcW w:w="0" w:type="auto"/>
          </w:tcPr>
          <w:p w14:paraId="0ECAAF29" w14:textId="77777777" w:rsidR="000A4CDF" w:rsidRDefault="00000000">
            <w:r>
              <w:t>mlp</w:t>
            </w:r>
          </w:p>
        </w:tc>
        <w:tc>
          <w:tcPr>
            <w:tcW w:w="0" w:type="auto"/>
          </w:tcPr>
          <w:p w14:paraId="10AE63BB" w14:textId="77777777" w:rsidR="000A4CDF" w:rsidRDefault="00000000">
            <w:r>
              <w:t>anchors</w:t>
            </w:r>
          </w:p>
        </w:tc>
        <w:tc>
          <w:tcPr>
            <w:tcW w:w="0" w:type="auto"/>
          </w:tcPr>
          <w:p w14:paraId="0D34BA61" w14:textId="77777777" w:rsidR="000A4CDF" w:rsidRDefault="00000000">
            <w:pPr>
              <w:jc w:val="right"/>
            </w:pPr>
            <w:r>
              <w:t>789</w:t>
            </w:r>
          </w:p>
        </w:tc>
        <w:tc>
          <w:tcPr>
            <w:tcW w:w="0" w:type="auto"/>
          </w:tcPr>
          <w:p w14:paraId="3ADECC9E" w14:textId="77777777" w:rsidR="000A4CDF" w:rsidRDefault="00000000">
            <w:pPr>
              <w:jc w:val="right"/>
            </w:pPr>
            <w:r>
              <w:t>200</w:t>
            </w:r>
          </w:p>
        </w:tc>
        <w:tc>
          <w:tcPr>
            <w:tcW w:w="0" w:type="auto"/>
          </w:tcPr>
          <w:p w14:paraId="105C97C7" w14:textId="77777777" w:rsidR="000A4CDF" w:rsidRDefault="00000000">
            <w:r>
              <w:t>empty</w:t>
            </w:r>
          </w:p>
        </w:tc>
      </w:tr>
      <w:tr w:rsidR="000A4CDF" w14:paraId="2B97DEF5" w14:textId="77777777">
        <w:tc>
          <w:tcPr>
            <w:tcW w:w="0" w:type="auto"/>
          </w:tcPr>
          <w:p w14:paraId="26827780" w14:textId="77777777" w:rsidR="000A4CDF" w:rsidRDefault="00000000">
            <w:r>
              <w:t>mlp</w:t>
            </w:r>
          </w:p>
        </w:tc>
        <w:tc>
          <w:tcPr>
            <w:tcW w:w="0" w:type="auto"/>
          </w:tcPr>
          <w:p w14:paraId="762F24C4" w14:textId="77777777" w:rsidR="000A4CDF" w:rsidRDefault="00000000">
            <w:r>
              <w:t>anchors</w:t>
            </w:r>
          </w:p>
        </w:tc>
        <w:tc>
          <w:tcPr>
            <w:tcW w:w="0" w:type="auto"/>
          </w:tcPr>
          <w:p w14:paraId="09A2670C" w14:textId="77777777" w:rsidR="000A4CDF" w:rsidRDefault="00000000">
            <w:pPr>
              <w:jc w:val="right"/>
            </w:pPr>
            <w:r>
              <w:t>999</w:t>
            </w:r>
          </w:p>
        </w:tc>
        <w:tc>
          <w:tcPr>
            <w:tcW w:w="0" w:type="auto"/>
          </w:tcPr>
          <w:p w14:paraId="3657E3F1" w14:textId="77777777" w:rsidR="000A4CDF" w:rsidRDefault="00000000">
            <w:pPr>
              <w:jc w:val="right"/>
            </w:pPr>
            <w:r>
              <w:t>200</w:t>
            </w:r>
          </w:p>
        </w:tc>
        <w:tc>
          <w:tcPr>
            <w:tcW w:w="0" w:type="auto"/>
          </w:tcPr>
          <w:p w14:paraId="64D0714F" w14:textId="77777777" w:rsidR="000A4CDF" w:rsidRDefault="00000000">
            <w:r>
              <w:t>empty</w:t>
            </w:r>
          </w:p>
        </w:tc>
      </w:tr>
      <w:tr w:rsidR="000A4CDF" w14:paraId="19C9BFD1" w14:textId="77777777">
        <w:tc>
          <w:tcPr>
            <w:tcW w:w="0" w:type="auto"/>
          </w:tcPr>
          <w:p w14:paraId="7C512F1F" w14:textId="77777777" w:rsidR="000A4CDF" w:rsidRDefault="00000000">
            <w:r>
              <w:t>mlp</w:t>
            </w:r>
          </w:p>
        </w:tc>
        <w:tc>
          <w:tcPr>
            <w:tcW w:w="0" w:type="auto"/>
          </w:tcPr>
          <w:p w14:paraId="5189BB76" w14:textId="77777777" w:rsidR="000A4CDF" w:rsidRDefault="00000000">
            <w:r>
              <w:t>dice</w:t>
            </w:r>
          </w:p>
        </w:tc>
        <w:tc>
          <w:tcPr>
            <w:tcW w:w="0" w:type="auto"/>
          </w:tcPr>
          <w:p w14:paraId="2BE979CE" w14:textId="77777777" w:rsidR="000A4CDF" w:rsidRDefault="00000000">
            <w:pPr>
              <w:jc w:val="right"/>
            </w:pPr>
            <w:r>
              <w:t>456</w:t>
            </w:r>
          </w:p>
        </w:tc>
        <w:tc>
          <w:tcPr>
            <w:tcW w:w="0" w:type="auto"/>
          </w:tcPr>
          <w:p w14:paraId="36F2A8CE" w14:textId="77777777" w:rsidR="000A4CDF" w:rsidRDefault="00000000">
            <w:pPr>
              <w:jc w:val="right"/>
            </w:pPr>
            <w:r>
              <w:t>50</w:t>
            </w:r>
          </w:p>
        </w:tc>
        <w:tc>
          <w:tcPr>
            <w:tcW w:w="0" w:type="auto"/>
          </w:tcPr>
          <w:p w14:paraId="1642BFEE" w14:textId="77777777" w:rsidR="000A4CDF" w:rsidRDefault="00000000">
            <w:r>
              <w:t>empty</w:t>
            </w:r>
          </w:p>
        </w:tc>
      </w:tr>
      <w:tr w:rsidR="000A4CDF" w14:paraId="6A5B3DC5" w14:textId="77777777">
        <w:tc>
          <w:tcPr>
            <w:tcW w:w="0" w:type="auto"/>
          </w:tcPr>
          <w:p w14:paraId="6BD06ACC" w14:textId="77777777" w:rsidR="000A4CDF" w:rsidRDefault="00000000">
            <w:r>
              <w:t>mlp</w:t>
            </w:r>
          </w:p>
        </w:tc>
        <w:tc>
          <w:tcPr>
            <w:tcW w:w="0" w:type="auto"/>
          </w:tcPr>
          <w:p w14:paraId="359E04F4" w14:textId="77777777" w:rsidR="000A4CDF" w:rsidRDefault="00000000">
            <w:r>
              <w:t>dice</w:t>
            </w:r>
          </w:p>
        </w:tc>
        <w:tc>
          <w:tcPr>
            <w:tcW w:w="0" w:type="auto"/>
          </w:tcPr>
          <w:p w14:paraId="0A30CD66" w14:textId="77777777" w:rsidR="000A4CDF" w:rsidRDefault="00000000">
            <w:pPr>
              <w:jc w:val="right"/>
            </w:pPr>
            <w:r>
              <w:t>456</w:t>
            </w:r>
          </w:p>
        </w:tc>
        <w:tc>
          <w:tcPr>
            <w:tcW w:w="0" w:type="auto"/>
          </w:tcPr>
          <w:p w14:paraId="0D4483D8" w14:textId="77777777" w:rsidR="000A4CDF" w:rsidRDefault="00000000">
            <w:pPr>
              <w:jc w:val="right"/>
            </w:pPr>
            <w:r>
              <w:t>200</w:t>
            </w:r>
          </w:p>
        </w:tc>
        <w:tc>
          <w:tcPr>
            <w:tcW w:w="0" w:type="auto"/>
          </w:tcPr>
          <w:p w14:paraId="1882BB61" w14:textId="77777777" w:rsidR="000A4CDF" w:rsidRDefault="00000000">
            <w:r>
              <w:t>empty</w:t>
            </w:r>
          </w:p>
        </w:tc>
      </w:tr>
      <w:tr w:rsidR="000A4CDF" w14:paraId="0ADAE258" w14:textId="77777777">
        <w:tc>
          <w:tcPr>
            <w:tcW w:w="0" w:type="auto"/>
          </w:tcPr>
          <w:p w14:paraId="495D9DFC" w14:textId="77777777" w:rsidR="000A4CDF" w:rsidRDefault="00000000">
            <w:r>
              <w:t>svm</w:t>
            </w:r>
          </w:p>
        </w:tc>
        <w:tc>
          <w:tcPr>
            <w:tcW w:w="0" w:type="auto"/>
          </w:tcPr>
          <w:p w14:paraId="2782AA36" w14:textId="77777777" w:rsidR="000A4CDF" w:rsidRDefault="00000000">
            <w:r>
              <w:t>dice</w:t>
            </w:r>
          </w:p>
        </w:tc>
        <w:tc>
          <w:tcPr>
            <w:tcW w:w="0" w:type="auto"/>
          </w:tcPr>
          <w:p w14:paraId="5AC88F0A" w14:textId="77777777" w:rsidR="000A4CDF" w:rsidRDefault="00000000">
            <w:pPr>
              <w:jc w:val="right"/>
            </w:pPr>
            <w:r>
              <w:t>123</w:t>
            </w:r>
          </w:p>
        </w:tc>
        <w:tc>
          <w:tcPr>
            <w:tcW w:w="0" w:type="auto"/>
          </w:tcPr>
          <w:p w14:paraId="5B246007" w14:textId="77777777" w:rsidR="000A4CDF" w:rsidRDefault="00000000">
            <w:pPr>
              <w:jc w:val="right"/>
            </w:pPr>
            <w:r>
              <w:t>50</w:t>
            </w:r>
          </w:p>
        </w:tc>
        <w:tc>
          <w:tcPr>
            <w:tcW w:w="0" w:type="auto"/>
          </w:tcPr>
          <w:p w14:paraId="1D84CDE1" w14:textId="77777777" w:rsidR="000A4CDF" w:rsidRDefault="00000000">
            <w:r>
              <w:t>empty</w:t>
            </w:r>
          </w:p>
        </w:tc>
      </w:tr>
      <w:tr w:rsidR="000A4CDF" w14:paraId="742C3DC1" w14:textId="77777777">
        <w:tc>
          <w:tcPr>
            <w:tcW w:w="0" w:type="auto"/>
          </w:tcPr>
          <w:p w14:paraId="0A2A06E4" w14:textId="77777777" w:rsidR="000A4CDF" w:rsidRDefault="00000000">
            <w:r>
              <w:lastRenderedPageBreak/>
              <w:t>svm</w:t>
            </w:r>
          </w:p>
        </w:tc>
        <w:tc>
          <w:tcPr>
            <w:tcW w:w="0" w:type="auto"/>
          </w:tcPr>
          <w:p w14:paraId="0956FFCB" w14:textId="77777777" w:rsidR="000A4CDF" w:rsidRDefault="00000000">
            <w:r>
              <w:t>dice</w:t>
            </w:r>
          </w:p>
        </w:tc>
        <w:tc>
          <w:tcPr>
            <w:tcW w:w="0" w:type="auto"/>
          </w:tcPr>
          <w:p w14:paraId="699FD39A" w14:textId="77777777" w:rsidR="000A4CDF" w:rsidRDefault="00000000">
            <w:pPr>
              <w:jc w:val="right"/>
            </w:pPr>
            <w:r>
              <w:t>456</w:t>
            </w:r>
          </w:p>
        </w:tc>
        <w:tc>
          <w:tcPr>
            <w:tcW w:w="0" w:type="auto"/>
          </w:tcPr>
          <w:p w14:paraId="3385B860" w14:textId="77777777" w:rsidR="000A4CDF" w:rsidRDefault="00000000">
            <w:pPr>
              <w:jc w:val="right"/>
            </w:pPr>
            <w:r>
              <w:t>100</w:t>
            </w:r>
          </w:p>
        </w:tc>
        <w:tc>
          <w:tcPr>
            <w:tcW w:w="0" w:type="auto"/>
          </w:tcPr>
          <w:p w14:paraId="2BFF1743" w14:textId="77777777" w:rsidR="000A4CDF" w:rsidRDefault="00000000">
            <w:r>
              <w:t>empty</w:t>
            </w:r>
          </w:p>
        </w:tc>
      </w:tr>
      <w:tr w:rsidR="000A4CDF" w14:paraId="5677282C" w14:textId="77777777">
        <w:tc>
          <w:tcPr>
            <w:tcW w:w="0" w:type="auto"/>
          </w:tcPr>
          <w:p w14:paraId="6049FBD7" w14:textId="77777777" w:rsidR="000A4CDF" w:rsidRDefault="00000000">
            <w:r>
              <w:t>xgb</w:t>
            </w:r>
          </w:p>
        </w:tc>
        <w:tc>
          <w:tcPr>
            <w:tcW w:w="0" w:type="auto"/>
          </w:tcPr>
          <w:p w14:paraId="114F4226" w14:textId="77777777" w:rsidR="000A4CDF" w:rsidRDefault="00000000">
            <w:r>
              <w:t>anchors</w:t>
            </w:r>
          </w:p>
        </w:tc>
        <w:tc>
          <w:tcPr>
            <w:tcW w:w="0" w:type="auto"/>
          </w:tcPr>
          <w:p w14:paraId="28A95385" w14:textId="77777777" w:rsidR="000A4CDF" w:rsidRDefault="00000000">
            <w:pPr>
              <w:jc w:val="right"/>
            </w:pPr>
            <w:r>
              <w:t>42</w:t>
            </w:r>
          </w:p>
        </w:tc>
        <w:tc>
          <w:tcPr>
            <w:tcW w:w="0" w:type="auto"/>
          </w:tcPr>
          <w:p w14:paraId="02F5D323" w14:textId="77777777" w:rsidR="000A4CDF" w:rsidRDefault="00000000">
            <w:pPr>
              <w:jc w:val="right"/>
            </w:pPr>
            <w:r>
              <w:t>200</w:t>
            </w:r>
          </w:p>
        </w:tc>
        <w:tc>
          <w:tcPr>
            <w:tcW w:w="0" w:type="auto"/>
          </w:tcPr>
          <w:p w14:paraId="2BB19393" w14:textId="77777777" w:rsidR="000A4CDF" w:rsidRDefault="00000000">
            <w:r>
              <w:t>empty</w:t>
            </w:r>
          </w:p>
        </w:tc>
      </w:tr>
      <w:tr w:rsidR="000A4CDF" w14:paraId="04527079" w14:textId="77777777">
        <w:tc>
          <w:tcPr>
            <w:tcW w:w="0" w:type="auto"/>
          </w:tcPr>
          <w:p w14:paraId="344D128D" w14:textId="77777777" w:rsidR="000A4CDF" w:rsidRDefault="00000000">
            <w:r>
              <w:t>xgb</w:t>
            </w:r>
          </w:p>
        </w:tc>
        <w:tc>
          <w:tcPr>
            <w:tcW w:w="0" w:type="auto"/>
          </w:tcPr>
          <w:p w14:paraId="0BCD7AA6" w14:textId="77777777" w:rsidR="000A4CDF" w:rsidRDefault="00000000">
            <w:r>
              <w:t>anchors</w:t>
            </w:r>
          </w:p>
        </w:tc>
        <w:tc>
          <w:tcPr>
            <w:tcW w:w="0" w:type="auto"/>
          </w:tcPr>
          <w:p w14:paraId="64E6FA75" w14:textId="77777777" w:rsidR="000A4CDF" w:rsidRDefault="00000000">
            <w:pPr>
              <w:jc w:val="right"/>
            </w:pPr>
            <w:r>
              <w:t>123</w:t>
            </w:r>
          </w:p>
        </w:tc>
        <w:tc>
          <w:tcPr>
            <w:tcW w:w="0" w:type="auto"/>
          </w:tcPr>
          <w:p w14:paraId="0C2357A3" w14:textId="77777777" w:rsidR="000A4CDF" w:rsidRDefault="00000000">
            <w:pPr>
              <w:jc w:val="right"/>
            </w:pPr>
            <w:r>
              <w:t>50</w:t>
            </w:r>
          </w:p>
        </w:tc>
        <w:tc>
          <w:tcPr>
            <w:tcW w:w="0" w:type="auto"/>
          </w:tcPr>
          <w:p w14:paraId="42E5C8BA" w14:textId="77777777" w:rsidR="000A4CDF" w:rsidRDefault="00000000">
            <w:r>
              <w:t>empty</w:t>
            </w:r>
          </w:p>
        </w:tc>
      </w:tr>
      <w:tr w:rsidR="000A4CDF" w14:paraId="71DBBA8B" w14:textId="77777777">
        <w:tc>
          <w:tcPr>
            <w:tcW w:w="0" w:type="auto"/>
          </w:tcPr>
          <w:p w14:paraId="69B190D2" w14:textId="77777777" w:rsidR="000A4CDF" w:rsidRDefault="00000000">
            <w:r>
              <w:t>xgb</w:t>
            </w:r>
          </w:p>
        </w:tc>
        <w:tc>
          <w:tcPr>
            <w:tcW w:w="0" w:type="auto"/>
          </w:tcPr>
          <w:p w14:paraId="5C0DB156" w14:textId="77777777" w:rsidR="000A4CDF" w:rsidRDefault="00000000">
            <w:r>
              <w:t>dice</w:t>
            </w:r>
          </w:p>
        </w:tc>
        <w:tc>
          <w:tcPr>
            <w:tcW w:w="0" w:type="auto"/>
          </w:tcPr>
          <w:p w14:paraId="14592369" w14:textId="77777777" w:rsidR="000A4CDF" w:rsidRDefault="00000000">
            <w:pPr>
              <w:jc w:val="right"/>
            </w:pPr>
            <w:r>
              <w:t>789</w:t>
            </w:r>
          </w:p>
        </w:tc>
        <w:tc>
          <w:tcPr>
            <w:tcW w:w="0" w:type="auto"/>
          </w:tcPr>
          <w:p w14:paraId="3AB02D97" w14:textId="77777777" w:rsidR="000A4CDF" w:rsidRDefault="00000000">
            <w:pPr>
              <w:jc w:val="right"/>
            </w:pPr>
            <w:r>
              <w:t>100</w:t>
            </w:r>
          </w:p>
        </w:tc>
        <w:tc>
          <w:tcPr>
            <w:tcW w:w="0" w:type="auto"/>
          </w:tcPr>
          <w:p w14:paraId="13D1C769" w14:textId="77777777" w:rsidR="000A4CDF" w:rsidRDefault="00000000">
            <w:r>
              <w:t>empty</w:t>
            </w:r>
          </w:p>
        </w:tc>
      </w:tr>
    </w:tbl>
    <w:p w14:paraId="15905791" w14:textId="77777777" w:rsidR="000A4CDF" w:rsidRDefault="00000000">
      <w:pPr>
        <w:pStyle w:val="Heading2"/>
      </w:pPr>
      <w:bookmarkStart w:id="288" w:name="X1624cc4ca9247a19158901f8c573bb6af8ba7aa"/>
      <w:bookmarkStart w:id="289" w:name="_Toc228522639"/>
      <w:bookmarkEnd w:id="286"/>
      <w:r>
        <w:t>Apéndice F: Prompts y protocolo de evaluación con LLMs (EXP4)</w:t>
      </w:r>
      <w:bookmarkEnd w:id="289"/>
    </w:p>
    <w:p w14:paraId="5D7C0CE5" w14:textId="77777777" w:rsidR="000A4CDF" w:rsidRDefault="00000000">
      <w:pPr>
        <w:pStyle w:val="Heading3"/>
      </w:pPr>
      <w:bookmarkStart w:id="290" w:name="X14a828c59c5f69aa42e57bb41ab9d12fb253643"/>
      <w:bookmarkStart w:id="291" w:name="_Toc228522640"/>
      <w:r>
        <w:t>F.1 Diseño general del protocolo de evaluación</w:t>
      </w:r>
      <w:bookmarkEnd w:id="291"/>
    </w:p>
    <w:p w14:paraId="7B07A85F" w14:textId="77777777" w:rsidR="000A4CDF" w:rsidRDefault="00000000">
      <w:r>
        <w:t>EXP4 utiliza LLMs como jueces rubricados para evaluar semánticamente las explicaciones generadas por los cuatro métodos del benchmark. Los juicios se producen con tres modelos: GPT-4.1-2025-04-14 (OpenAI directo), GPT-4.1-2025-04-14 (vía OpenRouter) y GPT-4.1-mini (vía OpenRouter). Las respuestas se almacenan como JSON estructurado en experiments/exp4_llm_evaluation/raw_responses/ y las puntuaciones parseadas en experiments/exp4_llm_evaluation/parsed_scores/exp4_llm_scores.csv. El resumen cuantitativo canónico para la tesis es outputs/analysis/exp4_llm_evaluation/exp4_analysis_summary.json.</w:t>
      </w:r>
    </w:p>
    <w:p w14:paraId="6FD33607" w14:textId="77777777" w:rsidR="000A4CDF" w:rsidRDefault="00000000">
      <w:pPr>
        <w:pStyle w:val="Heading3"/>
      </w:pPr>
      <w:bookmarkStart w:id="292" w:name="f.2-condiciones-de-prompt"/>
      <w:bookmarkStart w:id="293" w:name="_Toc228522641"/>
      <w:bookmarkEnd w:id="290"/>
      <w:r>
        <w:t>F.2 Condiciones de prompt</w:t>
      </w:r>
      <w:bookmarkEnd w:id="293"/>
    </w:p>
    <w:p w14:paraId="14CC8B94" w14:textId="77777777" w:rsidR="000A4CDF" w:rsidRDefault="00000000">
      <w:r>
        <w:t>Se utilizaron tres condiciones de prompt, implementadas en experiments/exp4_llm_evaluation/prompts/:</w:t>
      </w:r>
    </w:p>
    <w:p w14:paraId="061368F0" w14:textId="77777777" w:rsidR="000A4CDF" w:rsidRDefault="00000000">
      <w:pPr>
        <w:numPr>
          <w:ilvl w:val="0"/>
          <w:numId w:val="72"/>
        </w:numPr>
      </w:pPr>
      <w:r>
        <w:rPr>
          <w:b/>
          <w:bCs/>
        </w:rPr>
        <w:t>hidden_label_primary</w:t>
      </w:r>
      <w:r>
        <w:t xml:space="preserve"> (condición principal): La etiqueta de la predicción del modelo (</w:t>
      </w:r>
      <w:r>
        <w:rPr>
          <w:i/>
          <w:iCs/>
        </w:rPr>
        <w:t>prediction</w:t>
      </w:r>
      <w:r>
        <w:t xml:space="preserve">) está incluida en el contexto del caso, pero el </w:t>
      </w:r>
      <w:r>
        <w:rPr>
          <w:i/>
          <w:iCs/>
        </w:rPr>
        <w:t>true_label</w:t>
      </w:r>
      <w:r>
        <w:t xml:space="preserve"> es nulo. Esta </w:t>
      </w:r>
      <w:r>
        <w:lastRenderedPageBreak/>
        <w:t>condición es la base de todos los análisis de EXP4 y evita que el juez conozca si la predicción fue correcta.</w:t>
      </w:r>
    </w:p>
    <w:p w14:paraId="31AD6D32" w14:textId="77777777" w:rsidR="000A4CDF" w:rsidRDefault="00000000">
      <w:pPr>
        <w:numPr>
          <w:ilvl w:val="0"/>
          <w:numId w:val="72"/>
        </w:numPr>
      </w:pPr>
      <w:r>
        <w:rPr>
          <w:b/>
          <w:bCs/>
        </w:rPr>
        <w:t>label_visible_bias_probe</w:t>
      </w:r>
      <w:r>
        <w:t xml:space="preserve"> (sonda de sesgo): Idéntica a la condición principal excepto que el </w:t>
      </w:r>
      <w:r>
        <w:rPr>
          <w:i/>
          <w:iCs/>
        </w:rPr>
        <w:t>true_label</w:t>
      </w:r>
      <w:r>
        <w:t xml:space="preserve"> es visible. Permite cuantificar si los jueces alteran sus puntuaciones semánticas al saber si el modelo acertó.</w:t>
      </w:r>
    </w:p>
    <w:p w14:paraId="6542DEDE" w14:textId="77777777" w:rsidR="000A4CDF" w:rsidRDefault="00000000">
      <w:pPr>
        <w:numPr>
          <w:ilvl w:val="0"/>
          <w:numId w:val="72"/>
        </w:numPr>
      </w:pPr>
      <w:r>
        <w:rPr>
          <w:b/>
          <w:bCs/>
        </w:rPr>
        <w:t>rubric_alt_sensitivity</w:t>
      </w:r>
      <w:r>
        <w:t xml:space="preserve"> (sensibilidad de rúbrica): Versión alternativa con definiciones de dimensiones ligeramente reformuladas. Permite evaluar la robustez de los resultados a la redacción de la rúbrica.</w:t>
      </w:r>
    </w:p>
    <w:p w14:paraId="516CE455" w14:textId="77777777" w:rsidR="000A4CDF" w:rsidRDefault="00000000">
      <w:pPr>
        <w:pStyle w:val="Heading3"/>
      </w:pPr>
      <w:bookmarkStart w:id="294" w:name="X7ba61e403deeac4d3b500d61370676903211e86"/>
      <w:bookmarkStart w:id="295" w:name="_Toc228522642"/>
      <w:bookmarkEnd w:id="292"/>
      <w:r>
        <w:t>F.3 Plantilla de prompt (condición hidden_label_primary)</w:t>
      </w:r>
      <w:bookmarkEnd w:id="295"/>
    </w:p>
    <w:p w14:paraId="59806A1E" w14:textId="77777777" w:rsidR="000A4CDF" w:rsidRPr="001B51D7" w:rsidRDefault="00000000">
      <w:pPr>
        <w:pStyle w:val="SourceCode"/>
        <w:rPr>
          <w:lang w:val="en-US"/>
        </w:rPr>
      </w:pPr>
      <w:r w:rsidRPr="001B51D7">
        <w:rPr>
          <w:lang w:val="en-US"/>
        </w:rPr>
        <w:t>You are an independent evaluator of local XAI explanations.</w:t>
      </w:r>
      <w:r w:rsidRPr="001B51D7">
        <w:rPr>
          <w:lang w:val="en-US"/>
        </w:rPr>
        <w:br/>
      </w:r>
      <w:r w:rsidRPr="001B51D7">
        <w:rPr>
          <w:lang w:val="en-US"/>
        </w:rPr>
        <w:br/>
        <w:t>Evaluate only the explanation and case context shown below. Do not infer</w:t>
      </w:r>
      <w:r w:rsidRPr="001B51D7">
        <w:rPr>
          <w:lang w:val="en-US"/>
        </w:rPr>
        <w:br/>
        <w:t>hidden facts, do not reward or penalize an explainer family by reputation,</w:t>
      </w:r>
      <w:r w:rsidRPr="001B51D7">
        <w:rPr>
          <w:lang w:val="en-US"/>
        </w:rPr>
        <w:br/>
        <w:t>and do not assume that the ground-truth label is available.</w:t>
      </w:r>
      <w:r w:rsidRPr="001B51D7">
        <w:rPr>
          <w:lang w:val="en-US"/>
        </w:rPr>
        <w:br/>
      </w:r>
      <w:r w:rsidRPr="001B51D7">
        <w:rPr>
          <w:lang w:val="en-US"/>
        </w:rPr>
        <w:br/>
        <w:t>Rubric version: RUBRIC_V1</w:t>
      </w:r>
      <w:r w:rsidRPr="001B51D7">
        <w:rPr>
          <w:lang w:val="en-US"/>
        </w:rPr>
        <w:br/>
        <w:t xml:space="preserve">Prompt condition: </w:t>
      </w:r>
      <w:proofErr w:type="spellStart"/>
      <w:r w:rsidRPr="001B51D7">
        <w:rPr>
          <w:lang w:val="en-US"/>
        </w:rPr>
        <w:t>hidden_label_primary</w:t>
      </w:r>
      <w:proofErr w:type="spellEnd"/>
      <w:r w:rsidRPr="001B51D7">
        <w:rPr>
          <w:lang w:val="en-US"/>
        </w:rPr>
        <w:br/>
      </w:r>
      <w:r w:rsidRPr="001B51D7">
        <w:rPr>
          <w:lang w:val="en-US"/>
        </w:rPr>
        <w:br/>
        <w:t>Scoring scale for every dimension:</w:t>
      </w:r>
      <w:r w:rsidRPr="001B51D7">
        <w:rPr>
          <w:lang w:val="en-US"/>
        </w:rPr>
        <w:br/>
        <w:t>1 = very poor, 2 = weak, 3 = adequate, 4 = strong, 5 = excellent.</w:t>
      </w:r>
      <w:r w:rsidRPr="001B51D7">
        <w:rPr>
          <w:lang w:val="en-US"/>
        </w:rPr>
        <w:br/>
      </w:r>
      <w:r w:rsidRPr="001B51D7">
        <w:rPr>
          <w:lang w:val="en-US"/>
        </w:rPr>
        <w:br/>
        <w:t>Dimensions:</w:t>
      </w:r>
      <w:r w:rsidRPr="001B51D7">
        <w:rPr>
          <w:lang w:val="en-US"/>
        </w:rPr>
        <w:br/>
      </w:r>
      <w:r w:rsidRPr="001B51D7">
        <w:rPr>
          <w:lang w:val="en-US"/>
        </w:rPr>
        <w:lastRenderedPageBreak/>
        <w:t>- clarity: understandable organization and wording.</w:t>
      </w:r>
      <w:r w:rsidRPr="001B51D7">
        <w:rPr>
          <w:lang w:val="en-US"/>
        </w:rPr>
        <w:br/>
        <w:t>- completeness: enough local decision information to inspect the prediction.</w:t>
      </w:r>
      <w:r w:rsidRPr="001B51D7">
        <w:rPr>
          <w:lang w:val="en-US"/>
        </w:rPr>
        <w:br/>
        <w:t>- concision: compact relative to useful content.</w:t>
      </w:r>
      <w:r w:rsidRPr="001B51D7">
        <w:rPr>
          <w:lang w:val="en-US"/>
        </w:rPr>
        <w:br/>
        <w:t xml:space="preserve">- </w:t>
      </w:r>
      <w:proofErr w:type="spellStart"/>
      <w:r w:rsidRPr="001B51D7">
        <w:rPr>
          <w:lang w:val="en-US"/>
        </w:rPr>
        <w:t>semantic_plausibility</w:t>
      </w:r>
      <w:proofErr w:type="spellEnd"/>
      <w:r w:rsidRPr="001B51D7">
        <w:rPr>
          <w:lang w:val="en-US"/>
        </w:rPr>
        <w:t>: coherent with the provided context.</w:t>
      </w:r>
      <w:r w:rsidRPr="001B51D7">
        <w:rPr>
          <w:lang w:val="en-US"/>
        </w:rPr>
        <w:br/>
        <w:t xml:space="preserve">- </w:t>
      </w:r>
      <w:proofErr w:type="spellStart"/>
      <w:r w:rsidRPr="001B51D7">
        <w:rPr>
          <w:lang w:val="en-US"/>
        </w:rPr>
        <w:t>audit_usefulness</w:t>
      </w:r>
      <w:proofErr w:type="spellEnd"/>
      <w:r w:rsidRPr="001B51D7">
        <w:rPr>
          <w:lang w:val="en-US"/>
        </w:rPr>
        <w:t>: supports inspection of model behavior.</w:t>
      </w:r>
      <w:r w:rsidRPr="001B51D7">
        <w:rPr>
          <w:lang w:val="en-US"/>
        </w:rPr>
        <w:br/>
        <w:t>- actionability: supports review, recourse, or decision support.</w:t>
      </w:r>
      <w:r w:rsidRPr="001B51D7">
        <w:rPr>
          <w:lang w:val="en-US"/>
        </w:rPr>
        <w:br/>
        <w:t xml:space="preserve">- </w:t>
      </w:r>
      <w:proofErr w:type="spellStart"/>
      <w:r w:rsidRPr="001B51D7">
        <w:rPr>
          <w:lang w:val="en-US"/>
        </w:rPr>
        <w:t>overall_quality</w:t>
      </w:r>
      <w:proofErr w:type="spellEnd"/>
      <w:r w:rsidRPr="001B51D7">
        <w:rPr>
          <w:lang w:val="en-US"/>
        </w:rPr>
        <w:t>: holistic semantic quality.</w:t>
      </w:r>
      <w:r w:rsidRPr="001B51D7">
        <w:rPr>
          <w:lang w:val="en-US"/>
        </w:rPr>
        <w:br/>
      </w:r>
      <w:r w:rsidRPr="001B51D7">
        <w:rPr>
          <w:lang w:val="en-US"/>
        </w:rPr>
        <w:br/>
        <w:t>Case:</w:t>
      </w:r>
      <w:r w:rsidRPr="001B51D7">
        <w:rPr>
          <w:lang w:val="en-US"/>
        </w:rPr>
        <w:br/>
        <w:t xml:space="preserve">{&lt;JSON del </w:t>
      </w:r>
      <w:proofErr w:type="spellStart"/>
      <w:r w:rsidRPr="001B51D7">
        <w:rPr>
          <w:lang w:val="en-US"/>
        </w:rPr>
        <w:t>caso</w:t>
      </w:r>
      <w:proofErr w:type="spellEnd"/>
      <w:r w:rsidRPr="001B51D7">
        <w:rPr>
          <w:lang w:val="en-US"/>
        </w:rPr>
        <w:t xml:space="preserve">: </w:t>
      </w:r>
      <w:proofErr w:type="spellStart"/>
      <w:r w:rsidRPr="001B51D7">
        <w:rPr>
          <w:lang w:val="en-US"/>
        </w:rPr>
        <w:t>case_id</w:t>
      </w:r>
      <w:proofErr w:type="spellEnd"/>
      <w:r w:rsidRPr="001B51D7">
        <w:rPr>
          <w:lang w:val="en-US"/>
        </w:rPr>
        <w:t xml:space="preserve">, dataset, explainer, </w:t>
      </w:r>
      <w:proofErr w:type="spellStart"/>
      <w:r w:rsidRPr="001B51D7">
        <w:rPr>
          <w:lang w:val="en-US"/>
        </w:rPr>
        <w:t>normalized_explanation</w:t>
      </w:r>
      <w:proofErr w:type="spellEnd"/>
      <w:r w:rsidRPr="001B51D7">
        <w:rPr>
          <w:lang w:val="en-US"/>
        </w:rPr>
        <w:t>,</w:t>
      </w:r>
      <w:r w:rsidRPr="001B51D7">
        <w:rPr>
          <w:lang w:val="en-US"/>
        </w:rPr>
        <w:br/>
        <w:t xml:space="preserve">  prediction, quadrant, </w:t>
      </w:r>
      <w:proofErr w:type="spellStart"/>
      <w:r w:rsidRPr="001B51D7">
        <w:rPr>
          <w:lang w:val="en-US"/>
        </w:rPr>
        <w:t>technical_metrics</w:t>
      </w:r>
      <w:proofErr w:type="spellEnd"/>
      <w:r w:rsidRPr="001B51D7">
        <w:rPr>
          <w:lang w:val="en-US"/>
        </w:rPr>
        <w:t>, ...&gt;}</w:t>
      </w:r>
      <w:r w:rsidRPr="001B51D7">
        <w:rPr>
          <w:lang w:val="en-US"/>
        </w:rPr>
        <w:br/>
      </w:r>
      <w:r w:rsidRPr="001B51D7">
        <w:rPr>
          <w:lang w:val="en-US"/>
        </w:rPr>
        <w:br/>
        <w:t>Return strict JSON only, with this exact shape:</w:t>
      </w:r>
      <w:r w:rsidRPr="001B51D7">
        <w:rPr>
          <w:lang w:val="en-US"/>
        </w:rPr>
        <w:br/>
        <w:t>{</w:t>
      </w:r>
      <w:r w:rsidRPr="001B51D7">
        <w:rPr>
          <w:lang w:val="en-US"/>
        </w:rPr>
        <w:br/>
        <w:t xml:space="preserve">  "</w:t>
      </w:r>
      <w:proofErr w:type="spellStart"/>
      <w:r w:rsidRPr="001B51D7">
        <w:rPr>
          <w:lang w:val="en-US"/>
        </w:rPr>
        <w:t>case_id</w:t>
      </w:r>
      <w:proofErr w:type="spellEnd"/>
      <w:r w:rsidRPr="001B51D7">
        <w:rPr>
          <w:lang w:val="en-US"/>
        </w:rPr>
        <w:t>": "...",</w:t>
      </w:r>
      <w:r w:rsidRPr="001B51D7">
        <w:rPr>
          <w:lang w:val="en-US"/>
        </w:rPr>
        <w:br/>
        <w:t xml:space="preserve">  "flags": {</w:t>
      </w:r>
      <w:r w:rsidRPr="001B51D7">
        <w:rPr>
          <w:lang w:val="en-US"/>
        </w:rPr>
        <w:br/>
        <w:t xml:space="preserve">    "</w:t>
      </w:r>
      <w:proofErr w:type="spellStart"/>
      <w:r w:rsidRPr="001B51D7">
        <w:rPr>
          <w:lang w:val="en-US"/>
        </w:rPr>
        <w:t>format_problem</w:t>
      </w:r>
      <w:proofErr w:type="spellEnd"/>
      <w:r w:rsidRPr="001B51D7">
        <w:rPr>
          <w:lang w:val="en-US"/>
        </w:rPr>
        <w:t>": false,</w:t>
      </w:r>
      <w:r w:rsidRPr="001B51D7">
        <w:rPr>
          <w:lang w:val="en-US"/>
        </w:rPr>
        <w:br/>
        <w:t xml:space="preserve">    "</w:t>
      </w:r>
      <w:proofErr w:type="spellStart"/>
      <w:r w:rsidRPr="001B51D7">
        <w:rPr>
          <w:lang w:val="en-US"/>
        </w:rPr>
        <w:t>insufficient_context</w:t>
      </w:r>
      <w:proofErr w:type="spellEnd"/>
      <w:r w:rsidRPr="001B51D7">
        <w:rPr>
          <w:lang w:val="en-US"/>
        </w:rPr>
        <w:t>": false,</w:t>
      </w:r>
      <w:r w:rsidRPr="001B51D7">
        <w:rPr>
          <w:lang w:val="en-US"/>
        </w:rPr>
        <w:br/>
        <w:t xml:space="preserve">    "</w:t>
      </w:r>
      <w:proofErr w:type="spellStart"/>
      <w:r w:rsidRPr="001B51D7">
        <w:rPr>
          <w:lang w:val="en-US"/>
        </w:rPr>
        <w:t>safety_or_policy_issue</w:t>
      </w:r>
      <w:proofErr w:type="spellEnd"/>
      <w:r w:rsidRPr="001B51D7">
        <w:rPr>
          <w:lang w:val="en-US"/>
        </w:rPr>
        <w:t>": false</w:t>
      </w:r>
      <w:r w:rsidRPr="001B51D7">
        <w:rPr>
          <w:lang w:val="en-US"/>
        </w:rPr>
        <w:br/>
        <w:t xml:space="preserve">  },</w:t>
      </w:r>
      <w:r w:rsidRPr="001B51D7">
        <w:rPr>
          <w:lang w:val="en-US"/>
        </w:rPr>
        <w:br/>
        <w:t xml:space="preserve">  "rationales": { &lt;string per dimension&gt; },</w:t>
      </w:r>
      <w:r w:rsidRPr="001B51D7">
        <w:rPr>
          <w:lang w:val="en-US"/>
        </w:rPr>
        <w:br/>
        <w:t xml:space="preserve">  "scores": { &lt;integer 1–5 per dimension&gt; }</w:t>
      </w:r>
      <w:r w:rsidRPr="001B51D7">
        <w:rPr>
          <w:lang w:val="en-US"/>
        </w:rPr>
        <w:br/>
        <w:t>}</w:t>
      </w:r>
    </w:p>
    <w:p w14:paraId="2E73E78D" w14:textId="77777777" w:rsidR="000A4CDF" w:rsidRDefault="00000000">
      <w:r>
        <w:lastRenderedPageBreak/>
        <w:t xml:space="preserve">El campo </w:t>
      </w:r>
      <w:proofErr w:type="spellStart"/>
      <w:r>
        <w:t>normalized_explanation</w:t>
      </w:r>
      <w:proofErr w:type="spellEnd"/>
      <w:r>
        <w:t xml:space="preserve"> contiene la explicación textual normalizada del método (p. ej., “SHAP top local factors: age: 0.32; …” o una regla IF-THEN para Anchors). Las métricas técnicas están incluidas en el contexto pero el juez no recibe instrucción explícita de usarlas; su presencia permite analizar si el juez las incorpora implícitamente (alineación LLM–métricas).</w:t>
      </w:r>
    </w:p>
    <w:p w14:paraId="2F86E038" w14:textId="77777777" w:rsidR="000A4CDF" w:rsidRDefault="00000000">
      <w:pPr>
        <w:pStyle w:val="Heading3"/>
      </w:pPr>
      <w:bookmarkStart w:id="296" w:name="f.4-rúbrica-de-puntuación-rubric_v1"/>
      <w:bookmarkStart w:id="297" w:name="_Toc228522643"/>
      <w:bookmarkEnd w:id="294"/>
      <w:r>
        <w:t>F.4 Rúbrica de puntuación (RUBRIC_V1)</w:t>
      </w:r>
      <w:bookmarkEnd w:id="297"/>
    </w:p>
    <w:tbl>
      <w:tblPr>
        <w:tblW w:w="5000" w:type="pct"/>
        <w:tblLayout w:type="fixed"/>
        <w:tblLook w:val="0020" w:firstRow="1" w:lastRow="0" w:firstColumn="0" w:lastColumn="0" w:noHBand="0" w:noVBand="0"/>
      </w:tblPr>
      <w:tblGrid>
        <w:gridCol w:w="4788"/>
        <w:gridCol w:w="4788"/>
      </w:tblGrid>
      <w:tr w:rsidR="000A4CDF" w14:paraId="057BCA1A" w14:textId="77777777">
        <w:trPr>
          <w:tblHeader/>
        </w:trPr>
        <w:tc>
          <w:tcPr>
            <w:tcW w:w="3960" w:type="dxa"/>
          </w:tcPr>
          <w:p w14:paraId="64548F92" w14:textId="77777777" w:rsidR="000A4CDF" w:rsidRDefault="00000000">
            <w:r>
              <w:t>Dimensión</w:t>
            </w:r>
          </w:p>
        </w:tc>
        <w:tc>
          <w:tcPr>
            <w:tcW w:w="3960" w:type="dxa"/>
          </w:tcPr>
          <w:p w14:paraId="1B14BBF8" w14:textId="77777777" w:rsidR="000A4CDF" w:rsidRDefault="00000000">
            <w:r>
              <w:t>Descripción</w:t>
            </w:r>
          </w:p>
        </w:tc>
      </w:tr>
      <w:tr w:rsidR="000A4CDF" w14:paraId="30E9F3C3" w14:textId="77777777">
        <w:tc>
          <w:tcPr>
            <w:tcW w:w="3960" w:type="dxa"/>
          </w:tcPr>
          <w:p w14:paraId="7904F2FA" w14:textId="77777777" w:rsidR="000A4CDF" w:rsidRDefault="00000000">
            <w:r>
              <w:t>clarity</w:t>
            </w:r>
          </w:p>
        </w:tc>
        <w:tc>
          <w:tcPr>
            <w:tcW w:w="3960" w:type="dxa"/>
          </w:tcPr>
          <w:p w14:paraId="4DEA4F1D" w14:textId="77777777" w:rsidR="000A4CDF" w:rsidRDefault="00000000">
            <w:r>
              <w:t>La explicación tiene organización y lenguaje comprensible para un lector no especialista.</w:t>
            </w:r>
          </w:p>
        </w:tc>
      </w:tr>
      <w:tr w:rsidR="000A4CDF" w14:paraId="0D4DDD69" w14:textId="77777777">
        <w:tc>
          <w:tcPr>
            <w:tcW w:w="3960" w:type="dxa"/>
          </w:tcPr>
          <w:p w14:paraId="1A394CB8" w14:textId="77777777" w:rsidR="000A4CDF" w:rsidRDefault="00000000">
            <w:r>
              <w:t>completeness</w:t>
            </w:r>
          </w:p>
        </w:tc>
        <w:tc>
          <w:tcPr>
            <w:tcW w:w="3960" w:type="dxa"/>
          </w:tcPr>
          <w:p w14:paraId="2340F042" w14:textId="77777777" w:rsidR="000A4CDF" w:rsidRDefault="00000000">
            <w:r>
              <w:t>La explicación proporciona suficiente información local para inspeccionar la predicción del modelo.</w:t>
            </w:r>
          </w:p>
        </w:tc>
      </w:tr>
      <w:tr w:rsidR="000A4CDF" w14:paraId="77788C6C" w14:textId="77777777">
        <w:tc>
          <w:tcPr>
            <w:tcW w:w="3960" w:type="dxa"/>
          </w:tcPr>
          <w:p w14:paraId="7F33B8EB" w14:textId="77777777" w:rsidR="000A4CDF" w:rsidRDefault="00000000">
            <w:r>
              <w:t>concision</w:t>
            </w:r>
          </w:p>
        </w:tc>
        <w:tc>
          <w:tcPr>
            <w:tcW w:w="3960" w:type="dxa"/>
          </w:tcPr>
          <w:p w14:paraId="7E49FCEA" w14:textId="77777777" w:rsidR="000A4CDF" w:rsidRDefault="00000000">
            <w:r>
              <w:t>La explicación es compacta en relación con el contenido útil que aporta.</w:t>
            </w:r>
          </w:p>
        </w:tc>
      </w:tr>
      <w:tr w:rsidR="000A4CDF" w14:paraId="0D5F9A00" w14:textId="77777777">
        <w:tc>
          <w:tcPr>
            <w:tcW w:w="3960" w:type="dxa"/>
          </w:tcPr>
          <w:p w14:paraId="66B00F55" w14:textId="77777777" w:rsidR="000A4CDF" w:rsidRDefault="00000000">
            <w:r>
              <w:t>semantic_plausibility</w:t>
            </w:r>
          </w:p>
        </w:tc>
        <w:tc>
          <w:tcPr>
            <w:tcW w:w="3960" w:type="dxa"/>
          </w:tcPr>
          <w:p w14:paraId="0B4912B6" w14:textId="77777777" w:rsidR="000A4CDF" w:rsidRDefault="00000000">
            <w:r>
              <w:t>La explicación es coherente con el contexto del caso y los datos del dominio.</w:t>
            </w:r>
          </w:p>
        </w:tc>
      </w:tr>
      <w:tr w:rsidR="000A4CDF" w14:paraId="28433A33" w14:textId="77777777">
        <w:tc>
          <w:tcPr>
            <w:tcW w:w="3960" w:type="dxa"/>
          </w:tcPr>
          <w:p w14:paraId="27A3A939" w14:textId="77777777" w:rsidR="000A4CDF" w:rsidRDefault="00000000">
            <w:r>
              <w:t>audit_usefulness</w:t>
            </w:r>
          </w:p>
        </w:tc>
        <w:tc>
          <w:tcPr>
            <w:tcW w:w="3960" w:type="dxa"/>
          </w:tcPr>
          <w:p w14:paraId="4C9FC487" w14:textId="77777777" w:rsidR="000A4CDF" w:rsidRDefault="00000000">
            <w:r>
              <w:t>La explicación facilita la inspección del comportamiento del modelo por parte de un auditor.</w:t>
            </w:r>
          </w:p>
        </w:tc>
      </w:tr>
      <w:tr w:rsidR="000A4CDF" w14:paraId="5446D045" w14:textId="77777777">
        <w:tc>
          <w:tcPr>
            <w:tcW w:w="3960" w:type="dxa"/>
          </w:tcPr>
          <w:p w14:paraId="361C711F" w14:textId="77777777" w:rsidR="000A4CDF" w:rsidRDefault="00000000">
            <w:r>
              <w:t>actionability</w:t>
            </w:r>
          </w:p>
        </w:tc>
        <w:tc>
          <w:tcPr>
            <w:tcW w:w="3960" w:type="dxa"/>
          </w:tcPr>
          <w:p w14:paraId="7C2C8DBF" w14:textId="77777777" w:rsidR="000A4CDF" w:rsidRDefault="00000000">
            <w:r>
              <w:t>La explicación apoya la revisión, la búsqueda de recurso o el apoyo a la toma de decisiones.</w:t>
            </w:r>
          </w:p>
        </w:tc>
      </w:tr>
      <w:tr w:rsidR="000A4CDF" w14:paraId="7F23A80A" w14:textId="77777777">
        <w:tc>
          <w:tcPr>
            <w:tcW w:w="3960" w:type="dxa"/>
          </w:tcPr>
          <w:p w14:paraId="3BB0D8E2" w14:textId="77777777" w:rsidR="000A4CDF" w:rsidRDefault="00000000">
            <w:r>
              <w:lastRenderedPageBreak/>
              <w:t>overall_quality</w:t>
            </w:r>
          </w:p>
        </w:tc>
        <w:tc>
          <w:tcPr>
            <w:tcW w:w="3960" w:type="dxa"/>
          </w:tcPr>
          <w:p w14:paraId="0A7D2C93" w14:textId="77777777" w:rsidR="000A4CDF" w:rsidRDefault="00000000">
            <w:r>
              <w:t>Calidad semántica holística de la explicación.</w:t>
            </w:r>
          </w:p>
        </w:tc>
      </w:tr>
    </w:tbl>
    <w:p w14:paraId="15F28105" w14:textId="77777777" w:rsidR="000A4CDF" w:rsidRDefault="00000000">
      <w:pPr>
        <w:pStyle w:val="BodyText"/>
      </w:pPr>
      <w:r>
        <w:t>Escala: 1 = muy pobre, 2 = débil, 3 = adecuado, 4 sólido, 5 = excelente. El juez produce también rationales textuales por dimensión.</w:t>
      </w:r>
    </w:p>
    <w:p w14:paraId="134C5A30" w14:textId="77777777" w:rsidR="000A4CDF" w:rsidRDefault="00000000">
      <w:pPr>
        <w:pStyle w:val="Heading3"/>
      </w:pPr>
      <w:bookmarkStart w:id="298" w:name="f.5-controles-de-sesgo-del-evaluador"/>
      <w:bookmarkStart w:id="299" w:name="_Toc228522644"/>
      <w:bookmarkEnd w:id="296"/>
      <w:r>
        <w:t>F.5 Controles de sesgo del evaluador</w:t>
      </w:r>
      <w:bookmarkEnd w:id="299"/>
    </w:p>
    <w:p w14:paraId="732C8DD8" w14:textId="77777777" w:rsidR="000A4CDF" w:rsidRDefault="00000000">
      <w:pPr>
        <w:numPr>
          <w:ilvl w:val="0"/>
          <w:numId w:val="73"/>
        </w:numPr>
      </w:pPr>
      <w:r>
        <w:rPr>
          <w:b/>
          <w:bCs/>
        </w:rPr>
        <w:t>Ocultación de etiqueta</w:t>
      </w:r>
      <w:r>
        <w:t>: la condición principal no revela si la predicción fue correcta; el diagnóstico de sesgo (label_visible_bias_probe) confirma que las diferencias de puntuación con etiqueta visible son mínimas (mediana Δ = 0 en todas las dimensiones).</w:t>
      </w:r>
    </w:p>
    <w:p w14:paraId="0F4A9055" w14:textId="77777777" w:rsidR="000A4CDF" w:rsidRDefault="00000000">
      <w:pPr>
        <w:numPr>
          <w:ilvl w:val="0"/>
          <w:numId w:val="73"/>
        </w:numPr>
      </w:pPr>
      <w:r>
        <w:rPr>
          <w:b/>
          <w:bCs/>
        </w:rPr>
        <w:t>Prohibición explícita de sesgo por reputación</w:t>
      </w:r>
      <w:r>
        <w:t>: la instrucción del sistema prohíbe al juez penalizar o beneficiar a un método por su nombre o familia.</w:t>
      </w:r>
    </w:p>
    <w:p w14:paraId="3A8FBFE8" w14:textId="77777777" w:rsidR="000A4CDF" w:rsidRDefault="00000000">
      <w:pPr>
        <w:numPr>
          <w:ilvl w:val="0"/>
          <w:numId w:val="73"/>
        </w:numPr>
      </w:pPr>
      <w:r>
        <w:rPr>
          <w:b/>
          <w:bCs/>
        </w:rPr>
        <w:t>Respuesta estructurada</w:t>
      </w:r>
      <w:r>
        <w:t>: el juez debe retornar JSON estricto; las respuestas que no parsean se excluyen del análisis.</w:t>
      </w:r>
    </w:p>
    <w:p w14:paraId="37C1F582" w14:textId="77777777" w:rsidR="000A4CDF" w:rsidRDefault="00000000">
      <w:pPr>
        <w:numPr>
          <w:ilvl w:val="0"/>
          <w:numId w:val="73"/>
        </w:numPr>
      </w:pPr>
      <w:r>
        <w:rPr>
          <w:b/>
          <w:bCs/>
        </w:rPr>
        <w:t>Flags de control de calidad</w:t>
      </w:r>
      <w:r>
        <w:t>: si el juez detecta format_problem, insufficient_context o safety_or_policy_issue, el caso se marca para revisión.</w:t>
      </w:r>
    </w:p>
    <w:p w14:paraId="26F447FB" w14:textId="77777777" w:rsidR="000A4CDF" w:rsidRDefault="00000000">
      <w:pPr>
        <w:pStyle w:val="Heading3"/>
      </w:pPr>
      <w:bookmarkStart w:id="300" w:name="f.6-almacenamiento-y-trazabilidad"/>
      <w:bookmarkStart w:id="301" w:name="_Toc228522645"/>
      <w:bookmarkEnd w:id="298"/>
      <w:r>
        <w:t>F.6 Almacenamiento y trazabilidad</w:t>
      </w:r>
      <w:bookmarkEnd w:id="301"/>
    </w:p>
    <w:p w14:paraId="047A342A" w14:textId="77777777" w:rsidR="000A4CDF" w:rsidRDefault="00000000">
      <w:r>
        <w:t>Las respuestas crudas se almacenan en experiments/exp4_llm_evaluation/raw_responses/. Las puntuaciones parseadas se consolidan en experiments/exp4_llm_evaluation/parsed_scores/exp4_llm_scores.csv con las columnas: case_id, judge_model, prompt_condition, replicate, y una columna de puntuación por dimensión (sufijo _score). Los análisis de fiabilidad, alineación y sesgo se generan mediante scripts/exp4_analyze_llm_scores.py y se almacenan en outputs/analysis/exp4_llm_evaluation/.</w:t>
      </w:r>
      <w:bookmarkEnd w:id="276"/>
      <w:bookmarkEnd w:id="288"/>
      <w:bookmarkEnd w:id="300"/>
    </w:p>
    <w:sectPr w:rsidR="000A4CDF" w:rsidSect="0070096E">
      <w:headerReference w:type="even" r:id="rId48"/>
      <w:headerReference w:type="default" r:id="rId49"/>
      <w:pgSz w:w="12240" w:h="15840"/>
      <w:pgMar w:top="1728" w:right="1440" w:bottom="1440" w:left="1440" w:header="720" w:footer="720" w:gutter="0"/>
      <w:pgNumType w:fmt="lowerRoman"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9A1DB" w14:textId="77777777" w:rsidR="007828EA" w:rsidRDefault="007828EA">
      <w:pPr>
        <w:spacing w:after="0" w:line="240" w:lineRule="auto"/>
      </w:pPr>
      <w:r>
        <w:separator/>
      </w:r>
    </w:p>
  </w:endnote>
  <w:endnote w:type="continuationSeparator" w:id="0">
    <w:p w14:paraId="37062DA6" w14:textId="77777777" w:rsidR="007828EA" w:rsidRDefault="00782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D3D7" w14:textId="77777777" w:rsidR="007828EA" w:rsidRDefault="007828EA">
      <w:pPr>
        <w:spacing w:after="0" w:line="240" w:lineRule="auto"/>
      </w:pPr>
      <w:r>
        <w:separator/>
      </w:r>
    </w:p>
  </w:footnote>
  <w:footnote w:type="continuationSeparator" w:id="0">
    <w:p w14:paraId="6E460781" w14:textId="77777777" w:rsidR="007828EA" w:rsidRDefault="00782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CED69" w14:textId="77777777" w:rsidR="0070096E" w:rsidRDefault="00000000">
    <w:pPr>
      <w:spacing w:line="200" w:lineRule="exact"/>
      <w:rPr>
        <w:sz w:val="20"/>
        <w:szCs w:val="20"/>
      </w:rPr>
    </w:pPr>
    <w:r>
      <w:rPr>
        <w:noProof/>
        <w:sz w:val="22"/>
      </w:rPr>
      <w:pict w14:anchorId="0D396C15">
        <v:shapetype id="_x0000_t202" coordsize="21600,21600" o:spt="202" path="m,l,21600r21600,l21600,xe">
          <v:stroke joinstyle="miter"/>
          <v:path gradientshapeok="t" o:connecttype="rect"/>
        </v:shapetype>
        <v:shape id="Text Box 1" o:spid="_x0000_s1026" type="#_x0000_t202" style="position:absolute;left:0;text-align:left;margin-left:541.25pt;margin-top:36.15pt;width:16pt;height:14pt;z-index:-25165824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14:paraId="574E58AA" w14:textId="77777777" w:rsidR="0070096E" w:rsidRDefault="00637ED1">
                <w:pPr>
                  <w:pStyle w:val="BodyText"/>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631411"/>
      <w:docPartObj>
        <w:docPartGallery w:val="Page Numbers (Top of Page)"/>
        <w:docPartUnique/>
      </w:docPartObj>
    </w:sdtPr>
    <w:sdtEndPr>
      <w:rPr>
        <w:noProof/>
      </w:rPr>
    </w:sdtEndPr>
    <w:sdtContent>
      <w:p w14:paraId="4BC7447E" w14:textId="77777777" w:rsidR="0070096E" w:rsidRDefault="0070096E">
        <w:pPr>
          <w:pStyle w:val="Header"/>
          <w:jc w:val="right"/>
        </w:pPr>
        <w:r>
          <w:rPr>
            <w:noProof/>
            <w:lang w:val="es-ES" w:eastAsia="es-ES"/>
          </w:rPr>
          <w:drawing>
            <wp:anchor distT="0" distB="0" distL="114300" distR="114300" simplePos="0" relativeHeight="251657216" behindDoc="0" locked="0" layoutInCell="1" allowOverlap="1" wp14:anchorId="6EF41E65" wp14:editId="263EEE72">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14:paraId="369B7F0C" w14:textId="77777777" w:rsidR="0070096E" w:rsidRDefault="0070096E">
        <w:pPr>
          <w:pStyle w:val="Header"/>
          <w:jc w:val="right"/>
        </w:pPr>
      </w:p>
      <w:p w14:paraId="0665D112" w14:textId="77777777" w:rsidR="0070096E" w:rsidRDefault="00637ED1" w:rsidP="00FB6C23">
        <w:pPr>
          <w:pStyle w:val="Header"/>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14:paraId="0B124DA0" w14:textId="77777777" w:rsidR="0070096E" w:rsidRDefault="0070096E">
    <w:pPr>
      <w:spacing w:line="200" w:lineRule="exac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02087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61EDA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EF6C7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66072D"/>
    <w:multiLevelType w:val="multilevel"/>
    <w:tmpl w:val="D5B650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45A1F37"/>
    <w:multiLevelType w:val="hybridMultilevel"/>
    <w:tmpl w:val="4F60AA2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5" w15:restartNumberingAfterBreak="0">
    <w:nsid w:val="08A41C17"/>
    <w:multiLevelType w:val="hybridMultilevel"/>
    <w:tmpl w:val="A09AC19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6" w15:restartNumberingAfterBreak="0">
    <w:nsid w:val="09EB2CFE"/>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C1B2678"/>
    <w:multiLevelType w:val="hybridMultilevel"/>
    <w:tmpl w:val="F35CB910"/>
    <w:lvl w:ilvl="0" w:tplc="08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1640E7"/>
    <w:multiLevelType w:val="hybridMultilevel"/>
    <w:tmpl w:val="23F4CD86"/>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F9B6BE1"/>
    <w:multiLevelType w:val="hybridMultilevel"/>
    <w:tmpl w:val="DD488E4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125D1FD1"/>
    <w:multiLevelType w:val="hybridMultilevel"/>
    <w:tmpl w:val="7A1C071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1" w15:restartNumberingAfterBreak="0">
    <w:nsid w:val="14D610D6"/>
    <w:multiLevelType w:val="hybridMultilevel"/>
    <w:tmpl w:val="362C8B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2" w15:restartNumberingAfterBreak="0">
    <w:nsid w:val="16160779"/>
    <w:multiLevelType w:val="hybridMultilevel"/>
    <w:tmpl w:val="B85E737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3" w15:restartNumberingAfterBreak="0">
    <w:nsid w:val="1DAE4C57"/>
    <w:multiLevelType w:val="hybridMultilevel"/>
    <w:tmpl w:val="C862F0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15:restartNumberingAfterBreak="0">
    <w:nsid w:val="22AE35CC"/>
    <w:multiLevelType w:val="hybridMultilevel"/>
    <w:tmpl w:val="454A8A0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5" w15:restartNumberingAfterBreak="0">
    <w:nsid w:val="27907C7D"/>
    <w:multiLevelType w:val="hybridMultilevel"/>
    <w:tmpl w:val="3BB6431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7B21B07"/>
    <w:multiLevelType w:val="hybridMultilevel"/>
    <w:tmpl w:val="03D2FBA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7" w15:restartNumberingAfterBreak="0">
    <w:nsid w:val="27B509CD"/>
    <w:multiLevelType w:val="hybridMultilevel"/>
    <w:tmpl w:val="398ADC5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15:restartNumberingAfterBreak="0">
    <w:nsid w:val="2C213436"/>
    <w:multiLevelType w:val="hybridMultilevel"/>
    <w:tmpl w:val="8514F4B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9" w15:restartNumberingAfterBreak="0">
    <w:nsid w:val="2D0835BB"/>
    <w:multiLevelType w:val="hybridMultilevel"/>
    <w:tmpl w:val="0E2ACF50"/>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20" w15:restartNumberingAfterBreak="0">
    <w:nsid w:val="2DEB5C4F"/>
    <w:multiLevelType w:val="hybridMultilevel"/>
    <w:tmpl w:val="FB7A146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15:restartNumberingAfterBreak="0">
    <w:nsid w:val="2E716288"/>
    <w:multiLevelType w:val="hybridMultilevel"/>
    <w:tmpl w:val="44F4B19C"/>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22" w15:restartNumberingAfterBreak="0">
    <w:nsid w:val="34236F3A"/>
    <w:multiLevelType w:val="hybridMultilevel"/>
    <w:tmpl w:val="DAC2D14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3" w15:restartNumberingAfterBreak="0">
    <w:nsid w:val="345269CA"/>
    <w:multiLevelType w:val="hybridMultilevel"/>
    <w:tmpl w:val="748A358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15:restartNumberingAfterBreak="0">
    <w:nsid w:val="35F945DC"/>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5" w15:restartNumberingAfterBreak="0">
    <w:nsid w:val="38857A3F"/>
    <w:multiLevelType w:val="hybridMultilevel"/>
    <w:tmpl w:val="3C4A2C96"/>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26" w15:restartNumberingAfterBreak="0">
    <w:nsid w:val="39D862C2"/>
    <w:multiLevelType w:val="hybridMultilevel"/>
    <w:tmpl w:val="F4389C8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7" w15:restartNumberingAfterBreak="0">
    <w:nsid w:val="3A1612FF"/>
    <w:multiLevelType w:val="hybridMultilevel"/>
    <w:tmpl w:val="D9B82A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15:restartNumberingAfterBreak="0">
    <w:nsid w:val="3EF34284"/>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0357D59"/>
    <w:multiLevelType w:val="hybridMultilevel"/>
    <w:tmpl w:val="3D98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70587C"/>
    <w:multiLevelType w:val="hybridMultilevel"/>
    <w:tmpl w:val="966E9F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1" w15:restartNumberingAfterBreak="0">
    <w:nsid w:val="43D517A4"/>
    <w:multiLevelType w:val="hybridMultilevel"/>
    <w:tmpl w:val="67D0F8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2" w15:restartNumberingAfterBreak="0">
    <w:nsid w:val="4848398E"/>
    <w:multiLevelType w:val="multilevel"/>
    <w:tmpl w:val="6478A78C"/>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4A38013C"/>
    <w:multiLevelType w:val="hybridMultilevel"/>
    <w:tmpl w:val="EEEC82D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4" w15:restartNumberingAfterBreak="0">
    <w:nsid w:val="508079F5"/>
    <w:multiLevelType w:val="hybridMultilevel"/>
    <w:tmpl w:val="9E2EB8D6"/>
    <w:lvl w:ilvl="0" w:tplc="080A0019">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53D30A2A"/>
    <w:multiLevelType w:val="hybridMultilevel"/>
    <w:tmpl w:val="230AA50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6" w15:restartNumberingAfterBreak="0">
    <w:nsid w:val="544804CC"/>
    <w:multiLevelType w:val="hybridMultilevel"/>
    <w:tmpl w:val="6196107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7" w15:restartNumberingAfterBreak="0">
    <w:nsid w:val="54AA50AC"/>
    <w:multiLevelType w:val="hybridMultilevel"/>
    <w:tmpl w:val="35B6DD6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8" w15:restartNumberingAfterBreak="0">
    <w:nsid w:val="57B742D1"/>
    <w:multiLevelType w:val="hybridMultilevel"/>
    <w:tmpl w:val="14DCC1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9" w15:restartNumberingAfterBreak="0">
    <w:nsid w:val="58CD6908"/>
    <w:multiLevelType w:val="hybridMultilevel"/>
    <w:tmpl w:val="2AB6DCA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0" w15:restartNumberingAfterBreak="0">
    <w:nsid w:val="5B8701A5"/>
    <w:multiLevelType w:val="hybridMultilevel"/>
    <w:tmpl w:val="AF62B19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1" w15:restartNumberingAfterBreak="0">
    <w:nsid w:val="5DB827C7"/>
    <w:multiLevelType w:val="hybridMultilevel"/>
    <w:tmpl w:val="7890B05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2" w15:restartNumberingAfterBreak="0">
    <w:nsid w:val="693273DA"/>
    <w:multiLevelType w:val="hybridMultilevel"/>
    <w:tmpl w:val="935A837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15:restartNumberingAfterBreak="0">
    <w:nsid w:val="6DE41D04"/>
    <w:multiLevelType w:val="hybridMultilevel"/>
    <w:tmpl w:val="73FAA2A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4" w15:restartNumberingAfterBreak="0">
    <w:nsid w:val="6EF27F06"/>
    <w:multiLevelType w:val="hybridMultilevel"/>
    <w:tmpl w:val="B682236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15:restartNumberingAfterBreak="0">
    <w:nsid w:val="70F068AF"/>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6" w15:restartNumberingAfterBreak="0">
    <w:nsid w:val="73833852"/>
    <w:multiLevelType w:val="hybridMultilevel"/>
    <w:tmpl w:val="E34A5114"/>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47" w15:restartNumberingAfterBreak="0">
    <w:nsid w:val="76DB703E"/>
    <w:multiLevelType w:val="hybridMultilevel"/>
    <w:tmpl w:val="99A602B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8" w15:restartNumberingAfterBreak="0">
    <w:nsid w:val="77BD71E4"/>
    <w:multiLevelType w:val="hybridMultilevel"/>
    <w:tmpl w:val="F9DE49D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9" w15:restartNumberingAfterBreak="0">
    <w:nsid w:val="77EE2721"/>
    <w:multiLevelType w:val="hybridMultilevel"/>
    <w:tmpl w:val="2B8C220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7A002AF3"/>
    <w:multiLevelType w:val="hybridMultilevel"/>
    <w:tmpl w:val="DE2E1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456059"/>
    <w:multiLevelType w:val="hybridMultilevel"/>
    <w:tmpl w:val="F1E8086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52" w15:restartNumberingAfterBreak="0">
    <w:nsid w:val="7F182330"/>
    <w:multiLevelType w:val="hybridMultilevel"/>
    <w:tmpl w:val="6890D2C2"/>
    <w:lvl w:ilvl="0" w:tplc="D276A24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382397">
    <w:abstractNumId w:val="52"/>
  </w:num>
  <w:num w:numId="2" w16cid:durableId="92436083">
    <w:abstractNumId w:val="29"/>
  </w:num>
  <w:num w:numId="3" w16cid:durableId="1856264747">
    <w:abstractNumId w:val="6"/>
  </w:num>
  <w:num w:numId="4" w16cid:durableId="13502248">
    <w:abstractNumId w:val="10"/>
  </w:num>
  <w:num w:numId="5" w16cid:durableId="285744840">
    <w:abstractNumId w:val="51"/>
  </w:num>
  <w:num w:numId="6" w16cid:durableId="978924808">
    <w:abstractNumId w:val="11"/>
  </w:num>
  <w:num w:numId="7" w16cid:durableId="1041906874">
    <w:abstractNumId w:val="33"/>
  </w:num>
  <w:num w:numId="8" w16cid:durableId="1799957537">
    <w:abstractNumId w:val="47"/>
  </w:num>
  <w:num w:numId="9" w16cid:durableId="1351644030">
    <w:abstractNumId w:val="15"/>
  </w:num>
  <w:num w:numId="10" w16cid:durableId="1635481861">
    <w:abstractNumId w:val="42"/>
  </w:num>
  <w:num w:numId="11" w16cid:durableId="2083991165">
    <w:abstractNumId w:val="23"/>
  </w:num>
  <w:num w:numId="12" w16cid:durableId="273362570">
    <w:abstractNumId w:val="39"/>
  </w:num>
  <w:num w:numId="13" w16cid:durableId="2109882277">
    <w:abstractNumId w:val="48"/>
  </w:num>
  <w:num w:numId="14" w16cid:durableId="1666398309">
    <w:abstractNumId w:val="13"/>
  </w:num>
  <w:num w:numId="15" w16cid:durableId="959798914">
    <w:abstractNumId w:val="45"/>
  </w:num>
  <w:num w:numId="16" w16cid:durableId="497041500">
    <w:abstractNumId w:val="46"/>
  </w:num>
  <w:num w:numId="17" w16cid:durableId="545869518">
    <w:abstractNumId w:val="21"/>
  </w:num>
  <w:num w:numId="18" w16cid:durableId="197352345">
    <w:abstractNumId w:val="25"/>
  </w:num>
  <w:num w:numId="19" w16cid:durableId="562451628">
    <w:abstractNumId w:val="19"/>
  </w:num>
  <w:num w:numId="20" w16cid:durableId="491338773">
    <w:abstractNumId w:val="24"/>
  </w:num>
  <w:num w:numId="21" w16cid:durableId="1592927115">
    <w:abstractNumId w:val="12"/>
  </w:num>
  <w:num w:numId="22" w16cid:durableId="2015641954">
    <w:abstractNumId w:val="37"/>
  </w:num>
  <w:num w:numId="23" w16cid:durableId="160119414">
    <w:abstractNumId w:val="40"/>
  </w:num>
  <w:num w:numId="24" w16cid:durableId="1701012233">
    <w:abstractNumId w:val="4"/>
  </w:num>
  <w:num w:numId="25" w16cid:durableId="30806584">
    <w:abstractNumId w:val="16"/>
  </w:num>
  <w:num w:numId="26" w16cid:durableId="1459301905">
    <w:abstractNumId w:val="36"/>
  </w:num>
  <w:num w:numId="27" w16cid:durableId="81804110">
    <w:abstractNumId w:val="14"/>
  </w:num>
  <w:num w:numId="28" w16cid:durableId="1878424133">
    <w:abstractNumId w:val="18"/>
  </w:num>
  <w:num w:numId="29" w16cid:durableId="608582299">
    <w:abstractNumId w:val="41"/>
  </w:num>
  <w:num w:numId="30" w16cid:durableId="554851921">
    <w:abstractNumId w:val="34"/>
  </w:num>
  <w:num w:numId="31" w16cid:durableId="1276644039">
    <w:abstractNumId w:val="31"/>
  </w:num>
  <w:num w:numId="32" w16cid:durableId="498158969">
    <w:abstractNumId w:val="44"/>
  </w:num>
  <w:num w:numId="33" w16cid:durableId="631710150">
    <w:abstractNumId w:val="35"/>
  </w:num>
  <w:num w:numId="34" w16cid:durableId="1078139687">
    <w:abstractNumId w:val="38"/>
  </w:num>
  <w:num w:numId="35" w16cid:durableId="1347635996">
    <w:abstractNumId w:val="27"/>
  </w:num>
  <w:num w:numId="36" w16cid:durableId="1920628170">
    <w:abstractNumId w:val="43"/>
  </w:num>
  <w:num w:numId="37" w16cid:durableId="879627818">
    <w:abstractNumId w:val="26"/>
  </w:num>
  <w:num w:numId="38" w16cid:durableId="103814755">
    <w:abstractNumId w:val="30"/>
  </w:num>
  <w:num w:numId="39" w16cid:durableId="1771775204">
    <w:abstractNumId w:val="17"/>
  </w:num>
  <w:num w:numId="40" w16cid:durableId="1192498158">
    <w:abstractNumId w:val="5"/>
  </w:num>
  <w:num w:numId="41" w16cid:durableId="1758400223">
    <w:abstractNumId w:val="20"/>
  </w:num>
  <w:num w:numId="42" w16cid:durableId="677736960">
    <w:abstractNumId w:val="22"/>
  </w:num>
  <w:num w:numId="43" w16cid:durableId="1636638438">
    <w:abstractNumId w:val="9"/>
  </w:num>
  <w:num w:numId="44" w16cid:durableId="1959986563">
    <w:abstractNumId w:val="28"/>
  </w:num>
  <w:num w:numId="45" w16cid:durableId="1605844414">
    <w:abstractNumId w:val="7"/>
  </w:num>
  <w:num w:numId="46" w16cid:durableId="292256192">
    <w:abstractNumId w:val="50"/>
  </w:num>
  <w:num w:numId="47" w16cid:durableId="269167936">
    <w:abstractNumId w:val="3"/>
  </w:num>
  <w:num w:numId="48" w16cid:durableId="1274745076">
    <w:abstractNumId w:val="8"/>
  </w:num>
  <w:num w:numId="49" w16cid:durableId="1821384094">
    <w:abstractNumId w:val="49"/>
  </w:num>
  <w:num w:numId="50" w16cid:durableId="1919168375">
    <w:abstractNumId w:val="32"/>
  </w:num>
  <w:num w:numId="51" w16cid:durableId="73162831">
    <w:abstractNumId w:val="0"/>
  </w:num>
  <w:num w:numId="52" w16cid:durableId="10277547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661467108">
    <w:abstractNumId w:val="1"/>
  </w:num>
  <w:num w:numId="54" w16cid:durableId="1170560373">
    <w:abstractNumId w:val="1"/>
  </w:num>
  <w:num w:numId="55" w16cid:durableId="793519345">
    <w:abstractNumId w:val="1"/>
  </w:num>
  <w:num w:numId="56" w16cid:durableId="5267973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13093251">
    <w:abstractNumId w:val="1"/>
  </w:num>
  <w:num w:numId="58" w16cid:durableId="886188149">
    <w:abstractNumId w:val="1"/>
  </w:num>
  <w:num w:numId="59" w16cid:durableId="6519097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90208363">
    <w:abstractNumId w:val="1"/>
  </w:num>
  <w:num w:numId="61" w16cid:durableId="1794518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874615352">
    <w:abstractNumId w:val="1"/>
  </w:num>
  <w:num w:numId="63" w16cid:durableId="876965617">
    <w:abstractNumId w:val="1"/>
  </w:num>
  <w:num w:numId="64" w16cid:durableId="1360081662">
    <w:abstractNumId w:val="1"/>
  </w:num>
  <w:num w:numId="65" w16cid:durableId="1211957655">
    <w:abstractNumId w:val="1"/>
  </w:num>
  <w:num w:numId="66" w16cid:durableId="1259558305">
    <w:abstractNumId w:val="1"/>
  </w:num>
  <w:num w:numId="67" w16cid:durableId="1325204470">
    <w:abstractNumId w:val="1"/>
  </w:num>
  <w:num w:numId="68" w16cid:durableId="837888895">
    <w:abstractNumId w:val="1"/>
  </w:num>
  <w:num w:numId="69" w16cid:durableId="199326401">
    <w:abstractNumId w:val="1"/>
  </w:num>
  <w:num w:numId="70" w16cid:durableId="1965229031">
    <w:abstractNumId w:val="1"/>
  </w:num>
  <w:num w:numId="71" w16cid:durableId="192693375">
    <w:abstractNumId w:val="1"/>
  </w:num>
  <w:num w:numId="72" w16cid:durableId="1309938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304428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A4CDF"/>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B51D7"/>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197F"/>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28EA"/>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843E3"/>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564A2"/>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7A9A4"/>
  <w15:docId w15:val="{820693A2-1C09-442B-B1C4-55BD500FD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B2"/>
    <w:rPr>
      <w:lang w:val="es-MX"/>
    </w:rPr>
  </w:style>
  <w:style w:type="paragraph" w:styleId="Heading1">
    <w:name w:val="heading 1"/>
    <w:basedOn w:val="Normal"/>
    <w:next w:val="Normal"/>
    <w:link w:val="Heading1Char"/>
    <w:autoRedefine/>
    <w:uiPriority w:val="9"/>
    <w:qFormat/>
    <w:rsid w:val="00587376"/>
    <w:pPr>
      <w:keepNext/>
      <w:keepLines/>
      <w:spacing w:before="240" w:after="0"/>
      <w:jc w:val="center"/>
      <w:outlineLvl w:val="0"/>
    </w:pPr>
    <w:rPr>
      <w:rFonts w:eastAsia="Times New Roman" w:cs="Times New Roman"/>
      <w:b/>
      <w:sz w:val="28"/>
      <w:szCs w:val="24"/>
    </w:rPr>
  </w:style>
  <w:style w:type="paragraph" w:styleId="Heading2">
    <w:name w:val="heading 2"/>
    <w:basedOn w:val="Normal"/>
    <w:next w:val="Normal"/>
    <w:link w:val="Heading2Char"/>
    <w:autoRedefine/>
    <w:uiPriority w:val="9"/>
    <w:unhideWhenUsed/>
    <w:qFormat/>
    <w:rsid w:val="00302EDB"/>
    <w:pPr>
      <w:keepNext/>
      <w:keepLines/>
      <w:spacing w:before="40" w:after="0"/>
      <w:outlineLvl w:val="1"/>
    </w:pPr>
    <w:rPr>
      <w:rFonts w:eastAsia="Times New Roman" w:cs="Times New Roman"/>
      <w:b/>
      <w:szCs w:val="26"/>
    </w:rPr>
  </w:style>
  <w:style w:type="paragraph" w:styleId="Heading3">
    <w:name w:val="heading 3"/>
    <w:basedOn w:val="Normal"/>
    <w:next w:val="Normal"/>
    <w:link w:val="Heading3Char"/>
    <w:uiPriority w:val="9"/>
    <w:unhideWhenUsed/>
    <w:qFormat/>
    <w:rsid w:val="00567910"/>
    <w:pPr>
      <w:keepNext/>
      <w:keepLines/>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AE0CE0"/>
    <w:pPr>
      <w:keepNext/>
      <w:keepLines/>
      <w:spacing w:before="40" w:after="0"/>
      <w:ind w:left="1440"/>
      <w:outlineLvl w:val="3"/>
    </w:pPr>
    <w:rPr>
      <w:rFonts w:eastAsiaTheme="majorEastAsia" w:cstheme="majorBidi"/>
      <w:b/>
      <w:iCs/>
    </w:rPr>
  </w:style>
  <w:style w:type="paragraph" w:styleId="Heading5">
    <w:name w:val="heading 5"/>
    <w:basedOn w:val="Normal"/>
    <w:next w:val="Normal"/>
    <w:link w:val="Heading5Char"/>
    <w:uiPriority w:val="9"/>
    <w:unhideWhenUsed/>
    <w:qFormat/>
    <w:rsid w:val="004323BF"/>
    <w:pPr>
      <w:keepNext/>
      <w:keepLines/>
      <w:spacing w:before="40" w:after="0"/>
      <w:ind w:left="1440"/>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rsid w:val="00781846"/>
    <w:pPr>
      <w:spacing w:after="120"/>
    </w:pPr>
  </w:style>
  <w:style w:type="character" w:customStyle="1" w:styleId="BodyTextChar">
    <w:name w:val="Body Text Char"/>
    <w:basedOn w:val="DefaultParagraphFont"/>
    <w:link w:val="BodyText"/>
    <w:uiPriority w:val="99"/>
    <w:semiHidden/>
    <w:rsid w:val="00781846"/>
  </w:style>
  <w:style w:type="paragraph" w:styleId="Footer">
    <w:name w:val="footer"/>
    <w:basedOn w:val="Normal"/>
    <w:link w:val="FooterChar"/>
    <w:uiPriority w:val="99"/>
    <w:unhideWhenUsed/>
    <w:rsid w:val="007818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1846"/>
  </w:style>
  <w:style w:type="paragraph" w:styleId="Header">
    <w:name w:val="header"/>
    <w:basedOn w:val="Normal"/>
    <w:link w:val="HeaderChar"/>
    <w:uiPriority w:val="99"/>
    <w:unhideWhenUsed/>
    <w:rsid w:val="007818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1846"/>
  </w:style>
  <w:style w:type="paragraph" w:styleId="BalloonText">
    <w:name w:val="Balloon Text"/>
    <w:basedOn w:val="Normal"/>
    <w:link w:val="BalloonTextChar"/>
    <w:uiPriority w:val="99"/>
    <w:semiHidden/>
    <w:unhideWhenUsed/>
    <w:rsid w:val="00D06A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6AD2"/>
    <w:rPr>
      <w:rFonts w:ascii="Segoe UI" w:hAnsi="Segoe UI" w:cs="Segoe UI"/>
      <w:sz w:val="18"/>
      <w:szCs w:val="18"/>
    </w:rPr>
  </w:style>
  <w:style w:type="character" w:styleId="Hyperlink">
    <w:name w:val="Hyperlink"/>
    <w:basedOn w:val="DefaultParagraphFont"/>
    <w:uiPriority w:val="99"/>
    <w:unhideWhenUsed/>
    <w:rsid w:val="00721000"/>
    <w:rPr>
      <w:color w:val="0563C1" w:themeColor="hyperlink"/>
      <w:u w:val="single"/>
    </w:rPr>
  </w:style>
  <w:style w:type="paragraph" w:styleId="ListParagraph">
    <w:name w:val="List Paragraph"/>
    <w:basedOn w:val="Normal"/>
    <w:uiPriority w:val="34"/>
    <w:qFormat/>
    <w:rsid w:val="008E51AD"/>
    <w:pPr>
      <w:ind w:left="720"/>
      <w:contextualSpacing/>
    </w:pPr>
  </w:style>
  <w:style w:type="character" w:styleId="FollowedHyperlink">
    <w:name w:val="FollowedHyperlink"/>
    <w:basedOn w:val="DefaultParagraphFont"/>
    <w:uiPriority w:val="99"/>
    <w:semiHidden/>
    <w:unhideWhenUsed/>
    <w:rsid w:val="00490015"/>
    <w:rPr>
      <w:color w:val="954F72" w:themeColor="followedHyperlink"/>
      <w:u w:val="single"/>
    </w:rPr>
  </w:style>
  <w:style w:type="character" w:styleId="CommentReference">
    <w:name w:val="annotation reference"/>
    <w:basedOn w:val="DefaultParagraphFont"/>
    <w:uiPriority w:val="99"/>
    <w:semiHidden/>
    <w:unhideWhenUsed/>
    <w:rsid w:val="00CC0FFA"/>
    <w:rPr>
      <w:sz w:val="16"/>
      <w:szCs w:val="16"/>
    </w:rPr>
  </w:style>
  <w:style w:type="paragraph" w:styleId="CommentText">
    <w:name w:val="annotation text"/>
    <w:basedOn w:val="Normal"/>
    <w:link w:val="CommentTextChar"/>
    <w:uiPriority w:val="99"/>
    <w:semiHidden/>
    <w:unhideWhenUsed/>
    <w:rsid w:val="00CC0FFA"/>
    <w:pPr>
      <w:spacing w:line="240" w:lineRule="auto"/>
    </w:pPr>
    <w:rPr>
      <w:sz w:val="20"/>
      <w:szCs w:val="20"/>
    </w:rPr>
  </w:style>
  <w:style w:type="character" w:customStyle="1" w:styleId="CommentTextChar">
    <w:name w:val="Comment Text Char"/>
    <w:basedOn w:val="DefaultParagraphFont"/>
    <w:link w:val="CommentText"/>
    <w:uiPriority w:val="99"/>
    <w:semiHidden/>
    <w:rsid w:val="00CC0FFA"/>
    <w:rPr>
      <w:sz w:val="20"/>
      <w:szCs w:val="20"/>
    </w:rPr>
  </w:style>
  <w:style w:type="paragraph" w:styleId="CommentSubject">
    <w:name w:val="annotation subject"/>
    <w:basedOn w:val="CommentText"/>
    <w:next w:val="CommentText"/>
    <w:link w:val="CommentSubjectChar"/>
    <w:uiPriority w:val="99"/>
    <w:semiHidden/>
    <w:unhideWhenUsed/>
    <w:rsid w:val="00CC0FFA"/>
    <w:rPr>
      <w:b/>
      <w:bCs/>
    </w:rPr>
  </w:style>
  <w:style w:type="character" w:customStyle="1" w:styleId="CommentSubjectChar">
    <w:name w:val="Comment Subject Char"/>
    <w:basedOn w:val="CommentTextChar"/>
    <w:link w:val="CommentSubject"/>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587376"/>
    <w:rPr>
      <w:rFonts w:eastAsia="Times New Roman" w:cs="Times New Roman"/>
      <w:b/>
      <w:sz w:val="28"/>
      <w:szCs w:val="24"/>
      <w:lang w:val="es-MX"/>
    </w:rPr>
  </w:style>
  <w:style w:type="paragraph" w:styleId="TOCHeading">
    <w:name w:val="TOC Heading"/>
    <w:basedOn w:val="Heading1"/>
    <w:next w:val="Normal"/>
    <w:uiPriority w:val="39"/>
    <w:unhideWhenUsed/>
    <w:qFormat/>
    <w:rsid w:val="00A62C67"/>
    <w:pPr>
      <w:outlineLvl w:val="9"/>
    </w:pPr>
    <w:rPr>
      <w:lang w:eastAsia="es-MX"/>
    </w:rPr>
  </w:style>
  <w:style w:type="paragraph" w:styleId="TOC3">
    <w:name w:val="toc 3"/>
    <w:basedOn w:val="Normal"/>
    <w:next w:val="Normal"/>
    <w:autoRedefine/>
    <w:uiPriority w:val="39"/>
    <w:unhideWhenUsed/>
    <w:rsid w:val="00302EDB"/>
    <w:pPr>
      <w:spacing w:after="100"/>
      <w:ind w:left="482"/>
    </w:pPr>
  </w:style>
  <w:style w:type="paragraph" w:styleId="TOC1">
    <w:name w:val="toc 1"/>
    <w:basedOn w:val="Normal"/>
    <w:next w:val="Normal"/>
    <w:autoRedefine/>
    <w:uiPriority w:val="39"/>
    <w:unhideWhenUsed/>
    <w:rsid w:val="00302EDB"/>
    <w:pPr>
      <w:spacing w:after="100"/>
    </w:pPr>
  </w:style>
  <w:style w:type="character" w:customStyle="1" w:styleId="Heading2Char">
    <w:name w:val="Heading 2 Char"/>
    <w:basedOn w:val="DefaultParagraphFont"/>
    <w:link w:val="Heading2"/>
    <w:uiPriority w:val="9"/>
    <w:rsid w:val="00302EDB"/>
    <w:rPr>
      <w:rFonts w:eastAsia="Times New Roman" w:cs="Times New Roman"/>
      <w:b/>
      <w:szCs w:val="26"/>
      <w:lang w:val="es-MX"/>
    </w:rPr>
  </w:style>
  <w:style w:type="paragraph" w:styleId="TOC2">
    <w:name w:val="toc 2"/>
    <w:basedOn w:val="Normal"/>
    <w:next w:val="Normal"/>
    <w:autoRedefine/>
    <w:uiPriority w:val="39"/>
    <w:unhideWhenUsed/>
    <w:rsid w:val="00302EDB"/>
    <w:pPr>
      <w:spacing w:after="100"/>
      <w:ind w:left="238"/>
    </w:pPr>
  </w:style>
  <w:style w:type="character" w:customStyle="1" w:styleId="Heading3Char">
    <w:name w:val="Heading 3 Char"/>
    <w:basedOn w:val="DefaultParagraphFont"/>
    <w:link w:val="Heading3"/>
    <w:uiPriority w:val="9"/>
    <w:rsid w:val="00567910"/>
    <w:rPr>
      <w:rFonts w:eastAsiaTheme="majorEastAsia" w:cstheme="majorBidi"/>
      <w:b/>
      <w:i/>
      <w:szCs w:val="24"/>
      <w:lang w:val="es-MX"/>
    </w:rPr>
  </w:style>
  <w:style w:type="character" w:customStyle="1" w:styleId="Heading4Char">
    <w:name w:val="Heading 4 Char"/>
    <w:basedOn w:val="DefaultParagraphFont"/>
    <w:link w:val="Heading4"/>
    <w:uiPriority w:val="9"/>
    <w:rsid w:val="00AE0CE0"/>
    <w:rPr>
      <w:rFonts w:eastAsiaTheme="majorEastAsia" w:cstheme="majorBidi"/>
      <w:b/>
      <w:iCs/>
      <w:lang w:val="es-MX"/>
    </w:rPr>
  </w:style>
  <w:style w:type="character" w:customStyle="1" w:styleId="Heading5Char">
    <w:name w:val="Heading 5 Char"/>
    <w:basedOn w:val="DefaultParagraphFont"/>
    <w:link w:val="Heading5"/>
    <w:uiPriority w:val="9"/>
    <w:rsid w:val="004323BF"/>
    <w:rPr>
      <w:rFonts w:eastAsiaTheme="majorEastAsia" w:cstheme="majorBidi"/>
      <w:b/>
      <w:i/>
      <w:lang w:val="es-MX"/>
    </w:rPr>
  </w:style>
  <w:style w:type="paragraph" w:styleId="Caption">
    <w:name w:val="caption"/>
    <w:basedOn w:val="Normal"/>
    <w:next w:val="Normal"/>
    <w:uiPriority w:val="35"/>
    <w:unhideWhenUsed/>
    <w:qFormat/>
    <w:rsid w:val="002105D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02EDB"/>
    <w:pPr>
      <w:spacing w:after="0"/>
    </w:pPr>
  </w:style>
  <w:style w:type="table" w:customStyle="1" w:styleId="APAReport">
    <w:name w:val="APA Report"/>
    <w:basedOn w:val="TableNormal"/>
    <w:uiPriority w:val="99"/>
    <w:rsid w:val="00176F02"/>
    <w:pPr>
      <w:spacing w:after="0" w:line="240" w:lineRule="auto"/>
    </w:pPr>
    <w:rPr>
      <w:rFonts w:eastAsia="SimSu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DefaultParagraphFont"/>
    <w:uiPriority w:val="99"/>
    <w:semiHidden/>
    <w:unhideWhenUsed/>
    <w:rsid w:val="002D5888"/>
    <w:rPr>
      <w:color w:val="605E5C"/>
      <w:shd w:val="clear" w:color="auto" w:fill="E1DFDD"/>
    </w:rPr>
  </w:style>
  <w:style w:type="paragraph" w:styleId="TOC4">
    <w:name w:val="toc 4"/>
    <w:basedOn w:val="Normal"/>
    <w:next w:val="Normal"/>
    <w:autoRedefine/>
    <w:uiPriority w:val="39"/>
    <w:unhideWhenUsed/>
    <w:rsid w:val="00302EDB"/>
    <w:pPr>
      <w:spacing w:after="100"/>
      <w:ind w:left="720"/>
    </w:pPr>
  </w:style>
  <w:style w:type="paragraph" w:styleId="TOC5">
    <w:name w:val="toc 5"/>
    <w:basedOn w:val="Normal"/>
    <w:next w:val="Normal"/>
    <w:autoRedefine/>
    <w:uiPriority w:val="39"/>
    <w:unhideWhenUsed/>
    <w:rsid w:val="00302EDB"/>
    <w:pPr>
      <w:spacing w:after="100"/>
      <w:ind w:left="958"/>
    </w:pPr>
  </w:style>
  <w:style w:type="paragraph" w:customStyle="1" w:styleId="Default">
    <w:name w:val="Default"/>
    <w:rsid w:val="003C25F6"/>
    <w:pPr>
      <w:autoSpaceDE w:val="0"/>
      <w:autoSpaceDN w:val="0"/>
      <w:adjustRightInd w:val="0"/>
      <w:spacing w:after="0" w:line="240" w:lineRule="auto"/>
    </w:pPr>
    <w:rPr>
      <w:rFonts w:cs="Times New Roman"/>
      <w:color w:val="000000"/>
      <w:szCs w:val="24"/>
      <w:lang w:val="es-MX"/>
    </w:rPr>
  </w:style>
  <w:style w:type="character" w:customStyle="1" w:styleId="Encabezadoopiedepgina">
    <w:name w:val="Encabezado o pie de página_"/>
    <w:basedOn w:val="DefaultParagraphFont"/>
    <w:link w:val="Encabezadoopiedepgina0"/>
    <w:rsid w:val="00FB6C23"/>
    <w:rPr>
      <w:rFonts w:eastAsia="Times New Roman" w:cs="Times New Roman"/>
      <w:shd w:val="clear" w:color="auto" w:fill="FFFFFF"/>
      <w:lang w:val="es-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line="240" w:lineRule="auto"/>
    </w:pPr>
    <w:rPr>
      <w:rFonts w:eastAsia="Times New Roman" w:cs="Times New Roman"/>
      <w:lang w:val="es-ES" w:eastAsia="es-ES" w:bidi="es-ES"/>
    </w:rPr>
  </w:style>
  <w:style w:type="character" w:styleId="PlaceholderText">
    <w:name w:val="Placeholder Text"/>
    <w:basedOn w:val="DefaultParagraphFont"/>
    <w:uiPriority w:val="99"/>
    <w:semiHidden/>
    <w:rsid w:val="000F41AE"/>
    <w:rPr>
      <w:color w:val="808080"/>
    </w:rPr>
  </w:style>
  <w:style w:type="table" w:styleId="TableGrid">
    <w:name w:val="Table Grid"/>
    <w:basedOn w:val="TableNormal"/>
    <w:uiPriority w:val="39"/>
    <w:rsid w:val="000F4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OC6">
    <w:name w:val="toc 6"/>
    <w:basedOn w:val="Normal"/>
    <w:next w:val="Normal"/>
    <w:autoRedefine/>
    <w:uiPriority w:val="39"/>
    <w:unhideWhenUsed/>
    <w:rsid w:val="0058197F"/>
    <w:pPr>
      <w:spacing w:after="100" w:line="278" w:lineRule="auto"/>
      <w:ind w:left="1200"/>
      <w:jc w:val="left"/>
    </w:pPr>
    <w:rPr>
      <w:rFonts w:asciiTheme="minorHAnsi" w:eastAsiaTheme="minorEastAsia" w:hAnsiTheme="minorHAnsi"/>
      <w:kern w:val="2"/>
      <w:szCs w:val="24"/>
      <w:lang w:val="en-US"/>
    </w:rPr>
  </w:style>
  <w:style w:type="paragraph" w:styleId="TOC7">
    <w:name w:val="toc 7"/>
    <w:basedOn w:val="Normal"/>
    <w:next w:val="Normal"/>
    <w:autoRedefine/>
    <w:uiPriority w:val="39"/>
    <w:unhideWhenUsed/>
    <w:rsid w:val="0058197F"/>
    <w:pPr>
      <w:spacing w:after="100" w:line="278" w:lineRule="auto"/>
      <w:ind w:left="1440"/>
      <w:jc w:val="left"/>
    </w:pPr>
    <w:rPr>
      <w:rFonts w:asciiTheme="minorHAnsi" w:eastAsiaTheme="minorEastAsia" w:hAnsiTheme="minorHAnsi"/>
      <w:kern w:val="2"/>
      <w:szCs w:val="24"/>
      <w:lang w:val="en-US"/>
    </w:rPr>
  </w:style>
  <w:style w:type="paragraph" w:styleId="TOC8">
    <w:name w:val="toc 8"/>
    <w:basedOn w:val="Normal"/>
    <w:next w:val="Normal"/>
    <w:autoRedefine/>
    <w:uiPriority w:val="39"/>
    <w:unhideWhenUsed/>
    <w:rsid w:val="0058197F"/>
    <w:pPr>
      <w:spacing w:after="100" w:line="278" w:lineRule="auto"/>
      <w:ind w:left="1680"/>
      <w:jc w:val="left"/>
    </w:pPr>
    <w:rPr>
      <w:rFonts w:asciiTheme="minorHAnsi" w:eastAsiaTheme="minorEastAsia" w:hAnsiTheme="minorHAnsi"/>
      <w:kern w:val="2"/>
      <w:szCs w:val="24"/>
      <w:lang w:val="en-US"/>
    </w:rPr>
  </w:style>
  <w:style w:type="paragraph" w:styleId="TOC9">
    <w:name w:val="toc 9"/>
    <w:basedOn w:val="Normal"/>
    <w:next w:val="Normal"/>
    <w:autoRedefine/>
    <w:uiPriority w:val="39"/>
    <w:unhideWhenUsed/>
    <w:rsid w:val="0058197F"/>
    <w:pPr>
      <w:spacing w:after="100" w:line="278" w:lineRule="auto"/>
      <w:ind w:left="1920"/>
      <w:jc w:val="left"/>
    </w:pPr>
    <w:rPr>
      <w:rFonts w:asciiTheme="minorHAnsi" w:eastAsiaTheme="minorEastAsia" w:hAnsiTheme="minorHAnsi"/>
      <w:kern w:val="2"/>
      <w:szCs w:val="24"/>
      <w:lang w:val="en-US"/>
    </w:rPr>
  </w:style>
  <w:style w:type="character" w:styleId="UnresolvedMention">
    <w:name w:val="Unresolved Mention"/>
    <w:basedOn w:val="DefaultParagraphFont"/>
    <w:uiPriority w:val="99"/>
    <w:semiHidden/>
    <w:unhideWhenUsed/>
    <w:rsid w:val="005819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inffus.2019.12.012" TargetMode="External"/><Relationship Id="rId18" Type="http://schemas.openxmlformats.org/officeDocument/2006/relationships/hyperlink" Target="https://doi.org/10.1145/3737445" TargetMode="External"/><Relationship Id="rId26" Type="http://schemas.openxmlformats.org/officeDocument/2006/relationships/hyperlink" Target="https://www.aaai.org/Papers/KDD/1996/KDD96-033.pdf" TargetMode="External"/><Relationship Id="rId39" Type="http://schemas.openxmlformats.org/officeDocument/2006/relationships/hyperlink" Target="https://doi.org/10.1214/21-ss133" TargetMode="External"/><Relationship Id="rId21" Type="http://schemas.openxmlformats.org/officeDocument/2006/relationships/hyperlink" Target="https://doi.org/10.1007/s11023-018-9482-5" TargetMode="External"/><Relationship Id="rId34" Type="http://schemas.openxmlformats.org/officeDocument/2006/relationships/hyperlink" Target="https://doi.org/10.1145/3351095.3372850" TargetMode="External"/><Relationship Id="rId42" Type="http://schemas.openxmlformats.org/officeDocument/2006/relationships/hyperlink" Target="https://doi.org/10.1007/s10618-022-00867-8" TargetMode="External"/><Relationship Id="rId47" Type="http://schemas.openxmlformats.org/officeDocument/2006/relationships/hyperlink" Target="https://trustai4s-lab.github.io/ffidelity" TargetMode="External"/><Relationship Id="rId50" Type="http://schemas.openxmlformats.org/officeDocument/2006/relationships/fontTable" Target="fontTable.xml"/><Relationship Id="rId7" Type="http://schemas.openxmlformats.org/officeDocument/2006/relationships/hyperlink" Target="https://doi.org/10.1109/INES59045.2023.1030000" TargetMode="External"/><Relationship Id="rId2" Type="http://schemas.openxmlformats.org/officeDocument/2006/relationships/styles" Target="styles.xml"/><Relationship Id="rId16" Type="http://schemas.openxmlformats.org/officeDocument/2006/relationships/hyperlink" Target="https://doi.org/10.1023/a:1010933404324" TargetMode="External"/><Relationship Id="rId29" Type="http://schemas.openxmlformats.org/officeDocument/2006/relationships/hyperlink" Target="https://doi.org/10.1145/3236386.3241340" TargetMode="External"/><Relationship Id="rId11" Type="http://schemas.openxmlformats.org/officeDocument/2006/relationships/hyperlink" Target="https://doi.org/10.3390/technologies13030093" TargetMode="External"/><Relationship Id="rId24" Type="http://schemas.openxmlformats.org/officeDocument/2006/relationships/hyperlink" Target="https://doi.org/10.48550/arXiv.2411.15594" TargetMode="External"/><Relationship Id="rId32" Type="http://schemas.openxmlformats.org/officeDocument/2006/relationships/hyperlink" Target="https://doi.org/10.1002/widm.1493" TargetMode="External"/><Relationship Id="rId37" Type="http://schemas.openxmlformats.org/officeDocument/2006/relationships/hyperlink" Target="https://doi.org/10.1145/2939672.2939778" TargetMode="External"/><Relationship Id="rId40" Type="http://schemas.openxmlformats.org/officeDocument/2006/relationships/hyperlink" Target="https://doi.org/10.3390/app14198884" TargetMode="External"/><Relationship Id="rId45" Type="http://schemas.openxmlformats.org/officeDocument/2006/relationships/hyperlink" Target="https://doi.org/10.2307/3001968" TargetMode="External"/><Relationship Id="rId5" Type="http://schemas.openxmlformats.org/officeDocument/2006/relationships/footnotes" Target="footnotes.xml"/><Relationship Id="rId15" Type="http://schemas.openxmlformats.org/officeDocument/2006/relationships/hyperlink" Target="https://doi.org/10.1145/3631700.3664911" TargetMode="External"/><Relationship Id="rId23" Type="http://schemas.openxmlformats.org/officeDocument/2006/relationships/hyperlink" Target="https://doi.org/10.1109/dsaa.2018.00018" TargetMode="External"/><Relationship Id="rId28" Type="http://schemas.openxmlformats.org/officeDocument/2006/relationships/hyperlink" Target="https://doi.org/10.3390/e23010018" TargetMode="External"/><Relationship Id="rId36" Type="http://schemas.openxmlformats.org/officeDocument/2006/relationships/hyperlink" Target="https://doi.org/10.1038/s41467-022-33417-3" TargetMode="External"/><Relationship Id="rId49" Type="http://schemas.openxmlformats.org/officeDocument/2006/relationships/header" Target="header2.xml"/><Relationship Id="rId10" Type="http://schemas.openxmlformats.org/officeDocument/2006/relationships/hyperlink" Target="https://doi.org/10.1146/annurev-statistics-040120-030919" TargetMode="External"/><Relationship Id="rId19" Type="http://schemas.openxmlformats.org/officeDocument/2006/relationships/hyperlink" Target="https://www.jmlr.org/papers/v7/demsar06a.html" TargetMode="External"/><Relationship Id="rId31" Type="http://schemas.openxmlformats.org/officeDocument/2006/relationships/hyperlink" Target="https://doi.org/10.1145/3647444.3647912" TargetMode="External"/><Relationship Id="rId44" Type="http://schemas.openxmlformats.org/officeDocument/2006/relationships/hyperlink" Target="https://doi.org/10.2139/ssrn.3063289" TargetMode="External"/><Relationship Id="rId4" Type="http://schemas.openxmlformats.org/officeDocument/2006/relationships/webSettings" Target="webSettings.xml"/><Relationship Id="rId9" Type="http://schemas.openxmlformats.org/officeDocument/2006/relationships/hyperlink" Target="https://doi.org/10.1016/j.inffus.2023.101805" TargetMode="External"/><Relationship Id="rId14" Type="http://schemas.openxmlformats.org/officeDocument/2006/relationships/hyperlink" Target="https://doi.org/10.3389/fdata.2021.688969" TargetMode="External"/><Relationship Id="rId22" Type="http://schemas.openxmlformats.org/officeDocument/2006/relationships/hyperlink" Target="https://doi.org/10.1080/01621459.1937.10503522" TargetMode="External"/><Relationship Id="rId27" Type="http://schemas.openxmlformats.org/officeDocument/2006/relationships/hyperlink" Target="https://doi.org/10.3389/fpsyg.2013.00863" TargetMode="External"/><Relationship Id="rId30" Type="http://schemas.openxmlformats.org/officeDocument/2006/relationships/hyperlink" Target="https://doi.org/10.48550/arxiv.1705.07874" TargetMode="External"/><Relationship Id="rId35" Type="http://schemas.openxmlformats.org/officeDocument/2006/relationships/hyperlink" Target="https://doi.org/10.1073/pnas.1900654116" TargetMode="External"/><Relationship Id="rId43" Type="http://schemas.openxmlformats.org/officeDocument/2006/relationships/hyperlink" Target="https://doi.org/10.1201/9781003442509" TargetMode="External"/><Relationship Id="rId48" Type="http://schemas.openxmlformats.org/officeDocument/2006/relationships/header" Target="header1.xml"/><Relationship Id="rId8" Type="http://schemas.openxmlformats.org/officeDocument/2006/relationships/hyperlink" Target="https://doi.org/10.1109/access.2018.2870052"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002/widm.1424" TargetMode="External"/><Relationship Id="rId17" Type="http://schemas.openxmlformats.org/officeDocument/2006/relationships/hyperlink" Target="https://proceedings.neurips.cc/paper/2020/hash/1457c0d6bfcb4967418bfb8ac142f64a-Abstract.html" TargetMode="External"/><Relationship Id="rId25" Type="http://schemas.openxmlformats.org/officeDocument/2006/relationships/hyperlink" Target="https://doi.org/10.1007/s12559-023-10179-8" TargetMode="External"/><Relationship Id="rId33" Type="http://schemas.openxmlformats.org/officeDocument/2006/relationships/hyperlink" Target="https://doi.org/10.1145/3287560.3287574" TargetMode="External"/><Relationship Id="rId38" Type="http://schemas.openxmlformats.org/officeDocument/2006/relationships/hyperlink" Target="https://doi.org/10.1609/aaai.v32i1.11491" TargetMode="External"/><Relationship Id="rId46" Type="http://schemas.openxmlformats.org/officeDocument/2006/relationships/hyperlink" Target="https://proceedings.neurips.cc/paper_files/paper/2023/hash/91f18a1287b398d378ef22505bf41832-Abstract-Datasets_and_Benchmarks.html" TargetMode="External"/><Relationship Id="rId20" Type="http://schemas.openxmlformats.org/officeDocument/2006/relationships/hyperlink" Target="https://doi.org/10.48550/arxiv.1702.08608" TargetMode="External"/><Relationship Id="rId41" Type="http://schemas.openxmlformats.org/officeDocument/2006/relationships/hyperlink" Target="https://doi.org/10.1007/978-3-030-28954-6" TargetMode="External"/><Relationship Id="rId1" Type="http://schemas.openxmlformats.org/officeDocument/2006/relationships/numbering" Target="numbering.xml"/><Relationship Id="rId6" Type="http://schemas.openxmlformats.org/officeDocument/2006/relationships/endnotes" Target="endnot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103</Pages>
  <Words>22738</Words>
  <Characters>129607</Characters>
  <Application>Microsoft Office Word</Application>
  <DocSecurity>0</DocSecurity>
  <Lines>1080</Lines>
  <Paragraphs>304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cp:lastModifiedBy>Jonathan Herrera</cp:lastModifiedBy>
  <cp:revision>4</cp:revision>
  <dcterms:created xsi:type="dcterms:W3CDTF">2026-05-01T16:07:00Z</dcterms:created>
  <dcterms:modified xsi:type="dcterms:W3CDTF">2026-05-01T16:13:00Z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