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ICC(2,1) —modelo de efectos aleatorios bidireccionales, concordancia</w:t>
      </w:r>
      <w:r>
        <w:t xml:space="preserve"> </w:t>
      </w:r>
      <w:r>
        <w:t xml:space="preserve">absoluta—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0.388 y la estabilidad 0.052, ambas</w:t>
      </w:r>
      <w:r>
        <w:t xml:space="preserve"> </w:t>
      </w:r>
      <w:r>
        <w:t xml:space="preserve">inferiores a las de SHAP y LIME.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1"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8"/>
    <w:bookmarkStart w:id="170"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identifica que la evaluación semántica crece más rápido que su base</w:t>
      </w:r>
      <w:r>
        <w:t xml:space="preserve"> </w:t>
      </w:r>
      <w:r>
        <w:t xml:space="preserve">de validación empírica. EXP4 (diseñado en §sec-exp4-diseno,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ICC(2,1)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ICC(2,1)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ICC(2,1): modelo bidireccional</w:t>
            </w:r>
            <w:r>
              <w:t xml:space="preserve"> </w:t>
            </w:r>
            <w:r>
              <w:t xml:space="preserve">de efectos aleatorios, concordancia absoluta.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ICC(2,1)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69"/>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ICC(2,1)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0"/>
    <w:bookmarkEnd w:id="171"/>
    <w:bookmarkStart w:id="187"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4"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2"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ICC(2,1)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2"/>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ICC(2,1) entre 0.321 y 0.601 en 7 dimensiones; ninguna alcanza umbral</w:t>
                  </w:r>
                  <w:r>
                    <w:t xml:space="preserve"> </w:t>
                  </w:r>
                  <ns1:oMath>
                    <ns1:r>
                      <ns1:rPr>
                        <ns1:sty ns1:val="p"/>
                      </ns1:rPr>
                      <ns1:t>≥</ns1:t>
                    </ns1:r>
                    <ns1:r>
                      <ns1:t>0.75</ns1:t>
                    </ns1:r>
                  </ns1:oMath>
                  <w:r>
                    <w:t xml:space="preserve">. Véase §sec-exp4-fiabilidad.</w:t>
                  </w:r>
                </w:p>
              </w:tc>
            </w:tr>
          </w:tbl>
          <w:bookmarkEnd w:id="173"/>
          <w:p>
            <w:pPr>
              <w:spacing w:line="360" w:lineRule="auto"/>
              <w:jc w:val="both"/>
            </w:pPr>
          </w:p>
        </w:tc>
      </w:tr>
    </w:tbl>
    <w:bookmarkEnd w:id="174"/>
    <w:bookmarkStart w:id="178" w:name="sec-contribuciones"/>
    <w:p>
      <w:pPr>
        <w:pStyle w:val="Ttulo2"/>
        <w:spacing w:line="360" w:lineRule="auto"/>
        <w:jc w:val="both"/>
      </w:pPr>
      <w:r>
        <w:t xml:space="preserve">Contribuciones científicas</w:t>
      </w:r>
    </w:p>
    <w:bookmarkStart w:id="175"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5"/>
    <w:bookmarkStart w:id="176"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6"/>
    <w:bookmarkStart w:id="177"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7"/>
    <w:bookmarkEnd w:id="178"/>
    <w:bookmarkStart w:id="180"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9"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9"/>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0"/>
    <w:bookmarkStart w:id="181"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Inestabilidad estructural de LIME.</w:t>
      </w:r>
      <w:r>
        <w:t xml:space="preserve"> </w:t>
      </w:r>
      <w:r>
        <w:t xml:space="preserve">La inestabilidad de LIME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descartando que el resultado sea un artefacto de convergencia. Un análisis adicional de sensibilidad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confirmando que la referencia es el mínimo viable y que la inestabilidad es estructural, no dependiente de la configuración del kernel (Apéndice C).</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1"/>
    <w:bookmarkStart w:id="184"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2"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2"/>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3"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3"/>
    <w:bookmarkEnd w:id="184"/>
    <w:bookmarkStart w:id="185"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5"/>
    <w:bookmarkStart w:id="186"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6"/>
    <w:bookmarkEnd w:id="187"/>
    <w:bookmarkStart w:id="322" w:name="referencias"/>
    <w:p>
      <w:pPr>
        <w:pStyle w:val="Ttulo1"/>
        <w:spacing w:line="360" w:lineRule="auto"/>
        <w:jc w:val="both"/>
      </w:pPr>
      <w:r>
        <w:t xml:space="preserve">Referencias</w:t>
      </w:r>
    </w:p>
    <w:bookmarkStart w:id="321" w:name="refs"/>
    <w:bookmarkStart w:id="189"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8">
        <w:r>
          <w:rPr>
            <w:rStyle w:val="Hipervnculo"/>
          </w:rPr>
          <w:t xml:space="preserve">https://doi.org/10.1145/3173574.3174156</w:t>
        </w:r>
      </w:hyperlink>
      <w:r>
        <w:t xml:space="preserve">.</w:t>
      </w:r>
    </w:p>
    <w:bookmarkEnd w:id="189"/>
    <w:bookmarkStart w:id="191"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0">
        <w:r>
          <w:rPr>
            <w:rStyle w:val="Hipervnculo"/>
          </w:rPr>
          <w:t xml:space="preserve">https://doi.org/10.1109/INES59045.2023.1030000</w:t>
        </w:r>
      </w:hyperlink>
      <w:r>
        <w:t xml:space="preserve">.</w:t>
      </w:r>
    </w:p>
    <w:bookmarkEnd w:id="191"/>
    <w:bookmarkStart w:id="193"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2">
        <w:r>
          <w:rPr>
            <w:rStyle w:val="Hipervnculo"/>
          </w:rPr>
          <w:t xml:space="preserve">https://doi.org/10.1109/access.2018.2870052</w:t>
        </w:r>
      </w:hyperlink>
      <w:r>
        <w:t xml:space="preserve">.</w:t>
      </w:r>
    </w:p>
    <w:bookmarkEnd w:id="193"/>
    <w:bookmarkStart w:id="19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4"/>
    <w:bookmarkStart w:id="19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5">
        <w:r>
          <w:rPr>
            <w:rStyle w:val="Hipervnculo"/>
          </w:rPr>
          <w:t xml:space="preserve">https://doi.org/10.1016/j.inffus.2023.101805</w:t>
        </w:r>
      </w:hyperlink>
      <w:r>
        <w:t xml:space="preserve">.</w:t>
      </w:r>
    </w:p>
    <w:bookmarkEnd w:id="196"/>
    <w:bookmarkStart w:id="198"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7">
        <w:r>
          <w:rPr>
            <w:rStyle w:val="Hipervnculo"/>
          </w:rPr>
          <w:t xml:space="preserve">https://doi.org/10.1146/annurev-statistics-040120-030919</w:t>
        </w:r>
      </w:hyperlink>
      <w:r>
        <w:t xml:space="preserve">.</w:t>
      </w:r>
    </w:p>
    <w:bookmarkEnd w:id="198"/>
    <w:bookmarkStart w:id="200"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9">
        <w:r>
          <w:rPr>
            <w:rStyle w:val="Hipervnculo"/>
          </w:rPr>
          <w:t xml:space="preserve">https://doi.org/10.3390/technologies13030093</w:t>
        </w:r>
      </w:hyperlink>
      <w:r>
        <w:t xml:space="preserve">.</w:t>
      </w:r>
    </w:p>
    <w:bookmarkEnd w:id="200"/>
    <w:bookmarkStart w:id="202"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1">
        <w:r>
          <w:rPr>
            <w:rStyle w:val="Hipervnculo"/>
          </w:rPr>
          <w:t xml:space="preserve">https://arxiv.org/abs/1806.08049</w:t>
        </w:r>
      </w:hyperlink>
      <w:r>
        <w:t xml:space="preserve">.</w:t>
      </w:r>
    </w:p>
    <w:bookmarkEnd w:id="202"/>
    <w:bookmarkStart w:id="204"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3">
        <w:r>
          <w:rPr>
            <w:rStyle w:val="Hipervnculo"/>
          </w:rPr>
          <w:t xml:space="preserve">https://doi.org/10.1002/widm.1424</w:t>
        </w:r>
      </w:hyperlink>
      <w:r>
        <w:t xml:space="preserve">.</w:t>
      </w:r>
    </w:p>
    <w:bookmarkEnd w:id="204"/>
    <w:bookmarkStart w:id="206"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5">
        <w:r>
          <w:rPr>
            <w:rStyle w:val="Hipervnculo"/>
          </w:rPr>
          <w:t xml:space="preserve">https://doi.org/10.1016/j.inffus.2019.12.012</w:t>
        </w:r>
      </w:hyperlink>
      <w:r>
        <w:t xml:space="preserve">.</w:t>
      </w:r>
    </w:p>
    <w:bookmarkEnd w:id="206"/>
    <w:bookmarkStart w:id="20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7">
        <w:r>
          <w:rPr>
            <w:rStyle w:val="Hipervnculo"/>
          </w:rPr>
          <w:t xml:space="preserve">https://doi.org/10.3389/fdata.2021.688969</w:t>
        </w:r>
      </w:hyperlink>
      <w:r>
        <w:t xml:space="preserve">.</w:t>
      </w:r>
    </w:p>
    <w:bookmarkEnd w:id="208"/>
    <w:bookmarkStart w:id="210"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9">
        <w:r>
          <w:rPr>
            <w:rStyle w:val="Hipervnculo"/>
          </w:rPr>
          <w:t xml:space="preserve">https://doi.org/10.1145/3631700.3664911</w:t>
        </w:r>
      </w:hyperlink>
      <w:r>
        <w:t xml:space="preserve">.</w:t>
      </w:r>
    </w:p>
    <w:bookmarkEnd w:id="210"/>
    <w:bookmarkStart w:id="212"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1">
        <w:r>
          <w:rPr>
            <w:rStyle w:val="Hipervnculo"/>
          </w:rPr>
          <w:t xml:space="preserve">https://doi.org/10.1023/a:1010933404324</w:t>
        </w:r>
      </w:hyperlink>
      <w:r>
        <w:t xml:space="preserve">.</w:t>
      </w:r>
    </w:p>
    <w:bookmarkEnd w:id="212"/>
    <w:bookmarkStart w:id="214"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3">
        <w:r>
          <w:rPr>
            <w:rStyle w:val="Hipervnculo"/>
          </w:rPr>
          <w:t xml:space="preserve">https://doi.org/10.18653/v1/2023.emnlp-main.792</w:t>
        </w:r>
      </w:hyperlink>
      <w:r>
        <w:t xml:space="preserve">.</w:t>
      </w:r>
    </w:p>
    <w:bookmarkEnd w:id="214"/>
    <w:bookmarkStart w:id="216"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5">
        <w:r>
          <w:rPr>
            <w:rStyle w:val="Hipervnculo"/>
          </w:rPr>
          <w:t xml:space="preserve">https://doi.org/10.1145/3737445</w:t>
        </w:r>
      </w:hyperlink>
      <w:r>
        <w:t xml:space="preserve">.</w:t>
      </w:r>
    </w:p>
    <w:bookmarkEnd w:id="216"/>
    <w:bookmarkStart w:id="218"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7">
        <w:r>
          <w:rPr>
            <w:rStyle w:val="Hipervnculo"/>
          </w:rPr>
          <w:t xml:space="preserve">https://doi.org/10.3390/electronics8080832</w:t>
        </w:r>
      </w:hyperlink>
      <w:r>
        <w:t xml:space="preserve">.</w:t>
      </w:r>
    </w:p>
    <w:bookmarkEnd w:id="218"/>
    <w:bookmarkStart w:id="220"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9">
        <w:r>
          <w:rPr>
            <w:rStyle w:val="Hipervnculo"/>
          </w:rPr>
          <w:t xml:space="preserve">https://www.jmlr.org/papers/v7/demsar06a.html</w:t>
        </w:r>
      </w:hyperlink>
      <w:r>
        <w:t xml:space="preserve">.</w:t>
      </w:r>
    </w:p>
    <w:bookmarkEnd w:id="220"/>
    <w:bookmarkStart w:id="222"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1">
        <w:r>
          <w:rPr>
            <w:rStyle w:val="Hipervnculo"/>
          </w:rPr>
          <w:t xml:space="preserve">https://doi.org/10.48550/arxiv.1702.08608</w:t>
        </w:r>
      </w:hyperlink>
      <w:r>
        <w:t xml:space="preserve">.</w:t>
      </w:r>
    </w:p>
    <w:bookmarkEnd w:id="222"/>
    <w:bookmarkStart w:id="224"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3">
        <w:r>
          <w:rPr>
            <w:rStyle w:val="Hipervnculo"/>
          </w:rPr>
          <w:t xml:space="preserve">http://archive.ics.uci.edu/ml</w:t>
        </w:r>
      </w:hyperlink>
      <w:r>
        <w:t xml:space="preserve">.</w:t>
      </w:r>
    </w:p>
    <w:bookmarkEnd w:id="224"/>
    <w:bookmarkStart w:id="226"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5">
        <w:r>
          <w:rPr>
            <w:rStyle w:val="Hipervnculo"/>
          </w:rPr>
          <w:t xml:space="preserve">https://doi.org/10.1007/s11023-018-9482-5</w:t>
        </w:r>
      </w:hyperlink>
      <w:r>
        <w:t xml:space="preserve">.</w:t>
      </w:r>
    </w:p>
    <w:bookmarkEnd w:id="226"/>
    <w:bookmarkStart w:id="228"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7">
        <w:r>
          <w:rPr>
            <w:rStyle w:val="Hipervnculo"/>
          </w:rPr>
          <w:t xml:space="preserve">https://doi.org/10.1080/01621459.1937.10503522</w:t>
        </w:r>
      </w:hyperlink>
      <w:r>
        <w:t xml:space="preserve">.</w:t>
      </w:r>
    </w:p>
    <w:bookmarkEnd w:id="228"/>
    <w:bookmarkStart w:id="23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9">
        <w:r>
          <w:rPr>
            <w:rStyle w:val="Hipervnculo"/>
          </w:rPr>
          <w:t xml:space="preserve">https://doi.org/10.1109/dsaa.2018.00018</w:t>
        </w:r>
      </w:hyperlink>
      <w:r>
        <w:t xml:space="preserve">.</w:t>
      </w:r>
    </w:p>
    <w:bookmarkEnd w:id="230"/>
    <w:bookmarkStart w:id="232"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1">
        <w:r>
          <w:rPr>
            <w:rStyle w:val="Hipervnculo"/>
          </w:rPr>
          <w:t xml:space="preserve">https://doi.org/10.1145/3236009</w:t>
        </w:r>
      </w:hyperlink>
      <w:r>
        <w:t xml:space="preserve">.</w:t>
      </w:r>
    </w:p>
    <w:bookmarkEnd w:id="232"/>
    <w:bookmarkStart w:id="234"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3">
        <w:r>
          <w:rPr>
            <w:rStyle w:val="Hipervnculo"/>
          </w:rPr>
          <w:t xml:space="preserve">https://doi.org/10.18653/v1/2020.acl-main.491</w:t>
        </w:r>
      </w:hyperlink>
      <w:r>
        <w:t xml:space="preserve">.</w:t>
      </w:r>
    </w:p>
    <w:bookmarkEnd w:id="234"/>
    <w:bookmarkStart w:id="236"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5">
        <w:r>
          <w:rPr>
            <w:rStyle w:val="Hipervnculo"/>
          </w:rPr>
          <w:t xml:space="preserve">https://doi.org/10.1007/s12559-023-10179-8</w:t>
        </w:r>
      </w:hyperlink>
      <w:r>
        <w:t xml:space="preserve">.</w:t>
      </w:r>
    </w:p>
    <w:bookmarkEnd w:id="236"/>
    <w:bookmarkStart w:id="237"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7"/>
    <w:bookmarkStart w:id="239"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8">
        <w:r>
          <w:rPr>
            <w:rStyle w:val="Hipervnculo"/>
          </w:rPr>
          <w:t xml:space="preserve">https://doi.org/10.1007/s13218-023-00806-9</w:t>
        </w:r>
      </w:hyperlink>
      <w:r>
        <w:t xml:space="preserve">.</w:t>
      </w:r>
    </w:p>
    <w:bookmarkEnd w:id="239"/>
    <w:bookmarkStart w:id="241"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0">
        <w:r>
          <w:rPr>
            <w:rStyle w:val="Hipervnculo"/>
          </w:rPr>
          <w:t xml:space="preserve">https://doi.org/10.1126/science.359.6377.725</w:t>
        </w:r>
      </w:hyperlink>
      <w:r>
        <w:t xml:space="preserve">.</w:t>
      </w:r>
    </w:p>
    <w:bookmarkEnd w:id="241"/>
    <w:bookmarkStart w:id="24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2">
        <w:r>
          <w:rPr>
            <w:rStyle w:val="Hipervnculo"/>
          </w:rPr>
          <w:t xml:space="preserve">https://doi.org/10.1145/3527848</w:t>
        </w:r>
      </w:hyperlink>
      <w:r>
        <w:t xml:space="preserve">.</w:t>
      </w:r>
    </w:p>
    <w:bookmarkEnd w:id="243"/>
    <w:bookmarkStart w:id="245"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4">
        <w:r>
          <w:rPr>
            <w:rStyle w:val="Hipervnculo"/>
          </w:rPr>
          <w:t xml:space="preserve">https://doi.org/10.1145/3313831.3376219</w:t>
        </w:r>
      </w:hyperlink>
      <w:r>
        <w:t xml:space="preserve">.</w:t>
      </w:r>
    </w:p>
    <w:bookmarkEnd w:id="245"/>
    <w:bookmarkStart w:id="247"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6">
        <w:r>
          <w:rPr>
            <w:rStyle w:val="Hipervnculo"/>
          </w:rPr>
          <w:t xml:space="preserve">https://archive.ics.uci.edu/dataset/2/adult</w:t>
        </w:r>
      </w:hyperlink>
      <w:r>
        <w:t xml:space="preserve">.</w:t>
      </w:r>
    </w:p>
    <w:bookmarkEnd w:id="247"/>
    <w:bookmarkStart w:id="249"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8">
        <w:r>
          <w:rPr>
            <w:rStyle w:val="Hipervnculo"/>
          </w:rPr>
          <w:t xml:space="preserve">https://doi.org/10.1016/j.jcm.2016.02.012</w:t>
        </w:r>
      </w:hyperlink>
      <w:r>
        <w:t xml:space="preserve">.</w:t>
      </w:r>
    </w:p>
    <w:bookmarkEnd w:id="249"/>
    <w:bookmarkStart w:id="25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0">
        <w:r>
          <w:rPr>
            <w:rStyle w:val="Hipervnculo"/>
          </w:rPr>
          <w:t xml:space="preserve">https://doi.org/10.3389/fpsyg.2013.00863</w:t>
        </w:r>
      </w:hyperlink>
      <w:r>
        <w:t xml:space="preserve">.</w:t>
      </w:r>
    </w:p>
    <w:bookmarkEnd w:id="251"/>
    <w:bookmarkStart w:id="25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2">
        <w:r>
          <w:rPr>
            <w:rStyle w:val="Hipervnculo"/>
          </w:rPr>
          <w:t xml:space="preserve">https://doi.org/10.1016/j.artint.2021.103473</w:t>
        </w:r>
      </w:hyperlink>
      <w:r>
        <w:t xml:space="preserve">.</w:t>
      </w:r>
    </w:p>
    <w:bookmarkEnd w:id="253"/>
    <w:bookmarkStart w:id="25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4">
        <w:r>
          <w:rPr>
            <w:rStyle w:val="Hipervnculo"/>
          </w:rPr>
          <w:t xml:space="preserve">https://doi.org/10.24963/ijcai.2019/388</w:t>
        </w:r>
      </w:hyperlink>
      <w:r>
        <w:t xml:space="preserve">.</w:t>
      </w:r>
    </w:p>
    <w:bookmarkEnd w:id="255"/>
    <w:bookmarkStart w:id="25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6">
        <w:r>
          <w:rPr>
            <w:rStyle w:val="Hipervnculo"/>
          </w:rPr>
          <w:t xml:space="preserve">https://doi.org/10.3390/e23010018</w:t>
        </w:r>
      </w:hyperlink>
      <w:r>
        <w:t xml:space="preserve">.</w:t>
      </w:r>
    </w:p>
    <w:bookmarkEnd w:id="257"/>
    <w:bookmarkStart w:id="25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8">
        <w:r>
          <w:rPr>
            <w:rStyle w:val="Hipervnculo"/>
          </w:rPr>
          <w:t xml:space="preserve">https://doi.org/10.1145/3236386.3241340</w:t>
        </w:r>
      </w:hyperlink>
      <w:r>
        <w:t xml:space="preserve">.</w:t>
      </w:r>
    </w:p>
    <w:bookmarkEnd w:id="259"/>
    <w:bookmarkStart w:id="26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0">
        <w:r>
          <w:rPr>
            <w:rStyle w:val="Hipervnculo"/>
          </w:rPr>
          <w:t xml:space="preserve">https://doi.org/10.48550/arxiv.1705.07874</w:t>
        </w:r>
      </w:hyperlink>
      <w:r>
        <w:t xml:space="preserve">.</w:t>
      </w:r>
    </w:p>
    <w:bookmarkEnd w:id="261"/>
    <w:bookmarkStart w:id="26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2">
        <w:r>
          <w:rPr>
            <w:rStyle w:val="Hipervnculo"/>
          </w:rPr>
          <w:t xml:space="preserve">https://doi.org/10.1145/3647444.3647912</w:t>
        </w:r>
      </w:hyperlink>
      <w:r>
        <w:t xml:space="preserve">.</w:t>
      </w:r>
    </w:p>
    <w:bookmarkEnd w:id="263"/>
    <w:bookmarkStart w:id="26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4">
        <w:r>
          <w:rPr>
            <w:rStyle w:val="Hipervnculo"/>
          </w:rPr>
          <w:t xml:space="preserve">https://doi.org/10.1002/widm.1493</w:t>
        </w:r>
      </w:hyperlink>
      <w:r>
        <w:t xml:space="preserve">.</w:t>
      </w:r>
    </w:p>
    <w:bookmarkEnd w:id="265"/>
    <w:bookmarkStart w:id="26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6">
        <w:r>
          <w:rPr>
            <w:rStyle w:val="Hipervnculo"/>
          </w:rPr>
          <w:t xml:space="preserve">https://doi.org/10.1016/j.artint.2018.07.007</w:t>
        </w:r>
      </w:hyperlink>
      <w:r>
        <w:t xml:space="preserve">.</w:t>
      </w:r>
    </w:p>
    <w:bookmarkEnd w:id="267"/>
    <w:bookmarkStart w:id="26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8">
        <w:r>
          <w:rPr>
            <w:rStyle w:val="Hipervnculo"/>
          </w:rPr>
          <w:t xml:space="preserve">https://doi.org/10.1145/3287560.3287574</w:t>
        </w:r>
      </w:hyperlink>
      <w:r>
        <w:t xml:space="preserve">.</w:t>
      </w:r>
    </w:p>
    <w:bookmarkEnd w:id="269"/>
    <w:bookmarkStart w:id="27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0">
        <w:r>
          <w:rPr>
            <w:rStyle w:val="Hipervnculo"/>
          </w:rPr>
          <w:t xml:space="preserve">https://doi.org/10.1145/3387166</w:t>
        </w:r>
      </w:hyperlink>
      <w:r>
        <w:t xml:space="preserve">.</w:t>
      </w:r>
    </w:p>
    <w:bookmarkEnd w:id="271"/>
    <w:bookmarkStart w:id="27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2">
        <w:r>
          <w:rPr>
            <w:rStyle w:val="Hipervnculo"/>
          </w:rPr>
          <w:t xml:space="preserve">https://doi.org/10.1145/3351095.3372850</w:t>
        </w:r>
      </w:hyperlink>
      <w:r>
        <w:t xml:space="preserve">.</w:t>
      </w:r>
    </w:p>
    <w:bookmarkEnd w:id="273"/>
    <w:bookmarkStart w:id="27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4">
        <w:r>
          <w:rPr>
            <w:rStyle w:val="Hipervnculo"/>
          </w:rPr>
          <w:t xml:space="preserve">https://doi.org/10.1073/pnas.1900654116</w:t>
        </w:r>
      </w:hyperlink>
      <w:r>
        <w:t xml:space="preserve">.</w:t>
      </w:r>
    </w:p>
    <w:bookmarkEnd w:id="275"/>
    <w:bookmarkStart w:id="27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6">
        <w:r>
          <w:rPr>
            <w:rStyle w:val="Hipervnculo"/>
          </w:rPr>
          <w:t xml:space="preserve">https://doi.org/10.1145/3583558</w:t>
        </w:r>
      </w:hyperlink>
      <w:r>
        <w:t xml:space="preserve">.</w:t>
      </w:r>
    </w:p>
    <w:bookmarkEnd w:id="277"/>
    <w:bookmarkStart w:id="27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8">
        <w:r>
          <w:rPr>
            <w:rStyle w:val="Hipervnculo"/>
          </w:rPr>
          <w:t xml:space="preserve">https://catalog.princeton.edu/catalog/2081365</w:t>
        </w:r>
      </w:hyperlink>
      <w:r>
        <w:t xml:space="preserve">.</w:t>
      </w:r>
    </w:p>
    <w:bookmarkEnd w:id="279"/>
    <w:bookmarkStart w:id="28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0"/>
    <w:bookmarkStart w:id="28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1">
        <w:r>
          <w:rPr>
            <w:rStyle w:val="Hipervnculo"/>
          </w:rPr>
          <w:t xml:space="preserve">https://doi.org/10.1038/s41467-022-33417-3</w:t>
        </w:r>
      </w:hyperlink>
      <w:r>
        <w:t xml:space="preserve">.</w:t>
      </w:r>
    </w:p>
    <w:bookmarkEnd w:id="282"/>
    <w:bookmarkStart w:id="28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3">
        <w:r>
          <w:rPr>
            <w:rStyle w:val="Hipervnculo"/>
          </w:rPr>
          <w:t xml:space="preserve">https://doi.org/10.1016/j.neucom.2024.128282</w:t>
        </w:r>
      </w:hyperlink>
      <w:r>
        <w:t xml:space="preserve">.</w:t>
      </w:r>
    </w:p>
    <w:bookmarkEnd w:id="284"/>
    <w:bookmarkStart w:id="28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5">
        <w:r>
          <w:rPr>
            <w:rStyle w:val="Hipervnculo"/>
          </w:rPr>
          <w:t xml:space="preserve">https://doi.org/10.1145/3375627.3375850</w:t>
        </w:r>
      </w:hyperlink>
      <w:r>
        <w:t xml:space="preserve">.</w:t>
      </w:r>
    </w:p>
    <w:bookmarkEnd w:id="286"/>
    <w:bookmarkStart w:id="28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7">
        <w:r>
          <w:rPr>
            <w:rStyle w:val="Hipervnculo"/>
          </w:rPr>
          <w:t xml:space="preserve">https://doi.org/10.1145/2939672.2939778</w:t>
        </w:r>
      </w:hyperlink>
      <w:r>
        <w:t xml:space="preserve">.</w:t>
      </w:r>
    </w:p>
    <w:bookmarkEnd w:id="288"/>
    <w:bookmarkStart w:id="29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89">
        <w:r>
          <w:rPr>
            <w:rStyle w:val="Hipervnculo"/>
          </w:rPr>
          <w:t xml:space="preserve">https://doi.org/10.1609/aaai.v32i1.11491</w:t>
        </w:r>
      </w:hyperlink>
      <w:r>
        <w:t xml:space="preserve">.</w:t>
      </w:r>
    </w:p>
    <w:bookmarkEnd w:id="290"/>
    <w:bookmarkStart w:id="29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1">
        <w:r>
          <w:rPr>
            <w:rStyle w:val="Hipervnculo"/>
          </w:rPr>
          <w:t xml:space="preserve">https://doi.org/10.1109/TPAMI.2023.3331846</w:t>
        </w:r>
      </w:hyperlink>
      <w:r>
        <w:t xml:space="preserve">.</w:t>
      </w:r>
    </w:p>
    <w:bookmarkEnd w:id="292"/>
    <w:bookmarkStart w:id="29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3">
        <w:r>
          <w:rPr>
            <w:rStyle w:val="Hipervnculo"/>
          </w:rPr>
          <w:t xml:space="preserve">https://doi.org/10.1214/21-ss133</w:t>
        </w:r>
      </w:hyperlink>
      <w:r>
        <w:t xml:space="preserve">.</w:t>
      </w:r>
    </w:p>
    <w:bookmarkEnd w:id="294"/>
    <w:bookmarkStart w:id="29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5">
        <w:r>
          <w:rPr>
            <w:rStyle w:val="Hipervnculo"/>
          </w:rPr>
          <w:t xml:space="preserve">https://doi.org/10.3390/app14198884</w:t>
        </w:r>
      </w:hyperlink>
      <w:r>
        <w:t xml:space="preserve">.</w:t>
      </w:r>
    </w:p>
    <w:bookmarkEnd w:id="296"/>
    <w:bookmarkStart w:id="29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7">
        <w:r>
          <w:rPr>
            <w:rStyle w:val="Hipervnculo"/>
          </w:rPr>
          <w:t xml:space="preserve">https://doi.org/10.1007/978-3-030-28954-6</w:t>
        </w:r>
      </w:hyperlink>
      <w:r>
        <w:t xml:space="preserve">.</w:t>
      </w:r>
    </w:p>
    <w:bookmarkEnd w:id="298"/>
    <w:bookmarkStart w:id="30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99">
        <w:r>
          <w:rPr>
            <w:rStyle w:val="Hipervnculo"/>
          </w:rPr>
          <w:t xml:space="preserve">https://doi.org/10.1007/s10618-022-00867-8</w:t>
        </w:r>
      </w:hyperlink>
      <w:r>
        <w:t xml:space="preserve">.</w:t>
      </w:r>
    </w:p>
    <w:bookmarkEnd w:id="300"/>
    <w:bookmarkStart w:id="30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1">
        <w:r>
          <w:rPr>
            <w:rStyle w:val="Hipervnculo"/>
          </w:rPr>
          <w:t xml:space="preserve">https://doi.org/10.1145/3375627.3375830</w:t>
        </w:r>
      </w:hyperlink>
      <w:r>
        <w:t xml:space="preserve">.</w:t>
      </w:r>
    </w:p>
    <w:bookmarkEnd w:id="302"/>
    <w:bookmarkStart w:id="30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3">
        <w:r>
          <w:rPr>
            <w:rStyle w:val="Hipervnculo"/>
          </w:rPr>
          <w:t xml:space="preserve">https://doi.org/10.1007/s13218-020-00637-y</w:t>
        </w:r>
      </w:hyperlink>
      <w:r>
        <w:t xml:space="preserve">.</w:t>
      </w:r>
    </w:p>
    <w:bookmarkEnd w:id="304"/>
    <w:bookmarkStart w:id="30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5">
        <w:r>
          <w:rPr>
            <w:rStyle w:val="Hipervnculo"/>
          </w:rPr>
          <w:t xml:space="preserve">https://doi.org/10.1109/TNNLS.2020.3027314</w:t>
        </w:r>
      </w:hyperlink>
      <w:r>
        <w:t xml:space="preserve">.</w:t>
      </w:r>
    </w:p>
    <w:bookmarkEnd w:id="306"/>
    <w:bookmarkStart w:id="30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7">
        <w:r>
          <w:rPr>
            <w:rStyle w:val="Hipervnculo"/>
          </w:rPr>
          <w:t xml:space="preserve">https://doi.org/10.1609/aaai.v34i04.6064</w:t>
        </w:r>
      </w:hyperlink>
      <w:r>
        <w:t xml:space="preserve">.</w:t>
      </w:r>
    </w:p>
    <w:bookmarkEnd w:id="308"/>
    <w:bookmarkStart w:id="31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09">
        <w:r>
          <w:rPr>
            <w:rStyle w:val="Hipervnculo"/>
          </w:rPr>
          <w:t xml:space="preserve">https://doi.org/10.1201/9781003442509</w:t>
        </w:r>
      </w:hyperlink>
      <w:r>
        <w:t xml:space="preserve">.</w:t>
      </w:r>
    </w:p>
    <w:bookmarkEnd w:id="310"/>
    <w:bookmarkStart w:id="31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1">
        <w:r>
          <w:rPr>
            <w:rStyle w:val="Hipervnculo"/>
          </w:rPr>
          <w:t xml:space="preserve">https://doi.org/10.1613/jair.1.13283</w:t>
        </w:r>
      </w:hyperlink>
      <w:r>
        <w:t xml:space="preserve">.</w:t>
      </w:r>
    </w:p>
    <w:bookmarkEnd w:id="312"/>
    <w:bookmarkStart w:id="31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3">
        <w:r>
          <w:rPr>
            <w:rStyle w:val="Hipervnculo"/>
          </w:rPr>
          <w:t xml:space="preserve">https://doi.org/10.1007/978-3-319-57959-7</w:t>
        </w:r>
      </w:hyperlink>
      <w:r>
        <w:t xml:space="preserve">.</w:t>
      </w:r>
    </w:p>
    <w:bookmarkEnd w:id="314"/>
    <w:bookmarkStart w:id="31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5">
        <w:r>
          <w:rPr>
            <w:rStyle w:val="Hipervnculo"/>
          </w:rPr>
          <w:t xml:space="preserve">https://doi.org/10.2139/ssrn.3063289</w:t>
        </w:r>
      </w:hyperlink>
      <w:r>
        <w:t xml:space="preserve">.</w:t>
      </w:r>
    </w:p>
    <w:bookmarkEnd w:id="316"/>
    <w:bookmarkStart w:id="31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7">
        <w:r>
          <w:rPr>
            <w:rStyle w:val="Hipervnculo"/>
          </w:rPr>
          <w:t xml:space="preserve">https://doi.org/10.2307/3001968</w:t>
        </w:r>
      </w:hyperlink>
      <w:r>
        <w:t xml:space="preserve">.</w:t>
      </w:r>
    </w:p>
    <w:bookmarkEnd w:id="318"/>
    <w:bookmarkStart w:id="32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19">
        <w:r>
          <w:rPr>
            <w:rStyle w:val="Hipervnculo"/>
          </w:rPr>
          <w:t xml:space="preserve">https://trustai4s-lab.github.io/ffidelity</w:t>
        </w:r>
      </w:hyperlink>
      <w:r>
        <w:t xml:space="preserve">.</w:t>
      </w:r>
    </w:p>
    <w:bookmarkEnd w:id="320"/>
    <w:bookmarkEnd w:id="321"/>
    <w:bookmarkEnd w:id="322"/>
    <w:bookmarkStart w:id="346" w:name="apéndices"/>
    <w:p>
      <w:pPr>
        <w:pStyle w:val="Ttulo1"/>
        <w:spacing w:line="360" w:lineRule="auto"/>
        <w:jc w:val="both"/>
      </w:pPr>
      <w:r>
        <w:t xml:space="preserve">Apéndices</w:t>
      </w:r>
    </w:p>
    <w:bookmarkStart w:id="32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4"/>
    <w:bookmarkStart w:id="32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6"/>
    <w:bookmarkStart w:id="33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2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2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1"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2"/>
    <w:bookmarkEnd w:id="333"/>
    <w:bookmarkStart w:id="34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4"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6"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5"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6"/>
    <w:bookmarkStart w:id="33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7"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7"/>
          <w:p>
            <w:pPr>
              <w:spacing w:line="360" w:lineRule="auto"/>
              <w:jc w:val="both"/>
            </w:pPr>
          </w:p>
        </w:tc>
      </w:tr>
    </w:tbl>
    <w:bookmarkEnd w:id="338"/>
    <w:bookmarkStart w:id="34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39"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3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0"/>
    <w:bookmarkEnd w:id="341"/>
    <w:bookmarkStart w:id="34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2"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3"/>
    <w:bookmarkStart w:id="34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4"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 (rúbrica de 7 dimensiones)</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entregadas al juez LLM</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ICC(2,1)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5"/>
    <w:bookmarkEnd w:id="346"/>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2026-08-24T01:40:15Z</dcterms:created>
  <dcterms:modified xsi:type="dcterms:W3CDTF">2026-08-24T01:40:15Z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