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4.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143.png" ContentType="image/png"/>
  <Override PartName="/word/media/rId139.png" ContentType="image/png"/>
  <Override PartName="/word/media/rId135.png" ContentType="image/png"/>
  <Override PartName="/word/media/rId131.png" ContentType="image/png"/>
  <Override PartName="/word/media/rId147.png" ContentType="image/png"/>
  <Override PartName="/word/media/rId127.png" ContentType="image/png"/>
  <Override PartName="/word/media/rId151.png" ContentType="image/png"/>
  <Override PartName="/word/media/image2.jpeg" ContentType="image/jpe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pStyle w:val="Title"/>
        <w:spacing w:line="360" w:lineRule="auto"/>
        <w:jc w:val="both"/>
      </w:pPr>
      <w:r>
        <w:t xml:space="preserve">Marco para la Evaluación Multinivel de la Explicabilidad en IA</w:t>
      </w:r>
    </w:p>
    <w:p>
      <w:pPr>
        <w:pStyle w:val="Subtitle"/>
        <w:spacing w:line="360" w:lineRule="auto"/>
        <w:jc w:val="both"/>
      </w:pPr>
      <w:r>
        <w:t xml:space="preserve">Integración de Benchmarking Técnico, Protocolo Reproducible (FOM-7) y Taxonomía de Métricas</w:t>
      </w:r>
    </w:p>
    <w:p>
      <w:pPr>
        <w:pStyle w:val="Author"/>
        <w:spacing w:line="360" w:lineRule="auto"/>
        <w:jc w:val="both"/>
      </w:pPr>
      <w:r>
        <w:t xml:space="preserve">J. Herrera</w:t>
      </w:r>
    </w:p>
    <w:p>
      <w:pPr>
        <w:pStyle w:val="Date"/>
        <w:spacing w:line="360" w:lineRule="auto"/>
        <w:jc w:val="both"/>
      </w:pPr>
      <w:r>
        <w:t xml:space="preserve">2026-04-19</w:t>
      </w:r>
    </w:p>
    <w:sdt>
      <w:sdtPr>
        <w:docPartObj>
          <w:docPartGallery w:val="Table of Contents"/>
          <w:docPartUnique/>
        </w:docPartObj>
      </w:sdtPr>
      <w:sdtContent>
        <w:p>
          <w:pPr>
            <w:pStyle w:val="TtulodeTDC"/>
            <w:spacing w:line="360" w:lineRule="auto"/>
            <w:jc w:val="both"/>
          </w:pPr>
          <w:r>
            <w:t xml:space="preserve">Table of contents</w:t>
          </w:r>
        </w:p>
        <w:p>
          <w:pPr>
            <w:spacing w:line="360" w:lineRule="auto"/>
            <w:jc w:val="both"/>
          </w:pPr>
          <w:r>
            <w:fldChar w:fldCharType="begin" w:dirty="true"/>
            <w:instrText xml:space="preserve">TOC \o "1-3" \h \z \u</w:instrText>
            <w:fldChar w:fldCharType="separate"/>
            <w:fldChar w:fldCharType="end"/>
          </w:r>
        </w:p>
      </w:sdtContent>
    </w:sdt>
    <w:bookmarkStart w:id="25" w:name="X9879de00516a950326abd0572f192803626eb50"/>
    <w:p>
      <w:pPr>
        <w:pStyle w:val="Ttulo1"/>
        <w:spacing w:line="360" w:lineRule="auto"/>
        <w:jc w:val="both"/>
      </w:pPr>
      <w:r>
        <w:t xml:space="preserve">Marco para la Evaluación Multinivel de la Explicabilidad en IA</w:t>
      </w:r>
    </w:p>
    <w:p>
      <w:pPr>
        <w:pStyle w:val="FirstParagraph"/>
        <w:spacing w:line="360" w:lineRule="auto"/>
        <w:jc w:val="both"/>
      </w:pPr>
      <w:r>
        <w:t xml:space="preserve">Integración de Benchmarking Técnico, Protocolo Reproducible (FOM-7) y</w:t>
      </w:r>
      <w:r>
        <w:t xml:space="preserve"> </w:t>
      </w:r>
      <w:r>
        <w:t xml:space="preserve">Taxonomía de Métricas</w:t>
      </w:r>
    </w:p>
    <w:p>
      <w:pPr>
        <w:pStyle w:val="Textoindependiente"/>
        <w:spacing w:line="360" w:lineRule="auto"/>
        <w:jc w:val="both"/>
      </w:pPr>
      <w:r>
        <w:br/>
      </w:r>
    </w:p>
    <w:bookmarkEnd w:id="25"/>
    <w:bookmarkStart w:id="26" w:name="resumen"/>
    <w:p>
      <w:pPr>
        <w:pStyle w:val="Ttulo1"/>
        <w:spacing w:line="360" w:lineRule="auto"/>
        <w:jc w:val="both"/>
      </w:pPr>
      <w:r>
        <w:t xml:space="preserve">Resumen</w:t>
      </w:r>
    </w:p>
    <w:p>
      <w:pPr>
        <w:pStyle w:val="FirstParagraph"/>
        <w:spacing w:line="360" w:lineRule="auto"/>
        <w:jc w:val="both"/>
      </w:pPr>
      <w:r>
        <w:t xml:space="preserve">Esta tesis propone un marco de evaluación multinivel para la Inteligencia Artificial Explicable (XAI) orientado a comparar métodos agnósticos al modelo bajo condiciones de benchmarking controladas y reproducibles. El trabajo responde a la “crisis de evaluación” en XAI articulando tres componentes complementarios: (i) un protocolo de operación reproducible de siete puertas (FOM-7) que conecta diseño experimental, calificación de artefactos e inferencia estadística admisible; (ii) un benchmark cuantitativo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w:t>
      </w:r>
    </w:p>
    <w:p>
      <w:pPr>
        <w:pStyle w:val="Textoindependiente"/>
        <w:spacing w:line="360" w:lineRule="auto"/>
        <w:jc w:val="both"/>
      </w:pPr>
      <w:r>
        <w:t xml:space="preserve">El estudio empírico se realiza sobre el conjunto Adult (UCI Adult Income) y operacionaliza cinco métricas primarias: fidelidad, estabilidad, parsimonia, brecha de fidelidad (</w:t>
      </w:r>
      <w:r>
        <w:rPr>
          <w:i/>
          <w:iCs/>
        </w:rPr>
        <w:t xml:space="preserve">faithfulness gap</w:t>
      </w:r>
      <w:r>
        <w:t xml:space="preserve">) y coste computacional. La inferencia confirmativa se apoya en comparaciones no paramétricas con control de multiplicidad y en un análisis pareado SHAP–LIME para cuantificar el trade-off calidad–coste. Los resultados muestran diferencias grandes y consistentes entre métodos: SHAP domina en fidelidad y estabilidad en los contextos evaluados, mientras que LIME resulta competitivo cuando la latencia es crítica, a costa de explicaciones estructuralmente inestables. Anchors y DiCE se posicionan como enfoques con objetivos explicativos cualitativamente distintos a la atribución de características. En conjunto, la tesis aporta un protocolo portable y un marco conceptual que permiten seleccionar métodos XAI en función de objetivos operativos y acumular evidencia de forma reproducible.</w:t>
      </w:r>
    </w:p>
    <w:p>
      <w:pPr>
        <w:pStyle w:val="Textoindependiente"/>
        <w:spacing w:line="360" w:lineRule="auto"/>
        <w:jc w:val="both"/>
      </w:pPr>
      <w:r>
        <w:rPr>
          <w:b/>
          <w:bCs/>
        </w:rPr>
        <w:t xml:space="preserve">Palabras clave:</w:t>
      </w:r>
      <w:r>
        <w:t xml:space="preserve"> </w:t>
      </w:r>
      <w:r>
        <w:t xml:space="preserve">inteligencia artificial explicable (XAI); evaluación multimétrica; benchmarking reproducible; protocolo FOM-7; atribución de características; explicaciones contrafactuales; datos tabulares.</w:t>
      </w:r>
    </w:p>
    <w:bookmarkEnd w:id="26"/>
    <w:bookmarkStart w:id="27" w:name="abstract"/>
    <w:p>
      <w:pPr>
        <w:pStyle w:val="Ttulo1"/>
        <w:spacing w:line="360" w:lineRule="auto"/>
        <w:jc w:val="both"/>
      </w:pPr>
      <w:r>
        <w:t xml:space="preserve">Abstract</w:t>
      </w:r>
    </w:p>
    <w:p>
      <w:pPr>
        <w:pStyle w:val="FirstParagraph"/>
        <w:spacing w:line="360" w:lineRule="auto"/>
        <w:jc w:val="both"/>
      </w:pPr>
      <w:r>
        <w:t xml:space="preserve">This thesis proposes a multilevel evaluation framework for Explainable Artificial Intelligence (XAI) aimed at comparing model-agnostic explainers under controlled and reproducible benchmarking conditions. To address the evaluation fragmentation in XAI, the framework integrates three complementary components: (i) a seven-gate operational protocol (FOM-7) that links experimental design, artifact qualification, and statistically admissible inference; (ii) a multi-metric quantitative benchmark on real-world tabular data evaluating SHAP, LIME, Anchors, and DiCE across five model families; and (iii) a structured taxonomy of XAI evaluation metrics organized along four axes (evaluation target, evidence source, quality property, and task context).</w:t>
      </w:r>
    </w:p>
    <w:p>
      <w:pPr>
        <w:pStyle w:val="Textoindependiente"/>
        <w:spacing w:line="360" w:lineRule="auto"/>
        <w:jc w:val="both"/>
      </w:pPr>
      <w:r>
        <w:t xml:space="preserve">The empirical study uses the Adult (UCI Adult Income) dataset and operationalizes five primary metrics: faithfulness, stability, parsimony, faithfulness gap, and computational cost. Confirmatory inference relies on nonparametric comparisons with multiplicity control and on a paired SHAP–LIME analysis to quantify the quality–cost trade-off. Results show large and consistent differences across methods: SHAP dominates in faithfulness and stability in the evaluated settings, whereas LIME becomes attractive when latency constraints dominate, at the cost of structurally unstable explanations. Anchors and DiCE address qualitatively different explanatory objectives than feature attribution. Overall, the thesis contributes a portable protocol and a conceptual framework to support operationally grounded XAI method selection and reproducible evidence accumulation.</w:t>
      </w:r>
    </w:p>
    <w:p>
      <w:pPr>
        <w:pStyle w:val="Textoindependiente"/>
        <w:spacing w:line="360" w:lineRule="auto"/>
        <w:jc w:val="both"/>
      </w:pPr>
      <w:r>
        <w:rPr>
          <w:b/>
          <w:bCs/>
        </w:rPr>
        <w:t xml:space="preserve">Keywords:</w:t>
      </w:r>
      <w:r>
        <w:t xml:space="preserve"> </w:t>
      </w:r>
      <w:r>
        <w:t xml:space="preserve">explainable AI (XAI); multi-metric evaluation; reproducible benchmarking; FOM-7 protocol; feature attribution; counterfactual explanations; tabular data.</w:t>
      </w:r>
    </w:p>
    <w:bookmarkEnd w:id="27"/>
    <w:bookmarkStart w:id="28" w:name="introducción"/>
    <w:p>
      <w:pPr>
        <w:pStyle w:val="Ttulo1"/>
        <w:spacing w:line="360" w:lineRule="auto"/>
        <w:jc w:val="both"/>
      </w:pPr>
      <w:r>
        <w:t xml:space="preserve">Introducción</w:t>
      </w:r>
    </w:p>
    <w:p>
      <w:pPr>
        <w:pStyle w:val="FirstParagraph"/>
        <w:spacing w:line="360" w:lineRule="auto"/>
        <w:jc w:val="both"/>
      </w:pPr>
      <w:r>
        <w:t xml:space="preserve">El rápido avance de la inteligencia artificial (IA), particularmente en el</w:t>
      </w:r>
      <w:r>
        <w:t xml:space="preserve"> </w:t>
      </w:r>
      <w:r>
        <w:t xml:space="preserve">ámbito del aprendizaje profundo y los modelos complejos de aprendizaje</w:t>
      </w:r>
      <w:r>
        <w:t xml:space="preserve"> </w:t>
      </w:r>
      <w:r>
        <w:t xml:space="preserve">automático, ha transformado radicalmente la capacidad predictiva en dominios tan</w:t>
      </w:r>
      <w:r>
        <w:t xml:space="preserve"> </w:t>
      </w:r>
      <w:r>
        <w:t xml:space="preserve">diversos como la atención médica, las finanzas y los sistemas autónomos. Sin</w:t>
      </w:r>
      <w:r>
        <w:t xml:space="preserve"> </w:t>
      </w:r>
      <w:r>
        <w:t xml:space="preserve">embargo, esta evolución tecnológica ha traído consigo una problemática</w:t>
      </w:r>
      <w:r>
        <w:t xml:space="preserve"> </w:t>
      </w:r>
      <w:r>
        <w:t xml:space="preserve">fundamental: la naturaleza de</w:t>
      </w:r>
      <w:r>
        <w:t xml:space="preserve"> </w:t>
      </w:r>
      <w:r>
        <w:t xml:space="preserve">“caja negra”</w:t>
      </w:r>
      <w:r>
        <w:t xml:space="preserve"> </w:t>
      </w:r>
      <w:r>
        <w:t xml:space="preserve">de estos modelos, la cual plantea</w:t>
      </w:r>
      <w:r>
        <w:t xml:space="preserve"> </w:t>
      </w:r>
      <w:r>
        <w:t xml:space="preserve">serias preocupaciones respecto a la confianza, la transparencia y la</w:t>
      </w:r>
      <w:r>
        <w:t xml:space="preserve"> </w:t>
      </w:r>
      <w:r>
        <w:t xml:space="preserve">responsabilidad algorítmica. En este escenario, la interpretabilidad emerge no</w:t>
      </w:r>
      <w:r>
        <w:t xml:space="preserve"> </w:t>
      </w:r>
      <w:r>
        <w:t xml:space="preserve">solo como un desafío técnico de primer orden, sino como un requisito ético y</w:t>
      </w:r>
      <w:r>
        <w:t xml:space="preserve"> </w:t>
      </w:r>
      <w:r>
        <w:t xml:space="preserve">legal indispensable para el despliegue de soluciones en el mundo real. Para</w:t>
      </w:r>
      <w:r>
        <w:t xml:space="preserve"> </w:t>
      </w:r>
      <w:r>
        <w:t xml:space="preserve">abordar esta opacidad, los métodos de explicación agnósticos al modelo —tales</w:t>
      </w:r>
      <w:r>
        <w:t xml:space="preserve"> </w:t>
      </w:r>
      <w:r>
        <w:t xml:space="preserve">como LIME</w:t>
      </w:r>
      <w:r>
        <w:t xml:space="preserve"> </w:t>
      </w:r>
      <w:r>
        <w:t xml:space="preserve">(Ribeiro 2016)</w:t>
      </w:r>
      <w:r>
        <w:t xml:space="preserve">, SHAP</w:t>
      </w:r>
      <w:r>
        <w:t xml:space="preserve"> </w:t>
      </w:r>
      <w:r>
        <w:t xml:space="preserve">(Lundberg 2017)</w:t>
      </w:r>
      <w:r>
        <w:t xml:space="preserve">, Anchors</w:t>
      </w:r>
      <w:r>
        <w:t xml:space="preserve"> </w:t>
      </w:r>
      <w:r>
        <w:t xml:space="preserve">(Ribeiro 2018)</w:t>
      </w:r>
      <w:r>
        <w:t xml:space="preserve"> </w:t>
      </w:r>
      <w:r>
        <w:t xml:space="preserve">y DiCE</w:t>
      </w:r>
      <w:r>
        <w:t xml:space="preserve"> </w:t>
      </w:r>
      <w:r>
        <w:t xml:space="preserve">(Mothilal 2020)</w:t>
      </w:r>
      <w:r>
        <w:t xml:space="preserve">— han ganado protagonismo al intentar proporcionar explicaciones</w:t>
      </w:r>
      <w:r>
        <w:t xml:space="preserve"> </w:t>
      </w:r>
      <w:r>
        <w:rPr>
          <w:i/>
          <w:iCs/>
        </w:rPr>
        <w:t xml:space="preserve">post-hoc</w:t>
      </w:r>
      <w:r>
        <w:t xml:space="preserve"> </w:t>
      </w:r>
      <w:r>
        <w:t xml:space="preserve">sin necesidad de alterar los componentes internos del modelo,</w:t>
      </w:r>
      <w:r>
        <w:t xml:space="preserve"> </w:t>
      </w:r>
      <w:r>
        <w:t xml:space="preserve">facilitando así la detección de sesgos y la validación de resultados en</w:t>
      </w:r>
      <w:r>
        <w:t xml:space="preserve"> </w:t>
      </w:r>
      <w:r>
        <w:t xml:space="preserve">aplicaciones críticas.</w:t>
      </w:r>
    </w:p>
    <w:p>
      <w:pPr>
        <w:pStyle w:val="Textoindependiente"/>
        <w:spacing w:line="360" w:lineRule="auto"/>
        <w:jc w:val="both"/>
      </w:pPr>
      <w:r>
        <w:t xml:space="preserve">La urgencia de esta investigación se amplifica por un contexto regulatorio en</w:t>
      </w:r>
      <w:r>
        <w:t xml:space="preserve"> </w:t>
      </w:r>
      <w:r>
        <w:t xml:space="preserve">rápida evolución. El Reglamento General de Protección de Datos de la Unión</w:t>
      </w:r>
      <w:r>
        <w:t xml:space="preserve"> </w:t>
      </w:r>
      <w:r>
        <w:t xml:space="preserve">Europea (GDPR) establece en su Artículo 22 el derecho de las personas a obtener</w:t>
      </w:r>
      <w:r>
        <w:t xml:space="preserve"> </w:t>
      </w:r>
      <w:r>
        <w:t xml:space="preserve">explicaciones significativas sobre decisiones automatizadas que les afecten</w:t>
      </w:r>
      <w:r>
        <w:t xml:space="preserve"> </w:t>
      </w:r>
      <w:r>
        <w:t xml:space="preserve">(Voigt and Bussche 2017)</w:t>
      </w:r>
      <w:r>
        <w:t xml:space="preserve">. La Ley de Inteligencia Artificial de la Unión Europea (EU AI Act,</w:t>
      </w:r>
      <w:r>
        <w:t xml:space="preserve"> </w:t>
      </w:r>
      <w:r>
        <w:t xml:space="preserve">2024) va más lejos: clasifica ciertos sistemas de IA como de alto riesgo y exige</w:t>
      </w:r>
      <w:r>
        <w:t xml:space="preserve"> </w:t>
      </w:r>
      <w:r>
        <w:t xml:space="preserve">requisitos de transparencia, trazabilidad y supervisión humana que dependen</w:t>
      </w:r>
      <w:r>
        <w:t xml:space="preserve"> </w:t>
      </w:r>
      <w:r>
        <w:t xml:space="preserve">directamente de la disponibilidad de métodos de explicación verificables. En el</w:t>
      </w:r>
      <w:r>
        <w:t xml:space="preserve"> </w:t>
      </w:r>
      <w:r>
        <w:t xml:space="preserve">ámbito financiero, la Directiva de Crédito Hipotecario y la regulación bancaria</w:t>
      </w:r>
      <w:r>
        <w:t xml:space="preserve"> </w:t>
      </w:r>
      <w:r>
        <w:t xml:space="preserve">(Basilea IV) demandan modelos auditables. En el sector sanitario, la FDA</w:t>
      </w:r>
      <w:r>
        <w:t xml:space="preserve"> </w:t>
      </w:r>
      <w:r>
        <w:t xml:space="preserve">norteamericana y la EMA europea han publicado marcos de gobernanza que vinculan</w:t>
      </w:r>
      <w:r>
        <w:t xml:space="preserve"> </w:t>
      </w:r>
      <w:r>
        <w:t xml:space="preserve">aprobación de sistemas de IA con explicabilidad comprobable. Esta confluencia</w:t>
      </w:r>
      <w:r>
        <w:t xml:space="preserve"> </w:t>
      </w:r>
      <w:r>
        <w:t xml:space="preserve">normativa convierte la evaluación rigurosa de métodos de explicación en una</w:t>
      </w:r>
      <w:r>
        <w:t xml:space="preserve"> </w:t>
      </w:r>
      <w:r>
        <w:t xml:space="preserve">necesidad operativa, no solo académica.</w:t>
      </w:r>
    </w:p>
    <w:p>
      <w:pPr>
        <w:pStyle w:val="Textoindependiente"/>
        <w:spacing w:line="360" w:lineRule="auto"/>
        <w:jc w:val="both"/>
      </w:pPr>
      <w:r>
        <w:t xml:space="preserve">A pesar de su potencial, los enfoques actuales de explicabilidad</w:t>
      </w:r>
      <w:r>
        <w:t xml:space="preserve"> </w:t>
      </w:r>
      <w:r>
        <w:t xml:space="preserve">adolecen de limitaciones significativas que restringen su aplicabilidad</w:t>
      </w:r>
      <w:r>
        <w:t xml:space="preserve"> </w:t>
      </w:r>
      <w:r>
        <w:t xml:space="preserve">práctica. En primer lugar, la comunidad científica enfrenta lo que se ha</w:t>
      </w:r>
      <w:r>
        <w:t xml:space="preserve"> </w:t>
      </w:r>
      <w:r>
        <w:t xml:space="preserve">denominado una</w:t>
      </w:r>
      <w:r>
        <w:t xml:space="preserve"> </w:t>
      </w:r>
      <w:r>
        <w:t xml:space="preserve">“crisis de evaluación”</w:t>
      </w:r>
      <w:r>
        <w:t xml:space="preserve">, caracterizada por una proliferación de</w:t>
      </w:r>
      <w:r>
        <w:t xml:space="preserve"> </w:t>
      </w:r>
      <w:r>
        <w:t xml:space="preserve">métricas inconexas que a menudo generan resultados duplicados o contradictorios</w:t>
      </w:r>
      <w:r>
        <w:t xml:space="preserve"> </w:t>
      </w:r>
      <w:r>
        <w:t xml:space="preserve">(Pawlicki et al. 2024)</w:t>
      </w:r>
      <w:r>
        <w:t xml:space="preserve">. Revisiones sistemáticas recientes</w:t>
      </w:r>
      <w:r>
        <w:t xml:space="preserve"> </w:t>
      </w:r>
      <w:r>
        <w:t xml:space="preserve">(Abdul Kadir et al. 2023)</w:t>
      </w:r>
      <w:r>
        <w:t xml:space="preserve"> </w:t>
      </w:r>
      <w:r>
        <w:t xml:space="preserve">revelan que,</w:t>
      </w:r>
      <w:r>
        <w:t xml:space="preserve"> </w:t>
      </w:r>
      <w:r>
        <w:t xml:space="preserve">a pesar del auge de la disciplina, solo una pequeña fracción del corpus de</w:t>
      </w:r>
      <w:r>
        <w:t xml:space="preserve"> </w:t>
      </w:r>
      <w:r>
        <w:t xml:space="preserve">investigación —aproximadamente el 14%— incorpora evaluaciones cuantitativas</w:t>
      </w:r>
      <w:r>
        <w:t xml:space="preserve"> </w:t>
      </w:r>
      <w:r>
        <w:t xml:space="preserve">rigurosas. Esta carencia de estándares se ve agravada por la falta de consenso</w:t>
      </w:r>
      <w:r>
        <w:t xml:space="preserve"> </w:t>
      </w:r>
      <w:r>
        <w:t xml:space="preserve">formal sobre las propiedades fundamentales de una</w:t>
      </w:r>
      <w:r>
        <w:t xml:space="preserve"> </w:t>
      </w:r>
      <w:r>
        <w:t xml:space="preserve">“buena”</w:t>
      </w:r>
      <w:r>
        <w:t xml:space="preserve"> </w:t>
      </w:r>
      <w:r>
        <w:t xml:space="preserve">explicación, lo que</w:t>
      </w:r>
      <w:r>
        <w:t xml:space="preserve"> </w:t>
      </w:r>
      <w:r>
        <w:t xml:space="preserve">dificulta la comparación objetiva entre métodos</w:t>
      </w:r>
      <w:r>
        <w:t xml:space="preserve"> </w:t>
      </w:r>
      <w:r>
        <w:t xml:space="preserve">(Canha et al. 2025; Nizam and Zafar 2023)</w:t>
      </w:r>
      <w:r>
        <w:t xml:space="preserve">. La</w:t>
      </w:r>
      <w:r>
        <w:t xml:space="preserve"> </w:t>
      </w:r>
      <w:r>
        <w:t xml:space="preserve">ausencia de criterios consensuados provoca que, a menudo, se ignore la</w:t>
      </w:r>
      <w:r>
        <w:t xml:space="preserve"> </w:t>
      </w:r>
      <w:r>
        <w:t xml:space="preserve">“validez</w:t>
      </w:r>
      <w:r>
        <w:t xml:space="preserve"> </w:t>
      </w:r>
      <w:r>
        <w:t xml:space="preserve">semántica”</w:t>
      </w:r>
      <w:r>
        <w:t xml:space="preserve"> </w:t>
      </w:r>
      <w:r>
        <w:t xml:space="preserve">de la explicación, priorizando métricas matemáticas proxy que no</w:t>
      </w:r>
      <w:r>
        <w:t xml:space="preserve"> </w:t>
      </w:r>
      <w:r>
        <w:t xml:space="preserve">siempre logran capturar el juicio comprensible para un experto humano.</w:t>
      </w:r>
    </w:p>
    <w:p>
      <w:pPr>
        <w:pStyle w:val="Textoindependiente"/>
        <w:spacing w:line="360" w:lineRule="auto"/>
        <w:jc w:val="both"/>
      </w:pPr>
      <w:r>
        <w:t xml:space="preserve">A los desafíos de estandarización se suman debilidades técnicas críticas en los</w:t>
      </w:r>
      <w:r>
        <w:t xml:space="preserve"> </w:t>
      </w:r>
      <w:r>
        <w:t xml:space="preserve">marcos de evaluación vigentes. Estudios recientes han identificado que muchas de</w:t>
      </w:r>
      <w:r>
        <w:t xml:space="preserve"> </w:t>
      </w:r>
      <w:r>
        <w:t xml:space="preserve">las métricas de fidelidad tradicionales sufren del problema de datos</w:t>
      </w:r>
      <w:r>
        <w:t xml:space="preserve"> </w:t>
      </w:r>
      <w:r>
        <w:t xml:space="preserve">“fuera de la distribución”</w:t>
      </w:r>
      <w:r>
        <w:t xml:space="preserve"> </w:t>
      </w:r>
      <w:r>
        <w:t xml:space="preserve">(Out-of-Distribution o OOD), donde la eliminación o</w:t>
      </w:r>
      <w:r>
        <w:t xml:space="preserve"> </w:t>
      </w:r>
      <w:r>
        <w:t xml:space="preserve">perturbación de características genera instancias que el modelo original nunca</w:t>
      </w:r>
      <w:r>
        <w:t xml:space="preserve"> </w:t>
      </w:r>
      <w:r>
        <w:t xml:space="preserve">encontró durante su entrenamiento, invalidando así sus respuestas y las</w:t>
      </w:r>
      <w:r>
        <w:t xml:space="preserve"> </w:t>
      </w:r>
      <w:r>
        <w:t xml:space="preserve">puntuaciones de fiabilidad resultantes</w:t>
      </w:r>
      <w:r>
        <w:t xml:space="preserve"> </w:t>
      </w:r>
      <w:r>
        <w:t xml:space="preserve">(Zheng et al. 2025)</w:t>
      </w:r>
      <w:r>
        <w:t xml:space="preserve">. Si bien han surgido</w:t>
      </w:r>
      <w:r>
        <w:t xml:space="preserve"> </w:t>
      </w:r>
      <w:r>
        <w:t xml:space="preserve">ecosistemas de benchmarking integrales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para intentar unificar el campo, todavía persiste una brecha</w:t>
      </w:r>
      <w:r>
        <w:t xml:space="preserve"> </w:t>
      </w:r>
      <w:r>
        <w:t xml:space="preserve">significativa: ninguno de estos marcos ofrece un protocolo operativo completo</w:t>
      </w:r>
      <w:r>
        <w:t xml:space="preserve"> </w:t>
      </w:r>
      <w:r>
        <w:t xml:space="preserve">que conecte diseño experimental, calificación de artefactos, admisibilidad</w:t>
      </w:r>
      <w:r>
        <w:t xml:space="preserve"> </w:t>
      </w:r>
      <w:r>
        <w:t xml:space="preserve">estadística, reproducibilidad y trazabilidad de afirmaciones en una secuencia</w:t>
      </w:r>
      <w:r>
        <w:t xml:space="preserve"> </w:t>
      </w:r>
      <w:r>
        <w:t xml:space="preserve">auditable</w:t>
      </w:r>
      <w:r>
        <w:t xml:space="preserve"> </w:t>
      </w:r>
      <w:r>
        <w:t xml:space="preserve">(Pawlicki et al. 2024; Canha et al. 2025)</w:t>
      </w:r>
      <w:r>
        <w:t xml:space="preserve">. Esa brecha es el problema central de esta</w:t>
      </w:r>
      <w:r>
        <w:t xml:space="preserve"> </w:t>
      </w:r>
      <w:r>
        <w:t xml:space="preserve">tesis.</w:t>
      </w:r>
    </w:p>
    <w:p>
      <w:pPr>
        <w:pStyle w:val="Textoindependiente"/>
        <w:spacing w:line="360" w:lineRule="auto"/>
        <w:jc w:val="both"/>
      </w:pPr>
      <w:r>
        <w:t xml:space="preserve">Esta investigación responde a la brecha con tres contribuciones articuladas.</w:t>
      </w:r>
      <w:r>
        <w:t xml:space="preserve"> </w:t>
      </w:r>
      <w:r>
        <w:t xml:space="preserve">La</w:t>
      </w:r>
      <w:r>
        <w:t xml:space="preserve"> </w:t>
      </w:r>
      <w:r>
        <w:rPr>
          <w:b/>
          <w:bCs/>
        </w:rPr>
        <w:t xml:space="preserve">contribución metodológica</w:t>
      </w:r>
      <w:r>
        <w:t xml:space="preserve"> </w:t>
      </w:r>
      <w:r>
        <w:t xml:space="preserve">es el protocolo FOM-7 (</w:t>
      </w:r>
      <w:r>
        <w:rPr>
          <w:i/>
          <w:iCs/>
        </w:rPr>
        <w:t xml:space="preserve">Framework Operation</w:t>
      </w:r>
      <w:r>
        <w:rPr>
          <w:i/>
          <w:iCs/>
        </w:rPr>
        <w:t xml:space="preserve"> </w:t>
      </w:r>
      <w:r>
        <w:rPr>
          <w:i/>
          <w:iCs/>
        </w:rPr>
        <w:t xml:space="preserve">Method</w:t>
      </w:r>
      <w:r>
        <w:t xml:space="preserve">, siete puertas), una secuencia operativa reproducible que gobierna el</w:t>
      </w:r>
      <w:r>
        <w:t xml:space="preserve"> </w:t>
      </w:r>
      <w:r>
        <w:t xml:space="preserve">ciclo completo de evidencia en evaluación XAI comparativa: desde la congelación</w:t>
      </w:r>
      <w:r>
        <w:t xml:space="preserve"> </w:t>
      </w:r>
      <w:r>
        <w:t xml:space="preserve">del protocolo experimental hasta la trazabilidad de afirmaciones inferenciales.</w:t>
      </w:r>
      <w:r>
        <w:t xml:space="preserve"> </w:t>
      </w:r>
      <w:r>
        <w:t xml:space="preserve">La</w:t>
      </w:r>
      <w:r>
        <w:t xml:space="preserve"> </w:t>
      </w:r>
      <w:r>
        <w:rPr>
          <w:b/>
          <w:bCs/>
        </w:rPr>
        <w:t xml:space="preserve">contribución empírica</w:t>
      </w:r>
      <w:r>
        <w:t xml:space="preserve"> </w:t>
      </w:r>
      <w:r>
        <w:t xml:space="preserve">es un benchmark multi-métrico sobre datos tabulares</w:t>
      </w:r>
      <w:r>
        <w:t xml:space="preserve"> </w:t>
      </w:r>
      <w:r>
        <w:t xml:space="preserve">reales que compara SHAP, LIME, Anchors y DiCE bajo cinco modelos, cinco</w:t>
      </w:r>
      <w:r>
        <w:t xml:space="preserve"> </w:t>
      </w:r>
      <w:r>
        <w:t xml:space="preserve">semillas y tres tamaños de muestra, produciendo 275 artefactos calificados con</w:t>
      </w:r>
      <w:r>
        <w:t xml:space="preserve"> </w:t>
      </w:r>
      <w:r>
        <w:t xml:space="preserve">análisis estadístico mediante pruebas no paramétricas con control de</w:t>
      </w:r>
      <w:r>
        <w:t xml:space="preserve"> </w:t>
      </w:r>
      <w:r>
        <w:t xml:space="preserve">multiplicidad. La</w:t>
      </w:r>
      <w:r>
        <w:t xml:space="preserve"> </w:t>
      </w:r>
      <w:r>
        <w:rPr>
          <w:b/>
          <w:bCs/>
        </w:rPr>
        <w:t xml:space="preserve">contribución teórica</w:t>
      </w:r>
      <w:r>
        <w:t xml:space="preserve"> </w:t>
      </w:r>
      <w:r>
        <w:t xml:space="preserve">es una taxonomía estructurada de</w:t>
      </w:r>
      <w:r>
        <w:t xml:space="preserve"> </w:t>
      </w:r>
      <w:r>
        <w:t xml:space="preserve">cuatro ejes que organiza el espacio de métricas de evaluación XAI,</w:t>
      </w:r>
      <w:r>
        <w:t xml:space="preserve"> </w:t>
      </w:r>
      <w:r>
        <w:t xml:space="preserve">localiza explícitamente las dimensiones cubiertas y no cubiertas por el</w:t>
      </w:r>
      <w:r>
        <w:t xml:space="preserve"> </w:t>
      </w:r>
      <w:r>
        <w:t xml:space="preserve">benchmark, y vincula cada métrica a su alcance inferencial admisible. Juntas,</w:t>
      </w:r>
      <w:r>
        <w:t xml:space="preserve"> </w:t>
      </w:r>
      <w:r>
        <w:t xml:space="preserve">estas tres contribuciones avanzan el campo desde la proliferación de métricas</w:t>
      </w:r>
      <w:r>
        <w:t xml:space="preserve"> </w:t>
      </w:r>
      <w:r>
        <w:t xml:space="preserve">hacia la acumulación sistemática de evidencia defendible.</w:t>
      </w:r>
    </w:p>
    <w:p>
      <w:pPr>
        <w:pStyle w:val="Textoindependiente"/>
        <w:spacing w:line="360" w:lineRule="auto"/>
        <w:jc w:val="both"/>
      </w:pPr>
      <w:r>
        <w:t xml:space="preserve">Para alcanzar estos objetivos, el documento se estructura en seis capítulos</w:t>
      </w:r>
      <w:r>
        <w:t xml:space="preserve"> </w:t>
      </w:r>
      <w:r>
        <w:t xml:space="preserve">y dos elementos complementarios. Tras esta introducción, el</w:t>
      </w:r>
      <w:r>
        <w:t xml:space="preserve"> </w:t>
      </w:r>
      <w:r>
        <w:rPr>
          <w:b/>
          <w:bCs/>
        </w:rPr>
        <w:t xml:space="preserve">Capítulo 1</w:t>
      </w:r>
      <w:r>
        <w:t xml:space="preserve"> </w:t>
      </w:r>
      <w:r>
        <w:t xml:space="preserve">formaliza el problema de investigación, los objetivos específicos y las</w:t>
      </w:r>
      <w:r>
        <w:t xml:space="preserve"> </w:t>
      </w:r>
      <w:r>
        <w:t xml:space="preserve">hipótesis estadísticas. El</w:t>
      </w:r>
      <w:r>
        <w:t xml:space="preserve"> </w:t>
      </w:r>
      <w:r>
        <w:rPr>
          <w:b/>
          <w:bCs/>
        </w:rPr>
        <w:t xml:space="preserve">Capítulo 2</w:t>
      </w:r>
      <w:r>
        <w:t xml:space="preserve"> </w:t>
      </w:r>
      <w:r>
        <w:t xml:space="preserve">establece el marco teórico:</w:t>
      </w:r>
      <w:r>
        <w:t xml:space="preserve"> </w:t>
      </w:r>
      <w:r>
        <w:t xml:space="preserve">desarrolla el desarrollo histórico de la XAI, las distinciones conceptuales</w:t>
      </w:r>
      <w:r>
        <w:t xml:space="preserve"> </w:t>
      </w:r>
      <w:r>
        <w:t xml:space="preserve">fundamentales, los cuatro métodos evaluados y los marcos de evaluación</w:t>
      </w:r>
      <w:r>
        <w:t xml:space="preserve"> </w:t>
      </w:r>
      <w:r>
        <w:t xml:space="preserve">existentes, cerrando con la síntesis crítica que justifica FOM-7. El</w:t>
      </w:r>
      <w:r>
        <w:t xml:space="preserve"> </w:t>
      </w:r>
      <w:r>
        <w:rPr>
          <w:b/>
          <w:bCs/>
        </w:rPr>
        <w:t xml:space="preserve">Capítulo 3</w:t>
      </w:r>
      <w:r>
        <w:t xml:space="preserve"> </w:t>
      </w:r>
      <w:r>
        <w:t xml:space="preserve">describe el diseño experimental: el protocolo FOM-7, el conjunto</w:t>
      </w:r>
      <w:r>
        <w:t xml:space="preserve"> </w:t>
      </w:r>
      <w:r>
        <w:t xml:space="preserve">de datos, el diseño factorial, la operacionalización de métricas, el análisis de</w:t>
      </w:r>
      <w:r>
        <w:t xml:space="preserve"> </w:t>
      </w:r>
      <w:r>
        <w:t xml:space="preserve">cobertura y el plan de inferencia estadística. El</w:t>
      </w:r>
      <w:r>
        <w:t xml:space="preserve"> </w:t>
      </w:r>
      <w:r>
        <w:rPr>
          <w:b/>
          <w:bCs/>
        </w:rPr>
        <w:t xml:space="preserve">Capítulo 4</w:t>
      </w:r>
      <w:r>
        <w:t xml:space="preserve"> </w:t>
      </w:r>
      <w:r>
        <w:t xml:space="preserve">expone y</w:t>
      </w:r>
      <w:r>
        <w:t xml:space="preserve"> </w:t>
      </w:r>
      <w:r>
        <w:t xml:space="preserve">discute los resultados empíricos de los Estudios A y B, con plena trazabilidad</w:t>
      </w:r>
      <w:r>
        <w:t xml:space="preserve"> </w:t>
      </w:r>
      <w:r>
        <w:t xml:space="preserve">de afirmaciones. El</w:t>
      </w:r>
      <w:r>
        <w:t xml:space="preserve"> </w:t>
      </w:r>
      <w:r>
        <w:rPr>
          <w:b/>
          <w:bCs/>
        </w:rPr>
        <w:t xml:space="preserve">Capítulo 5</w:t>
      </w:r>
      <w:r>
        <w:t xml:space="preserve"> </w:t>
      </w:r>
      <w:r>
        <w:t xml:space="preserve">desarrolla la taxonomía de métricas XAI como</w:t>
      </w:r>
      <w:r>
        <w:t xml:space="preserve"> </w:t>
      </w:r>
      <w:r>
        <w:t xml:space="preserve">contribución teórica autónoma. El</w:t>
      </w:r>
      <w:r>
        <w:t xml:space="preserve"> </w:t>
      </w:r>
      <w:r>
        <w:rPr>
          <w:b/>
          <w:bCs/>
        </w:rPr>
        <w:t xml:space="preserve">Capítulo 6</w:t>
      </w:r>
      <w:r>
        <w:t xml:space="preserve"> </w:t>
      </w:r>
      <w:r>
        <w:t xml:space="preserve">sintetiza las conclusiones,</w:t>
      </w:r>
      <w:r>
        <w:t xml:space="preserve"> </w:t>
      </w:r>
      <w:r>
        <w:t xml:space="preserve">separa las contribuciones de la literatura previa, reconoce las limitaciones y</w:t>
      </w:r>
      <w:r>
        <w:t xml:space="preserve"> </w:t>
      </w:r>
      <w:r>
        <w:t xml:space="preserve">propone líneas de investigación futura. Los apéndices documentan los datos,</w:t>
      </w:r>
      <w:r>
        <w:t xml:space="preserve"> </w:t>
      </w:r>
      <w:r>
        <w:t xml:space="preserve">modelos, configuraciones, salidas estadísticas y entorno de reproducción.</w:t>
      </w:r>
    </w:p>
    <w:bookmarkEnd w:id="28"/>
    <w:bookmarkStart w:id="43" w:name="X13574bcfb14bbd4e095f2c559ff6b33999e5b97"/>
    <w:p>
      <w:pPr>
        <w:pStyle w:val="Ttulo1"/>
        <w:spacing w:line="360" w:lineRule="auto"/>
        <w:jc w:val="both"/>
      </w:pPr>
      <w:r>
        <w:t xml:space="preserve">Problema, objetivos y diseño general de la investigación</w:t>
      </w:r>
    </w:p>
    <w:p>
      <w:pPr>
        <w:pStyle w:val="FirstParagraph"/>
        <w:spacing w:line="360" w:lineRule="auto"/>
        <w:jc w:val="both"/>
      </w:pPr>
      <w:r>
        <w:t xml:space="preserve">Este capítulo establece el posicionamiento investigativo de la tesis. Se</w:t>
      </w:r>
      <w:r>
        <w:t xml:space="preserve"> </w:t>
      </w:r>
      <w:r>
        <w:t xml:space="preserve">articula en cuatro ejes: el problema de investigación que motiva el trabajo, la</w:t>
      </w:r>
      <w:r>
        <w:t xml:space="preserve"> </w:t>
      </w:r>
      <w:r>
        <w:t xml:space="preserve">justificación de su relevancia científica y práctica, los objetivos e hipótesis</w:t>
      </w:r>
      <w:r>
        <w:t xml:space="preserve"> </w:t>
      </w:r>
      <w:r>
        <w:t xml:space="preserve">formales que orientan la indagación empírica, y la metodología general que</w:t>
      </w:r>
      <w:r>
        <w:t xml:space="preserve"> </w:t>
      </w:r>
      <w:r>
        <w:t xml:space="preserve">estructura el diseño de los estudios. La exposición detallada de los fundamentos</w:t>
      </w:r>
      <w:r>
        <w:t xml:space="preserve"> </w:t>
      </w:r>
      <w:r>
        <w:t xml:space="preserve">conceptuales —incluyendo las bases técnicas de los métodos de explicabilidad y</w:t>
      </w:r>
      <w:r>
        <w:t xml:space="preserve"> </w:t>
      </w:r>
      <w:r>
        <w:t xml:space="preserve">los criterios de evaluación— se desarrolla en el Capítulo 2.</w:t>
      </w:r>
    </w:p>
    <w:bookmarkStart w:id="29" w:name="problema-de-investigación"/>
    <w:p>
      <w:pPr>
        <w:pStyle w:val="Ttulo2"/>
        <w:spacing w:line="360" w:lineRule="auto"/>
        <w:jc w:val="both"/>
      </w:pPr>
      <w:r>
        <w:t xml:space="preserve">Problema de investigación</w:t>
      </w:r>
    </w:p>
    <w:p>
      <w:pPr>
        <w:pStyle w:val="FirstParagraph"/>
        <w:spacing w:line="360" w:lineRule="auto"/>
        <w:jc w:val="both"/>
      </w:pPr>
      <w:r>
        <w:t xml:space="preserve">La Inteligencia Artificial Explicable (XAI) ha consolidado un ecosistema de</w:t>
      </w:r>
      <w:r>
        <w:t xml:space="preserve"> </w:t>
      </w:r>
      <w:r>
        <w:t xml:space="preserve">métodos</w:t>
      </w:r>
      <w:r>
        <w:t xml:space="preserve"> </w:t>
      </w:r>
      <w:r>
        <w:rPr>
          <w:i/>
          <w:iCs/>
        </w:rPr>
        <w:t xml:space="preserve">post-hoc</w:t>
      </w:r>
      <w:r>
        <w:t xml:space="preserve"> </w:t>
      </w:r>
      <w:r>
        <w:t xml:space="preserve">agnósticos al modelo cuya adopción en dominios de alto riesgo</w:t>
      </w:r>
      <w:r>
        <w:t xml:space="preserve"> </w:t>
      </w:r>
      <w:r>
        <w:t xml:space="preserve">crece de forma sostenida</w:t>
      </w:r>
      <w:r>
        <w:t xml:space="preserve"> </w:t>
      </w:r>
      <w:r>
        <w:t xml:space="preserve">(Adadi 2018; Arrieta 2019a; Angelov 2021; Schwalbe 2023; Ali 2023; Belle 2021; Linardatos 2020; Saarela 2024; Malwade 2023)</w:t>
      </w:r>
      <w:r>
        <w:t xml:space="preserve">. Sin embargo, la capacidad del campo para</w:t>
      </w:r>
      <w:r>
        <w:t xml:space="preserve"> </w:t>
      </w:r>
      <w:r>
        <w:rPr>
          <w:i/>
          <w:iCs/>
        </w:rPr>
        <w:t xml:space="preserve">evaluar</w:t>
      </w:r>
      <w:r>
        <w:t xml:space="preserve"> </w:t>
      </w:r>
      <w:r>
        <w:t xml:space="preserve">esos</w:t>
      </w:r>
      <w:r>
        <w:t xml:space="preserve"> </w:t>
      </w:r>
      <w:r>
        <w:t xml:space="preserve">métodos de manera comparativa, rigurosa y reproducible no ha avanzado al mismo</w:t>
      </w:r>
      <w:r>
        <w:t xml:space="preserve"> </w:t>
      </w:r>
      <w:r>
        <w:t xml:space="preserve">ritmo</w:t>
      </w:r>
      <w:r>
        <w:t xml:space="preserve"> </w:t>
      </w:r>
      <w:r>
        <w:t xml:space="preserve">(Doshi-Velez 2017; Samek 2019; Canha et al. 2025)</w:t>
      </w:r>
      <w:r>
        <w:t xml:space="preserve">. En la práctica, esta tensión</w:t>
      </w:r>
      <w:r>
        <w:t xml:space="preserve"> </w:t>
      </w:r>
      <w:r>
        <w:t xml:space="preserve">se observa incluso en explicadores locales ampliamente utilizados —como LIME y</w:t>
      </w:r>
      <w:r>
        <w:t xml:space="preserve"> </w:t>
      </w:r>
      <w:r>
        <w:t xml:space="preserve">SHAP— cuyo uso extensivo contrasta con la variabilidad de criterios de</w:t>
      </w:r>
      <w:r>
        <w:t xml:space="preserve"> </w:t>
      </w:r>
      <w:r>
        <w:t xml:space="preserve">evaluación reportados entre estudios</w:t>
      </w:r>
      <w:r>
        <w:t xml:space="preserve"> </w:t>
      </w:r>
      <w:r>
        <w:t xml:space="preserve">(Ribeiro 2016; Lundberg 2017; Pawlicki et al. 2024)</w:t>
      </w:r>
      <w:r>
        <w:t xml:space="preserve">. Revisiones sistemáticas recientes</w:t>
      </w:r>
      <w:r>
        <w:t xml:space="preserve"> </w:t>
      </w:r>
      <w:r>
        <w:t xml:space="preserve">identifican una marcada proliferación de métricas inconexas, inconsistencia en</w:t>
      </w:r>
      <w:r>
        <w:t xml:space="preserve"> </w:t>
      </w:r>
      <w:r>
        <w:t xml:space="preserve">los criterios de inclusión de instancias y ausencia de protocolos que conecten</w:t>
      </w:r>
      <w:r>
        <w:t xml:space="preserve"> </w:t>
      </w:r>
      <w:r>
        <w:t xml:space="preserve">la ejecución experimental con la inferencia estadística admisible</w:t>
      </w:r>
      <w:r>
        <w:t xml:space="preserve"> </w:t>
      </w:r>
      <w:r>
        <w:t xml:space="preserve">(Pawlicki et al. 2024; Abdul Kadir et al. 2023; Altukhi 2025; Bhattacharya and Verbert 2024; Lipton 2018)</w:t>
      </w:r>
      <w:r>
        <w:t xml:space="preserve">. Como</w:t>
      </w:r>
      <w:r>
        <w:t xml:space="preserve"> </w:t>
      </w:r>
      <w:r>
        <w:t xml:space="preserve">resultado, los estudios publicados son frecuentemente inconmensurables entre sí</w:t>
      </w:r>
      <w:r>
        <w:t xml:space="preserve"> </w:t>
      </w:r>
      <w:r>
        <w:t xml:space="preserve">y no permiten la acumulación sistemática de evidencia</w:t>
      </w:r>
      <w:r>
        <w:t xml:space="preserve"> </w:t>
      </w:r>
      <w:r>
        <w:t xml:space="preserve">(Doshi-Velez 2017; Canha et al. 2025)</w:t>
      </w:r>
      <w:r>
        <w:t xml:space="preserve">.</w:t>
      </w:r>
    </w:p>
    <w:p>
      <w:pPr>
        <w:pStyle w:val="Textoindependiente"/>
        <w:spacing w:line="360" w:lineRule="auto"/>
        <w:jc w:val="both"/>
      </w:pPr>
      <w:r>
        <w:t xml:space="preserve">La raíz técnica de este problema es doble. Por un lado, las métricas de</w:t>
      </w:r>
      <w:r>
        <w:t xml:space="preserve"> </w:t>
      </w:r>
      <w:r>
        <w:t xml:space="preserve">fidelidad —las más ampliamente utilizadas— no capturan dimensiones igualmente</w:t>
      </w:r>
      <w:r>
        <w:t xml:space="preserve"> </w:t>
      </w:r>
      <w:r>
        <w:t xml:space="preserve">relevantes para el despliegue práctico: la estabilidad ante perturbaciones de</w:t>
      </w:r>
      <w:r>
        <w:t xml:space="preserve"> </w:t>
      </w:r>
      <w:r>
        <w:t xml:space="preserve">entrada, la parsimonia de las explicaciones producidas y el coste computacional</w:t>
      </w:r>
      <w:r>
        <w:t xml:space="preserve"> </w:t>
      </w:r>
      <w:r>
        <w:t xml:space="preserve">por instancia</w:t>
      </w:r>
      <w:r>
        <w:t xml:space="preserve"> </w:t>
      </w:r>
      <w:r>
        <w:t xml:space="preserve">(Bhattacharya and Verbert 2024; Abdul Kadir et al. 2023; Canha et al. 2025; Hedström et al. 2023)</w:t>
      </w:r>
      <w:r>
        <w:t xml:space="preserve">. Por</w:t>
      </w:r>
      <w:r>
        <w:t xml:space="preserve"> </w:t>
      </w:r>
      <w:r>
        <w:t xml:space="preserve">otro lado, muchas de estas</w:t>
      </w:r>
      <w:r>
        <w:t xml:space="preserve"> </w:t>
      </w:r>
      <w:r>
        <w:t xml:space="preserve">métricas sufren del problema de datos fuera de la distribución (</w:t>
      </w:r>
      <w:r>
        <w:rPr>
          <w:i/>
          <w:iCs/>
        </w:rPr>
        <w:t xml:space="preserve">Out-of-</w:t>
      </w:r>
      <w:r>
        <w:rPr>
          <w:i/>
          <w:iCs/>
        </w:rPr>
        <w:t xml:space="preserve"> </w:t>
      </w:r>
      <w:r>
        <w:rPr>
          <w:i/>
          <w:iCs/>
        </w:rPr>
        <w:t xml:space="preserve">Distribution</w:t>
      </w:r>
      <w:r>
        <w:t xml:space="preserve">, OOD): la perturbación de características genera instancias que el</w:t>
      </w:r>
      <w:r>
        <w:t xml:space="preserve"> </w:t>
      </w:r>
      <w:r>
        <w:t xml:space="preserve">modelo nunca encontró durante el entrenamiento, invalidando las puntuaciones de</w:t>
      </w:r>
      <w:r>
        <w:t xml:space="preserve"> </w:t>
      </w:r>
      <w:r>
        <w:t xml:space="preserve">fidelidad resultantes</w:t>
      </w:r>
      <w:r>
        <w:t xml:space="preserve"> </w:t>
      </w:r>
      <w:r>
        <w:t xml:space="preserve">(Alvarez-Melis and Jaakkola 2018; Zheng et al. 2025)</w:t>
      </w:r>
      <w:r>
        <w:t xml:space="preserve">. La disponibilidad de herramientas de</w:t>
      </w:r>
      <w:r>
        <w:t xml:space="preserve"> </w:t>
      </w:r>
      <w:r>
        <w:t xml:space="preserve">benchmarking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ha mejorado</w:t>
      </w:r>
      <w:r>
        <w:t xml:space="preserve"> </w:t>
      </w:r>
      <w:r>
        <w:t xml:space="preserve">la estandarización de la medición, pero no resuelve la ausencia de un protocolo</w:t>
      </w:r>
      <w:r>
        <w:t xml:space="preserve"> </w:t>
      </w:r>
      <w:r>
        <w:t xml:space="preserve">de operación que discipline la trazabilidad de artefactos y la corrección de</w:t>
      </w:r>
      <w:r>
        <w:t xml:space="preserve"> </w:t>
      </w:r>
      <w:r>
        <w:t xml:space="preserve">multiplicidad en la inferencia</w:t>
      </w:r>
      <w:r>
        <w:t xml:space="preserve"> </w:t>
      </w:r>
      <w:r>
        <w:t xml:space="preserve">(Doshi-Velez 2017; Canha et al. 2025)</w:t>
      </w:r>
      <w:r>
        <w:t xml:space="preserve">.</w:t>
      </w:r>
    </w:p>
    <w:p>
      <w:pPr>
        <w:pStyle w:val="Textoindependiente"/>
        <w:spacing w:line="360" w:lineRule="auto"/>
        <w:jc w:val="both"/>
      </w:pPr>
      <w:r>
        <w:t xml:space="preserve">El problema de investigación de esta tesis se formula en los siguientes</w:t>
      </w:r>
      <w:r>
        <w:t xml:space="preserve"> </w:t>
      </w:r>
      <w:r>
        <w:t xml:space="preserve">términos:</w:t>
      </w:r>
      <w:r>
        <w:t xml:space="preserve"> </w:t>
      </w:r>
      <w:r>
        <w:rPr>
          <w:b/>
          <w:bCs/>
        </w:rPr>
        <w:t xml:space="preserve">¿En qué medida difieren los métodos de explicabilidad agnósticos al</w:t>
      </w:r>
      <w:r>
        <w:rPr>
          <w:b/>
          <w:bCs/>
        </w:rPr>
        <w:t xml:space="preserve"> </w:t>
      </w:r>
      <w:r>
        <w:rPr>
          <w:b/>
          <w:bCs/>
        </w:rPr>
        <w:t xml:space="preserve">modelo en un conjunto multidimensional de métricas de calidad bajo condiciones</w:t>
      </w:r>
      <w:r>
        <w:rPr>
          <w:b/>
          <w:bCs/>
        </w:rPr>
        <w:t xml:space="preserve"> </w:t>
      </w:r>
      <w:r>
        <w:rPr>
          <w:b/>
          <w:bCs/>
        </w:rPr>
        <w:t xml:space="preserve">de benchmarking controladas y reproducibles, y qué criterios técnicos permiten</w:t>
      </w:r>
      <w:r>
        <w:rPr>
          <w:b/>
          <w:bCs/>
        </w:rPr>
        <w:t xml:space="preserve"> </w:t>
      </w:r>
      <w:r>
        <w:rPr>
          <w:b/>
          <w:bCs/>
        </w:rPr>
        <w:t xml:space="preserve">orientar su selección en función de los objetivos operativos?</w:t>
      </w:r>
    </w:p>
    <w:bookmarkEnd w:id="29"/>
    <w:bookmarkStart w:id="30" w:name="justificación-científica-y-práctica"/>
    <w:p>
      <w:pPr>
        <w:pStyle w:val="Ttulo2"/>
        <w:spacing w:line="360" w:lineRule="auto"/>
        <w:jc w:val="both"/>
      </w:pPr>
      <w:r>
        <w:t xml:space="preserve">Justificación científica y práctica</w:t>
      </w:r>
    </w:p>
    <w:p>
      <w:pPr>
        <w:pStyle w:val="FirstParagraph"/>
        <w:spacing w:line="360" w:lineRule="auto"/>
        <w:jc w:val="both"/>
      </w:pPr>
      <w:r>
        <w:t xml:space="preserve">Desde el punto de vista científico, esta investigación responde a una necesidad</w:t>
      </w:r>
      <w:r>
        <w:t xml:space="preserve"> </w:t>
      </w:r>
      <w:r>
        <w:t xml:space="preserve">metodológica identificada de forma recurrente en la literatura: la falta de un</w:t>
      </w:r>
      <w:r>
        <w:t xml:space="preserve"> </w:t>
      </w:r>
      <w:r>
        <w:t xml:space="preserve">protocolo unificado que conecte el diseño experimental, la calificación de</w:t>
      </w:r>
      <w:r>
        <w:t xml:space="preserve"> </w:t>
      </w:r>
      <w:r>
        <w:t xml:space="preserve">artefactos y la inferencia estadística controlada</w:t>
      </w:r>
      <w:r>
        <w:t xml:space="preserve"> </w:t>
      </w:r>
      <w:r>
        <w:t xml:space="preserve">(Hedström et al. 2023; Agarwal et al. 2022; Zheng et al. 2025; Doshi-Velez 2017; Allen 2024)</w:t>
      </w:r>
      <w:r>
        <w:t xml:space="preserve">. La formalización de ese protocolo</w:t>
      </w:r>
      <w:r>
        <w:t xml:space="preserve"> </w:t>
      </w:r>
      <w:r>
        <w:t xml:space="preserve">como un método de operación de siete puertas (FOM-7) constituye en sí misma una</w:t>
      </w:r>
      <w:r>
        <w:t xml:space="preserve"> </w:t>
      </w:r>
      <w:r>
        <w:t xml:space="preserve">contribución al campo de la metodología de evaluación en XAI</w:t>
      </w:r>
      <w:r>
        <w:t xml:space="preserve"> </w:t>
      </w:r>
      <w:r>
        <w:t xml:space="preserve">(Canha et al. 2025)</w:t>
      </w:r>
      <w:r>
        <w:t xml:space="preserve">.</w:t>
      </w:r>
      <w:r>
        <w:t xml:space="preserve"> </w:t>
      </w:r>
      <w:r>
        <w:t xml:space="preserve">Complementariamente, la construcción de una taxonomía estructurada del espacio</w:t>
      </w:r>
      <w:r>
        <w:t xml:space="preserve"> </w:t>
      </w:r>
      <w:r>
        <w:t xml:space="preserve">de métricas de evaluación proporciona un marco conceptual que organiza las</w:t>
      </w:r>
      <w:r>
        <w:t xml:space="preserve"> </w:t>
      </w:r>
      <w:r>
        <w:t xml:space="preserve">brechas de constructo actualmente dispersas en la literatura</w:t>
      </w:r>
      <w:r>
        <w:t xml:space="preserve"> </w:t>
      </w:r>
      <w:r>
        <w:t xml:space="preserve">(Pawlicki et al. 2024; Abdul Kadir et al. 2023; Nizam and Zafar 2023; Marcinkevičs 2023; Schwalbe 2023)</w:t>
      </w:r>
      <w:r>
        <w:t xml:space="preserve">.</w:t>
      </w:r>
    </w:p>
    <w:p>
      <w:pPr>
        <w:pStyle w:val="Textoindependiente"/>
        <w:spacing w:line="360" w:lineRule="auto"/>
        <w:jc w:val="both"/>
      </w:pPr>
      <w:r>
        <w:t xml:space="preserve">Desde el punto de vista práctico, los sistemas de IA se despliegan de forma</w:t>
      </w:r>
      <w:r>
        <w:t xml:space="preserve"> </w:t>
      </w:r>
      <w:r>
        <w:t xml:space="preserve">creciente en dominios donde la explicabilidad no es opcional, sino un requisito</w:t>
      </w:r>
      <w:r>
        <w:t xml:space="preserve"> </w:t>
      </w:r>
      <w:r>
        <w:t xml:space="preserve">normativo y ético</w:t>
      </w:r>
      <w:r>
        <w:t xml:space="preserve"> </w:t>
      </w:r>
      <w:r>
        <w:t xml:space="preserve">(Mittelstadt 2019; Floridi 2018; Hassija 2023; Ali 2023)</w:t>
      </w:r>
      <w:r>
        <w:t xml:space="preserve">. En</w:t>
      </w:r>
      <w:r>
        <w:t xml:space="preserve"> </w:t>
      </w:r>
      <w:r>
        <w:t xml:space="preserve">este contexto, los profesionales y organizaciones necesitan criterios técnicos</w:t>
      </w:r>
      <w:r>
        <w:t xml:space="preserve"> </w:t>
      </w:r>
      <w:r>
        <w:t xml:space="preserve">fundamentados que orienten la selección de métodos XAI en función de objetivos</w:t>
      </w:r>
      <w:r>
        <w:t xml:space="preserve"> </w:t>
      </w:r>
      <w:r>
        <w:t xml:space="preserve">operativos concretos —p. ej., alta fiabilidad auditora frente a baja latencia de</w:t>
      </w:r>
      <w:r>
        <w:t xml:space="preserve"> </w:t>
      </w:r>
      <w:r>
        <w:t xml:space="preserve">respuesta— y de las preferencias y expectativas de los usuarios</w:t>
      </w:r>
      <w:r>
        <w:t xml:space="preserve"> </w:t>
      </w:r>
      <w:r>
        <w:t xml:space="preserve">(Murdoch 2019; Rudin 2022; Belle 2021; Tripathy 2024; Hoffman et al. 2023; Nussberger 2022)</w:t>
      </w:r>
      <w:r>
        <w:t xml:space="preserve">. Esta</w:t>
      </w:r>
      <w:r>
        <w:t xml:space="preserve"> </w:t>
      </w:r>
      <w:r>
        <w:t xml:space="preserve">tesis provee esa orientación a través de un análisis empírico pareado,</w:t>
      </w:r>
      <w:r>
        <w:t xml:space="preserve"> </w:t>
      </w:r>
      <w:r>
        <w:t xml:space="preserve">reproducible y estadísticamente riguroso</w:t>
      </w:r>
      <w:r>
        <w:t xml:space="preserve"> </w:t>
      </w:r>
      <w:r>
        <w:t xml:space="preserve">sobre datos tabulares reales.</w:t>
      </w:r>
    </w:p>
    <w:bookmarkEnd w:id="30"/>
    <w:bookmarkStart w:id="34" w:name="objetivos-e-hipótesis"/>
    <w:p>
      <w:pPr>
        <w:pStyle w:val="Ttulo2"/>
        <w:spacing w:line="360" w:lineRule="auto"/>
        <w:jc w:val="both"/>
      </w:pPr>
      <w:r>
        <w:t xml:space="preserve">Objetivos e hipótesis</w:t>
      </w:r>
    </w:p>
    <w:bookmarkStart w:id="31" w:name="objetivo-general"/>
    <w:p>
      <w:pPr>
        <w:pStyle w:val="Ttulo3"/>
        <w:spacing w:line="360" w:lineRule="auto"/>
        <w:jc w:val="both"/>
      </w:pPr>
      <w:r>
        <w:t xml:space="preserve">Objetivo general</w:t>
      </w:r>
    </w:p>
    <w:p>
      <w:pPr>
        <w:pStyle w:val="FirstParagraph"/>
        <w:spacing w:line="360" w:lineRule="auto"/>
        <w:jc w:val="both"/>
      </w:pPr>
      <w:r>
        <w:t xml:space="preserve">Desarrollar y validar un marco de evaluación multinivel y reproducible para</w:t>
      </w:r>
      <w:r>
        <w:t xml:space="preserve"> </w:t>
      </w:r>
      <w:r>
        <w:t xml:space="preserve">métodos de explicabilidad agnósticos al modelo, que integre un protocolo de</w:t>
      </w:r>
      <w:r>
        <w:t xml:space="preserve"> </w:t>
      </w:r>
      <w:r>
        <w:t xml:space="preserve">benchmarking cuantitativo multi-métrico y un análisis taxonómico estructurado,</w:t>
      </w:r>
      <w:r>
        <w:t xml:space="preserve"> </w:t>
      </w:r>
      <w:r>
        <w:t xml:space="preserve">con el fin de establecer criterios técnicamente rigurosos para la selección y</w:t>
      </w:r>
      <w:r>
        <w:t xml:space="preserve"> </w:t>
      </w:r>
      <w:r>
        <w:t xml:space="preserve">comparación de métodos XAI en contextos de datos tabulares.</w:t>
      </w:r>
    </w:p>
    <w:bookmarkEnd w:id="31"/>
    <w:bookmarkStart w:id="32" w:name="objetivos-específicos"/>
    <w:p>
      <w:pPr>
        <w:pStyle w:val="Ttulo3"/>
        <w:spacing w:line="360" w:lineRule="auto"/>
        <w:jc w:val="both"/>
      </w:pPr>
      <w:r>
        <w:t xml:space="preserve">Objetivos específicos</w:t>
      </w:r>
    </w:p>
    <w:p>
      <w:pPr>
        <w:numPr>
          <w:ilvl w:val="0"/>
          <w:numId w:val="1001"/>
        </w:numPr>
        <w:spacing w:line="360" w:lineRule="auto"/>
        <w:jc w:val="both"/>
      </w:pPr>
      <w:r>
        <w:t xml:space="preserve">Diseñar y formalizar un protocolo de benchmarking reproducible (FOM-7) que</w:t>
      </w:r>
      <w:r>
        <w:t xml:space="preserve"> </w:t>
      </w:r>
      <w:r>
        <w:t xml:space="preserve">garantice trazabilidad entre artefactos de ejecución, calificación de</w:t>
      </w:r>
      <w:r>
        <w:t xml:space="preserve"> </w:t>
      </w:r>
      <w:r>
        <w:t xml:space="preserve">evidencia e inferencia estadística admisible</w:t>
      </w:r>
      <w:r>
        <w:t xml:space="preserve"> </w:t>
      </w:r>
      <w:r>
        <w:t xml:space="preserve">(Canha et al. 2025; Hedström et al. 2023; Agarwal et al. 2022)</w:t>
      </w:r>
      <w:r>
        <w:t xml:space="preserve">.</w:t>
      </w:r>
    </w:p>
    <w:p>
      <w:pPr>
        <w:numPr>
          <w:ilvl w:val="0"/>
          <w:numId w:val="1001"/>
        </w:numPr>
        <w:spacing w:line="360" w:lineRule="auto"/>
        <w:jc w:val="both"/>
      </w:pPr>
      <w:r>
        <w:t xml:space="preserve">Evaluar comparativamente cuatro métodos agnósticos —SHAP, LIME, Anchors y</w:t>
      </w:r>
      <w:r>
        <w:t xml:space="preserve"> </w:t>
      </w:r>
      <w:r>
        <w:t xml:space="preserve">DiCE— sobre cinco familias de modelos en el conjunto de datos UCI Adult</w:t>
      </w:r>
      <w:r>
        <w:t xml:space="preserve"> </w:t>
      </w:r>
      <w:r>
        <w:t xml:space="preserve">Income, utilizando un conjunto multidimensional de métricas: fidelidad,</w:t>
      </w:r>
      <w:r>
        <w:t xml:space="preserve"> </w:t>
      </w:r>
      <w:r>
        <w:t xml:space="preserve">estabilidad, parsimonia, brecha de fidelidad y coste computacional.</w:t>
      </w:r>
      <w:r>
        <w:t xml:space="preserve"> </w:t>
      </w:r>
      <w:r>
        <w:t xml:space="preserve">(Lundberg 2017; Ribeiro 2016, 2018; Mothilal 2020; Wachter 2017; Kohavi and Becker 1996; Abdul Kadir et al. 2023; Bhattacharya and Verbert 2024)</w:t>
      </w:r>
    </w:p>
    <w:p>
      <w:pPr>
        <w:numPr>
          <w:ilvl w:val="0"/>
          <w:numId w:val="1001"/>
        </w:numPr>
        <w:spacing w:line="360" w:lineRule="auto"/>
        <w:jc w:val="both"/>
      </w:pPr>
      <w:r>
        <w:t xml:space="preserve">Cuantificar las diferencias en la relación calidad-coste entre LIME y SHAP</w:t>
      </w:r>
      <w:r>
        <w:t xml:space="preserve"> </w:t>
      </w:r>
      <w:r>
        <w:t xml:space="preserve">mediante pruebas estadísticas pareadas sobre celdas coincidentes de modelo,</w:t>
      </w:r>
      <w:r>
        <w:t xml:space="preserve"> </w:t>
      </w:r>
      <w:r>
        <w:t xml:space="preserve">semilla y tamaño de muestra.</w:t>
      </w:r>
    </w:p>
    <w:p>
      <w:pPr>
        <w:numPr>
          <w:ilvl w:val="0"/>
          <w:numId w:val="1001"/>
        </w:numPr>
        <w:spacing w:line="360" w:lineRule="auto"/>
        <w:jc w:val="both"/>
      </w:pPr>
      <w:r>
        <w:t xml:space="preserve">Caracterizar el perfil de reproducibilidad del protocolo de benchmarking</w:t>
      </w:r>
      <w:r>
        <w:t xml:space="preserve"> </w:t>
      </w:r>
      <w:r>
        <w:t xml:space="preserve">mediante el análisis de la dispersión métrica bajo ejecuciones repetidas con</w:t>
      </w:r>
      <w:r>
        <w:t xml:space="preserve"> </w:t>
      </w:r>
      <w:r>
        <w:t xml:space="preserve">semillas distintas.</w:t>
      </w:r>
    </w:p>
    <w:p>
      <w:pPr>
        <w:numPr>
          <w:ilvl w:val="0"/>
          <w:numId w:val="1001"/>
        </w:numPr>
        <w:spacing w:line="360" w:lineRule="auto"/>
        <w:jc w:val="both"/>
      </w:pPr>
      <w:r>
        <w:t xml:space="preserve">Construir una taxonomía estructurada del espacio de métricas de evaluación</w:t>
      </w:r>
      <w:r>
        <w:t xml:space="preserve"> </w:t>
      </w:r>
      <w:r>
        <w:t xml:space="preserve">XAI organizada en cuatro ejes —objetivo de evaluación, fuente de evidencia,</w:t>
      </w:r>
      <w:r>
        <w:t xml:space="preserve"> </w:t>
      </w:r>
      <w:r>
        <w:t xml:space="preserve">propiedad de calidad y contexto de tarea— que sirva de marco conceptual</w:t>
      </w:r>
      <w:r>
        <w:t xml:space="preserve"> </w:t>
      </w:r>
      <w:r>
        <w:t xml:space="preserve">integrador para los Estudios A y B</w:t>
      </w:r>
      <w:r>
        <w:t xml:space="preserve"> </w:t>
      </w:r>
      <w:r>
        <w:t xml:space="preserve">(Abdul Kadir et al. 2023; Pawlicki et al. 2024; Nizam and Zafar 2023; Marcinkevičs 2023; Schwalbe 2023)</w:t>
      </w:r>
      <w:r>
        <w:t xml:space="preserve">.</w:t>
      </w:r>
    </w:p>
    <w:p>
      <w:pPr>
        <w:numPr>
          <w:ilvl w:val="0"/>
          <w:numId w:val="1001"/>
        </w:numPr>
        <w:spacing w:line="360" w:lineRule="auto"/>
        <w:jc w:val="both"/>
      </w:pPr>
      <w:r>
        <w:t xml:space="preserve">Cuantificar la fiabilidad inter-juez de evaluadores semánticos basados en</w:t>
      </w:r>
      <w:r>
        <w:t xml:space="preserve"> </w:t>
      </w:r>
      <w:r>
        <w:t xml:space="preserve">modelos de lenguaje sobre explicaciones del corpus experimental, con el fin de</w:t>
      </w:r>
      <w:r>
        <w:t xml:space="preserve"> </w:t>
      </w:r>
      <w:r>
        <w:t xml:space="preserve">determinar si dicho instrumento alcanza la convergencia necesaria para</w:t>
      </w:r>
      <w:r>
        <w:t xml:space="preserve"> </w:t>
      </w:r>
      <w:r>
        <w:t xml:space="preserve">sostener afirmaciones confirmativas. Este objetivo se deriva de la Brecha 3</w:t>
      </w:r>
      <w:r>
        <w:t xml:space="preserve"> </w:t>
      </w:r>
      <w:r>
        <w:t xml:space="preserve">identificada por la taxonomía del Capítulo 5 y, a diferencia de los objetivos</w:t>
      </w:r>
      <w:r>
        <w:t xml:space="preserve"> </w:t>
      </w:r>
      <w:r>
        <w:t xml:space="preserve">1–5, se formuló una vez construida esa taxonomía; su alcance es por tanto</w:t>
      </w:r>
      <w:r>
        <w:t xml:space="preserve"> </w:t>
      </w:r>
      <w:r>
        <w:t xml:space="preserve">exploratorio y de calibración instrumental, no confirmativo</w:t>
      </w:r>
      <w:r>
        <w:t xml:space="preserve"> </w:t>
      </w:r>
      <w:r>
        <w:t xml:space="preserve">(Koo and Li 2016; Bhattacharya and Verbert 2024)</w:t>
      </w:r>
      <w:r>
        <w:t xml:space="preserve">.</w:t>
      </w:r>
    </w:p>
    <w:bookmarkEnd w:id="32"/>
    <w:bookmarkStart w:id="33" w:name="hipótesis-o-proposiciones-de-trabajo"/>
    <w:p>
      <w:pPr>
        <w:pStyle w:val="Ttulo3"/>
        <w:spacing w:line="360" w:lineRule="auto"/>
        <w:jc w:val="both"/>
      </w:pPr>
      <w:r>
        <w:t xml:space="preserve">Hipótesis o proposiciones de trabajo</w:t>
      </w:r>
    </w:p>
    <w:p>
      <w:pPr>
        <w:pStyle w:val="FirstParagraph"/>
        <w:spacing w:line="360" w:lineRule="auto"/>
        <w:jc w:val="both"/>
      </w:pPr>
      <w:r>
        <w:t xml:space="preserve">Las hipótesis estadísticas formales se estructuran en torno a los tres ejes</w:t>
      </w:r>
      <w:r>
        <w:t xml:space="preserve"> </w:t>
      </w:r>
      <w:r>
        <w:t xml:space="preserve">confirmatorios de la investigación empírica (H1–H3), acompañados de una</w:t>
      </w:r>
      <w:r>
        <w:t xml:space="preserve"> </w:t>
      </w:r>
      <w:r>
        <w:t xml:space="preserve">proposición de reproducibilidad del protocolo (P1). A estas se añade una</w:t>
      </w:r>
      <w:r>
        <w:t xml:space="preserve"> </w:t>
      </w:r>
      <w:r>
        <w:t xml:space="preserve">proposición de carácter exploratorio (P2), cuyo estatuto diferenciado se declara</w:t>
      </w:r>
      <w:r>
        <w:t xml:space="preserve"> </w:t>
      </w:r>
      <w:r>
        <w:t xml:space="preserve">explícitamente al final de esta sección.</w:t>
      </w:r>
    </w:p>
    <w:p>
      <w:pPr>
        <w:pStyle w:val="Textoindependiente"/>
        <w:spacing w:line="360" w:lineRule="auto"/>
        <w:jc w:val="both"/>
      </w:pPr>
      <w:r>
        <w:rPr>
          <w:b/>
          <w:bCs/>
        </w:rPr>
        <w:t xml:space="preserve">H1 — Diferencias globales entre métodos (fidelidad)</w:t>
      </w:r>
    </w:p>
    <w:p>
      <w:pPr>
        <w:pStyle w:val="Textoindependiente"/>
        <w:spacing w:line="360" w:lineRule="auto"/>
        <w:jc w:val="both"/>
      </w:pPr>
      <ns1:oMath>
        <ns1:sSub>
          <ns1:e>
            <ns1:r>
              <ns1:t>H</ns1:t>
            </ns1:r>
          </ns1:e>
          <ns1:sub>
            <ns1:r>
              <ns1:t>0</ns1:t>
            </ns1:r>
            <ns1:r>
              <ns1:rPr>
                <ns1:sty ns1:val="p"/>
              </ns1:rPr>
              <ns1:t>,</ns1:t>
            </ns1:r>
            <ns1:r>
              <ns1:t>1</ns1:t>
            </ns1:r>
          </ns1:sub>
        </ns1:sSub>
      </ns1:oMath>
      <w:r>
        <w:t xml:space="preserve">: No existen diferencias significativas entre los métodos XAI en la</w:t>
      </w:r>
      <w:r>
        <w:t xml:space="preserve"> </w:t>
      </w:r>
      <w:r>
        <w:t xml:space="preserve">métrica de fidelidad bajo el diseño de bloques emparejados.</w:t>
      </w:r>
    </w:p>
    <w:p>
      <w:pPr>
        <w:pStyle w:val="Textoindependiente"/>
        <w:spacing w:line="360" w:lineRule="auto"/>
        <w:jc w:val="both"/>
      </w:pPr>
      <ns1:oMath>
        <ns1:sSub>
          <ns1:e>
            <ns1:r>
              <ns1:t>H</ns1:t>
            </ns1:r>
          </ns1:e>
          <ns1:sub>
            <ns1:r>
              <ns1:t>1</ns1:t>
            </ns1:r>
            <ns1:r>
              <ns1:rPr>
                <ns1:sty ns1:val="p"/>
              </ns1:rPr>
              <ns1:t>,</ns1:t>
            </ns1:r>
            <ns1:r>
              <ns1:t>1</ns1:t>
            </ns1:r>
          </ns1:sub>
        </ns1:sSub>
      </ns1:oMath>
      <w:r>
        <w:t xml:space="preserve">: Al menos un par de métodos difiere significativamente en fidelidad.</w:t>
      </w:r>
    </w:p>
    <w:p>
      <w:pPr>
        <w:pStyle w:val="Textoindependiente"/>
        <w:spacing w:line="360" w:lineRule="auto"/>
        <w:jc w:val="both"/>
      </w:pPr>
      <w:r>
        <w:rPr>
          <w:b/>
          <w:bCs/>
        </w:rPr>
        <w:t xml:space="preserve">H2 — Diferencias globales entre métodos (estabilidad)</w:t>
      </w:r>
    </w:p>
    <w:p>
      <w:pPr>
        <w:pStyle w:val="Textoindependiente"/>
        <w:spacing w:line="360" w:lineRule="auto"/>
        <w:jc w:val="both"/>
      </w:pPr>
      <ns1:oMath>
        <ns1:sSub>
          <ns1:e>
            <ns1:r>
              <ns1:t>H</ns1:t>
            </ns1:r>
          </ns1:e>
          <ns1:sub>
            <ns1:r>
              <ns1:t>0</ns1:t>
            </ns1:r>
            <ns1:r>
              <ns1:rPr>
                <ns1:sty ns1:val="p"/>
              </ns1:rPr>
              <ns1:t>,</ns1:t>
            </ns1:r>
            <ns1:r>
              <ns1:t>2</ns1:t>
            </ns1:r>
          </ns1:sub>
        </ns1:sSub>
      </ns1:oMath>
      <w:r>
        <w:t xml:space="preserve">: No existen diferencias significativas entre los métodos XAI en la</w:t>
      </w:r>
      <w:r>
        <w:t xml:space="preserve"> </w:t>
      </w:r>
      <w:r>
        <w:t xml:space="preserve">métrica de estabilidad bajo el diseño de bloques emparejados.</w:t>
      </w:r>
    </w:p>
    <w:p>
      <w:pPr>
        <w:pStyle w:val="Textoindependiente"/>
        <w:spacing w:line="360" w:lineRule="auto"/>
        <w:jc w:val="both"/>
      </w:pPr>
      <ns1:oMath>
        <ns1:sSub>
          <ns1:e>
            <ns1:r>
              <ns1:t>H</ns1:t>
            </ns1:r>
          </ns1:e>
          <ns1:sub>
            <ns1:r>
              <ns1:t>1</ns1:t>
            </ns1:r>
            <ns1:r>
              <ns1:rPr>
                <ns1:sty ns1:val="p"/>
              </ns1:rPr>
              <ns1:t>,</ns1:t>
            </ns1:r>
            <ns1:r>
              <ns1:t>2</ns1:t>
            </ns1:r>
          </ns1:sub>
        </ns1:sSub>
      </ns1:oMath>
      <w:r>
        <w:t xml:space="preserve">: Al menos un par de métodos difiere significativamente en estabilidad.</w:t>
      </w:r>
    </w:p>
    <w:p>
      <w:pPr>
        <w:pStyle w:val="Textoindependiente"/>
        <w:spacing w:line="360" w:lineRule="auto"/>
        <w:jc w:val="both"/>
      </w:pPr>
      <w:r>
        <w:rPr>
          <w:b/>
          <w:bCs/>
        </w:rPr>
        <w:t xml:space="preserve">H3 — Relación calidad-coste SHAP vs. LIME</w:t>
      </w:r>
    </w:p>
    <w:p>
      <w:pPr>
        <w:pStyle w:val="Textoindependiente"/>
        <w:spacing w:line="360" w:lineRule="auto"/>
        <w:jc w:val="both"/>
      </w:pPr>
      <ns1:oMath>
        <ns1:sSub>
          <ns1:e>
            <ns1:r>
              <ns1:t>H</ns1:t>
            </ns1:r>
          </ns1:e>
          <ns1:sub>
            <ns1:r>
              <ns1:t>0</ns1:t>
            </ns1:r>
            <ns1:r>
              <ns1:rPr>
                <ns1:sty ns1:val="p"/>
              </ns1:rPr>
              <ns1:t>,</ns1:t>
            </ns1:r>
            <ns1:r>
              <ns1:t>3</ns1:t>
            </ns1:r>
          </ns1:sub>
        </ns1:sSub>
      </ns1:oMath>
      <w:r>
        <w:t xml:space="preserve">: SHAP y LIME no difieren en las métricas de calidad ni en el coste</w:t>
      </w:r>
      <w:r>
        <w:t xml:space="preserve"> </w:t>
      </w:r>
      <w:r>
        <w:t xml:space="preserve">computacional sobre celdas pareadas.</w:t>
      </w:r>
    </w:p>
    <w:p>
      <w:pPr>
        <w:pStyle w:val="Textoindependiente"/>
        <w:spacing w:line="360" w:lineRule="auto"/>
        <w:jc w:val="both"/>
      </w:pPr>
      <ns1:oMath>
        <ns1:sSub>
          <ns1:e>
            <ns1:r>
              <ns1:t>H</ns1:t>
            </ns1:r>
          </ns1:e>
          <ns1:sub>
            <ns1:r>
              <ns1:t>1</ns1:t>
            </ns1:r>
            <ns1:r>
              <ns1:rPr>
                <ns1:sty ns1:val="p"/>
              </ns1:rPr>
              <ns1:t>,</ns1:t>
            </ns1:r>
            <ns1:r>
              <ns1:t>3</ns1:t>
            </ns1:r>
          </ns1:sub>
        </ns1:sSub>
      </ns1:oMath>
      <w:r>
        <w:t xml:space="preserve">: SHAP y LIME difieren significativamente en al menos una métrica de</w:t>
      </w:r>
      <w:r>
        <w:t xml:space="preserve"> </w:t>
      </w:r>
      <w:r>
        <w:t xml:space="preserve">calidad o en el coste computacional sobre celdas pareadas.</w:t>
      </w:r>
    </w:p>
    <w:p>
      <w:pPr>
        <w:pStyle w:val="Textoindependiente"/>
        <w:spacing w:line="360" w:lineRule="auto"/>
        <w:jc w:val="both"/>
      </w:pPr>
      <w:r>
        <w:rPr>
          <w:b/>
          <w:bCs/>
        </w:rPr>
        <w:t xml:space="preserve">P1 — Reproducibilidad del protocolo (proposición)</w:t>
      </w:r>
    </w:p>
    <w:p>
      <w:pPr>
        <w:pStyle w:val="Textoindependiente"/>
        <w:spacing w:line="360" w:lineRule="auto"/>
        <w:jc w:val="both"/>
      </w:pPr>
      <w:r>
        <w:t xml:space="preserve">El protocolo FOM-7 produce un coeficiente de variación (CV) inferior al 15% en</w:t>
      </w:r>
      <w:r>
        <w:t xml:space="preserve"> </w:t>
      </w:r>
      <w:r>
        <w:t xml:space="preserve">las métricas primarias bajo ejecuciones repetidas con semillas distintas en</w:t>
      </w:r>
      <w:r>
        <w:t xml:space="preserve"> </w:t>
      </w:r>
      <w:r>
        <w:t xml:space="preserve">condiciones de configuración idéntica, lo que constituye evidencia de</w:t>
      </w:r>
      <w:r>
        <w:t xml:space="preserve"> </w:t>
      </w:r>
      <w:r>
        <w:t xml:space="preserve">estabilidad operativa del benchmarking.</w:t>
      </w:r>
    </w:p>
    <w:p>
      <w:pPr>
        <w:pStyle w:val="Textoindependiente"/>
        <w:spacing w:line="360" w:lineRule="auto"/>
        <w:jc w:val="both"/>
      </w:pPr>
      <w:r>
        <w:t xml:space="preserve">Las hipótesis H1 y H2 se contrastan mediante la prueba de Friedman con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y localización</w:t>
      </w:r>
      <w:r>
        <w:t xml:space="preserve"> </w:t>
      </w:r>
      <w:r>
        <w:rPr>
          <w:i/>
          <w:iCs/>
        </w:rPr>
        <w:t xml:space="preserve">post-hoc</w:t>
      </w:r>
      <w:r>
        <w:t xml:space="preserve"> </w:t>
      </w:r>
      <w:r>
        <w:t xml:space="preserve">de Nemenyi. La hipótesis H3 se contrasta</w:t>
      </w:r>
      <w:r>
        <w:t xml:space="preserve"> </w:t>
      </w:r>
      <w:r>
        <w:t xml:space="preserve">mediante pruebas de Wilcoxon bilaterales pareadas sobre 75 celdas coincidentes</w:t>
      </w:r>
      <w:r>
        <w:t xml:space="preserve"> </w:t>
      </w:r>
      <w:r>
        <w:t xml:space="preserve">SHAP-LIME, con corrección de Holm-Bonferroni para multiplicidad</w:t>
      </w:r>
      <w:r>
        <w:t xml:space="preserve"> </w:t>
      </w:r>
      <w:r>
        <w:t xml:space="preserve">(Friedman 1937; Demšar 2006; Nemenyi 1963; Wilcoxon 1945)</w:t>
      </w:r>
      <w:r>
        <w:t xml:space="preserve">.</w:t>
      </w:r>
    </w:p>
    <w:p>
      <w:pPr>
        <w:pStyle w:val="Textoindependiente"/>
        <w:spacing w:line="360" w:lineRule="auto"/>
        <w:jc w:val="both"/>
      </w:pPr>
      <w:r>
        <w:rPr>
          <w:b/>
          <w:bCs/>
        </w:rPr>
        <w:t xml:space="preserve">P2 — Fiabilidad de los evaluadores semánticos (proposición exploratoria)</w:t>
      </w:r>
    </w:p>
    <w:p>
      <w:pPr>
        <w:pStyle w:val="Textoindependiente"/>
        <w:spacing w:line="360" w:lineRule="auto"/>
        <w:jc w:val="both"/>
      </w:pPr>
      <w:r>
        <w:t xml:space="preserve">Un conjunto de jueces basados en modelos de lenguaje, operando sobre una rúbrica</w:t>
      </w:r>
      <w:r>
        <w:t xml:space="preserve"> </w:t>
      </w:r>
      <w:r>
        <w:t xml:space="preserve">multidimensional sin especificación de destinatario ni criterio de corrección</w:t>
      </w:r>
      <w:r>
        <w:t xml:space="preserve"> </w:t>
      </w:r>
      <w:r>
        <w:t xml:space="preserve">verificable, alcanza una fiabilidad inter-juez igual o superior al umbral</w:t>
      </w:r>
      <w:r>
        <w:t xml:space="preserve"> </w:t>
      </w:r>
      <w:r>
        <w:t xml:space="preserve">convencionalmente aceptable de</w:t>
      </w:r>
      <w:r>
        <w:t xml:space="preserve"> </w:t>
      </w:r>
      <ns1:oMath>
        <ns1:r>
          <ns1:t>0.75</ns1:t>
        </ns1:r>
      </ns1:oMath>
      <w:r>
        <w:t xml:space="preserve"> </w:t>
      </w:r>
      <w:r>
        <w:t xml:space="preserve">(Koo and Li 2016)</w:t>
      </w:r>
      <w:r>
        <w:t xml:space="preserve">, medida mediante la correlación</w:t>
      </w:r>
      <w:r>
        <w:t xml:space="preserve"> </w:t>
      </w:r>
      <w:r>
        <w:t xml:space="preserve">intraclase y el</w:t>
      </w:r>
      <w:r>
        <w:t xml:space="preserve"> </w:t>
      </w:r>
      <ns1:oMath>
        <ns1:r>
          <ns1:t>α</ns1:t>
        </ns1:r>
      </ns1:oMath>
      <w:r>
        <w:t xml:space="preserve"> </w:t>
      </w:r>
      <w:r>
        <w:t xml:space="preserve">de Krippendorff. La proposición se considera refutada si</w:t>
      </w:r>
      <w:r>
        <w:t xml:space="preserve"> </w:t>
      </w:r>
      <w:r>
        <w:t xml:space="preserve">alguna dimensión de la rúbrica queda por debajo de ese umbral.</w:t>
      </w:r>
    </w:p>
    <w:p>
      <w:pPr>
        <w:pStyle w:val="Textoindependiente"/>
        <w:spacing w:line="360" w:lineRule="auto"/>
        <w:jc w:val="both"/>
      </w:pPr>
      <w:r>
        <w:rPr>
          <w:b/>
          <w:bCs/>
        </w:rPr>
        <w:t xml:space="preserve">Estatuto epistémico diferenciado de P2.</w:t>
      </w:r>
      <w:r>
        <w:t xml:space="preserve"> </w:t>
      </w:r>
      <w:r>
        <w:t xml:space="preserve">P2 no forma parte del plan</w:t>
      </w:r>
      <w:r>
        <w:t xml:space="preserve"> </w:t>
      </w:r>
      <w:r>
        <w:t xml:space="preserve">inferencial congelado en la puerta 1 del protocolo FOM-7 y no comparte el</w:t>
      </w:r>
      <w:r>
        <w:t xml:space="preserve"> </w:t>
      </w:r>
      <w:r>
        <w:t xml:space="preserve">estatuto confirmativo de H1–H3 y P1. Se formuló con posterioridad, una vez que la</w:t>
      </w:r>
      <w:r>
        <w:t xml:space="preserve"> </w:t>
      </w:r>
      <w:r>
        <w:t xml:space="preserve">taxonomía del Capítulo 5 identificó la Brecha 3 —la evaluación semántica crece</w:t>
      </w:r>
      <w:r>
        <w:t xml:space="preserve"> </w:t>
      </w:r>
      <w:r>
        <w:t xml:space="preserve">más rápido que su base de validación empírica— y su función es calibrar un</w:t>
      </w:r>
      <w:r>
        <w:t xml:space="preserve"> </w:t>
      </w:r>
      <w:r>
        <w:rPr>
          <w:i/>
          <w:iCs/>
        </w:rPr>
        <w:t xml:space="preserve">instrumento de medida</w:t>
      </w:r>
      <w:r>
        <w:t xml:space="preserve">, no evaluar los métodos explicadores. Esta distinción se</w:t>
      </w:r>
      <w:r>
        <w:t xml:space="preserve"> </w:t>
      </w:r>
      <w:r>
        <w:t xml:space="preserve">declara aquí de forma explícita, y no</w:t>
      </w:r>
      <w:r>
        <w:t xml:space="preserve"> </w:t>
      </w:r>
      <w:r>
        <w:rPr>
          <w:i/>
          <w:iCs/>
        </w:rPr>
        <w:t xml:space="preserve">a posteriori</w:t>
      </w:r>
      <w:r>
        <w:t xml:space="preserve">, porque el propio protocolo</w:t>
      </w:r>
      <w:r>
        <w:t xml:space="preserve"> </w:t>
      </w:r>
      <w:r>
        <w:t xml:space="preserve">que esta tesis propone exige que el alcance inferencial admisible de cada</w:t>
      </w:r>
      <w:r>
        <w:t xml:space="preserve"> </w:t>
      </w:r>
      <w:r>
        <w:t xml:space="preserve">afirmación sea declarado junto con la afirmación misma: presentar P2 como si</w:t>
      </w:r>
      <w:r>
        <w:t xml:space="preserve"> </w:t>
      </w:r>
      <w:r>
        <w:t xml:space="preserve">hubiera sido preespecificada junto a H1–H3 sería precisamente el modo de fallo</w:t>
      </w:r>
      <w:r>
        <w:t xml:space="preserve"> </w:t>
      </w:r>
      <w:r>
        <w:t xml:space="preserve">que la puerta 7 está diseñada para impedir. En consecuencia, el resultado de P2</w:t>
      </w:r>
      <w:r>
        <w:t xml:space="preserve"> </w:t>
      </w:r>
      <w:r>
        <w:t xml:space="preserve">—cualquiera que sea— no modifica las conclusiones confirmativas de los Estudios A</w:t>
      </w:r>
      <w:r>
        <w:t xml:space="preserve"> </w:t>
      </w:r>
      <w:r>
        <w:t xml:space="preserve">y B, y se reporta como evidencia de calibración del instrumento semántico</w:t>
      </w:r>
      <w:r>
        <w:t xml:space="preserve"> </w:t>
      </w:r>
      <w:r>
        <w:t xml:space="preserve">(Capítulos 3, 5 y 6).</w:t>
      </w:r>
    </w:p>
    <w:bookmarkEnd w:id="33"/>
    <w:bookmarkEnd w:id="34"/>
    <w:bookmarkStart w:id="42" w:name="metodología-general-de-la-investigación"/>
    <w:p>
      <w:pPr>
        <w:pStyle w:val="Ttulo2"/>
        <w:spacing w:line="360" w:lineRule="auto"/>
        <w:jc w:val="both"/>
      </w:pPr>
      <w:r>
        <w:t xml:space="preserve">Metodología general de la investigación</w:t>
      </w:r>
    </w:p>
    <w:bookmarkStart w:id="35" w:name="enfoque"/>
    <w:p>
      <w:pPr>
        <w:pStyle w:val="Ttulo3"/>
        <w:spacing w:line="360" w:lineRule="auto"/>
        <w:jc w:val="both"/>
      </w:pPr>
      <w:r>
        <w:t xml:space="preserve">Enfoque</w:t>
      </w:r>
    </w:p>
    <w:p>
      <w:pPr>
        <w:pStyle w:val="FirstParagraph"/>
        <w:spacing w:line="360" w:lineRule="auto"/>
        <w:jc w:val="both"/>
      </w:pPr>
      <w:r>
        <w:t xml:space="preserve">Esta investigación adopta un enfoque cuantitativo-empírico con componente</w:t>
      </w:r>
      <w:r>
        <w:t xml:space="preserve"> </w:t>
      </w:r>
      <w:r>
        <w:t xml:space="preserve">teórico-taxonómico. El núcleo empírico de los Estudios A y B descansa en el</w:t>
      </w:r>
      <w:r>
        <w:t xml:space="preserve"> </w:t>
      </w:r>
      <w:r>
        <w:t xml:space="preserve">análisis estadístico de métricas computadas sobre experimentos controlados y</w:t>
      </w:r>
      <w:r>
        <w:t xml:space="preserve"> </w:t>
      </w:r>
      <w:r>
        <w:t xml:space="preserve">reproducibles, siguiendo una lógica hipotético-deductiva. El componente</w:t>
      </w:r>
      <w:r>
        <w:t xml:space="preserve"> </w:t>
      </w:r>
      <w:r>
        <w:t xml:space="preserve">taxonómico del Estudio C —que actúa como puente conceptual integrador— adopta</w:t>
      </w:r>
      <w:r>
        <w:t xml:space="preserve"> </w:t>
      </w:r>
      <w:r>
        <w:t xml:space="preserve">una metodología de revisión estructurada con codificación explícita de</w:t>
      </w:r>
      <w:r>
        <w:t xml:space="preserve"> </w:t>
      </w:r>
      <w:r>
        <w:t xml:space="preserve">dimensiones, siguiendo protocolos de síntesis narrativa rigurosa</w:t>
      </w:r>
      <w:r>
        <w:t xml:space="preserve"> </w:t>
      </w:r>
      <w:r>
        <w:t xml:space="preserve">(Linardatos 2020; Gilpin 2018; Schwalbe 2023; Abdul Kadir et al. 2023)</w:t>
      </w:r>
      <w:r>
        <w:t xml:space="preserve">.</w:t>
      </w:r>
    </w:p>
    <w:bookmarkEnd w:id="35"/>
    <w:bookmarkStart w:id="36" w:name="tipo-de-investigación"/>
    <w:p>
      <w:pPr>
        <w:pStyle w:val="Ttulo3"/>
        <w:spacing w:line="360" w:lineRule="auto"/>
        <w:jc w:val="both"/>
      </w:pPr>
      <w:r>
        <w:t xml:space="preserve">Tipo de investigación</w:t>
      </w:r>
    </w:p>
    <w:p>
      <w:pPr>
        <w:pStyle w:val="FirstParagraph"/>
        <w:spacing w:line="360" w:lineRule="auto"/>
        <w:jc w:val="both"/>
      </w:pPr>
      <w:r>
        <w:t xml:space="preserve">Los Estudios A y B corresponden a investigación comparativa-experimental no</w:t>
      </w:r>
      <w:r>
        <w:t xml:space="preserve"> </w:t>
      </w:r>
      <w:r>
        <w:t xml:space="preserve">intervencional: los métodos XAI son los factores de tratamiento, los modelos</w:t>
      </w:r>
      <w:r>
        <w:t xml:space="preserve"> </w:t>
      </w:r>
      <w:r>
        <w:t xml:space="preserve">predictivos son el contexto experimental y las métricas de calidad son las</w:t>
      </w:r>
      <w:r>
        <w:t xml:space="preserve"> </w:t>
      </w:r>
      <w:r>
        <w:t xml:space="preserve">variables de resultado. El Estudio C corresponde a una revisión sistemática</w:t>
      </w:r>
      <w:r>
        <w:t xml:space="preserve"> </w:t>
      </w:r>
      <w:r>
        <w:t xml:space="preserve">estructurada con propósito taxonómico y de síntesis de brechas de constructo en</w:t>
      </w:r>
      <w:r>
        <w:t xml:space="preserve"> </w:t>
      </w:r>
      <w:r>
        <w:t xml:space="preserve">el campo de la evaluación XAI.</w:t>
      </w:r>
    </w:p>
    <w:bookmarkEnd w:id="36"/>
    <w:bookmarkStart w:id="37" w:name="universo-y-contexto-experimental"/>
    <w:p>
      <w:pPr>
        <w:pStyle w:val="Ttulo3"/>
        <w:spacing w:line="360" w:lineRule="auto"/>
        <w:jc w:val="both"/>
      </w:pPr>
      <w:r>
        <w:t xml:space="preserve">Universo y contexto experimental</w:t>
      </w:r>
    </w:p>
    <w:p>
      <w:pPr>
        <w:pStyle w:val="FirstParagraph"/>
        <w:spacing w:line="360" w:lineRule="auto"/>
        <w:jc w:val="both"/>
      </w:pPr>
      <w:r>
        <w:t xml:space="preserve">El universo experimental está constituido por el conjunto de problemas de</w:t>
      </w:r>
      <w:r>
        <w:t xml:space="preserve"> </w:t>
      </w:r>
      <w:r>
        <w:t xml:space="preserve">clasificación tabular supervisada en los que es necesario generar explicaciones</w:t>
      </w:r>
      <w:r>
        <w:t xml:space="preserve"> </w:t>
      </w:r>
      <w:r>
        <w:rPr>
          <w:i/>
          <w:iCs/>
        </w:rPr>
        <w:t xml:space="preserve">post-hoc</w:t>
      </w:r>
      <w:r>
        <w:t xml:space="preserve"> </w:t>
      </w:r>
      <w:r>
        <w:t xml:space="preserve">locales mediante métodos agnósticos al modelo. El contexto operativo</w:t>
      </w:r>
      <w:r>
        <w:t xml:space="preserve"> </w:t>
      </w:r>
      <w:r>
        <w:t xml:space="preserve">se acota al conjunto de datos Adult (UCI Adult Income)</w:t>
      </w:r>
      <w:r>
        <w:t xml:space="preserve"> </w:t>
      </w:r>
      <w:r>
        <w:t xml:space="preserve">(Kohavi and Becker 1996)</w:t>
      </w:r>
      <w:r>
        <w:t xml:space="preserve">, que</w:t>
      </w:r>
      <w:r>
        <w:t xml:space="preserve"> </w:t>
      </w:r>
      <w:r>
        <w:t xml:space="preserve">contiene 48,842 instancias, 14 características (numéricas y categóricas) y una</w:t>
      </w:r>
      <w:r>
        <w:t xml:space="preserve"> </w:t>
      </w:r>
      <w:r>
        <w:t xml:space="preserve">variable binaria de predicción (ingreso anual superior o inferior a 50,000</w:t>
      </w:r>
      <w:r>
        <w:t xml:space="preserve"> </w:t>
      </w:r>
      <w:r>
        <w:t xml:space="preserve">USD). Este conjunto es ampliamente utilizado en estudios de benchmarking XAI,</w:t>
      </w:r>
      <w:r>
        <w:t xml:space="preserve"> </w:t>
      </w:r>
      <w:r>
        <w:t xml:space="preserve">lo que facilita la comparación externa de resultados y la verificación de</w:t>
      </w:r>
      <w:r>
        <w:t xml:space="preserve"> </w:t>
      </w:r>
      <w:r>
        <w:t xml:space="preserve">reproducibilidad</w:t>
      </w:r>
      <w:r>
        <w:t xml:space="preserve"> </w:t>
      </w:r>
      <w:r>
        <w:t xml:space="preserve">(Agarwal et al. 2022; Hedström et al. 2023; Canha et al. 2025)</w:t>
      </w:r>
      <w:r>
        <w:t xml:space="preserve">.</w:t>
      </w:r>
    </w:p>
    <w:bookmarkEnd w:id="37"/>
    <w:bookmarkStart w:id="38" w:name="Xdcd1be9d99c262f87a75615ad9164d40f630ac9"/>
    <w:p>
      <w:pPr>
        <w:pStyle w:val="Ttulo3"/>
        <w:spacing w:line="360" w:lineRule="auto"/>
        <w:jc w:val="both"/>
      </w:pPr>
      <w:r>
        <w:t xml:space="preserve">Muestra de datasets, modelos y métodos XAI</w:t>
      </w:r>
    </w:p>
    <w:p>
      <w:pPr>
        <w:pStyle w:val="FirstParagraph"/>
        <w:spacing w:line="360" w:lineRule="auto"/>
        <w:jc w:val="both"/>
      </w:pPr>
      <w:r>
        <w:t xml:space="preserve">El diseño experimental adopta una estructura factorial cruzada. Las familias de</w:t>
      </w:r>
      <w:r>
        <w:t xml:space="preserve"> </w:t>
      </w:r>
      <w:r>
        <w:t xml:space="preserve">modelos predictivos son: regresión logística (</w:t>
      </w:r>
      <w:r>
        <w:rPr>
          <w:rStyle w:val="VerbatimChar"/>
        </w:rPr>
        <w:t xml:space="preserve">logreg</w:t>
      </w:r>
      <w:r>
        <w:t xml:space="preserve">), bosque aleatorio</w:t>
      </w:r>
      <w:r>
        <w:t xml:space="preserve"> </w:t>
      </w:r>
      <w:r>
        <w:t xml:space="preserve">(</w:t>
      </w:r>
      <w:r>
        <w:rPr>
          <w:rStyle w:val="VerbatimChar"/>
        </w:rPr>
        <w:t xml:space="preserve">rf</w:t>
      </w:r>
      <w:r>
        <w:t xml:space="preserve">)</w:t>
      </w:r>
      <w:r>
        <w:t xml:space="preserve"> </w:t>
      </w:r>
      <w:r>
        <w:t xml:space="preserve">(Breiman 2001)</w:t>
      </w:r>
      <w:r>
        <w:t xml:space="preserve">,</w:t>
      </w:r>
      <w:r>
        <w:t xml:space="preserve"> </w:t>
      </w:r>
      <w:r>
        <w:rPr>
          <w:i/>
          <w:iCs/>
        </w:rPr>
        <w:t xml:space="preserve">gradient boosting</w:t>
      </w:r>
      <w:r>
        <w:t xml:space="preserve"> </w:t>
      </w:r>
      <w:r>
        <w:t xml:space="preserve">XGBoost (</w:t>
      </w:r>
      <w:r>
        <w:rPr>
          <w:rStyle w:val="VerbatimChar"/>
        </w:rPr>
        <w:t xml:space="preserve">xgb</w:t>
      </w:r>
      <w:r>
        <w:t xml:space="preserve">), máquina de vectores</w:t>
      </w:r>
      <w:r>
        <w:t xml:space="preserve"> </w:t>
      </w:r>
      <w:r>
        <w:t xml:space="preserve">soporte (</w:t>
      </w:r>
      <w:r>
        <w:rPr>
          <w:rStyle w:val="VerbatimChar"/>
        </w:rPr>
        <w:t xml:space="preserve">svm</w:t>
      </w:r>
      <w:r>
        <w:t xml:space="preserve">) y perceptrón multicapa (</w:t>
      </w:r>
      <w:r>
        <w:rPr>
          <w:rStyle w:val="VerbatimChar"/>
        </w:rPr>
        <w:t xml:space="preserve">mlp</w:t>
      </w:r>
      <w:r>
        <w:t xml:space="preserve">). Los métodos de explicabilidad</w:t>
      </w:r>
      <w:r>
        <w:t xml:space="preserve"> </w:t>
      </w:r>
      <w:r>
        <w:t xml:space="preserve">evaluados son SHAP</w:t>
      </w:r>
      <w:r>
        <w:t xml:space="preserve"> </w:t>
      </w:r>
      <w:r>
        <w:t xml:space="preserve">(Lundberg 2017)</w:t>
      </w:r>
      <w:r>
        <w:t xml:space="preserve">, LIME</w:t>
      </w:r>
      <w:r>
        <w:t xml:space="preserve"> </w:t>
      </w:r>
      <w:r>
        <w:t xml:space="preserve">(Ribeiro 2016)</w:t>
      </w:r>
      <w:r>
        <w:t xml:space="preserve">, Anchors</w:t>
      </w:r>
      <w:r>
        <w:t xml:space="preserve"> </w:t>
      </w:r>
      <w:r>
        <w:t xml:space="preserve">(Ribeiro 2018)</w:t>
      </w:r>
      <w:r>
        <w:t xml:space="preserve"> </w:t>
      </w:r>
      <w:r>
        <w:t xml:space="preserve">y DiCE</w:t>
      </w:r>
      <w:r>
        <w:t xml:space="preserve"> </w:t>
      </w:r>
      <w:r>
        <w:t xml:space="preserve">(Mothilal 2020; Wachter 2017)</w:t>
      </w:r>
      <w:r>
        <w:t xml:space="preserve">. El tamaño de muestra por estrato se varía</w:t>
      </w:r>
      <w:r>
        <w:t xml:space="preserve"> </w:t>
      </w:r>
      <w:r>
        <w:t xml:space="preserve">en tres niveles:</w:t>
      </w:r>
      <w:r>
        <w:t xml:space="preserve"> </w:t>
      </w:r>
      <ns1:oMath>
        <ns1:r>
          <ns1:t>N</ns1:t>
        </ns1:r>
        <ns1:r>
          <ns1:rPr>
            <ns1:sty ns1:val="p"/>
          </ns1:rPr>
          <ns1:t>∈</ns1:t>
        </ns1:r>
        <ns1:r>
          <ns1:rPr>
            <ns1:sty ns1:val="p"/>
          </ns1:rPr>
          <ns1:t>{</ns1:t>
        </ns1:r>
        <ns1:r>
          <ns1:t>50</ns1:t>
        </ns1:r>
        <ns1:r>
          <ns1:rPr>
            <ns1:sty ns1:val="p"/>
          </ns1:rPr>
          <ns1:t>,</ns1:t>
        </ns1:r>
        <ns1:r>
          <ns1:t>100</ns1:t>
        </ns1:r>
        <ns1:r>
          <ns1:rPr>
            <ns1:sty ns1:val="p"/>
          </ns1:rPr>
          <ns1:t>,</ns1:t>
        </ns1:r>
        <ns1:r>
          <ns1:t>200</ns1:t>
        </ns1:r>
        <ns1:r>
          <ns1:rPr>
            <ns1:sty ns1:val="p"/>
          </ns1:rPr>
          <ns1:t>}</ns1:t>
        </ns1:r>
      </ns1:oMath>
      <w:r>
        <w:t xml:space="preserve">. Cada celda del diseño se replica con cinco semillas de</w:t>
      </w:r>
      <w:r>
        <w:t xml:space="preserve"> </w:t>
      </w:r>
      <w:r>
        <w:t xml:space="preserve">aleatoriedad:</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El tamaño planificado del</w:t>
      </w:r>
      <w:r>
        <w:t xml:space="preserve"> </w:t>
      </w:r>
      <w:r>
        <w:t xml:space="preserve">benchmark primario (Estudio A) es</w:t>
      </w:r>
      <w:r>
        <w:t xml:space="preserve"> </w:t>
      </w:r>
      <ns1:oMath>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oMath>
      <w:r>
        <w:t xml:space="preserve"> </w:t>
      </w:r>
      <w:r>
        <w:t xml:space="preserve">ejecuciones; el análisis pareado LIME-SHAP (Estudio B) opera sobre 75 celdas</w:t>
      </w:r>
      <w:r>
        <w:t xml:space="preserve"> </w:t>
      </w:r>
      <w:r>
        <w:t xml:space="preserve">coincidentes.</w:t>
      </w:r>
    </w:p>
    <w:bookmarkEnd w:id="38"/>
    <w:bookmarkStart w:id="39" w:name="criterios-de-inclusión-y-exclusión"/>
    <w:p>
      <w:pPr>
        <w:pStyle w:val="Ttulo3"/>
        <w:spacing w:line="360" w:lineRule="auto"/>
        <w:jc w:val="both"/>
      </w:pPr>
      <w:r>
        <w:t xml:space="preserve">Criterios de inclusión y exclusión</w:t>
      </w:r>
    </w:p>
    <w:p>
      <w:pPr>
        <w:pStyle w:val="FirstParagraph"/>
        <w:spacing w:line="360" w:lineRule="auto"/>
        <w:jc w:val="both"/>
      </w:pPr>
      <w:r>
        <w:rPr>
          <w:b/>
          <w:bCs/>
        </w:rPr>
        <w:t xml:space="preserve">Criterios de inclusión:</w:t>
      </w:r>
    </w:p>
    <w:p>
      <w:pPr>
        <w:pStyle w:val="Compact"/>
        <w:numPr>
          <w:ilvl w:val="0"/>
          <w:numId w:val="1002"/>
        </w:numPr>
        <w:spacing w:line="360" w:lineRule="auto"/>
        <w:jc w:val="both"/>
      </w:pPr>
      <w:r>
        <w:t xml:space="preserve">Artefactos de resultado (</w:t>
      </w:r>
      <w:r>
        <w:rPr>
          <w:rStyle w:val="VerbatimChar"/>
        </w:rPr>
        <w:t xml:space="preserve">results.json</w:t>
      </w:r>
      <w:r>
        <w:t xml:space="preserve">) con esquema completo y valores</w:t>
      </w:r>
      <w:r>
        <w:t xml:space="preserve"> </w:t>
      </w:r>
      <w:r>
        <w:t xml:space="preserve">numéricos válidos en todas las métricas primarias.</w:t>
      </w:r>
    </w:p>
    <w:p>
      <w:pPr>
        <w:pStyle w:val="Compact"/>
        <w:numPr>
          <w:ilvl w:val="0"/>
          <w:numId w:val="1002"/>
        </w:numPr>
        <w:spacing w:line="360" w:lineRule="auto"/>
        <w:jc w:val="both"/>
      </w:pPr>
      <w:r>
        <w:t xml:space="preserve">Ejecuciones pertenecientes al benchmark primario de robustez (EXP2), cuya</w:t>
      </w:r>
      <w:r>
        <w:t xml:space="preserve"> </w:t>
      </w:r>
      <w:r>
        <w:t xml:space="preserve">configuración ha sido congelada antes del inicio de la inferencia</w:t>
      </w:r>
      <w:r>
        <w:t xml:space="preserve"> </w:t>
      </w:r>
      <w:r>
        <w:t xml:space="preserve">confirmativa.</w:t>
      </w:r>
    </w:p>
    <w:p>
      <w:pPr>
        <w:pStyle w:val="Compact"/>
        <w:numPr>
          <w:ilvl w:val="0"/>
          <w:numId w:val="1002"/>
        </w:numPr>
        <w:spacing w:line="360" w:lineRule="auto"/>
        <w:jc w:val="both"/>
      </w:pPr>
      <w:r>
        <w:t xml:space="preserve">Celdas para las que existen artefactos en ambos métodos comparados (SHAP y</w:t>
      </w:r>
      <w:r>
        <w:t xml:space="preserve"> </w:t>
      </w:r>
      <w:r>
        <w:t xml:space="preserve">LIME) para el análisis pareado del Estudio B.</w:t>
      </w:r>
    </w:p>
    <w:p>
      <w:pPr>
        <w:pStyle w:val="FirstParagraph"/>
        <w:spacing w:line="360" w:lineRule="auto"/>
        <w:jc w:val="both"/>
      </w:pPr>
      <w:r>
        <w:rPr>
          <w:b/>
          <w:bCs/>
        </w:rPr>
        <w:t xml:space="preserve">Criterios de exclusión:</w:t>
      </w:r>
    </w:p>
    <w:p>
      <w:pPr>
        <w:pStyle w:val="Compact"/>
        <w:numPr>
          <w:ilvl w:val="0"/>
          <w:numId w:val="1003"/>
        </w:numPr>
        <w:spacing w:line="360" w:lineRule="auto"/>
        <w:jc w:val="both"/>
      </w:pPr>
      <w:r>
        <w:t xml:space="preserve">Artefactos vacíos o con esquema incompatible detectados en la auditoría de</w:t>
      </w:r>
      <w:r>
        <w:t xml:space="preserve"> </w:t>
      </w:r>
      <w:r>
        <w:t xml:space="preserve">integridad (puerta 3 del protocolo FOM-7).</w:t>
      </w:r>
    </w:p>
    <w:p>
      <w:pPr>
        <w:pStyle w:val="Compact"/>
        <w:numPr>
          <w:ilvl w:val="0"/>
          <w:numId w:val="1003"/>
        </w:numPr>
        <w:spacing w:line="360" w:lineRule="auto"/>
        <w:jc w:val="both"/>
      </w:pPr>
      <w:r>
        <w:t xml:space="preserve">Ejecuciones pertenecientes a la fase de calibración (EXP1), que tienen rol de</w:t>
      </w:r>
      <w:r>
        <w:t xml:space="preserve"> </w:t>
      </w:r>
      <w:r>
        <w:t xml:space="preserve">reproducibilidad y no se emplean para inferencia confirmativa.</w:t>
      </w:r>
    </w:p>
    <w:p>
      <w:pPr>
        <w:pStyle w:val="Compact"/>
        <w:numPr>
          <w:ilvl w:val="0"/>
          <w:numId w:val="1003"/>
        </w:numPr>
        <w:spacing w:line="360" w:lineRule="auto"/>
        <w:jc w:val="both"/>
      </w:pPr>
      <w:r>
        <w:t xml:space="preserve">Reconstrucciones sintéticas de artefactos faltantes; únicamente se acepta como</w:t>
      </w:r>
      <w:r>
        <w:t xml:space="preserve"> </w:t>
      </w:r>
      <w:r>
        <w:t xml:space="preserve">excepción la superposición de recuperación documentada sobre las celdas</w:t>
      </w:r>
      <w:r>
        <w:t xml:space="preserve"> </w:t>
      </w:r>
      <w:r>
        <w:rPr>
          <w:rStyle w:val="VerbatimChar"/>
        </w:rPr>
        <w:t xml:space="preserve">mlp_shap</w:t>
      </w:r>
      <w:r>
        <w:t xml:space="preserve">/</w:t>
      </w:r>
      <w:r>
        <w:rPr>
          <w:rStyle w:val="VerbatimChar"/>
        </w:rPr>
        <w:t xml:space="preserve">svm_shap</w:t>
      </w:r>
      <w:r>
        <w:t xml:space="preserve">.</w:t>
      </w:r>
    </w:p>
    <w:bookmarkEnd w:id="39"/>
    <w:bookmarkStart w:id="40" w:name="variables-dimensiones-y-métricas"/>
    <w:p>
      <w:pPr>
        <w:pStyle w:val="Ttulo3"/>
        <w:spacing w:line="360" w:lineRule="auto"/>
        <w:jc w:val="both"/>
      </w:pPr>
      <w:r>
        <w:t xml:space="preserve">Variables, dimensiones y métricas</w:t>
      </w:r>
    </w:p>
    <w:p>
      <w:pPr>
        <w:pStyle w:val="FirstParagraph"/>
        <w:spacing w:line="360" w:lineRule="auto"/>
        <w:jc w:val="both"/>
      </w:pPr>
      <w:r>
        <w:t xml:space="preserve">Las</w:t>
      </w:r>
      <w:r>
        <w:t xml:space="preserve"> </w:t>
      </w:r>
      <w:r>
        <w:rPr>
          <w:b/>
          <w:bCs/>
        </w:rPr>
        <w:t xml:space="preserve">variables independientes</w:t>
      </w:r>
      <w:r>
        <w:t xml:space="preserve"> </w:t>
      </w:r>
      <w:r>
        <w:t xml:space="preserve">del diseño son: familia de modelo (</w:t>
      </w:r>
      <ns1:oMath>
        <ns1:r>
          <ns1:t>g</ns1:t>
        </ns1:r>
      </ns1:oMath>
      <w:r>
        <w:t xml:space="preserve">), método</w:t>
      </w:r>
      <w:r>
        <w:t xml:space="preserve"> </w:t>
      </w:r>
      <w:r>
        <w:t xml:space="preserve">XAI (</w:t>
      </w:r>
      <ns1:oMath>
        <ns1:r>
          <ns1:t>k</ns1:t>
        </ns1:r>
      </ns1:oMath>
      <w:r>
        <w:t xml:space="preserve">), semilla de aleatoriedad (</w:t>
      </w:r>
      <ns1:oMath>
        <ns1:r>
          <ns1:t>s</ns1:t>
        </ns1:r>
      </ns1:oMath>
      <w:r>
        <w:t xml:space="preserve">) y tamaño de muestra por estrato (</w:t>
      </w:r>
      <ns1:oMath>
        <ns1:r>
          <ns1:t>n</ns1:t>
        </ns1:r>
      </ns1:oMath>
      <w:r>
        <w:t xml:space="preserve">).</w:t>
      </w:r>
      <w:r>
        <w:t xml:space="preserve"> </w:t>
      </w:r>
      <w:r>
        <w:t xml:space="preserve">Las</w:t>
      </w:r>
      <w:r>
        <w:t xml:space="preserve"> </w:t>
      </w:r>
      <w:r>
        <w:rPr>
          <w:b/>
          <w:bCs/>
        </w:rPr>
        <w:t xml:space="preserve">variables dependientes</w:t>
      </w:r>
      <w:r>
        <w:t xml:space="preserve"> </w:t>
      </w:r>
      <w:r>
        <w:t xml:space="preserve">son cinco métricas primarias:</w:t>
      </w:r>
    </w:p>
    <w:p>
      <w:pPr>
        <w:pStyle w:val="Compact"/>
        <w:numPr>
          <w:ilvl w:val="0"/>
          <w:numId w:val="1004"/>
        </w:numPr>
        <w:spacing w:line="360" w:lineRule="auto"/>
        <w:jc w:val="both"/>
      </w:pPr>
      <w:r>
        <w:rPr>
          <w:b/>
          <w:bCs/>
        </w:rPr>
        <w:t xml:space="preserve">Fidelidad</w:t>
      </w:r>
      <w:r>
        <w:t xml:space="preserve">: correlación entre los pesos de importancia asignados por el</w:t>
      </w:r>
      <w:r>
        <w:t xml:space="preserve"> </w:t>
      </w:r>
      <w:r>
        <w:t xml:space="preserve">explicador y el efecto observado al enmascarar las características de mayor</w:t>
      </w:r>
      <w:r>
        <w:t xml:space="preserve"> </w:t>
      </w:r>
      <w:r>
        <w:t xml:space="preserve">peso (dirección: mayor es mejor).</w:t>
      </w:r>
    </w:p>
    <w:p>
      <w:pPr>
        <w:pStyle w:val="Compact"/>
        <w:numPr>
          <w:ilvl w:val="0"/>
          <w:numId w:val="1004"/>
        </w:numPr>
        <w:spacing w:line="360" w:lineRule="auto"/>
        <w:jc w:val="both"/>
      </w:pPr>
      <w:r>
        <w:rPr>
          <w:b/>
          <w:bCs/>
        </w:rPr>
        <w:t xml:space="preserve">Estabilidad</w:t>
      </w:r>
      <w:r>
        <w:t xml:space="preserve">: similitud coseno media entre explicaciones generadas sobre</w:t>
      </w:r>
      <w:r>
        <w:t xml:space="preserve"> </w:t>
      </w:r>
      <w:r>
        <w:t xml:space="preserve">instancias perturbadas con ruido gaussiano (dirección: mayor es mejor).</w:t>
      </w:r>
    </w:p>
    <w:p>
      <w:pPr>
        <w:pStyle w:val="Compact"/>
        <w:numPr>
          <w:ilvl w:val="0"/>
          <w:numId w:val="1004"/>
        </w:numPr>
        <w:spacing w:line="360" w:lineRule="auto"/>
        <w:jc w:val="both"/>
      </w:pPr>
      <w:r>
        <w:rPr>
          <w:b/>
          <w:bCs/>
        </w:rPr>
        <w:t xml:space="preserve">Parsimonia</w:t>
      </w:r>
      <w:r>
        <w:t xml:space="preserve"> </w:t>
      </w:r>
      <w:r>
        <w:t xml:space="preserve">(</w:t>
      </w:r>
      <w:r>
        <w:rPr>
          <w:i/>
          <w:iCs/>
        </w:rPr>
        <w:t xml:space="preserve">sparsity</w:t>
      </w:r>
      <w:r>
        <w:t xml:space="preserve">): proporción de características activas en la</w:t>
      </w:r>
      <w:r>
        <w:t xml:space="preserve"> </w:t>
      </w:r>
      <w:r>
        <w:t xml:space="preserve">explicación (dirección: menor es mejor).</w:t>
      </w:r>
    </w:p>
    <w:p>
      <w:pPr>
        <w:pStyle w:val="Compact"/>
        <w:numPr>
          <w:ilvl w:val="0"/>
          <w:numId w:val="1004"/>
        </w:numPr>
        <w:spacing w:line="360" w:lineRule="auto"/>
        <w:jc w:val="both"/>
      </w:pPr>
      <w:r>
        <w:rPr>
          <w:b/>
          <w:bCs/>
        </w:rPr>
        <w:t xml:space="preserve">Brecha de fidelidad</w:t>
      </w:r>
      <w:r>
        <w:t xml:space="preserve"> </w:t>
      </w:r>
      <w:r>
        <w:t xml:space="preserve">(</w:t>
      </w:r>
      <w:r>
        <w:rPr>
          <w:i/>
          <w:iCs/>
        </w:rPr>
        <w:t xml:space="preserve">faithfulness gap</w:t>
      </w:r>
      <w:r>
        <w:t xml:space="preserve">): diferencia en la salida del</w:t>
      </w:r>
      <w:r>
        <w:t xml:space="preserve"> </w:t>
      </w:r>
      <w:r>
        <w:t xml:space="preserve">modelo entre la instancia original y la instancia con las características</w:t>
      </w:r>
      <w:r>
        <w:t xml:space="preserve"> </w:t>
      </w:r>
      <w:r>
        <w:t xml:space="preserve">principales enmascaradas (dirección: mayor es mejor).</w:t>
      </w:r>
    </w:p>
    <w:p>
      <w:pPr>
        <w:pStyle w:val="Compact"/>
        <w:numPr>
          <w:ilvl w:val="0"/>
          <w:numId w:val="1004"/>
        </w:numPr>
        <w:spacing w:line="360" w:lineRule="auto"/>
        <w:jc w:val="both"/>
      </w:pPr>
      <w:r>
        <w:rPr>
          <w:b/>
          <w:bCs/>
        </w:rPr>
        <w:t xml:space="preserve">Coste computacional</w:t>
      </w:r>
      <w:r>
        <w:t xml:space="preserve">: tiempo de ejecución en milisegundos por instancia</w:t>
      </w:r>
      <w:r>
        <w:t xml:space="preserve"> </w:t>
      </w:r>
      <w:r>
        <w:t xml:space="preserve">(dirección: menor es mejor).</w:t>
      </w:r>
    </w:p>
    <w:p>
      <w:pPr>
        <w:pStyle w:val="FirstParagraph"/>
        <w:spacing w:line="360" w:lineRule="auto"/>
        <w:jc w:val="both"/>
      </w:pPr>
      <w:r>
        <w:t xml:space="preserve">La unidad de análisis inferencial es la ejecución agregada a nivel de bloque</w:t>
      </w:r>
      <w:r>
        <w:t xml:space="preserve"> </w:t>
      </w:r>
      <ns1:oMath>
        <ns1:r>
          <ns1:rPr>
            <ns1:sty ns1:val="p"/>
          </ns1:rPr>
          <ns1:t>(</ns1:t>
        </ns1:r>
        <ns1:r>
          <ns1:t>g</ns1:t>
        </ns1:r>
        <ns1:r>
          <ns1:rPr>
            <ns1:sty ns1:val="p"/>
          </ns1:rPr>
          <ns1:t>,</ns1:t>
        </ns1:r>
        <ns1:r>
          <ns1:t>n</ns1:t>
        </ns1:r>
        <ns1:r>
          <ns1:rPr>
            <ns1:sty ns1:val="p"/>
          </ns1:rPr>
          <ns1:t>)</ns1:t>
        </ns1:r>
      </ns1:oMath>
      <w:r>
        <w:t xml:space="preserve">, evitando la pseudorreplicación a nivel de instancia.</w:t>
      </w:r>
    </w:p>
    <w:p>
      <w:pPr>
        <w:pStyle w:val="Textoindependiente"/>
        <w:spacing w:line="360" w:lineRule="auto"/>
        <w:jc w:val="both"/>
      </w:pPr>
      <w:r>
        <w:t xml:space="preserve">La definición operativa de estas dimensiones y sus modos de medición sigue las</w:t>
      </w:r>
      <w:r>
        <w:t xml:space="preserve"> </w:t>
      </w:r>
      <w:r>
        <w:t xml:space="preserve">taxonomías y recomendaciones recientes de evaluación multi-métrica para XAI</w:t>
      </w:r>
      <w:r>
        <w:t xml:space="preserve"> </w:t>
      </w:r>
      <w:r>
        <w:t xml:space="preserve">(Abdul Kadir et al. 2023; Bhattacharya and Verbert 2024; Canha et al. 2025; Zheng et al. 2025)</w:t>
      </w:r>
      <w:r>
        <w:t xml:space="preserve">.</w:t>
      </w:r>
    </w:p>
    <w:bookmarkEnd w:id="40"/>
    <w:bookmarkStart w:id="41" w:name="estrategia-procedimental"/>
    <w:p>
      <w:pPr>
        <w:pStyle w:val="Ttulo3"/>
        <w:spacing w:line="360" w:lineRule="auto"/>
        <w:jc w:val="both"/>
      </w:pPr>
      <w:r>
        <w:t xml:space="preserve">Estrategia procedimental</w:t>
      </w:r>
    </w:p>
    <w:p>
      <w:pPr>
        <w:pStyle w:val="FirstParagraph"/>
        <w:spacing w:line="360" w:lineRule="auto"/>
        <w:jc w:val="both"/>
      </w:pPr>
      <w:r>
        <w:t xml:space="preserve">La estrategia procedimental se organiza en torno al protocolo FOM-7 (</w:t>
      </w:r>
      <w:r>
        <w:rPr>
          <w:i/>
          <w:iCs/>
        </w:rPr>
        <w:t xml:space="preserve">Framework</w:t>
      </w:r>
      <w:r>
        <w:rPr>
          <w:i/>
          <w:iCs/>
        </w:rPr>
        <w:t xml:space="preserve"> </w:t>
      </w:r>
      <w:r>
        <w:rPr>
          <w:i/>
          <w:iCs/>
        </w:rPr>
        <w:t xml:space="preserve">Operation Method</w:t>
      </w:r>
      <w:r>
        <w:t xml:space="preserve">, siete puertas), derivado de los requisitos de benchmarking</w:t>
      </w:r>
      <w:r>
        <w:t xml:space="preserve"> </w:t>
      </w:r>
      <w:r>
        <w:t xml:space="preserve">reproducible identificados en la literatura</w:t>
      </w:r>
      <w:r>
        <w:t xml:space="preserve"> </w:t>
      </w:r>
      <w:r>
        <w:t xml:space="preserve">(Canha et al. 2025; Agarwal et al. 2022; Hedström et al. 2023)</w:t>
      </w:r>
      <w:r>
        <w:t xml:space="preserve"> </w:t>
      </w:r>
      <w:r>
        <w:t xml:space="preserve">y de los modos de fallo observados durante la fase de calibración</w:t>
      </w:r>
      <w:r>
        <w:t xml:space="preserve"> </w:t>
      </w:r>
      <w:r>
        <w:t xml:space="preserve">piloto.</w:t>
      </w:r>
    </w:p>
    <w:p>
      <w:pPr>
        <w:pStyle w:val="Textoindependiente"/>
        <w:spacing w:line="360" w:lineRule="auto"/>
        <w:jc w:val="both"/>
      </w:pPr>
      <w:r>
        <w:t xml:space="preserve">Las siete puertas secuenciales son:</w:t>
      </w:r>
    </w:p>
    <w:p>
      <w:pPr>
        <w:pStyle w:val="Compact"/>
        <w:numPr>
          <w:ilvl w:val="0"/>
          <w:numId w:val="1005"/>
        </w:numPr>
        <w:spacing w:line="360" w:lineRule="auto"/>
        <w:jc w:val="both"/>
      </w:pPr>
      <w:r>
        <w:rPr>
          <w:b/>
          <w:bCs/>
        </w:rPr>
        <w:t xml:space="preserve">Congelación del protocolo</w:t>
      </w:r>
      <w:r>
        <w:t xml:space="preserve">: bloqueo de versiones de código,</w:t>
      </w:r>
      <w:r>
        <w:t xml:space="preserve"> </w:t>
      </w:r>
      <w:r>
        <w:t xml:space="preserve">configuraciones, factores y plan de inferencia antes de las ejecuciones</w:t>
      </w:r>
      <w:r>
        <w:t xml:space="preserve"> </w:t>
      </w:r>
      <w:r>
        <w:t xml:space="preserve">confirmativas.</w:t>
      </w:r>
    </w:p>
    <w:p>
      <w:pPr>
        <w:pStyle w:val="Compact"/>
        <w:numPr>
          <w:ilvl w:val="0"/>
          <w:numId w:val="1005"/>
        </w:numPr>
        <w:spacing w:line="360" w:lineRule="auto"/>
        <w:jc w:val="both"/>
      </w:pPr>
      <w:r>
        <w:rPr>
          <w:b/>
          <w:bCs/>
        </w:rPr>
        <w:t xml:space="preserve">Ejecución por lotes controlada</w:t>
      </w:r>
      <w:r>
        <w:t xml:space="preserve">: ejecución desde manifiestos declarativos</w:t>
      </w:r>
      <w:r>
        <w:t xml:space="preserve"> </w:t>
      </w:r>
      <w:r>
        <w:t xml:space="preserve">con semillas fijas y registro del contexto de tiempo de ejecución.</w:t>
      </w:r>
    </w:p>
    <w:p>
      <w:pPr>
        <w:pStyle w:val="Compact"/>
        <w:numPr>
          <w:ilvl w:val="0"/>
          <w:numId w:val="1005"/>
        </w:numPr>
        <w:spacing w:line="360" w:lineRule="auto"/>
        <w:jc w:val="both"/>
      </w:pPr>
      <w:r>
        <w:rPr>
          <w:b/>
          <w:bCs/>
        </w:rPr>
        <w:t xml:space="preserve">Auditoría de integridad de artefactos</w:t>
      </w:r>
      <w:r>
        <w:t xml:space="preserve">: detección y exclusión de salidas</w:t>
      </w:r>
      <w:r>
        <w:t xml:space="preserve"> </w:t>
      </w:r>
      <w:r>
        <w:t xml:space="preserve">malformadas, vacías o con esquema incompatible.</w:t>
      </w:r>
    </w:p>
    <w:p>
      <w:pPr>
        <w:pStyle w:val="Compact"/>
        <w:numPr>
          <w:ilvl w:val="0"/>
          <w:numId w:val="1005"/>
        </w:numPr>
        <w:spacing w:line="360" w:lineRule="auto"/>
        <w:jc w:val="both"/>
      </w:pPr>
      <w:r>
        <w:rPr>
          <w:b/>
          <w:bCs/>
        </w:rPr>
        <w:t xml:space="preserve">Armonización a tablas listas para el análisis</w:t>
      </w:r>
      <w:r>
        <w:t xml:space="preserve">: estandarización de claves</w:t>
      </w:r>
      <w:r>
        <w:t xml:space="preserve"> </w:t>
      </w:r>
      <w:r>
        <w:t xml:space="preserve">y campos de métricas en tablas de inferencia deterministas.</w:t>
      </w:r>
    </w:p>
    <w:p>
      <w:pPr>
        <w:pStyle w:val="Compact"/>
        <w:numPr>
          <w:ilvl w:val="0"/>
          <w:numId w:val="1005"/>
        </w:numPr>
        <w:spacing w:line="360" w:lineRule="auto"/>
        <w:jc w:val="both"/>
      </w:pPr>
      <w:r>
        <w:rPr>
          <w:b/>
          <w:bCs/>
        </w:rPr>
        <w:t xml:space="preserve">Exportación inferencial</w:t>
      </w:r>
      <w:r>
        <w:t xml:space="preserve">: generación determinista de tablas omnibus y de</w:t>
      </w:r>
      <w:r>
        <w:t xml:space="preserve"> </w:t>
      </w:r>
      <w:r>
        <w:t xml:space="preserve">pruebas pareadas a partir exclusivamente de entradas calificadas.</w:t>
      </w:r>
    </w:p>
    <w:p>
      <w:pPr>
        <w:pStyle w:val="Compact"/>
        <w:numPr>
          <w:ilvl w:val="0"/>
          <w:numId w:val="1005"/>
        </w:numPr>
        <w:spacing w:line="360" w:lineRule="auto"/>
        <w:jc w:val="both"/>
      </w:pPr>
      <w:r>
        <w:rPr>
          <w:b/>
          <w:bCs/>
        </w:rPr>
        <w:t xml:space="preserve">Perfilado de reproducibilidad</w:t>
      </w:r>
      <w:r>
        <w:t xml:space="preserve">: cuantificación de la dispersión entre</w:t>
      </w:r>
      <w:r>
        <w:t xml:space="preserve"> </w:t>
      </w:r>
      <w:r>
        <w:t xml:space="preserve">ejecuciones y del comportamiento del coeficiente de variación en</w:t>
      </w:r>
      <w:r>
        <w:t xml:space="preserve"> </w:t>
      </w:r>
      <w:r>
        <w:t xml:space="preserve">configuraciones replicadas.</w:t>
      </w:r>
    </w:p>
    <w:p>
      <w:pPr>
        <w:pStyle w:val="Compact"/>
        <w:numPr>
          <w:ilvl w:val="0"/>
          <w:numId w:val="1005"/>
        </w:numPr>
        <w:spacing w:line="360" w:lineRule="auto"/>
        <w:jc w:val="both"/>
      </w:pPr>
      <w:r>
        <w:rPr>
          <w:b/>
          <w:bCs/>
        </w:rPr>
        <w:t xml:space="preserve">Reporte con trazabilidad de afirmaciones</w:t>
      </w:r>
      <w:r>
        <w:t xml:space="preserve">: las afirmaciones inferenciales</w:t>
      </w:r>
      <w:r>
        <w:t xml:space="preserve"> </w:t>
      </w:r>
      <w:r>
        <w:t xml:space="preserve">solo se permiten cuando todas las puertas previas están satisfechas y son</w:t>
      </w:r>
      <w:r>
        <w:t xml:space="preserve"> </w:t>
      </w:r>
      <w:r>
        <w:t xml:space="preserve">trazables a artefactos fuente.</w:t>
      </w:r>
    </w:p>
    <w:p>
      <w:pPr>
        <w:pStyle w:val="FirstParagraph"/>
        <w:spacing w:line="360" w:lineRule="auto"/>
        <w:jc w:val="both"/>
      </w:pPr>
      <w:r>
        <w:t xml:space="preserve">Este capítulo ha establecido el problema doctoral, la pregunta de investigación,</w:t>
      </w:r>
      <w:r>
        <w:t xml:space="preserve"> </w:t>
      </w:r>
      <w:r>
        <w:t xml:space="preserve">los objetivos, las hipótesis y el diseño general que articula los tres estudios.</w:t>
      </w:r>
      <w:r>
        <w:t xml:space="preserve"> </w:t>
      </w:r>
      <w:r>
        <w:t xml:space="preserve">La consecuencia metodológica es que la tesis no puede limitarse a comparar</w:t>
      </w:r>
      <w:r>
        <w:t xml:space="preserve"> </w:t>
      </w:r>
      <w:r>
        <w:t xml:space="preserve">promedios de métodos XAI: debe justificar qué constructos se miden, bajo qué</w:t>
      </w:r>
      <w:r>
        <w:t xml:space="preserve"> </w:t>
      </w:r>
      <w:r>
        <w:t xml:space="preserve">condiciones y con qué alcance inferencial. El siguiente capítulo desarrolla ese</w:t>
      </w:r>
      <w:r>
        <w:t xml:space="preserve"> </w:t>
      </w:r>
      <w:r>
        <w:t xml:space="preserve">marco conceptual y convierte la necesidad empírica identificada aquí en una</w:t>
      </w:r>
      <w:r>
        <w:t xml:space="preserve"> </w:t>
      </w:r>
      <w:r>
        <w:t xml:space="preserve">brecha teórica que justifica FOM-7.</w:t>
      </w:r>
    </w:p>
    <w:p>
      <w:pPr>
        <w:pStyle w:val="Textoindependiente"/>
        <w:spacing w:line="360" w:lineRule="auto"/>
        <w:jc w:val="both"/>
      </w:pPr>
      <w:r>
        <w:t xml:space="preserve">La secuencia experimental distingue dos cohortes de evidencia con roles</w:t>
      </w:r>
      <w:r>
        <w:t xml:space="preserve"> </w:t>
      </w:r>
      <w:r>
        <w:t xml:space="preserve">diferenciados: la etapa de calibración y reproducibilidad (EXP1), destinada a la</w:t>
      </w:r>
      <w:r>
        <w:t xml:space="preserve"> </w:t>
      </w:r>
      <w:r>
        <w:t xml:space="preserve">verificación de implementación y al perfilado de dispersión; y el benchmark</w:t>
      </w:r>
      <w:r>
        <w:t xml:space="preserve"> </w:t>
      </w:r>
      <w:r>
        <w:t xml:space="preserve">primario de robustez (EXP2), destinado a la inferencia confirmativa. Esta</w:t>
      </w:r>
      <w:r>
        <w:t xml:space="preserve"> </w:t>
      </w:r>
      <w:r>
        <w:t xml:space="preserve">separación reduce la contaminación entre actividades exploratorias y</w:t>
      </w:r>
      <w:r>
        <w:t xml:space="preserve"> </w:t>
      </w:r>
      <w:r>
        <w:t xml:space="preserve">afirmaciones confirmativas, en línea con las recomendaciones de disciplina de</w:t>
      </w:r>
      <w:r>
        <w:t xml:space="preserve"> </w:t>
      </w:r>
      <w:r>
        <w:t xml:space="preserve">partición de evidencia discutidas en trabajos recientes sobre fidelidad de</w:t>
      </w:r>
      <w:r>
        <w:t xml:space="preserve"> </w:t>
      </w:r>
      <w:r>
        <w:t xml:space="preserve">evaluación</w:t>
      </w:r>
      <w:r>
        <w:t xml:space="preserve"> </w:t>
      </w:r>
      <w:r>
        <w:t xml:space="preserve">(Zheng et al. 2025)</w:t>
      </w:r>
      <w:r>
        <w:t xml:space="preserve">.</w:t>
      </w:r>
    </w:p>
    <w:bookmarkEnd w:id="41"/>
    <w:bookmarkEnd w:id="42"/>
    <w:bookmarkEnd w:id="43"/>
    <w:bookmarkStart w:id="59" w:name="X5df853d312351836bad75f10c25fdcfe7ebc358"/>
    <w:p>
      <w:pPr>
        <w:pStyle w:val="Ttulo1"/>
        <w:spacing w:line="360" w:lineRule="auto"/>
        <w:jc w:val="both"/>
      </w:pPr>
      <w:r>
        <w:t xml:space="preserve">Marco teórico específico / fundamentos conceptuales</w:t>
      </w:r>
    </w:p>
    <w:bookmarkStart w:id="44" w:name="propósito-del-capítulo"/>
    <w:p>
      <w:pPr>
        <w:pStyle w:val="Ttulo2"/>
        <w:spacing w:line="360" w:lineRule="auto"/>
        <w:jc w:val="both"/>
      </w:pPr>
      <w:r>
        <w:t xml:space="preserve">Propósito del capítulo</w:t>
      </w:r>
    </w:p>
    <w:p>
      <w:pPr>
        <w:pStyle w:val="FirstParagraph"/>
        <w:spacing w:line="360" w:lineRule="auto"/>
        <w:jc w:val="both"/>
      </w:pPr>
      <w:r>
        <w:t xml:space="preserve">Este capítulo establece el marco conceptual específico que sostiene la</w:t>
      </w:r>
      <w:r>
        <w:t xml:space="preserve"> </w:t>
      </w:r>
      <w:r>
        <w:t xml:space="preserve">propuesta FOM-7. Su función no es solamente definir la Inteligencia Artificial</w:t>
      </w:r>
      <w:r>
        <w:t xml:space="preserve"> </w:t>
      </w:r>
      <w:r>
        <w:t xml:space="preserve">Explicable (XAI), sino mostrar por qué la evaluación de explicaciones requiere</w:t>
      </w:r>
      <w:r>
        <w:t xml:space="preserve"> </w:t>
      </w:r>
      <w:r>
        <w:t xml:space="preserve">un protocolo operativo que conecte diseño experimental, calificación de</w:t>
      </w:r>
      <w:r>
        <w:t xml:space="preserve"> </w:t>
      </w:r>
      <w:r>
        <w:t xml:space="preserve">artefactos, selección de métricas, admisibilidad estadística, reproducibilidad y</w:t>
      </w:r>
      <w:r>
        <w:t xml:space="preserve"> </w:t>
      </w:r>
      <w:r>
        <w:t xml:space="preserve">trazabilidad de afirmaciones. La tesis parte de una observación central: la</w:t>
      </w:r>
      <w:r>
        <w:t xml:space="preserve"> </w:t>
      </w:r>
      <w:r>
        <w:t xml:space="preserve">literatura dispone de métodos de explicación maduros y de toolkits de</w:t>
      </w:r>
      <w:r>
        <w:t xml:space="preserve"> </w:t>
      </w:r>
      <w:r>
        <w:t xml:space="preserve">evaluación cada vez más sofisticados, pero aún persiste una brecha entre la</w:t>
      </w:r>
      <w:r>
        <w:t xml:space="preserve"> </w:t>
      </w:r>
      <w:r>
        <w:t xml:space="preserve">existencia de métricas y la construcción de evidencia doctoralmente defendible.</w:t>
      </w:r>
    </w:p>
    <w:p>
      <w:pPr>
        <w:pStyle w:val="Textoindependiente"/>
        <w:spacing w:line="360" w:lineRule="auto"/>
        <w:jc w:val="both"/>
      </w:pPr>
      <w:r>
        <w:t xml:space="preserve">En este sentido, el capítulo organiza la revisión en siete ejes. Primero,</w:t>
      </w:r>
      <w:r>
        <w:t xml:space="preserve"> </w:t>
      </w:r>
      <w:r>
        <w:t xml:space="preserve">reconstruye el desarrollo histórico desde modelos transparentes hacia</w:t>
      </w:r>
      <w:r>
        <w:t xml:space="preserve"> </w:t>
      </w:r>
      <w:r>
        <w:t xml:space="preserve">explicaciones post-hoc y enfoques human-centered. Segundo, fija distinciones</w:t>
      </w:r>
      <w:r>
        <w:t xml:space="preserve"> </w:t>
      </w:r>
      <w:r>
        <w:t xml:space="preserve">conceptuales indispensables para evitar sobreinterpretaciones. Tercero, examina</w:t>
      </w:r>
      <w:r>
        <w:t xml:space="preserve"> </w:t>
      </w:r>
      <w:r>
        <w:t xml:space="preserve">los cuatro métodos evaluados en esta tesis: LIME, SHAP, Anchors y DiCE. Cuarto,</w:t>
      </w:r>
      <w:r>
        <w:t xml:space="preserve"> </w:t>
      </w:r>
      <w:r>
        <w:t xml:space="preserve">analiza marcos de evaluación como Quantus, OpenXAI y la taxonomía de</w:t>
      </w:r>
      <w:r>
        <w:t xml:space="preserve"> </w:t>
      </w:r>
      <w:r>
        <w:t xml:space="preserve">evaluación propuesta por</w:t>
      </w:r>
      <w:r>
        <w:t xml:space="preserve"> </w:t>
      </w:r>
      <w:r>
        <w:t xml:space="preserve">Doshi-Velez (2017)</w:t>
      </w:r>
      <w:r>
        <w:t xml:space="preserve">. Quinto, sintetiza familias de</w:t>
      </w:r>
      <w:r>
        <w:t xml:space="preserve"> </w:t>
      </w:r>
      <w:r>
        <w:t xml:space="preserve">métricas y brechas de constructo. Sexto, vincula reproducibilidad y trazabilidad</w:t>
      </w:r>
      <w:r>
        <w:t xml:space="preserve"> </w:t>
      </w:r>
      <w:r>
        <w:t xml:space="preserve">con benchmarking XAI. Finalmente, formula la brecha crítica que justifica</w:t>
      </w:r>
      <w:r>
        <w:t xml:space="preserve"> </w:t>
      </w:r>
      <w:r>
        <w:t xml:space="preserve">FOM-7.</w:t>
      </w:r>
    </w:p>
    <w:bookmarkEnd w:id="44"/>
    <w:bookmarkStart w:id="45" w:name="Xe6760546a452d6306b93a783545f3c51ee07c22"/>
    <w:p>
      <w:pPr>
        <w:pStyle w:val="Ttulo2"/>
        <w:spacing w:line="360" w:lineRule="auto"/>
        <w:jc w:val="both"/>
      </w:pPr>
      <w:r>
        <w:t xml:space="preserve">Desarrollo histórico de la interpretabilidad y la XAI</w:t>
      </w:r>
    </w:p>
    <w:p>
      <w:pPr>
        <w:pStyle w:val="FirstParagraph"/>
        <w:spacing w:line="360" w:lineRule="auto"/>
        <w:jc w:val="both"/>
      </w:pPr>
      <w:r>
        <w:t xml:space="preserve">La interpretabilidad en aprendizaje automático no surge como una preocupación</w:t>
      </w:r>
      <w:r>
        <w:t xml:space="preserve"> </w:t>
      </w:r>
      <w:r>
        <w:t xml:space="preserve">posterior a los modelos modernos, sino como una condición histórica de muchos</w:t>
      </w:r>
      <w:r>
        <w:t xml:space="preserve"> </w:t>
      </w:r>
      <w:r>
        <w:t xml:space="preserve">modelos estadísticos y simbólicos. La regresión lineal, los árboles de decisión</w:t>
      </w:r>
      <w:r>
        <w:t xml:space="preserve"> </w:t>
      </w:r>
      <w:r>
        <w:t xml:space="preserve">pequeños, los sistemas basados en reglas y algunos modelos aditivos permiten</w:t>
      </w:r>
      <w:r>
        <w:t xml:space="preserve"> </w:t>
      </w:r>
      <w:r>
        <w:t xml:space="preserve">inspeccionar directamente los parámetros, reglas o relaciones que conducen a una</w:t>
      </w:r>
      <w:r>
        <w:t xml:space="preserve"> </w:t>
      </w:r>
      <w:r>
        <w:t xml:space="preserve">predicción. En estos casos, la transparencia forma parte de la arquitectura del</w:t>
      </w:r>
      <w:r>
        <w:t xml:space="preserve"> </w:t>
      </w:r>
      <w:r>
        <w:t xml:space="preserve">modelo: el analista puede seguir el mecanismo inferencial sin construir un</w:t>
      </w:r>
      <w:r>
        <w:t xml:space="preserve"> </w:t>
      </w:r>
      <w:r>
        <w:t xml:space="preserve">artefacto explicativo externo. Esta tradición se asocia con modelos</w:t>
      </w:r>
      <w:r>
        <w:t xml:space="preserve"> </w:t>
      </w:r>
      <w:r>
        <w:t xml:space="preserve">intrínsecamente interpretables</w:t>
      </w:r>
      <w:r>
        <w:t xml:space="preserve"> </w:t>
      </w:r>
      <w:r>
        <w:t xml:space="preserve">(Lipton 2018; Arrieta 2019a)</w:t>
      </w:r>
      <w:r>
        <w:t xml:space="preserve">.</w:t>
      </w:r>
    </w:p>
    <w:p>
      <w:pPr>
        <w:pStyle w:val="Textoindependiente"/>
        <w:spacing w:line="360" w:lineRule="auto"/>
        <w:jc w:val="both"/>
      </w:pPr>
      <w:r>
        <w:t xml:space="preserve">El punto doctoralmente relevante es que la interpretabilidad inicial estaba</w:t>
      </w:r>
      <w:r>
        <w:t xml:space="preserve"> </w:t>
      </w:r>
      <w:r>
        <w:t xml:space="preserve">ligada a una relación directa entre representación, inferencia y comunicación.</w:t>
      </w:r>
      <w:r>
        <w:t xml:space="preserve"> </w:t>
      </w:r>
      <w:r>
        <w:t xml:space="preserve">Cuando un modelo lineal asigna coeficientes a variables observables, la</w:t>
      </w:r>
      <w:r>
        <w:t xml:space="preserve"> </w:t>
      </w:r>
      <w:r>
        <w:t xml:space="preserve">explicación puede apoyarse en el mismo lenguaje que el modelo utiliza para</w:t>
      </w:r>
      <w:r>
        <w:t xml:space="preserve"> </w:t>
      </w:r>
      <w:r>
        <w:t xml:space="preserve">predecir. Cuando un árbol de decisión pequeño separa casos mediante reglas, el</w:t>
      </w:r>
      <w:r>
        <w:t xml:space="preserve"> </w:t>
      </w:r>
      <w:r>
        <w:t xml:space="preserve">camino desde la raíz hasta una hoja puede funcionar como una narración de la</w:t>
      </w:r>
      <w:r>
        <w:t xml:space="preserve"> </w:t>
      </w:r>
      <w:r>
        <w:t xml:space="preserve">decisión. Esta cercanía entre mecanismo y explicación reduce la necesidad de un</w:t>
      </w:r>
      <w:r>
        <w:t xml:space="preserve"> </w:t>
      </w:r>
      <w:r>
        <w:t xml:space="preserve">segundo artefacto interpretativo. Sin embargo, también limita la clase de</w:t>
      </w:r>
      <w:r>
        <w:t xml:space="preserve"> </w:t>
      </w:r>
      <w:r>
        <w:t xml:space="preserve">patrones que el modelo puede capturar. La historia de la XAI se entiende mejor</w:t>
      </w:r>
      <w:r>
        <w:t xml:space="preserve"> </w:t>
      </w:r>
      <w:r>
        <w:t xml:space="preserve">como una tensión continua entre expresividad predictiva, transparencia</w:t>
      </w:r>
      <w:r>
        <w:t xml:space="preserve"> </w:t>
      </w:r>
      <w:r>
        <w:t xml:space="preserve">estructural y utilidad humana</w:t>
      </w:r>
      <w:r>
        <w:t xml:space="preserve"> </w:t>
      </w:r>
      <w:r>
        <w:t xml:space="preserve">(Arrieta 2019a; Lipton 2018)</w:t>
      </w:r>
      <w:r>
        <w:t xml:space="preserve">.</w:t>
      </w:r>
    </w:p>
    <w:p>
      <w:pPr>
        <w:pStyle w:val="Textoindependiente"/>
        <w:spacing w:line="360" w:lineRule="auto"/>
        <w:jc w:val="both"/>
      </w:pPr>
      <w:r>
        <w:t xml:space="preserve">El desplazamiento hacia modelos de mayor capacidad predictiva modificó este</w:t>
      </w:r>
      <w:r>
        <w:t xml:space="preserve"> </w:t>
      </w:r>
      <w:r>
        <w:t xml:space="preserve">equilibrio. Los ensambles, los métodos kernel, las redes neuronales profundas y</w:t>
      </w:r>
      <w:r>
        <w:t xml:space="preserve"> </w:t>
      </w:r>
      <w:r>
        <w:t xml:space="preserve">otros modelos de alta dimensionalidad aumentaron la precisión en tareas</w:t>
      </w:r>
      <w:r>
        <w:t xml:space="preserve"> </w:t>
      </w:r>
      <w:r>
        <w:t xml:space="preserve">complejas, pero hicieron menos accesible la lógica interna de decisión. La</w:t>
      </w:r>
      <w:r>
        <w:t xml:space="preserve"> </w:t>
      </w:r>
      <w:r>
        <w:t xml:space="preserve">opacidad no implica necesariamente ausencia de estructura; implica que la</w:t>
      </w:r>
      <w:r>
        <w:t xml:space="preserve"> </w:t>
      </w:r>
      <w:r>
        <w:t xml:space="preserve">estructura aprendida no se presenta en una forma cognitivamente manejable para</w:t>
      </w:r>
      <w:r>
        <w:t xml:space="preserve"> </w:t>
      </w:r>
      <w:r>
        <w:t xml:space="preserve">un humano. Esta tensión entre rendimiento y comprensibilidad aparece de forma</w:t>
      </w:r>
      <w:r>
        <w:t xml:space="preserve"> </w:t>
      </w:r>
      <w:r>
        <w:t xml:space="preserve">recurrente en revisiones de XAI e interpretabilidad</w:t>
      </w:r>
      <w:r>
        <w:t xml:space="preserve"> </w:t>
      </w:r>
      <w:r>
        <w:t xml:space="preserve">(Arrieta 2019a; Linardatos 2020; Canha et al. 2025)</w:t>
      </w:r>
      <w:r>
        <w:t xml:space="preserve">.</w:t>
      </w:r>
    </w:p>
    <w:p>
      <w:pPr>
        <w:pStyle w:val="Textoindependiente"/>
        <w:spacing w:line="360" w:lineRule="auto"/>
        <w:jc w:val="both"/>
      </w:pPr>
      <w:r>
        <w:t xml:space="preserve">Este desplazamiento no debe interpretarse como una oposición simple entre</w:t>
      </w:r>
      <w:r>
        <w:t xml:space="preserve"> </w:t>
      </w:r>
      <w:r>
        <w:t xml:space="preserve">modelos</w:t>
      </w:r>
      <w:r>
        <w:t xml:space="preserve"> </w:t>
      </w:r>
      <w:r>
        <w:t xml:space="preserve">“buenos pero opacos”</w:t>
      </w:r>
      <w:r>
        <w:t xml:space="preserve"> </w:t>
      </w:r>
      <w:r>
        <w:t xml:space="preserve">y modelos</w:t>
      </w:r>
      <w:r>
        <w:t xml:space="preserve"> </w:t>
      </w:r>
      <w:r>
        <w:t xml:space="preserve">“malos pero transparentes”</w:t>
      </w:r>
      <w:r>
        <w:t xml:space="preserve">. La literatura</w:t>
      </w:r>
      <w:r>
        <w:t xml:space="preserve"> </w:t>
      </w:r>
      <w:r>
        <w:t xml:space="preserve">crítica ha mostrado que la interpretabilidad es una noción plural: puede</w:t>
      </w:r>
      <w:r>
        <w:t xml:space="preserve"> </w:t>
      </w:r>
      <w:r>
        <w:t xml:space="preserve">referirse a simulabilidad, descomponibilidad, transparencia algorítmica,</w:t>
      </w:r>
      <w:r>
        <w:t xml:space="preserve"> </w:t>
      </w:r>
      <w:r>
        <w:t xml:space="preserve">explicaciones locales, explicaciones globales, visualizaciones, reglas,</w:t>
      </w:r>
      <w:r>
        <w:t xml:space="preserve"> </w:t>
      </w:r>
      <w:r>
        <w:t xml:space="preserve">atribuciones o ejemplos contrafactuales</w:t>
      </w:r>
      <w:r>
        <w:t xml:space="preserve"> </w:t>
      </w:r>
      <w:r>
        <w:t xml:space="preserve">(Lipton 2018; Arrieta 2019a)</w:t>
      </w:r>
      <w:r>
        <w:t xml:space="preserve">. Por tanto,</w:t>
      </w:r>
      <w:r>
        <w:t xml:space="preserve"> </w:t>
      </w:r>
      <w:r>
        <w:t xml:space="preserve">un modelo no es interpretable o no interpretable en abstracto; lo es respecto a</w:t>
      </w:r>
      <w:r>
        <w:t xml:space="preserve"> </w:t>
      </w:r>
      <w:r>
        <w:t xml:space="preserve">un destinatario, una tarea, una escala de análisis y un criterio de éxito. Esta</w:t>
      </w:r>
      <w:r>
        <w:t xml:space="preserve"> </w:t>
      </w:r>
      <w:r>
        <w:t xml:space="preserve">observación será importante para FOM-7, porque impide convertir la evaluación</w:t>
      </w:r>
      <w:r>
        <w:t xml:space="preserve"> </w:t>
      </w:r>
      <w:r>
        <w:t xml:space="preserve">XAI en una competencia única donde todos los métodos se ordenan bajo una misma</w:t>
      </w:r>
      <w:r>
        <w:t xml:space="preserve"> </w:t>
      </w:r>
      <w:r>
        <w:t xml:space="preserve">noción de calidad.</w:t>
      </w:r>
    </w:p>
    <w:p>
      <w:pPr>
        <w:pStyle w:val="Textoindependiente"/>
        <w:spacing w:line="360" w:lineRule="auto"/>
        <w:jc w:val="both"/>
      </w:pPr>
      <w:r>
        <w:t xml:space="preserve">La expansión de modelos de caja negra también modificó la forma en que se</w:t>
      </w:r>
      <w:r>
        <w:t xml:space="preserve"> </w:t>
      </w:r>
      <w:r>
        <w:t xml:space="preserve">construyen responsabilidades epistémicas. En un modelo transparente, el analista</w:t>
      </w:r>
      <w:r>
        <w:t xml:space="preserve"> </w:t>
      </w:r>
      <w:r>
        <w:t xml:space="preserve">puede examinar directamente parte del mecanismo. En un modelo de caja negra, la</w:t>
      </w:r>
      <w:r>
        <w:t xml:space="preserve"> </w:t>
      </w:r>
      <w:r>
        <w:t xml:space="preserve">explicación se vuelve mediada: depende de consultas, perturbaciones, gradientes,</w:t>
      </w:r>
      <w:r>
        <w:t xml:space="preserve"> </w:t>
      </w:r>
      <w:r>
        <w:t xml:space="preserve">aproximaciones locales, reglas inducidas o contrafactuales generados. Esa</w:t>
      </w:r>
      <w:r>
        <w:t xml:space="preserve"> </w:t>
      </w:r>
      <w:r>
        <w:t xml:space="preserve">mediación introduce una pregunta adicional: no basta con saber si el predictor</w:t>
      </w:r>
      <w:r>
        <w:t xml:space="preserve"> </w:t>
      </w:r>
      <w:r>
        <w:t xml:space="preserve">funciona; debe evaluarse si el artefacto que lo explica es confiable bajo las</w:t>
      </w:r>
      <w:r>
        <w:t xml:space="preserve"> </w:t>
      </w:r>
      <w:r>
        <w:t xml:space="preserve">condiciones en que se usa. La XAI moderna nace, en buena medida, de esta</w:t>
      </w:r>
      <w:r>
        <w:t xml:space="preserve"> </w:t>
      </w:r>
      <w:r>
        <w:t xml:space="preserve">separación entre modelo predictivo y artefacto explicativo</w:t>
      </w:r>
      <w:r>
        <w:t xml:space="preserve"> </w:t>
      </w:r>
      <w:r>
        <w:t xml:space="preserve">(Linardatos 2020; Doshi-Velez 2017)</w:t>
      </w:r>
      <w:r>
        <w:t xml:space="preserve">.</w:t>
      </w:r>
    </w:p>
    <w:p>
      <w:pPr>
        <w:pStyle w:val="Textoindependiente"/>
        <w:spacing w:line="360" w:lineRule="auto"/>
        <w:jc w:val="both"/>
      </w:pPr>
      <w:r>
        <w:t xml:space="preserve">La respuesta metodológica dominante ha sido el desarrollo de explicaciones</w:t>
      </w:r>
      <w:r>
        <w:t xml:space="preserve"> </w:t>
      </w:r>
      <w:r>
        <w:t xml:space="preserve">post-hoc. En vez de exigir que el modelo predictivo sea transparente, se</w:t>
      </w:r>
      <w:r>
        <w:t xml:space="preserve"> </w:t>
      </w:r>
      <w:r>
        <w:t xml:space="preserve">construye un segundo artefacto que describe aspectos de su comportamiento. LIME</w:t>
      </w:r>
      <w:r>
        <w:t xml:space="preserve"> </w:t>
      </w:r>
      <w:r>
        <w:t xml:space="preserve">aproxima localmente la frontera de decisión mediante modelos sustitutos</w:t>
      </w:r>
      <w:r>
        <w:t xml:space="preserve"> </w:t>
      </w:r>
      <w:r>
        <w:t xml:space="preserve">simples</w:t>
      </w:r>
      <w:r>
        <w:t xml:space="preserve"> </w:t>
      </w:r>
      <w:r>
        <w:t xml:space="preserve">(Ribeiro 2016)</w:t>
      </w:r>
      <w:r>
        <w:t xml:space="preserve">. SHAP interpreta predicciones mediante atribuciones</w:t>
      </w:r>
      <w:r>
        <w:t xml:space="preserve"> </w:t>
      </w:r>
      <w:r>
        <w:t xml:space="preserve">aditivas inspiradas en el valor de Shapley</w:t>
      </w:r>
      <w:r>
        <w:t xml:space="preserve"> </w:t>
      </w:r>
      <w:r>
        <w:t xml:space="preserve">(Lundberg 2017)</w:t>
      </w:r>
      <w:r>
        <w:t xml:space="preserve">. Anchors produce</w:t>
      </w:r>
      <w:r>
        <w:t xml:space="preserve"> </w:t>
      </w:r>
      <w:r>
        <w:t xml:space="preserve">reglas de alta precisión que buscan condiciones suficientes para una predicción</w:t>
      </w:r>
      <w:r>
        <w:t xml:space="preserve"> </w:t>
      </w:r>
      <w:r>
        <w:t xml:space="preserve">local</w:t>
      </w:r>
      <w:r>
        <w:t xml:space="preserve"> </w:t>
      </w:r>
      <w:r>
        <w:t xml:space="preserve">(Ribeiro 2018)</w:t>
      </w:r>
      <w:r>
        <w:t xml:space="preserve">. DiCE desplaza el foco hacia explicaciones</w:t>
      </w:r>
      <w:r>
        <w:t xml:space="preserve"> </w:t>
      </w:r>
      <w:r>
        <w:t xml:space="preserve">contrafactuales: cambios alternativos que permitirían obtener una decisión</w:t>
      </w:r>
      <w:r>
        <w:t xml:space="preserve"> </w:t>
      </w:r>
      <w:r>
        <w:t xml:space="preserve">diferente</w:t>
      </w:r>
      <w:r>
        <w:t xml:space="preserve"> </w:t>
      </w:r>
      <w:r>
        <w:t xml:space="preserve">(Mothilal 2020)</w:t>
      </w:r>
      <w:r>
        <w:t xml:space="preserve">. Estos métodos no explican el modelo en el mismo</w:t>
      </w:r>
      <w:r>
        <w:t xml:space="preserve"> </w:t>
      </w:r>
      <w:r>
        <w:t xml:space="preserve">sentido; producen objetos explicativos distintos, con supuestos y criterios de</w:t>
      </w:r>
      <w:r>
        <w:t xml:space="preserve"> </w:t>
      </w:r>
      <w:r>
        <w:t xml:space="preserve">evaluación diferentes.</w:t>
      </w:r>
    </w:p>
    <w:p>
      <w:pPr>
        <w:pStyle w:val="Textoindependiente"/>
        <w:spacing w:line="360" w:lineRule="auto"/>
        <w:jc w:val="both"/>
      </w:pPr>
      <w:r>
        <w:t xml:space="preserve">La categoría post-hoc, sin embargo, cubre familias heterogéneas. Las</w:t>
      </w:r>
      <w:r>
        <w:t xml:space="preserve"> </w:t>
      </w:r>
      <w:r>
        <w:t xml:space="preserve">atribuciones asignan importancia a características; las reglas buscan</w:t>
      </w:r>
      <w:r>
        <w:t xml:space="preserve"> </w:t>
      </w:r>
      <w:r>
        <w:t xml:space="preserve">condiciones suficientes o patrones comprensibles; los sustitutos locales</w:t>
      </w:r>
      <w:r>
        <w:t xml:space="preserve"> </w:t>
      </w:r>
      <w:r>
        <w:t xml:space="preserve">aproximan el comportamiento del modelo en un vecindario; los contrafactuales</w:t>
      </w:r>
      <w:r>
        <w:t xml:space="preserve"> </w:t>
      </w:r>
      <w:r>
        <w:t xml:space="preserve">describen alternativas que cambiarían una decisión; las visualizaciones</w:t>
      </w:r>
      <w:r>
        <w:t xml:space="preserve"> </w:t>
      </w:r>
      <w:r>
        <w:t xml:space="preserve">representan patrones agregados o activaciones. Esta pluralidad es una fortaleza</w:t>
      </w:r>
      <w:r>
        <w:t xml:space="preserve"> </w:t>
      </w:r>
      <w:r>
        <w:t xml:space="preserve">del campo, porque permite adaptar la explicación a objetivos distintos. Pero</w:t>
      </w:r>
      <w:r>
        <w:t xml:space="preserve"> </w:t>
      </w:r>
      <w:r>
        <w:t xml:space="preserve">también es una fuente de dificultad evaluativa: una métrica apropiada para</w:t>
      </w:r>
      <w:r>
        <w:t xml:space="preserve"> </w:t>
      </w:r>
      <w:r>
        <w:t xml:space="preserve">atribuciones no necesariamente evalúa bien reglas, y una métrica orientada a</w:t>
      </w:r>
      <w:r>
        <w:t xml:space="preserve"> </w:t>
      </w:r>
      <w:r>
        <w:t xml:space="preserve">validez contrafactual no necesariamente mide fidelidad local de un sustituto</w:t>
      </w:r>
      <w:r>
        <w:t xml:space="preserve"> </w:t>
      </w:r>
      <w:r>
        <w:t xml:space="preserve">(Arrieta 2019a; Hedström et al. 2023)</w:t>
      </w:r>
      <w:r>
        <w:t xml:space="preserve">.</w:t>
      </w:r>
    </w:p>
    <w:p>
      <w:pPr>
        <w:pStyle w:val="Textoindependiente"/>
        <w:spacing w:line="360" w:lineRule="auto"/>
        <w:jc w:val="both"/>
      </w:pPr>
      <w:r>
        <w:t xml:space="preserve">La literatura también distingue métodos agnósticos y específicos del modelo</w:t>
      </w:r>
      <w:r>
        <w:t xml:space="preserve"> </w:t>
      </w:r>
      <w:r>
        <w:t xml:space="preserve">(Arrieta 2019a; Linardatos 2020)</w:t>
      </w:r>
      <w:r>
        <w:t xml:space="preserve">. Los métodos agnósticos tratan al predictor</w:t>
      </w:r>
      <w:r>
        <w:t xml:space="preserve"> </w:t>
      </w:r>
      <w:r>
        <w:t xml:space="preserve">como una caja negra y solo requieren consultar entradas y salidas. Esta</w:t>
      </w:r>
      <w:r>
        <w:t xml:space="preserve"> </w:t>
      </w:r>
      <w:r>
        <w:t xml:space="preserve">propiedad permite aplicar un mismo explicador a diversos clasificadores, pero</w:t>
      </w:r>
      <w:r>
        <w:t xml:space="preserve"> </w:t>
      </w:r>
      <w:r>
        <w:t xml:space="preserve">introduce riesgos: el explicador puede capturar regularidades de las consultas</w:t>
      </w:r>
      <w:r>
        <w:t xml:space="preserve"> </w:t>
      </w:r>
      <w:r>
        <w:t xml:space="preserve">realizadas, no necesariamente el mecanismo interno del modelo. Los métodos</w:t>
      </w:r>
      <w:r>
        <w:t xml:space="preserve"> </w:t>
      </w:r>
      <w:r>
        <w:t xml:space="preserve">específicos aprovechan propiedades internas de familias concretas de modelos,</w:t>
      </w:r>
      <w:r>
        <w:t xml:space="preserve"> </w:t>
      </w:r>
      <w:r>
        <w:t xml:space="preserve">por ejemplo estructuras de árboles o gradientes en redes neuronales. La tensión</w:t>
      </w:r>
      <w:r>
        <w:t xml:space="preserve"> </w:t>
      </w:r>
      <w:r>
        <w:t xml:space="preserve">entre generalidad y fidelidad es una de las razones por las que la evaluación</w:t>
      </w:r>
      <w:r>
        <w:t xml:space="preserve"> </w:t>
      </w:r>
      <w:r>
        <w:t xml:space="preserve">XAI no puede reducirse a una sola métrica</w:t>
      </w:r>
      <w:r>
        <w:t xml:space="preserve"> </w:t>
      </w:r>
      <w:r>
        <w:t xml:space="preserve">(Doshi-Velez 2017; Hedström et al. 2023)</w:t>
      </w:r>
      <w:r>
        <w:t xml:space="preserve">.</w:t>
      </w:r>
    </w:p>
    <w:p>
      <w:pPr>
        <w:pStyle w:val="Textoindependiente"/>
        <w:spacing w:line="360" w:lineRule="auto"/>
        <w:jc w:val="both"/>
      </w:pPr>
      <w:r>
        <w:t xml:space="preserve">Esta distinción histórica es especialmente importante para la tesis porque los</w:t>
      </w:r>
      <w:r>
        <w:t xml:space="preserve"> </w:t>
      </w:r>
      <w:r>
        <w:t xml:space="preserve">métodos agnósticos suelen ganar en portabilidad experimental. Un mismo pipeline</w:t>
      </w:r>
      <w:r>
        <w:t xml:space="preserve"> </w:t>
      </w:r>
      <w:r>
        <w:t xml:space="preserve">puede aplicarse a clasificadores distintos, lo que facilita el benchmarking.</w:t>
      </w:r>
      <w:r>
        <w:t xml:space="preserve"> </w:t>
      </w:r>
      <w:r>
        <w:t xml:space="preserve">Pero esa portabilidad no elimina la necesidad de controles: si el explicador</w:t>
      </w:r>
      <w:r>
        <w:t xml:space="preserve"> </w:t>
      </w:r>
      <w:r>
        <w:t xml:space="preserve">solo observa entradas y salidas, su conocimiento del modelo es indirecto y</w:t>
      </w:r>
      <w:r>
        <w:t xml:space="preserve"> </w:t>
      </w:r>
      <w:r>
        <w:t xml:space="preserve">dependiente de la muestra consultada. En cambio, los métodos específicos pueden</w:t>
      </w:r>
      <w:r>
        <w:t xml:space="preserve"> </w:t>
      </w:r>
      <w:r>
        <w:t xml:space="preserve">explotar información interna para mejorar eficiencia o precisión, aunque pagan</w:t>
      </w:r>
      <w:r>
        <w:t xml:space="preserve"> </w:t>
      </w:r>
      <w:r>
        <w:t xml:space="preserve">el precio de una menor generalidad. FOM-7 debe mantener visible esta relación:</w:t>
      </w:r>
      <w:r>
        <w:t xml:space="preserve"> </w:t>
      </w:r>
      <w:r>
        <w:t xml:space="preserve">no comparar solamente valores métricos, sino interpretar esos valores según el</w:t>
      </w:r>
      <w:r>
        <w:t xml:space="preserve"> </w:t>
      </w:r>
      <w:r>
        <w:t xml:space="preserve">tipo de acceso que cada explicador tiene al modelo</w:t>
      </w:r>
      <w:r>
        <w:t xml:space="preserve"> </w:t>
      </w:r>
      <w:r>
        <w:t xml:space="preserve">(Arrieta 2019a; Linardatos 2020)</w:t>
      </w:r>
      <w:r>
        <w:t xml:space="preserve">.</w:t>
      </w:r>
    </w:p>
    <w:p>
      <w:pPr>
        <w:pStyle w:val="Textoindependiente"/>
        <w:spacing w:line="360" w:lineRule="auto"/>
        <w:jc w:val="both"/>
      </w:pPr>
      <w:r>
        <w:t xml:space="preserve">Otra distinción histórica relevante es la diferencia entre explicaciones</w:t>
      </w:r>
      <w:r>
        <w:t xml:space="preserve"> </w:t>
      </w:r>
      <w:r>
        <w:t xml:space="preserve">locales y globales</w:t>
      </w:r>
      <w:r>
        <w:t xml:space="preserve"> </w:t>
      </w:r>
      <w:r>
        <w:t xml:space="preserve">(Arrieta 2019a; Linardatos 2020)</w:t>
      </w:r>
      <w:r>
        <w:t xml:space="preserve">. Una explicación local</w:t>
      </w:r>
      <w:r>
        <w:t xml:space="preserve"> </w:t>
      </w:r>
      <w:r>
        <w:t xml:space="preserve">describe el comportamiento del modelo alrededor de una instancia o decisión</w:t>
      </w:r>
      <w:r>
        <w:t xml:space="preserve"> </w:t>
      </w:r>
      <w:r>
        <w:t xml:space="preserve">particular. Una explicación global intenta describir patrones generales del</w:t>
      </w:r>
      <w:r>
        <w:t xml:space="preserve"> </w:t>
      </w:r>
      <w:r>
        <w:t xml:space="preserve">modelo en el dominio completo o en regiones amplias del espacio de entrada.</w:t>
      </w:r>
      <w:r>
        <w:t xml:space="preserve"> </w:t>
      </w:r>
      <w:r>
        <w:t xml:space="preserve">LIME, SHAP y Anchors suelen emplearse en configuraciones locales, aunque pueden</w:t>
      </w:r>
      <w:r>
        <w:t xml:space="preserve"> </w:t>
      </w:r>
      <w:r>
        <w:t xml:space="preserve">agregarse para obtener resúmenes globales</w:t>
      </w:r>
      <w:r>
        <w:t xml:space="preserve"> </w:t>
      </w:r>
      <w:r>
        <w:t xml:space="preserve">(Ribeiro 2016, 2018; Lundberg 2017)</w:t>
      </w:r>
      <w:r>
        <w:t xml:space="preserve">. Esta agregación, sin embargo, no elimina el problema conceptual:</w:t>
      </w:r>
      <w:r>
        <w:t xml:space="preserve"> </w:t>
      </w:r>
      <w:r>
        <w:t xml:space="preserve">una colección de explicaciones locales no equivale automáticamente a una teoría</w:t>
      </w:r>
      <w:r>
        <w:t xml:space="preserve"> </w:t>
      </w:r>
      <w:r>
        <w:t xml:space="preserve">global del modelo.</w:t>
      </w:r>
    </w:p>
    <w:p>
      <w:pPr>
        <w:pStyle w:val="Textoindependiente"/>
        <w:spacing w:line="360" w:lineRule="auto"/>
        <w:jc w:val="both"/>
      </w:pPr>
      <w:r>
        <w:t xml:space="preserve">El nivel local resulta atractivo porque muchas decisiones de alto impacto se</w:t>
      </w:r>
      <w:r>
        <w:t xml:space="preserve"> </w:t>
      </w:r>
      <w:r>
        <w:t xml:space="preserve">formulan caso por caso: por qué se rechazó una solicitud, por qué una instancia</w:t>
      </w:r>
      <w:r>
        <w:t xml:space="preserve"> </w:t>
      </w:r>
      <w:r>
        <w:t xml:space="preserve">fue clasificada como riesgosa, por qué un modelo asignó una etiqueta. Sin</w:t>
      </w:r>
      <w:r>
        <w:t xml:space="preserve"> </w:t>
      </w:r>
      <w:r>
        <w:t xml:space="preserve">embargo, una explicación local tiene un alcance limitado por definición. Puede</w:t>
      </w:r>
      <w:r>
        <w:t xml:space="preserve"> </w:t>
      </w:r>
      <w:r>
        <w:t xml:space="preserve">ser válida alrededor de una instancia y no describir otras regiones del espacio</w:t>
      </w:r>
      <w:r>
        <w:t xml:space="preserve"> </w:t>
      </w:r>
      <w:r>
        <w:t xml:space="preserve">de datos. La explicación global, por su parte, promete una visión más amplia,</w:t>
      </w:r>
      <w:r>
        <w:t xml:space="preserve"> </w:t>
      </w:r>
      <w:r>
        <w:t xml:space="preserve">pero puede ocultar heterogeneidad local o subgrupos con comportamientos</w:t>
      </w:r>
      <w:r>
        <w:t xml:space="preserve"> </w:t>
      </w:r>
      <w:r>
        <w:t xml:space="preserve">distintos. Este problema conecta directamente con la trazabilidad de claims: una</w:t>
      </w:r>
      <w:r>
        <w:t xml:space="preserve"> </w:t>
      </w:r>
      <w:r>
        <w:t xml:space="preserve">afirmación local no debe presentarse como global, y una tendencia global no debe</w:t>
      </w:r>
      <w:r>
        <w:t xml:space="preserve"> </w:t>
      </w:r>
      <w:r>
        <w:t xml:space="preserve">usarse para justificar decisiones individuales sin evidencia adicional</w:t>
      </w:r>
      <w:r>
        <w:t xml:space="preserve"> </w:t>
      </w:r>
      <w:r>
        <w:t xml:space="preserve">(Doshi-Velez 2017; Hedström et al. 2023)</w:t>
      </w:r>
      <w:r>
        <w:t xml:space="preserve">.</w:t>
      </w:r>
    </w:p>
    <w:p>
      <w:pPr>
        <w:pStyle w:val="Textoindependiente"/>
        <w:spacing w:line="360" w:lineRule="auto"/>
        <w:jc w:val="both"/>
      </w:pPr>
      <w:r>
        <w:t xml:space="preserve">Finalmente, el campo ha incorporado una orientación human-centered. La pregunta</w:t>
      </w:r>
      <w:r>
        <w:t xml:space="preserve"> </w:t>
      </w:r>
      <w:r>
        <w:t xml:space="preserve">ya no es solo si una explicación se parece al comportamiento del modelo, sino si</w:t>
      </w:r>
      <w:r>
        <w:t xml:space="preserve"> </w:t>
      </w:r>
      <w:r>
        <w:t xml:space="preserve">apoya una tarea humana concreta sin inducir confianza injustificada. Esta</w:t>
      </w:r>
      <w:r>
        <w:t xml:space="preserve"> </w:t>
      </w:r>
      <w:r>
        <w:t xml:space="preserve">perspectiva enfatiza destinatarios, contexto de uso, carga cognitiva,</w:t>
      </w:r>
      <w:r>
        <w:t xml:space="preserve"> </w:t>
      </w:r>
      <w:r>
        <w:t xml:space="preserve">calibración de confianza y utilidad para la toma de decisiones</w:t>
      </w:r>
      <w:r>
        <w:t xml:space="preserve"> </w:t>
      </w:r>
      <w:r>
        <w:t xml:space="preserve">(Hoffman et al. 2023; Mohseni et al. 2021)</w:t>
      </w:r>
      <w:r>
        <w:t xml:space="preserve">. Para esta tesis, esta evolución histórica es clave: FOM-7 no se</w:t>
      </w:r>
      <w:r>
        <w:t xml:space="preserve"> </w:t>
      </w:r>
      <w:r>
        <w:t xml:space="preserve">justifica por la ausencia de explicaciones, sino por la necesidad de evaluar</w:t>
      </w:r>
      <w:r>
        <w:t xml:space="preserve"> </w:t>
      </w:r>
      <w:r>
        <w:t xml:space="preserve">explicaciones como artefactos técnicos, estadísticos y comunicables.</w:t>
      </w:r>
    </w:p>
    <w:p>
      <w:pPr>
        <w:pStyle w:val="Textoindependiente"/>
        <w:spacing w:line="360" w:lineRule="auto"/>
        <w:jc w:val="both"/>
      </w:pPr>
      <w:r>
        <w:t xml:space="preserve">La orientación human-centered introduce una corrección necesaria al entusiasmo</w:t>
      </w:r>
      <w:r>
        <w:t xml:space="preserve"> </w:t>
      </w:r>
      <w:r>
        <w:t xml:space="preserve">puramente algorítmico. Una explicación no circula en el vacío: aparece en una</w:t>
      </w:r>
      <w:r>
        <w:t xml:space="preserve"> </w:t>
      </w:r>
      <w:r>
        <w:t xml:space="preserve">interfaz, ante un usuario con objetivos concretos, bajo restricciones de tiempo,</w:t>
      </w:r>
      <w:r>
        <w:t xml:space="preserve"> </w:t>
      </w:r>
      <w:r>
        <w:t xml:space="preserve">con ciertos conocimientos previos y con riesgos de confianza excesiva o</w:t>
      </w:r>
      <w:r>
        <w:t xml:space="preserve"> </w:t>
      </w:r>
      <w:r>
        <w:t xml:space="preserve">desconfianza injustificada.</w:t>
      </w:r>
      <w:r>
        <w:t xml:space="preserve"> </w:t>
      </w:r>
      <w:r>
        <w:t xml:space="preserve">Mohseni et al. (2021)</w:t>
      </w:r>
      <w:r>
        <w:t xml:space="preserve"> </w:t>
      </w:r>
      <w:r>
        <w:t xml:space="preserve">proponen pensar el diseño y la</w:t>
      </w:r>
      <w:r>
        <w:t xml:space="preserve"> </w:t>
      </w:r>
      <w:r>
        <w:t xml:space="preserve">evaluación de XAI como una relación entre objetivos, grupos de usuarios y</w:t>
      </w:r>
      <w:r>
        <w:t xml:space="preserve"> </w:t>
      </w:r>
      <w:r>
        <w:t xml:space="preserve">métodos de evaluación.</w:t>
      </w:r>
      <w:r>
        <w:t xml:space="preserve"> </w:t>
      </w:r>
      <w:r>
        <w:t xml:space="preserve">Hoffman et al. (2023)</w:t>
      </w:r>
      <w:r>
        <w:t xml:space="preserve">, desde una perspectiva psicológica,</w:t>
      </w:r>
      <w:r>
        <w:t xml:space="preserve"> </w:t>
      </w:r>
      <w:r>
        <w:t xml:space="preserve">insisten en que el valor de una explicación depende de cómo apoya comprensión,</w:t>
      </w:r>
      <w:r>
        <w:t xml:space="preserve"> </w:t>
      </w:r>
      <w:r>
        <w:t xml:space="preserve">calibración y acción. Esto no convierte a la presente tesis en un estudio de</w:t>
      </w:r>
      <w:r>
        <w:t xml:space="preserve"> </w:t>
      </w:r>
      <w:r>
        <w:t xml:space="preserve">usuarios, pero sí obliga a delimitar el tipo de evidencia producida: FOM-7</w:t>
      </w:r>
      <w:r>
        <w:t xml:space="preserve"> </w:t>
      </w:r>
      <w:r>
        <w:t xml:space="preserve">evalúa propiedades técnicas y reproducibles de explicaciones post-hoc, y deja</w:t>
      </w:r>
      <w:r>
        <w:t xml:space="preserve"> </w:t>
      </w:r>
      <w:r>
        <w:t xml:space="preserve">claros los límites de inferir utilidad humana directa a partir de métricas</w:t>
      </w:r>
      <w:r>
        <w:t xml:space="preserve"> </w:t>
      </w:r>
      <w:r>
        <w:t xml:space="preserve">computacionales.</w:t>
      </w:r>
    </w:p>
    <w:p>
      <w:pPr>
        <w:pStyle w:val="Textoindependiente"/>
        <w:spacing w:line="360" w:lineRule="auto"/>
        <w:jc w:val="both"/>
      </w:pPr>
      <w:r>
        <w:t xml:space="preserve">Así, el desarrollo histórico de la XAI puede leerse como una serie de</w:t>
      </w:r>
      <w:r>
        <w:t xml:space="preserve"> </w:t>
      </w:r>
      <w:r>
        <w:t xml:space="preserve">desplazamientos: de transparencia intrínseca a explicación post-hoc; de modelos</w:t>
      </w:r>
      <w:r>
        <w:t xml:space="preserve"> </w:t>
      </w:r>
      <w:r>
        <w:t xml:space="preserve">simples a modelos de alta capacidad; de descripciones globales a explicaciones</w:t>
      </w:r>
      <w:r>
        <w:t xml:space="preserve"> </w:t>
      </w:r>
      <w:r>
        <w:t xml:space="preserve">locales; de evaluaciones cualitativas a toolkits métricos; y de una mirada</w:t>
      </w:r>
      <w:r>
        <w:t xml:space="preserve"> </w:t>
      </w:r>
      <w:r>
        <w:t xml:space="preserve">centrada en el algoritmo a una mirada que incluye usuarios, contexto y</w:t>
      </w:r>
      <w:r>
        <w:t xml:space="preserve"> </w:t>
      </w:r>
      <w:r>
        <w:t xml:space="preserve">responsabilidad. La contribución de FOM-7 se ubica después de esos</w:t>
      </w:r>
      <w:r>
        <w:t xml:space="preserve"> </w:t>
      </w:r>
      <w:r>
        <w:t xml:space="preserve">desplazamientos. No regresa nostálgicamente a modelos simples ni promete una</w:t>
      </w:r>
      <w:r>
        <w:t xml:space="preserve"> </w:t>
      </w:r>
      <w:r>
        <w:t xml:space="preserve">explicación universal. Propone gobernar la evaluación de explicaciones en un</w:t>
      </w:r>
      <w:r>
        <w:t xml:space="preserve"> </w:t>
      </w:r>
      <w:r>
        <w:t xml:space="preserve">escenario donde los objetos explicativos son plurales, los criterios son</w:t>
      </w:r>
      <w:r>
        <w:t xml:space="preserve"> </w:t>
      </w:r>
      <w:r>
        <w:t xml:space="preserve">multidimensionales y las conclusiones deben ser rastreables</w:t>
      </w:r>
      <w:r>
        <w:t xml:space="preserve"> </w:t>
      </w:r>
      <w:r>
        <w:t xml:space="preserve">(Doshi-Velez 2017; Hedström et al. 2023; Nauta et al. 2023)</w:t>
      </w:r>
      <w:r>
        <w:t xml:space="preserve">.</w:t>
      </w:r>
    </w:p>
    <w:bookmarkEnd w:id="45"/>
    <w:bookmarkStart w:id="46" w:name="distinciones-conceptuales-fundamentales"/>
    <w:p>
      <w:pPr>
        <w:pStyle w:val="Ttulo2"/>
        <w:spacing w:line="360" w:lineRule="auto"/>
        <w:jc w:val="both"/>
      </w:pPr>
      <w:r>
        <w:t xml:space="preserve">Distinciones conceptuales fundamentales</w:t>
      </w:r>
    </w:p>
    <w:p>
      <w:pPr>
        <w:pStyle w:val="FirstParagraph"/>
        <w:spacing w:line="360" w:lineRule="auto"/>
        <w:jc w:val="both"/>
      </w:pPr>
      <w:r>
        <w:t xml:space="preserve">La literatura XAI utiliza con frecuencia términos cercanos como</w:t>
      </w:r>
      <w:r>
        <w:t xml:space="preserve"> </w:t>
      </w:r>
      <w:r>
        <w:t xml:space="preserve">interpretabilidad, explicabilidad, transparencia, fidelidad, plausibilidad,</w:t>
      </w:r>
      <w:r>
        <w:t xml:space="preserve"> </w:t>
      </w:r>
      <w:r>
        <w:t xml:space="preserve">robustez y utilidad. Sin una delimitación conceptual, estos términos pueden</w:t>
      </w:r>
      <w:r>
        <w:t xml:space="preserve"> </w:t>
      </w:r>
      <w:r>
        <w:t xml:space="preserve">producir inferencias demasiado amplias. Un resultado alto en una métrica de</w:t>
      </w:r>
      <w:r>
        <w:t xml:space="preserve"> </w:t>
      </w:r>
      <w:r>
        <w:t xml:space="preserve">estabilidad, por ejemplo, no prueba que una explicación sea causalmente correcta</w:t>
      </w:r>
      <w:r>
        <w:t xml:space="preserve"> </w:t>
      </w:r>
      <w:r>
        <w:t xml:space="preserve">ni que sea útil para un usuario experto. Por ello, la tesis adopta distinciones</w:t>
      </w:r>
      <w:r>
        <w:t xml:space="preserve"> </w:t>
      </w:r>
      <w:r>
        <w:t xml:space="preserve">operativas que protegen la validez de las afirmaciones</w:t>
      </w:r>
      <w:r>
        <w:t xml:space="preserve"> </w:t>
      </w:r>
      <w:r>
        <w:t xml:space="preserve">(Lipton 2018; Doshi-Velez 2017; Nauta et al. 2023)</w:t>
      </w:r>
      <w:r>
        <w:t xml:space="preserve">.</w:t>
      </w:r>
    </w:p>
    <w:p>
      <w:pPr>
        <w:pStyle w:val="Textoindependiente"/>
        <w:spacing w:line="360" w:lineRule="auto"/>
        <w:jc w:val="both"/>
      </w:pPr>
      <w:r>
        <w:t xml:space="preserve">Estas distinciones cumplen una función metodológica, no solamente terminológica.</w:t>
      </w:r>
      <w:r>
        <w:t xml:space="preserve"> </w:t>
      </w:r>
      <w:r>
        <w:t xml:space="preserve">En una tesis doctoral, los conceptos deben controlar el alcance de las</w:t>
      </w:r>
      <w:r>
        <w:t xml:space="preserve"> </w:t>
      </w:r>
      <w:r>
        <w:t xml:space="preserve">conclusiones. Si se afirma que un explicador es</w:t>
      </w:r>
      <w:r>
        <w:t xml:space="preserve"> </w:t>
      </w:r>
      <w:r>
        <w:t xml:space="preserve">“mejor”</w:t>
      </w:r>
      <w:r>
        <w:t xml:space="preserve">, debe indicarse mejor</w:t>
      </w:r>
      <w:r>
        <w:t xml:space="preserve"> </w:t>
      </w:r>
      <w:r>
        <w:t xml:space="preserve">respecto a qué propiedad: fidelidad, estabilidad, robustez, complejidad, coste,</w:t>
      </w:r>
      <w:r>
        <w:t xml:space="preserve"> </w:t>
      </w:r>
      <w:r>
        <w:t xml:space="preserve">accionabilidad o utilidad para un usuario. Si se afirma que una explicación es</w:t>
      </w:r>
      <w:r>
        <w:t xml:space="preserve"> </w:t>
      </w:r>
      <w:r>
        <w:t xml:space="preserve">“correcta”</w:t>
      </w:r>
      <w:r>
        <w:t xml:space="preserve">, debe aclararse si la corrección se refiere al comportamiento</w:t>
      </w:r>
      <w:r>
        <w:t xml:space="preserve"> </w:t>
      </w:r>
      <w:r>
        <w:t xml:space="preserve">observable del modelo, a una estructura causal del dominio, a la aceptabilidad</w:t>
      </w:r>
      <w:r>
        <w:t xml:space="preserve"> </w:t>
      </w:r>
      <w:r>
        <w:t xml:space="preserve">humana de la narrativa o a la consistencia con una métrica. El valor de estas</w:t>
      </w:r>
      <w:r>
        <w:t xml:space="preserve"> </w:t>
      </w:r>
      <w:r>
        <w:t xml:space="preserve">distinciones es evitar que un resultado empírico local se transforme en una</w:t>
      </w:r>
      <w:r>
        <w:t xml:space="preserve"> </w:t>
      </w:r>
      <w:r>
        <w:t xml:space="preserve">afirmación teórica excesiva</w:t>
      </w:r>
      <w:r>
        <w:t xml:space="preserve"> </w:t>
      </w:r>
      <w:r>
        <w:t xml:space="preserve">(Doshi-Velez 2017; Lipton 2018)</w:t>
      </w:r>
      <w:r>
        <w:t xml:space="preserve">.</w:t>
      </w:r>
    </w:p>
    <w:p>
      <w:pPr>
        <w:pStyle w:val="Textoindependiente"/>
        <w:spacing w:line="360" w:lineRule="auto"/>
        <w:jc w:val="both"/>
      </w:pPr>
      <w:r>
        <w:t xml:space="preserve">La primera distinción separa interpretabilidad y explicabilidad. La</w:t>
      </w:r>
      <w:r>
        <w:t xml:space="preserve"> </w:t>
      </w:r>
      <w:r>
        <w:t xml:space="preserve">interpretabilidad se asocia con la posibilidad de comprender la estructura o</w:t>
      </w:r>
      <w:r>
        <w:t xml:space="preserve"> </w:t>
      </w:r>
      <w:r>
        <w:t xml:space="preserve">mecánica de un modelo. En modelos transparentes, esta comprensión puede</w:t>
      </w:r>
      <w:r>
        <w:t xml:space="preserve"> </w:t>
      </w:r>
      <w:r>
        <w:t xml:space="preserve">derivarse directamente del objeto predictivo. La explicabilidad, en cambio,</w:t>
      </w:r>
      <w:r>
        <w:t xml:space="preserve"> </w:t>
      </w:r>
      <w:r>
        <w:t xml:space="preserve">puede entenderse como la producción de razones, artefactos o representaciones</w:t>
      </w:r>
      <w:r>
        <w:t xml:space="preserve"> </w:t>
      </w:r>
      <w:r>
        <w:t xml:space="preserve">que hacen comprensible una predicción para un destinatario.</w:t>
      </w:r>
      <w:r>
        <w:t xml:space="preserve"> </w:t>
      </w:r>
      <w:r>
        <w:t xml:space="preserve">Linardatos (2020)</w:t>
      </w:r>
      <w:r>
        <w:t xml:space="preserve"> </w:t>
      </w:r>
      <w:r>
        <w:t xml:space="preserve">presentan esta diferencia como parte del vocabulario central de los métodos de</w:t>
      </w:r>
      <w:r>
        <w:t xml:space="preserve"> </w:t>
      </w:r>
      <w:r>
        <w:t xml:space="preserve">interpretabilidad en aprendizaje automático. Para esta tesis, la distinción</w:t>
      </w:r>
      <w:r>
        <w:t xml:space="preserve"> </w:t>
      </w:r>
      <w:r>
        <w:t xml:space="preserve">permite evaluar explicadores post-hoc sin tratarlos como si fueran equivalentes</w:t>
      </w:r>
      <w:r>
        <w:t xml:space="preserve"> </w:t>
      </w:r>
      <w:r>
        <w:t xml:space="preserve">a modelos transparentes.</w:t>
      </w:r>
    </w:p>
    <w:p>
      <w:pPr>
        <w:pStyle w:val="Textoindependiente"/>
        <w:spacing w:line="360" w:lineRule="auto"/>
        <w:jc w:val="both"/>
      </w:pPr>
      <w:r>
        <w:t xml:space="preserve">La interpretabilidad puede entenderse como una propiedad relacional: algo es</w:t>
      </w:r>
      <w:r>
        <w:t xml:space="preserve"> </w:t>
      </w:r>
      <w:r>
        <w:t xml:space="preserve">interpretable para alguien, con cierto conocimiento, respecto a una tarea y en</w:t>
      </w:r>
      <w:r>
        <w:t xml:space="preserve"> </w:t>
      </w:r>
      <w:r>
        <w:t xml:space="preserve">un nivel determinado de detalle. Esta lectura coincide con advertencias críticas</w:t>
      </w:r>
      <w:r>
        <w:t xml:space="preserve"> </w:t>
      </w:r>
      <w:r>
        <w:t xml:space="preserve">de la literatura: el término</w:t>
      </w:r>
      <w:r>
        <w:t xml:space="preserve"> </w:t>
      </w:r>
      <w:r>
        <w:t xml:space="preserve">“interpretable”</w:t>
      </w:r>
      <w:r>
        <w:t xml:space="preserve"> </w:t>
      </w:r>
      <w:r>
        <w:t xml:space="preserve">puede volverse ambiguo si no se</w:t>
      </w:r>
      <w:r>
        <w:t xml:space="preserve"> </w:t>
      </w:r>
      <w:r>
        <w:t xml:space="preserve">explicita qué aspecto del sistema se vuelve comprensible</w:t>
      </w:r>
      <w:r>
        <w:t xml:space="preserve"> </w:t>
      </w:r>
      <w:r>
        <w:t xml:space="preserve">(Lipton 2018)</w:t>
      </w:r>
      <w:r>
        <w:t xml:space="preserve">. La</w:t>
      </w:r>
      <w:r>
        <w:t xml:space="preserve"> </w:t>
      </w:r>
      <w:r>
        <w:t xml:space="preserve">explicabilidad, en cambio, suele remitir al proceso de producir una explicación</w:t>
      </w:r>
      <w:r>
        <w:t xml:space="preserve"> </w:t>
      </w:r>
      <w:r>
        <w:t xml:space="preserve">utilizable. Esta tesis adopta una posición operacional: evalúa artefactos</w:t>
      </w:r>
      <w:r>
        <w:t xml:space="preserve"> </w:t>
      </w:r>
      <w:r>
        <w:t xml:space="preserve">explicativos generados por métodos concretos, no la interpretabilidad total del</w:t>
      </w:r>
      <w:r>
        <w:t xml:space="preserve"> </w:t>
      </w:r>
      <w:r>
        <w:t xml:space="preserve">sistema sociotécnico. Esa delimitación es deliberada y evita prometer más de lo</w:t>
      </w:r>
      <w:r>
        <w:t xml:space="preserve"> </w:t>
      </w:r>
      <w:r>
        <w:t xml:space="preserve">que el experimento puede sostener.</w:t>
      </w:r>
    </w:p>
    <w:p>
      <w:pPr>
        <w:pStyle w:val="Textoindependiente"/>
        <w:spacing w:line="360" w:lineRule="auto"/>
        <w:jc w:val="both"/>
      </w:pPr>
      <w:r>
        <w:t xml:space="preserve">La segunda distinción separa transparencia y explicación. Un modelo transparente</w:t>
      </w:r>
      <w:r>
        <w:t xml:space="preserve"> </w:t>
      </w:r>
      <w:r>
        <w:t xml:space="preserve">expone su lógica interna de forma relativamente directa; una explicación puede</w:t>
      </w:r>
      <w:r>
        <w:t xml:space="preserve"> </w:t>
      </w:r>
      <w:r>
        <w:t xml:space="preserve">ser una aproximación, simplificación, regla local, atribución o contrafactual</w:t>
      </w:r>
      <w:r>
        <w:t xml:space="preserve"> </w:t>
      </w:r>
      <w:r>
        <w:t xml:space="preserve">generado después de entrenar el modelo. La transparencia pertenece al modelo; la</w:t>
      </w:r>
      <w:r>
        <w:t xml:space="preserve"> </w:t>
      </w:r>
      <w:r>
        <w:t xml:space="preserve">explicación pertenece al ecosistema de interpretación. Esta diferencia es</w:t>
      </w:r>
      <w:r>
        <w:t xml:space="preserve"> </w:t>
      </w:r>
      <w:r>
        <w:t xml:space="preserve">importante porque una explicación puede ser comprensible y aun así no reflejar</w:t>
      </w:r>
      <w:r>
        <w:t xml:space="preserve"> </w:t>
      </w:r>
      <w:r>
        <w:t xml:space="preserve">con precisión el mecanismo decisional</w:t>
      </w:r>
      <w:r>
        <w:t xml:space="preserve"> </w:t>
      </w:r>
      <w:r>
        <w:t xml:space="preserve">(Arrieta 2019a; Linardatos 2020)</w:t>
      </w:r>
      <w:r>
        <w:t xml:space="preserve">.</w:t>
      </w:r>
    </w:p>
    <w:p>
      <w:pPr>
        <w:pStyle w:val="Textoindependiente"/>
        <w:spacing w:line="360" w:lineRule="auto"/>
        <w:jc w:val="both"/>
      </w:pPr>
      <w:r>
        <w:t xml:space="preserve">La transparencia tampoco es un valor absoluto. Un modelo puede ser transparente</w:t>
      </w:r>
      <w:r>
        <w:t xml:space="preserve"> </w:t>
      </w:r>
      <w:r>
        <w:t xml:space="preserve">en su forma matemática y aun así difícil de comprender si contiene miles de</w:t>
      </w:r>
      <w:r>
        <w:t xml:space="preserve"> </w:t>
      </w:r>
      <w:r>
        <w:t xml:space="preserve">variables, interacciones o reglas. De forma inversa, una explicación post-hoc</w:t>
      </w:r>
      <w:r>
        <w:t xml:space="preserve"> </w:t>
      </w:r>
      <w:r>
        <w:t xml:space="preserve">puede ser muy legible y, sin embargo, alejarse del mecanismo real. La</w:t>
      </w:r>
      <w:r>
        <w:t xml:space="preserve"> </w:t>
      </w:r>
      <w:r>
        <w:t xml:space="preserve">transparencia se refiere a la accesibilidad del objeto predictivo; la</w:t>
      </w:r>
      <w:r>
        <w:t xml:space="preserve"> </w:t>
      </w:r>
      <w:r>
        <w:t xml:space="preserve">explicación se refiere al artefacto construido para hacerlo inteligible. Esta</w:t>
      </w:r>
      <w:r>
        <w:t xml:space="preserve"> </w:t>
      </w:r>
      <w:r>
        <w:t xml:space="preserve">diferencia tiene consecuencias para el benchmarking: no se debe evaluar una</w:t>
      </w:r>
      <w:r>
        <w:t xml:space="preserve"> </w:t>
      </w:r>
      <w:r>
        <w:t xml:space="preserve">explicación post-hoc como si ofreciera acceso directo al interior del modelo,</w:t>
      </w:r>
      <w:r>
        <w:t xml:space="preserve"> </w:t>
      </w:r>
      <w:r>
        <w:t xml:space="preserve">sino como una representación cuya fidelidad y estabilidad deben probarse bajo</w:t>
      </w:r>
      <w:r>
        <w:t xml:space="preserve"> </w:t>
      </w:r>
      <w:r>
        <w:t xml:space="preserve">condiciones específicas</w:t>
      </w:r>
      <w:r>
        <w:t xml:space="preserve"> </w:t>
      </w:r>
      <w:r>
        <w:t xml:space="preserve">(Arrieta 2019a; Linardatos 2020)</w:t>
      </w:r>
      <w:r>
        <w:t xml:space="preserve">.</w:t>
      </w:r>
    </w:p>
    <w:p>
      <w:pPr>
        <w:pStyle w:val="Textoindependiente"/>
        <w:spacing w:line="360" w:lineRule="auto"/>
        <w:jc w:val="both"/>
      </w:pPr>
      <w:r>
        <w:t xml:space="preserve">La tercera distinción separa fidelidad y faithfulness. En esta tesis,</w:t>
      </w:r>
      <w:r>
        <w:t xml:space="preserve"> </w:t>
      </w:r>
      <w:r>
        <w:t xml:space="preserve">fidelidad se refiere al grado en que el artefacto explicativo reproduce o</w:t>
      </w:r>
      <w:r>
        <w:t xml:space="preserve"> </w:t>
      </w:r>
      <w:r>
        <w:t xml:space="preserve">aproxima el comportamiento observable del modelo bajo condiciones definidas. La</w:t>
      </w:r>
      <w:r>
        <w:t xml:space="preserve"> </w:t>
      </w:r>
      <w:r>
        <w:t xml:space="preserve">faithfulness, o fehaciencia, apunta a una exigencia más fuerte: que la</w:t>
      </w:r>
      <w:r>
        <w:t xml:space="preserve"> </w:t>
      </w:r>
      <w:r>
        <w:t xml:space="preserve">explicación represente aspectos relevantes del verdadero proceso decisional. Una</w:t>
      </w:r>
      <w:r>
        <w:t xml:space="preserve"> </w:t>
      </w:r>
      <w:r>
        <w:t xml:space="preserve">explicación puede tener alta fidelidad local en un vecindario muestreado y aún</w:t>
      </w:r>
      <w:r>
        <w:t xml:space="preserve"> </w:t>
      </w:r>
      <w:r>
        <w:t xml:space="preserve">así no capturar la lógica que el modelo utiliza en regiones no observadas o ante</w:t>
      </w:r>
      <w:r>
        <w:t xml:space="preserve"> </w:t>
      </w:r>
      <w:r>
        <w:t xml:space="preserve">perturbaciones fuera de distribución</w:t>
      </w:r>
      <w:r>
        <w:t xml:space="preserve"> </w:t>
      </w:r>
      <w:r>
        <w:t xml:space="preserve">(Zheng et al. 2025)</w:t>
      </w:r>
      <w:r>
        <w:t xml:space="preserve">.</w:t>
      </w:r>
    </w:p>
    <w:p>
      <w:pPr>
        <w:pStyle w:val="Textoindependiente"/>
        <w:spacing w:line="360" w:lineRule="auto"/>
        <w:jc w:val="both"/>
      </w:pPr>
      <w:r>
        <w:t xml:space="preserve">La diferencia es sutil pero central. La fidelidad puede evaluarse mediante</w:t>
      </w:r>
      <w:r>
        <w:t xml:space="preserve"> </w:t>
      </w:r>
      <w:r>
        <w:t xml:space="preserve">comparaciones observables: si el sustituto predice de forma similar al modelo de</w:t>
      </w:r>
      <w:r>
        <w:t xml:space="preserve"> </w:t>
      </w:r>
      <w:r>
        <w:t xml:space="preserve">caja negra en las instancias evaluadas, se obtiene evidencia de acuerdo local o</w:t>
      </w:r>
      <w:r>
        <w:t xml:space="preserve"> </w:t>
      </w:r>
      <w:r>
        <w:t xml:space="preserve">global. La faithfulness exige una correspondencia más profunda entre la</w:t>
      </w:r>
      <w:r>
        <w:t xml:space="preserve"> </w:t>
      </w:r>
      <w:r>
        <w:t xml:space="preserve">explicación y los factores que realmente gobiernan la decisión. En modelos</w:t>
      </w:r>
      <w:r>
        <w:t xml:space="preserve"> </w:t>
      </w:r>
      <w:r>
        <w:t xml:space="preserve">complejos, esta correspondencia suele ser difícil de demostrar de forma directa.</w:t>
      </w:r>
      <w:r>
        <w:t xml:space="preserve"> </w:t>
      </w:r>
      <w:r>
        <w:t xml:space="preserve">Por ello, FOM-7 trata la fidelidad como un constructo medible y la faithfulness</w:t>
      </w:r>
      <w:r>
        <w:t xml:space="preserve"> </w:t>
      </w:r>
      <w:r>
        <w:t xml:space="preserve">como una aspiración interpretativa que requiere cautela. El protocolo no debe</w:t>
      </w:r>
      <w:r>
        <w:t xml:space="preserve"> </w:t>
      </w:r>
      <w:r>
        <w:t xml:space="preserve">convertir una métrica de acuerdo en una afirmación fuerte sobre verdad causal.</w:t>
      </w:r>
    </w:p>
    <w:p>
      <w:pPr>
        <w:pStyle w:val="Textoindependiente"/>
        <w:spacing w:line="360" w:lineRule="auto"/>
        <w:jc w:val="both"/>
      </w:pPr>
      <w:r>
        <w:t xml:space="preserve">La cuarta distinción separa plausibilidad y corrección. Una explicación</w:t>
      </w:r>
      <w:r>
        <w:t xml:space="preserve"> </w:t>
      </w:r>
      <w:r>
        <w:t xml:space="preserve">plausible coincide con expectativas humanas, conocimiento de dominio o patrones</w:t>
      </w:r>
      <w:r>
        <w:t xml:space="preserve"> </w:t>
      </w:r>
      <w:r>
        <w:t xml:space="preserve">narrativamente convincentes. Pero la plausibilidad no garantiza corrección. Esta</w:t>
      </w:r>
      <w:r>
        <w:t xml:space="preserve"> </w:t>
      </w:r>
      <w:r>
        <w:t xml:space="preserve">distinción es especialmente delicada en XAI porque explicaciones persuasivas</w:t>
      </w:r>
      <w:r>
        <w:t xml:space="preserve"> </w:t>
      </w:r>
      <w:r>
        <w:t xml:space="preserve">pueden aumentar confianza aún cuando no sean técnicamente adecuadas. La</w:t>
      </w:r>
      <w:r>
        <w:t xml:space="preserve"> </w:t>
      </w:r>
      <w:r>
        <w:t xml:space="preserve">literatura crítica sobre interpretabilidad advierte que el campo debe evitar</w:t>
      </w:r>
      <w:r>
        <w:t xml:space="preserve"> </w:t>
      </w:r>
      <w:r>
        <w:t xml:space="preserve">confundir comprensibilidad con verdad del mecanismo</w:t>
      </w:r>
      <w:r>
        <w:t xml:space="preserve"> </w:t>
      </w:r>
      <w:r>
        <w:t xml:space="preserve">(Lipton 2018; Hoffman et al. 2023)</w:t>
      </w:r>
      <w:r>
        <w:t xml:space="preserve">.</w:t>
      </w:r>
    </w:p>
    <w:p>
      <w:pPr>
        <w:pStyle w:val="Textoindependiente"/>
        <w:spacing w:line="360" w:lineRule="auto"/>
        <w:jc w:val="both"/>
      </w:pPr>
      <w:r>
        <w:t xml:space="preserve">Esta distinción protege especialmente contra explicaciones persuasivas. En</w:t>
      </w:r>
      <w:r>
        <w:t xml:space="preserve"> </w:t>
      </w:r>
      <w:r>
        <w:t xml:space="preserve">entornos de decisión, una explicación que</w:t>
      </w:r>
      <w:r>
        <w:t xml:space="preserve"> </w:t>
      </w:r>
      <w:r>
        <w:t xml:space="preserve">“suena razonable”</w:t>
      </w:r>
      <w:r>
        <w:t xml:space="preserve"> </w:t>
      </w:r>
      <w:r>
        <w:t xml:space="preserve">puede aumentar la</w:t>
      </w:r>
      <w:r>
        <w:t xml:space="preserve"> </w:t>
      </w:r>
      <w:r>
        <w:t xml:space="preserve">confianza del usuario, incluso si el modelo usó patrones espurios o si el</w:t>
      </w:r>
      <w:r>
        <w:t xml:space="preserve"> </w:t>
      </w:r>
      <w:r>
        <w:t xml:space="preserve">explicador produjo una aproximación inestable. La plausibilidad pertenece al</w:t>
      </w:r>
      <w:r>
        <w:t xml:space="preserve"> </w:t>
      </w:r>
      <w:r>
        <w:t xml:space="preserve">encuentro entre explicación y expectativas humanas; la corrección pertenece a la</w:t>
      </w:r>
      <w:r>
        <w:t xml:space="preserve"> </w:t>
      </w:r>
      <w:r>
        <w:t xml:space="preserve">relación entre explicación, modelo y dominio. Ambas propiedades pueden coincidir,</w:t>
      </w:r>
      <w:r>
        <w:t xml:space="preserve"> </w:t>
      </w:r>
      <w:r>
        <w:t xml:space="preserve">pero no deben fusionarse. En la práctica, esta tesis puede medir propiedades</w:t>
      </w:r>
      <w:r>
        <w:t xml:space="preserve"> </w:t>
      </w:r>
      <w:r>
        <w:t xml:space="preserve">computacionales y discutir plausibilidad semántica con cautela, pero no puede</w:t>
      </w:r>
      <w:r>
        <w:t xml:space="preserve"> </w:t>
      </w:r>
      <w:r>
        <w:t xml:space="preserve">afirmar corrección humana o causal sin evidencia específica de ese tipo</w:t>
      </w:r>
      <w:r>
        <w:t xml:space="preserve"> </w:t>
      </w:r>
      <w:r>
        <w:t xml:space="preserve">(Mohseni et al. 2021; Hoffman et al. 2023)</w:t>
      </w:r>
      <w:r>
        <w:t xml:space="preserve">.</w:t>
      </w:r>
    </w:p>
    <w:p>
      <w:pPr>
        <w:pStyle w:val="Textoindependiente"/>
        <w:spacing w:line="360" w:lineRule="auto"/>
        <w:jc w:val="both"/>
      </w:pPr>
      <w:r>
        <w:t xml:space="preserve">La quinta distinción separa robustez y estabilidad. La estabilidad evalúa si</w:t>
      </w:r>
      <w:r>
        <w:t xml:space="preserve"> </w:t>
      </w:r>
      <w:r>
        <w:t xml:space="preserve">pequeños cambios en la entrada, que no modifican la predicción, producen</w:t>
      </w:r>
      <w:r>
        <w:t xml:space="preserve"> </w:t>
      </w:r>
      <w:r>
        <w:t xml:space="preserve">explicaciones similares. La robustez evalúa la resistencia del explicador ante</w:t>
      </w:r>
      <w:r>
        <w:t xml:space="preserve"> </w:t>
      </w:r>
      <w:r>
        <w:t xml:space="preserve">cambios más agresivos, distribuciones atípicas, ataques o condiciones de</w:t>
      </w:r>
      <w:r>
        <w:t xml:space="preserve"> </w:t>
      </w:r>
      <w:r>
        <w:t xml:space="preserve">despliegue no ideales. Esta tesis usa ambas nociones como constructos</w:t>
      </w:r>
      <w:r>
        <w:t xml:space="preserve"> </w:t>
      </w:r>
      <w:r>
        <w:t xml:space="preserve">relacionados pero no intercambiables. Una explicación puede ser estable ante</w:t>
      </w:r>
      <w:r>
        <w:t xml:space="preserve"> </w:t>
      </w:r>
      <w:r>
        <w:t xml:space="preserve">ruido leve y frágil ante casos fuera de distribución</w:t>
      </w:r>
      <w:r>
        <w:t xml:space="preserve"> </w:t>
      </w:r>
      <w:r>
        <w:t xml:space="preserve">(Zheng et al. 2025; Burger et al. 2023)</w:t>
      </w:r>
      <w:r>
        <w:t xml:space="preserve">.</w:t>
      </w:r>
    </w:p>
    <w:p>
      <w:pPr>
        <w:pStyle w:val="Textoindependiente"/>
        <w:spacing w:line="360" w:lineRule="auto"/>
        <w:jc w:val="both"/>
      </w:pPr>
      <w:r>
        <w:t xml:space="preserve">La estabilidad es especialmente importante para comparaciones locales. Si dos</w:t>
      </w:r>
      <w:r>
        <w:t xml:space="preserve"> </w:t>
      </w:r>
      <w:r>
        <w:t xml:space="preserve">instancias casi idénticas reciben explicaciones radicalmente distintas, el</w:t>
      </w:r>
      <w:r>
        <w:t xml:space="preserve"> </w:t>
      </w:r>
      <w:r>
        <w:t xml:space="preserve">explicador puede fallar como instrumento de análisis, aunque el modelo predictivo</w:t>
      </w:r>
      <w:r>
        <w:t xml:space="preserve"> </w:t>
      </w:r>
      <w:r>
        <w:t xml:space="preserve">sea estable. La robustez amplía el foco hacia condiciones más exigentes: cambios</w:t>
      </w:r>
      <w:r>
        <w:t xml:space="preserve"> </w:t>
      </w:r>
      <w:r>
        <w:t xml:space="preserve">de distribución, perturbaciones adversarias, datos atípicos o supuestos</w:t>
      </w:r>
      <w:r>
        <w:t xml:space="preserve"> </w:t>
      </w:r>
      <w:r>
        <w:t xml:space="preserve">violados. La evaluación XAI necesita ambas dimensiones porque responden a</w:t>
      </w:r>
      <w:r>
        <w:t xml:space="preserve"> </w:t>
      </w:r>
      <w:r>
        <w:t xml:space="preserve">preguntas distintas. La estabilidad pregunta por consistencia en proximidad; la</w:t>
      </w:r>
      <w:r>
        <w:t xml:space="preserve"> </w:t>
      </w:r>
      <w:r>
        <w:t xml:space="preserve">robustez pregunta por resistencia ante condiciones que ponen a prueba el método.</w:t>
      </w:r>
      <w:r>
        <w:t xml:space="preserve"> </w:t>
      </w:r>
      <w:r>
        <w:t xml:space="preserve">FOM-7 debe reportar estas dimensiones como parte de un perfil, no como sinonimos</w:t>
      </w:r>
      <w:r>
        <w:t xml:space="preserve"> </w:t>
      </w:r>
      <w:r>
        <w:t xml:space="preserve">(Hedström et al. 2023; Zheng et al. 2025)</w:t>
      </w:r>
      <w:r>
        <w:t xml:space="preserve">.</w:t>
      </w:r>
    </w:p>
    <w:p>
      <w:pPr>
        <w:pStyle w:val="Textoindependiente"/>
        <w:spacing w:line="360" w:lineRule="auto"/>
        <w:jc w:val="both"/>
      </w:pPr>
      <w:r>
        <w:t xml:space="preserve">La sexta distinción separa utilidad de la explicación y verdad de la</w:t>
      </w:r>
      <w:r>
        <w:t xml:space="preserve"> </w:t>
      </w:r>
      <w:r>
        <w:t xml:space="preserve">explicación. Una explicación puede ser útil para depurar, comunicar o seleccionar</w:t>
      </w:r>
      <w:r>
        <w:t xml:space="preserve"> </w:t>
      </w:r>
      <w:r>
        <w:t xml:space="preserve">instancias sin demostrar que captura causalmente el funcionamiento del modelo.</w:t>
      </w:r>
      <w:r>
        <w:t xml:space="preserve"> </w:t>
      </w:r>
      <w:r>
        <w:t xml:space="preserve">De forma inversa, una explicación técnicamente rigurosa puede no ser útil para</w:t>
      </w:r>
      <w:r>
        <w:t xml:space="preserve"> </w:t>
      </w:r>
      <w:r>
        <w:t xml:space="preserve">un usuario no experto si excede su contexto cognitivo. Esta separación permite</w:t>
      </w:r>
      <w:r>
        <w:t xml:space="preserve"> </w:t>
      </w:r>
      <w:r>
        <w:t xml:space="preserve">ubicar las métricas de FOM-7: no pretenden agotar la verdad semántica de una</w:t>
      </w:r>
      <w:r>
        <w:t xml:space="preserve"> </w:t>
      </w:r>
      <w:r>
        <w:t xml:space="preserve">explicación, sino establecer evidencia operacional sobre propiedades medibles y</w:t>
      </w:r>
      <w:r>
        <w:t xml:space="preserve"> </w:t>
      </w:r>
      <w:r>
        <w:t xml:space="preserve">trazables.</w:t>
      </w:r>
    </w:p>
    <w:p>
      <w:pPr>
        <w:pStyle w:val="Textoindependiente"/>
        <w:spacing w:line="360" w:lineRule="auto"/>
        <w:jc w:val="both"/>
      </w:pPr>
      <w:r>
        <w:t xml:space="preserve">La utilidad depende del uso. Un científico de datos puede necesitar una</w:t>
      </w:r>
      <w:r>
        <w:t xml:space="preserve"> </w:t>
      </w:r>
      <w:r>
        <w:t xml:space="preserve">explicación para depurar variables, un experto de dominio para contrastar una</w:t>
      </w:r>
      <w:r>
        <w:t xml:space="preserve"> </w:t>
      </w:r>
      <w:r>
        <w:t xml:space="preserve">hipótesis, un regulador para auditar una decisión y un usuario final para</w:t>
      </w:r>
      <w:r>
        <w:t xml:space="preserve"> </w:t>
      </w:r>
      <w:r>
        <w:t xml:space="preserve">comprender opciones. La misma explicación puede ser adecuada para un grupo y</w:t>
      </w:r>
      <w:r>
        <w:t xml:space="preserve"> </w:t>
      </w:r>
      <w:r>
        <w:t xml:space="preserve">deficiente para otro. Esta es una de las razones por las que la literatura</w:t>
      </w:r>
      <w:r>
        <w:t xml:space="preserve"> </w:t>
      </w:r>
      <w:r>
        <w:t xml:space="preserve">human-centered insiste en conectar objetivos, usuarios y métodos de evaluación</w:t>
      </w:r>
      <w:r>
        <w:t xml:space="preserve"> </w:t>
      </w:r>
      <w:r>
        <w:t xml:space="preserve">(Mohseni et al. 2021; Hoffman et al. 2023)</w:t>
      </w:r>
      <w:r>
        <w:t xml:space="preserve">. En esta tesis, la utilidad se interpreta de forma</w:t>
      </w:r>
      <w:r>
        <w:t xml:space="preserve"> </w:t>
      </w:r>
      <w:r>
        <w:t xml:space="preserve">limitada: una explicación es útil para el protocolo si permite construir</w:t>
      </w:r>
      <w:r>
        <w:t xml:space="preserve"> </w:t>
      </w:r>
      <w:r>
        <w:t xml:space="preserve">evidencia comparativa, reproducible y trazable sobre métodos post-hoc. Otras</w:t>
      </w:r>
      <w:r>
        <w:t xml:space="preserve"> </w:t>
      </w:r>
      <w:r>
        <w:t xml:space="preserve">formas de utilidad, como satisfacción de usuario o mejora de decisiones humanas,</w:t>
      </w:r>
      <w:r>
        <w:t xml:space="preserve"> </w:t>
      </w:r>
      <w:r>
        <w:t xml:space="preserve">quedan fuera del alcance empírico principal.</w:t>
      </w:r>
    </w:p>
    <w:p>
      <w:pPr>
        <w:pStyle w:val="Textoindependiente"/>
        <w:spacing w:line="360" w:lineRule="auto"/>
        <w:jc w:val="both"/>
      </w:pPr>
      <w:r>
        <w:t xml:space="preserve">En conjunto, estas distinciones convierten el marco teórico en una defensa de</w:t>
      </w:r>
      <w:r>
        <w:t xml:space="preserve"> </w:t>
      </w:r>
      <w:r>
        <w:t xml:space="preserve">la prudencia inferencial. La tesis no busca demostrar que un explicador es</w:t>
      </w:r>
      <w:r>
        <w:t xml:space="preserve"> </w:t>
      </w:r>
      <w:r>
        <w:t xml:space="preserve">universalmente superior, ni que una métrica representa la verdad completa de una</w:t>
      </w:r>
      <w:r>
        <w:t xml:space="preserve"> </w:t>
      </w:r>
      <w:r>
        <w:t xml:space="preserve">explicación. Busca producir afirmaciones condicionadas: bajo este diseño, con</w:t>
      </w:r>
      <w:r>
        <w:t xml:space="preserve"> </w:t>
      </w:r>
      <w:r>
        <w:t xml:space="preserve">estos artefactos, estas métricas y estos criterios estadísticos, se observan</w:t>
      </w:r>
      <w:r>
        <w:t xml:space="preserve"> </w:t>
      </w:r>
      <w:r>
        <w:t xml:space="preserve">determinadas propiedades comparativas. Esta forma de razonamiento es menos</w:t>
      </w:r>
      <w:r>
        <w:t xml:space="preserve"> </w:t>
      </w:r>
      <w:r>
        <w:t xml:space="preserve">espectacular que un ranking absoluto, pero es mucho más defendible al nivel de</w:t>
      </w:r>
      <w:r>
        <w:t xml:space="preserve"> </w:t>
      </w:r>
      <w:r>
        <w:t xml:space="preserve">un doctorado. Precisamente por eso la arquitectura FOM-7 exige trazabilidad de</w:t>
      </w:r>
      <w:r>
        <w:t xml:space="preserve"> </w:t>
      </w:r>
      <w:r>
        <w:t xml:space="preserve">claims: cada conclusión debe indicar qué constructo evalúa, qué evidencia la</w:t>
      </w:r>
      <w:r>
        <w:t xml:space="preserve"> </w:t>
      </w:r>
      <w:r>
        <w:t xml:space="preserve">sostiene y qué límites conserva.</w:t>
      </w:r>
    </w:p>
    <w:bookmarkEnd w:id="46"/>
    <w:bookmarkStart w:id="51" w:name="Xa854bcdfe02171eee67e88340a3233edf48569f"/>
    <w:p>
      <w:pPr>
        <w:pStyle w:val="Ttulo2"/>
        <w:spacing w:line="360" w:lineRule="auto"/>
        <w:jc w:val="both"/>
      </w:pPr>
      <w:r>
        <w:t xml:space="preserve">Métodos de explicación evaluados en esta tesis</w:t>
      </w:r>
    </w:p>
    <w:bookmarkStart w:id="47" w:name="Xbbcfa782e2d35f160f8750f56befcd9ee8cf14e"/>
    <w:p>
      <w:pPr>
        <w:pStyle w:val="Ttulo3"/>
        <w:spacing w:line="360" w:lineRule="auto"/>
        <w:jc w:val="both"/>
      </w:pPr>
      <w:r>
        <w:t xml:space="preserve">LIME: sustitutos locales, muestreo e inestabilidad</w:t>
      </w:r>
    </w:p>
    <w:p>
      <w:pPr>
        <w:pStyle w:val="FirstParagraph"/>
        <w:spacing w:line="360" w:lineRule="auto"/>
        <w:jc w:val="both"/>
      </w:pPr>
      <w:r>
        <w:t xml:space="preserve">LIME propone explicar predicciones individuales aproximando localmente el modelo</w:t>
      </w:r>
      <w:r>
        <w:t xml:space="preserve"> </w:t>
      </w:r>
      <w:r>
        <w:t xml:space="preserve">de caja negra con un modelo interpretable, usualmente lineal</w:t>
      </w:r>
      <w:r>
        <w:t xml:space="preserve"> </w:t>
      </w:r>
      <w:r>
        <w:t xml:space="preserve">(Ribeiro 2016)</w:t>
      </w:r>
      <w:r>
        <w:t xml:space="preserve">. Su</w:t>
      </w:r>
      <w:r>
        <w:t xml:space="preserve"> </w:t>
      </w:r>
      <w:r>
        <w:t xml:space="preserve">intuición es poderosa: aunque el modelo global sea complejo, una región cercana</w:t>
      </w:r>
      <w:r>
        <w:t xml:space="preserve"> </w:t>
      </w:r>
      <w:r>
        <w:t xml:space="preserve">a una instancia puede ser aproximada por una frontera más simple. Para construir</w:t>
      </w:r>
      <w:r>
        <w:t xml:space="preserve"> </w:t>
      </w:r>
      <w:r>
        <w:t xml:space="preserve">esta aproximación, el método genera perturbaciones alrededor de la instancia,</w:t>
      </w:r>
      <w:r>
        <w:t xml:space="preserve"> </w:t>
      </w:r>
      <w:r>
        <w:t xml:space="preserve">consulta el modelo original y ajusta un sustituto ponderado por proximidad. La</w:t>
      </w:r>
      <w:r>
        <w:t xml:space="preserve"> </w:t>
      </w:r>
      <w:r>
        <w:t xml:space="preserve">explicación resultante identifica características con mayor influencia local.</w:t>
      </w:r>
    </w:p>
    <w:p>
      <w:pPr>
        <w:pStyle w:val="Textoindependiente"/>
        <w:spacing w:line="360" w:lineRule="auto"/>
        <w:jc w:val="both"/>
      </w:pPr>
      <w:r>
        <w:t xml:space="preserve">Esta lógica convierte a LIME en un método flexible y agnóstico. Puede aplicarse</w:t>
      </w:r>
      <w:r>
        <w:t xml:space="preserve"> </w:t>
      </w:r>
      <w:r>
        <w:t xml:space="preserve">a clasificadores diversos y produce salidas comprensibles para usuarios</w:t>
      </w:r>
      <w:r>
        <w:t xml:space="preserve"> </w:t>
      </w:r>
      <w:r>
        <w:t xml:space="preserve">técnicos. Sin embargo, su fuerza también es una fuente de riesgo. La explicación</w:t>
      </w:r>
      <w:r>
        <w:t xml:space="preserve"> </w:t>
      </w:r>
      <w:r>
        <w:t xml:space="preserve">depende del esquema de muestreo, de la definición de vecindario, del kernel de</w:t>
      </w:r>
      <w:r>
        <w:t xml:space="preserve"> </w:t>
      </w:r>
      <w:r>
        <w:t xml:space="preserve">proximidad, del número de perturbaciones y del modelo interpretable elegido. Si</w:t>
      </w:r>
      <w:r>
        <w:t xml:space="preserve"> </w:t>
      </w:r>
      <w:r>
        <w:t xml:space="preserve">estos elementos cambian, la explicación puede variar de forma sustancial. Por</w:t>
      </w:r>
      <w:r>
        <w:t xml:space="preserve"> </w:t>
      </w:r>
      <w:r>
        <w:t xml:space="preserve">ello, la estabilidad de LIME debe evaluarse explicitamente, no asumirse como una</w:t>
      </w:r>
      <w:r>
        <w:t xml:space="preserve"> </w:t>
      </w:r>
      <w:r>
        <w:t xml:space="preserve">propiedad garantizada</w:t>
      </w:r>
      <w:r>
        <w:t xml:space="preserve"> </w:t>
      </w:r>
      <w:r>
        <w:t xml:space="preserve">(Burger et al. 2023)</w:t>
      </w:r>
      <w:r>
        <w:t xml:space="preserve">.</w:t>
      </w:r>
    </w:p>
    <w:p>
      <w:pPr>
        <w:pStyle w:val="Textoindependiente"/>
        <w:spacing w:line="360" w:lineRule="auto"/>
        <w:jc w:val="both"/>
      </w:pPr>
      <w:r>
        <w:t xml:space="preserve">En el marco de esta tesis, LIME representa la familia de explicaciones por</w:t>
      </w:r>
      <w:r>
        <w:t xml:space="preserve"> </w:t>
      </w:r>
      <w:r>
        <w:t xml:space="preserve">sustitución local. Su evaluación debe considerar fidelidad local, estabilidad,</w:t>
      </w:r>
      <w:r>
        <w:t xml:space="preserve"> </w:t>
      </w:r>
      <w:r>
        <w:t xml:space="preserve">coste computacional y sensibilidad al muestreo. No es suficiente afirmar que una</w:t>
      </w:r>
      <w:r>
        <w:t xml:space="preserve"> </w:t>
      </w:r>
      <w:r>
        <w:t xml:space="preserve">explicación LIME es interpretable porque sea lineal; debe demostrarse que el</w:t>
      </w:r>
      <w:r>
        <w:t xml:space="preserve"> </w:t>
      </w:r>
      <w:r>
        <w:t xml:space="preserve">sustituto es una aproximación adecuada bajo condiciones experimentales</w:t>
      </w:r>
      <w:r>
        <w:t xml:space="preserve"> </w:t>
      </w:r>
      <w:r>
        <w:t xml:space="preserve">controladas</w:t>
      </w:r>
      <w:r>
        <w:t xml:space="preserve"> </w:t>
      </w:r>
      <w:r>
        <w:t xml:space="preserve">(Ribeiro 2016; Guidotti et al. 2018)</w:t>
      </w:r>
      <w:r>
        <w:t xml:space="preserve">.</w:t>
      </w:r>
    </w:p>
    <w:p>
      <w:pPr>
        <w:pStyle w:val="Textoindependiente"/>
        <w:spacing w:line="360" w:lineRule="auto"/>
        <w:jc w:val="both"/>
      </w:pPr>
      <w:r>
        <w:t xml:space="preserve">La literatura posterior ha mostrado que esta exigencia no es secundaria. LIME</w:t>
      </w:r>
      <w:r>
        <w:t xml:space="preserve"> </w:t>
      </w:r>
      <w:r>
        <w:t xml:space="preserve">puede ser una herramienta poderosa para comunicar patrones locales, pero su</w:t>
      </w:r>
      <w:r>
        <w:t xml:space="preserve"> </w:t>
      </w:r>
      <w:r>
        <w:t xml:space="preserve">salida no es independiente del proceso que genera el vecindario artificial. En</w:t>
      </w:r>
      <w:r>
        <w:t xml:space="preserve"> </w:t>
      </w:r>
      <w:r>
        <w:t xml:space="preserve">términos de evaluación, esto significa que el experimento no solo compara</w:t>
      </w:r>
      <w:r>
        <w:t xml:space="preserve"> </w:t>
      </w:r>
      <w:r>
        <w:t xml:space="preserve">“LIME”</w:t>
      </w:r>
      <w:r>
        <w:t xml:space="preserve"> </w:t>
      </w:r>
      <w:r>
        <w:t xml:space="preserve">como etiqueta, sino una configuración concreta de LIME: estrategia de</w:t>
      </w:r>
      <w:r>
        <w:t xml:space="preserve"> </w:t>
      </w:r>
      <w:r>
        <w:t xml:space="preserve">perturbación, kernel, número de muestras, selección de variables y modelo</w:t>
      </w:r>
      <w:r>
        <w:t xml:space="preserve"> </w:t>
      </w:r>
      <w:r>
        <w:t xml:space="preserve">sustituto. Si esos elementos no se congelan y documentan, la explicación deja de</w:t>
      </w:r>
      <w:r>
        <w:t xml:space="preserve"> </w:t>
      </w:r>
      <w:r>
        <w:t xml:space="preserve">ser un artefacto reproducible y se convierte en una realizacion contingente del</w:t>
      </w:r>
      <w:r>
        <w:t xml:space="preserve"> </w:t>
      </w:r>
      <w:r>
        <w:t xml:space="preserve">pipeline. Este punto conecta con la crítica más amplia a las explicaciones</w:t>
      </w:r>
      <w:r>
        <w:t xml:space="preserve"> </w:t>
      </w:r>
      <w:r>
        <w:t xml:space="preserve">post-hoc: su aparente simplicidad puede ocultar supuestos fuertes sobre la</w:t>
      </w:r>
      <w:r>
        <w:t xml:space="preserve"> </w:t>
      </w:r>
      <w:r>
        <w:t xml:space="preserve">región local que se está aproximando</w:t>
      </w:r>
      <w:r>
        <w:t xml:space="preserve"> </w:t>
      </w:r>
      <w:r>
        <w:t xml:space="preserve">(Guidotti et al. 2018; Carvalho et al. 2019)</w:t>
      </w:r>
      <w:r>
        <w:t xml:space="preserve">.</w:t>
      </w:r>
    </w:p>
    <w:p>
      <w:pPr>
        <w:pStyle w:val="Textoindependiente"/>
        <w:spacing w:line="360" w:lineRule="auto"/>
        <w:jc w:val="both"/>
      </w:pPr>
      <w:r>
        <w:t xml:space="preserve">Además, la estabilidad de LIME no debe confundirse con su plausibilidad visual.</w:t>
      </w:r>
      <w:r>
        <w:t xml:space="preserve"> </w:t>
      </w:r>
      <w:r>
        <w:t xml:space="preserve">Una explicación puede seleccionar variables intuitivas y aun así variar ante</w:t>
      </w:r>
      <w:r>
        <w:t xml:space="preserve"> </w:t>
      </w:r>
      <w:r>
        <w:t xml:space="preserve">perturbaciones pequeñas, cambios de semilla o modificaciones en la muestra de</w:t>
      </w:r>
      <w:r>
        <w:t xml:space="preserve"> </w:t>
      </w:r>
      <w:r>
        <w:t xml:space="preserve">consulta. Estudios sobre confiabilidad de LIME y ataques a explicadores</w:t>
      </w:r>
      <w:r>
        <w:t xml:space="preserve"> </w:t>
      </w:r>
      <w:r>
        <w:t xml:space="preserve">post-hoc muestran que la frágilidad puede tener consecuencias epistémicas</w:t>
      </w:r>
      <w:r>
        <w:t xml:space="preserve"> </w:t>
      </w:r>
      <w:r>
        <w:t xml:space="preserve">importantes: el usuario puede recibir una narrativa convincente sin saber que</w:t>
      </w:r>
      <w:r>
        <w:t xml:space="preserve"> </w:t>
      </w:r>
      <w:r>
        <w:t xml:space="preserve">otra ejecución razonable produciría una narrativa distinta</w:t>
      </w:r>
      <w:r>
        <w:t xml:space="preserve"> </w:t>
      </w:r>
      <w:r>
        <w:t xml:space="preserve">(Burger et al. 2023; Slack et al. 2020)</w:t>
      </w:r>
      <w:r>
        <w:t xml:space="preserve">. Por ello, FOM-7 debe tratar LIME como un caso ejemplar de método</w:t>
      </w:r>
      <w:r>
        <w:t xml:space="preserve"> </w:t>
      </w:r>
      <w:r>
        <w:t xml:space="preserve">agnóstico con alta utilidad comunicativa, pero que requiere controles de</w:t>
      </w:r>
      <w:r>
        <w:t xml:space="preserve"> </w:t>
      </w:r>
      <w:r>
        <w:t xml:space="preserve">estabilidad, trazabilidad de parámetros y delimitación estricta del alcance</w:t>
      </w:r>
      <w:r>
        <w:t xml:space="preserve"> </w:t>
      </w:r>
      <w:r>
        <w:t xml:space="preserve">local.</w:t>
      </w:r>
    </w:p>
    <w:bookmarkEnd w:id="47"/>
    <w:bookmarkStart w:id="48" w:name="X187de0a2f0f332efaa60a19888eaffd7cc2e7b5"/>
    <w:p>
      <w:pPr>
        <w:pStyle w:val="Ttulo3"/>
        <w:spacing w:line="360" w:lineRule="auto"/>
        <w:jc w:val="both"/>
      </w:pPr>
      <w:r>
        <w:t xml:space="preserve">SHAP: valores de Shapley y atribución aditiva</w:t>
      </w:r>
    </w:p>
    <w:p>
      <w:pPr>
        <w:pStyle w:val="FirstParagraph"/>
        <w:spacing w:line="360" w:lineRule="auto"/>
        <w:jc w:val="both"/>
      </w:pPr>
      <w:r>
        <w:t xml:space="preserve">SHAP conecta métodos de atribución de características con fundamentos de teoría</w:t>
      </w:r>
      <w:r>
        <w:t xml:space="preserve"> </w:t>
      </w:r>
      <w:r>
        <w:t xml:space="preserve">de juegos, especialmente el valor de Shapley</w:t>
      </w:r>
      <w:r>
        <w:t xml:space="preserve"> </w:t>
      </w:r>
      <w:r>
        <w:t xml:space="preserve">(Lundberg 2017)</w:t>
      </w:r>
      <w:r>
        <w:t xml:space="preserve">. La predicción se</w:t>
      </w:r>
      <w:r>
        <w:t xml:space="preserve"> </w:t>
      </w:r>
      <w:r>
        <w:t xml:space="preserve">expresa como una suma de contribuciones atribuibles a cada característica, bajo</w:t>
      </w:r>
      <w:r>
        <w:t xml:space="preserve"> </w:t>
      </w:r>
      <w:r>
        <w:t xml:space="preserve">un conjunto de propiedades deseables para explicaciones aditivas. Esta base</w:t>
      </w:r>
      <w:r>
        <w:t xml:space="preserve"> </w:t>
      </w:r>
      <w:r>
        <w:t xml:space="preserve">formal ha convertido a SHAP en uno de los enfoques más influyentes para</w:t>
      </w:r>
      <w:r>
        <w:t xml:space="preserve"> </w:t>
      </w:r>
      <w:r>
        <w:t xml:space="preserve">interpretar modelos complejos.</w:t>
      </w:r>
    </w:p>
    <w:p>
      <w:pPr>
        <w:pStyle w:val="Textoindependiente"/>
        <w:spacing w:line="360" w:lineRule="auto"/>
        <w:jc w:val="both"/>
      </w:pPr>
      <w:r>
        <w:t xml:space="preserve">La fortaleza de SHAP está en su marco unificado: diferentes aproximaciones</w:t>
      </w:r>
      <w:r>
        <w:t xml:space="preserve"> </w:t>
      </w:r>
      <w:r>
        <w:t xml:space="preserve">pueden entenderse como miembros de una familia de modelos explicativos</w:t>
      </w:r>
      <w:r>
        <w:t xml:space="preserve"> </w:t>
      </w:r>
      <w:r>
        <w:t xml:space="preserve">aditivos. TreeSHAP aprovecha la estructura de modelos basados en árboles para</w:t>
      </w:r>
      <w:r>
        <w:t xml:space="preserve"> </w:t>
      </w:r>
      <w:r>
        <w:t xml:space="preserve">calcular atribuciones de forma más eficiente. KernelSHAP, en cambio, opera de</w:t>
      </w:r>
      <w:r>
        <w:t xml:space="preserve"> </w:t>
      </w:r>
      <w:r>
        <w:t xml:space="preserve">manera más general pero puede requerir numerosas evaluaciones del modelo,</w:t>
      </w:r>
      <w:r>
        <w:t xml:space="preserve"> </w:t>
      </w:r>
      <w:r>
        <w:t xml:space="preserve">generando costes computacionales elevados. Esta diferencia ilustra una tensión</w:t>
      </w:r>
      <w:r>
        <w:t xml:space="preserve"> </w:t>
      </w:r>
      <w:r>
        <w:t xml:space="preserve">recurrente: mayor generalidad suele implicar mayor coste o dependencia de</w:t>
      </w:r>
      <w:r>
        <w:t xml:space="preserve"> </w:t>
      </w:r>
      <w:r>
        <w:t xml:space="preserve">aproximaciones.</w:t>
      </w:r>
    </w:p>
    <w:p>
      <w:pPr>
        <w:pStyle w:val="Textoindependiente"/>
        <w:spacing w:line="360" w:lineRule="auto"/>
        <w:jc w:val="both"/>
      </w:pPr>
      <w:r>
        <w:t xml:space="preserve">SHAP también exige decisiones metodológicas que afectan la interpretación: el</w:t>
      </w:r>
      <w:r>
        <w:t xml:space="preserve"> </w:t>
      </w:r>
      <w:r>
        <w:t xml:space="preserve">conjunto de referencia, el tratamiento de dependencias entre características y</w:t>
      </w:r>
      <w:r>
        <w:t xml:space="preserve"> </w:t>
      </w:r>
      <w:r>
        <w:t xml:space="preserve">la forma de estimar contribuciones marginales. Por ello, la tesis no interpreta</w:t>
      </w:r>
      <w:r>
        <w:t xml:space="preserve"> </w:t>
      </w:r>
      <w:r>
        <w:t xml:space="preserve">valores SHAP como verdades causales automaticas. Los trata como atribuciones</w:t>
      </w:r>
      <w:r>
        <w:t xml:space="preserve"> </w:t>
      </w:r>
      <w:r>
        <w:t xml:space="preserve">operacionales cuya calidad debe contrastarse mediante métricas de fidelidad,</w:t>
      </w:r>
      <w:r>
        <w:t xml:space="preserve"> </w:t>
      </w:r>
      <w:r>
        <w:t xml:space="preserve">estabilidad, complejidad y coste.</w:t>
      </w:r>
    </w:p>
    <w:p>
      <w:pPr>
        <w:pStyle w:val="Textoindependiente"/>
        <w:spacing w:line="360" w:lineRule="auto"/>
        <w:jc w:val="both"/>
      </w:pPr>
      <w:r>
        <w:t xml:space="preserve">El carácter formal de SHAP puede inducir una lectura excesivamente fuerte si no</w:t>
      </w:r>
      <w:r>
        <w:t xml:space="preserve"> </w:t>
      </w:r>
      <w:r>
        <w:t xml:space="preserve">se separa fundamento matemático de uso empírico. El valor de Shapley aporta una</w:t>
      </w:r>
      <w:r>
        <w:t xml:space="preserve"> </w:t>
      </w:r>
      <w:r>
        <w:t xml:space="preserve">justificación axiomática para repartir una contribución entre jugadores o</w:t>
      </w:r>
      <w:r>
        <w:t xml:space="preserve"> </w:t>
      </w:r>
      <w:r>
        <w:t xml:space="preserve">características, pero la aplicación a modelos predictivos requiere definir una</w:t>
      </w:r>
      <w:r>
        <w:t xml:space="preserve"> </w:t>
      </w:r>
      <w:r>
        <w:t xml:space="preserve">distribución de referencia y una forma de simular presencia o ausencia de</w:t>
      </w:r>
      <w:r>
        <w:t xml:space="preserve"> </w:t>
      </w:r>
      <w:r>
        <w:t xml:space="preserve">características. En datos reales, especialmente cuando existen dependencias</w:t>
      </w:r>
      <w:r>
        <w:t xml:space="preserve"> </w:t>
      </w:r>
      <w:r>
        <w:t xml:space="preserve">entre variables, estas decisiones afectan el significado de la atribución. Por</w:t>
      </w:r>
      <w:r>
        <w:t xml:space="preserve"> </w:t>
      </w:r>
      <w:r>
        <w:t xml:space="preserve">eso, una tabla de valores SHAP no debe presentarse como una descomposición</w:t>
      </w:r>
      <w:r>
        <w:t xml:space="preserve"> </w:t>
      </w:r>
      <w:r>
        <w:t xml:space="preserve">causal directa de la predicción; debe presentarse como una atribución bajo</w:t>
      </w:r>
      <w:r>
        <w:t xml:space="preserve"> </w:t>
      </w:r>
      <w:r>
        <w:t xml:space="preserve">supuestos operacionales específicos</w:t>
      </w:r>
      <w:r>
        <w:t xml:space="preserve"> </w:t>
      </w:r>
      <w:r>
        <w:t xml:space="preserve">(Lundberg 2017; Carvalho et al. 2019)</w:t>
      </w:r>
      <w:r>
        <w:t xml:space="preserve">.</w:t>
      </w:r>
    </w:p>
    <w:p>
      <w:pPr>
        <w:pStyle w:val="Textoindependiente"/>
        <w:spacing w:line="360" w:lineRule="auto"/>
        <w:jc w:val="both"/>
      </w:pPr>
      <w:r>
        <w:t xml:space="preserve">La diferencia entre KernelSHAP y TreeSHAP también es relevante para el diseño</w:t>
      </w:r>
      <w:r>
        <w:t xml:space="preserve"> </w:t>
      </w:r>
      <w:r>
        <w:t xml:space="preserve">experimental. KernelSHAP conserva una orientación agnóstica, pero puede exigir</w:t>
      </w:r>
      <w:r>
        <w:t xml:space="preserve"> </w:t>
      </w:r>
      <w:r>
        <w:t xml:space="preserve">un número elevado de consultas al modelo. TreeSHAP aprovecha la estructura de</w:t>
      </w:r>
      <w:r>
        <w:t xml:space="preserve"> </w:t>
      </w:r>
      <w:r>
        <w:t xml:space="preserve">árboles para reducir coste y mejorar factibilidad en familias concretas de</w:t>
      </w:r>
      <w:r>
        <w:t xml:space="preserve"> </w:t>
      </w:r>
      <w:r>
        <w:t xml:space="preserve">modelos. Esta diferencia muestra que</w:t>
      </w:r>
      <w:r>
        <w:t xml:space="preserve"> </w:t>
      </w:r>
      <w:r>
        <w:t xml:space="preserve">“usar SHAP”</w:t>
      </w:r>
      <w:r>
        <w:t xml:space="preserve"> </w:t>
      </w:r>
      <w:r>
        <w:t xml:space="preserve">no describe por sí mismo una</w:t>
      </w:r>
      <w:r>
        <w:t xml:space="preserve"> </w:t>
      </w:r>
      <w:r>
        <w:t xml:space="preserve">condición experimental suficiente. Se debe específicar variante, modelo base,</w:t>
      </w:r>
      <w:r>
        <w:t xml:space="preserve"> </w:t>
      </w:r>
      <w:r>
        <w:t xml:space="preserve">conjunto de referencia, estrategia de aproximación y coste de cómputo. La</w:t>
      </w:r>
      <w:r>
        <w:t xml:space="preserve"> </w:t>
      </w:r>
      <w:r>
        <w:t xml:space="preserve">literatura teórica sobre la tractabilidad de SHAP refuerza esta precaución:</w:t>
      </w:r>
      <w:r>
        <w:t xml:space="preserve"> </w:t>
      </w:r>
      <w:r>
        <w:t xml:space="preserve">calcular explicaciones exactas puede ser difícil o inviable en clases amplias de</w:t>
      </w:r>
      <w:r>
        <w:t xml:space="preserve"> </w:t>
      </w:r>
      <w:r>
        <w:t xml:space="preserve">modelos, por lo que la evaluación debe registrar cuando se trabaja con</w:t>
      </w:r>
      <w:r>
        <w:t xml:space="preserve"> </w:t>
      </w:r>
      <w:r>
        <w:t xml:space="preserve">aproximaciones y qué compromisos introducen</w:t>
      </w:r>
      <w:r>
        <w:t xml:space="preserve"> </w:t>
      </w:r>
      <w:r>
        <w:t xml:space="preserve">(Van den Broeck et al. 2022)</w:t>
      </w:r>
      <w:r>
        <w:t xml:space="preserve">.</w:t>
      </w:r>
    </w:p>
    <w:p>
      <w:pPr>
        <w:pStyle w:val="Textoindependiente"/>
        <w:spacing w:line="360" w:lineRule="auto"/>
        <w:jc w:val="both"/>
      </w:pPr>
      <w:r>
        <w:t xml:space="preserve">SHAP ocupa asi una posición doble en la tesis. Por un lado, es un referente</w:t>
      </w:r>
      <w:r>
        <w:t xml:space="preserve"> </w:t>
      </w:r>
      <w:r>
        <w:t xml:space="preserve">indispensable por su formalizacion de la atribución aditiva y su adopcion en</w:t>
      </w:r>
      <w:r>
        <w:t xml:space="preserve"> </w:t>
      </w:r>
      <w:r>
        <w:t xml:space="preserve">investigación aplicada. Por otro lado, es un ejemplo de que una base formal no</w:t>
      </w:r>
      <w:r>
        <w:t xml:space="preserve"> </w:t>
      </w:r>
      <w:r>
        <w:t xml:space="preserve">elimina la necesidad de gobernanza experimental. FOM-7 debe evitar comparar SHAP</w:t>
      </w:r>
      <w:r>
        <w:t xml:space="preserve"> </w:t>
      </w:r>
      <w:r>
        <w:t xml:space="preserve">con LIME o Anchors como si todos produjeran explicaciones del mismo tipo. En</w:t>
      </w:r>
      <w:r>
        <w:t xml:space="preserve"> </w:t>
      </w:r>
      <w:r>
        <w:t xml:space="preserve">SHAP, el objeto central es una asignación de contribuciones; en LIME, una</w:t>
      </w:r>
      <w:r>
        <w:t xml:space="preserve"> </w:t>
      </w:r>
      <w:r>
        <w:t xml:space="preserve">aproximación local; en Anchors, una regla; en DiCE, una alternativa</w:t>
      </w:r>
      <w:r>
        <w:t xml:space="preserve"> </w:t>
      </w:r>
      <w:r>
        <w:t xml:space="preserve">contrafactual. Esta heterogeneidad exige métricas diferenciadas y afirmaciones</w:t>
      </w:r>
      <w:r>
        <w:t xml:space="preserve"> </w:t>
      </w:r>
      <w:r>
        <w:t xml:space="preserve">cuidadosamente acotadas</w:t>
      </w:r>
      <w:r>
        <w:t xml:space="preserve"> </w:t>
      </w:r>
      <w:r>
        <w:t xml:space="preserve">(Guidotti et al. 2018; Nauta et al. 2023)</w:t>
      </w:r>
      <w:r>
        <w:t xml:space="preserve">.</w:t>
      </w:r>
    </w:p>
    <w:bookmarkEnd w:id="48"/>
    <w:bookmarkStart w:id="49" w:name="X029215b3a63b0848a75a7aa70454b1144c0f31f"/>
    <w:p>
      <w:pPr>
        <w:pStyle w:val="Ttulo3"/>
        <w:spacing w:line="360" w:lineRule="auto"/>
        <w:jc w:val="both"/>
      </w:pPr>
      <w:r>
        <w:t xml:space="preserve">Anchors: reglas de alta precisión y límites de cobertura</w:t>
      </w:r>
    </w:p>
    <w:p>
      <w:pPr>
        <w:pStyle w:val="FirstParagraph"/>
        <w:spacing w:line="360" w:lineRule="auto"/>
        <w:jc w:val="both"/>
      </w:pPr>
      <w:r>
        <w:t xml:space="preserve">Anchors propone explicaciones en forma de reglas locales de alta precisión</w:t>
      </w:r>
      <w:r>
        <w:t xml:space="preserve"> </w:t>
      </w:r>
      <w:r>
        <w:t xml:space="preserve">(Ribeiro 2018)</w:t>
      </w:r>
      <w:r>
        <w:t xml:space="preserve">. En vez de asignar pesos a características, busca condiciones</w:t>
      </w:r>
      <w:r>
        <w:t xml:space="preserve"> </w:t>
      </w:r>
      <w:r>
        <w:t xml:space="preserve">que, cuando se cumplen, hacen que el modelo mantenga una predicción con alta</w:t>
      </w:r>
      <w:r>
        <w:t xml:space="preserve"> </w:t>
      </w:r>
      <w:r>
        <w:t xml:space="preserve">probabilidad. La promesa de Anchors es comunicativa: una regla del tipo</w:t>
      </w:r>
      <w:r>
        <w:t xml:space="preserve"> </w:t>
      </w:r>
      <w:r>
        <w:t xml:space="preserve">“si se</w:t>
      </w:r>
      <w:r>
        <w:t xml:space="preserve"> </w:t>
      </w:r>
      <w:r>
        <w:t xml:space="preserve">cumplen estas condiciones, la predicción se mantiene”</w:t>
      </w:r>
      <w:r>
        <w:t xml:space="preserve"> </w:t>
      </w:r>
      <w:r>
        <w:t xml:space="preserve">puede ser más accionable</w:t>
      </w:r>
      <w:r>
        <w:t xml:space="preserve"> </w:t>
      </w:r>
      <w:r>
        <w:t xml:space="preserve">que una lista de pesos.</w:t>
      </w:r>
    </w:p>
    <w:p>
      <w:pPr>
        <w:pStyle w:val="Textoindependiente"/>
        <w:spacing w:line="360" w:lineRule="auto"/>
        <w:jc w:val="both"/>
      </w:pPr>
      <w:r>
        <w:t xml:space="preserve">La precisión de una regla, sin embargo, debe interpretarse junto con su</w:t>
      </w:r>
      <w:r>
        <w:t xml:space="preserve"> </w:t>
      </w:r>
      <w:r>
        <w:t xml:space="preserve">cobertura. Una regla extremadamente específica puede alcanzar alta precisión</w:t>
      </w:r>
      <w:r>
        <w:t xml:space="preserve"> </w:t>
      </w:r>
      <w:r>
        <w:t xml:space="preserve">porque aplica a muy pocos casos. Una regla más general puede cubrir una región</w:t>
      </w:r>
      <w:r>
        <w:t xml:space="preserve"> </w:t>
      </w:r>
      <w:r>
        <w:t xml:space="preserve">amplia, pero perder precisión. Esta tensión convierte a Anchors en un caso</w:t>
      </w:r>
      <w:r>
        <w:t xml:space="preserve"> </w:t>
      </w:r>
      <w:r>
        <w:t xml:space="preserve">fundamental para la evaluación multinivel: una métrica aislada puede favorecer</w:t>
      </w:r>
      <w:r>
        <w:t xml:space="preserve"> </w:t>
      </w:r>
      <w:r>
        <w:t xml:space="preserve">reglas aparentemente excelentes que no son útiles fuera de un subconjunto</w:t>
      </w:r>
      <w:r>
        <w:t xml:space="preserve"> </w:t>
      </w:r>
      <w:r>
        <w:t xml:space="preserve">limitado.</w:t>
      </w:r>
    </w:p>
    <w:p>
      <w:pPr>
        <w:pStyle w:val="Textoindependiente"/>
        <w:spacing w:line="360" w:lineRule="auto"/>
        <w:jc w:val="both"/>
      </w:pPr>
      <w:r>
        <w:t xml:space="preserve">Para FOM-7, Anchors representa explicaciones basadas en condiciones suficientes</w:t>
      </w:r>
      <w:r>
        <w:t xml:space="preserve"> </w:t>
      </w:r>
      <w:r>
        <w:t xml:space="preserve">aproximadas. Su evaluación debe separar precisión local, cobertura,</w:t>
      </w:r>
      <w:r>
        <w:t xml:space="preserve"> </w:t>
      </w:r>
      <w:r>
        <w:t xml:space="preserve">complejidad de regla y reproducibilidad. Esta separación evita comparar Anchors</w:t>
      </w:r>
      <w:r>
        <w:t xml:space="preserve"> </w:t>
      </w:r>
      <w:r>
        <w:t xml:space="preserve">con LIME o SHAP como si todos produjeran el mismo tipo de evidencia.</w:t>
      </w:r>
    </w:p>
    <w:p>
      <w:pPr>
        <w:pStyle w:val="Textoindependiente"/>
        <w:spacing w:line="360" w:lineRule="auto"/>
        <w:jc w:val="both"/>
      </w:pPr>
      <w:r>
        <w:t xml:space="preserve">La contribución conceptual de Anchors es introducir una forma de explicación que</w:t>
      </w:r>
      <w:r>
        <w:t xml:space="preserve"> </w:t>
      </w:r>
      <w:r>
        <w:t xml:space="preserve">se aproxima al razonamiento por condiciones: una predicción se mantiene cuando</w:t>
      </w:r>
      <w:r>
        <w:t xml:space="preserve"> </w:t>
      </w:r>
      <w:r>
        <w:t xml:space="preserve">ciertas premisas se conservan. Esta estructura puede ser más legible que una</w:t>
      </w:r>
      <w:r>
        <w:t xml:space="preserve"> </w:t>
      </w:r>
      <w:r>
        <w:t xml:space="preserve">lista de pesos, especialmente cuando la explicación se comunica a personas que</w:t>
      </w:r>
      <w:r>
        <w:t xml:space="preserve"> </w:t>
      </w:r>
      <w:r>
        <w:t xml:space="preserve">razonan mediante reglas o excepciones. Sin embargo, la legibilidad no resuelve</w:t>
      </w:r>
      <w:r>
        <w:t xml:space="preserve"> </w:t>
      </w:r>
      <w:r>
        <w:t xml:space="preserve">el problema de validez. Una regla de alta precisión puede estar anclada en una</w:t>
      </w:r>
      <w:r>
        <w:t xml:space="preserve"> </w:t>
      </w:r>
      <w:r>
        <w:t xml:space="preserve">región pequena del espacio de datos; una regla de mayor cobertura puede perder</w:t>
      </w:r>
      <w:r>
        <w:t xml:space="preserve"> </w:t>
      </w:r>
      <w:r>
        <w:t xml:space="preserve">garantias locales. Por tanto, precisión y cobertura deben reportarse juntas, y</w:t>
      </w:r>
      <w:r>
        <w:t xml:space="preserve"> </w:t>
      </w:r>
      <w:r>
        <w:t xml:space="preserve">ninguna debe convertirse por sí sola en sinonimo de calidad explicativa</w:t>
      </w:r>
      <w:r>
        <w:t xml:space="preserve"> </w:t>
      </w:r>
      <w:r>
        <w:t xml:space="preserve">(Ribeiro 2018; Guidotti et al. 2018)</w:t>
      </w:r>
      <w:r>
        <w:t xml:space="preserve">.</w:t>
      </w:r>
    </w:p>
    <w:p>
      <w:pPr>
        <w:pStyle w:val="Textoindependiente"/>
        <w:spacing w:line="360" w:lineRule="auto"/>
        <w:jc w:val="both"/>
      </w:pPr>
      <w:r>
        <w:t xml:space="preserve">Anchors también muestra por qué la evaluación debe atender al formato de salida.</w:t>
      </w:r>
      <w:r>
        <w:t xml:space="preserve"> </w:t>
      </w:r>
      <w:r>
        <w:t xml:space="preserve">Una regla tiene cardinalidad, condiciones, umbrales y cobertura; una atribución</w:t>
      </w:r>
      <w:r>
        <w:t xml:space="preserve"> </w:t>
      </w:r>
      <w:r>
        <w:t xml:space="preserve">tiene pesos; un contrafactual tiene distancia, factibilidad y validez. Si el</w:t>
      </w:r>
      <w:r>
        <w:t xml:space="preserve"> </w:t>
      </w:r>
      <w:r>
        <w:t xml:space="preserve">benchmark traduce todos esos objetos a una sola escala, corre el riesgo de</w:t>
      </w:r>
      <w:r>
        <w:t xml:space="preserve"> </w:t>
      </w:r>
      <w:r>
        <w:t xml:space="preserve">medir más la conveniencia de la métrica que la calidad del método. Para FOM-7,</w:t>
      </w:r>
      <w:r>
        <w:t xml:space="preserve"> </w:t>
      </w:r>
      <w:r>
        <w:t xml:space="preserve">Anchors cumple entonces una función teórica: obliga a reconocer que las métricas</w:t>
      </w:r>
      <w:r>
        <w:t xml:space="preserve"> </w:t>
      </w:r>
      <w:r>
        <w:t xml:space="preserve">deben estar alineadas con el tipo de explicación. La tesis no debe preguntar</w:t>
      </w:r>
      <w:r>
        <w:t xml:space="preserve"> </w:t>
      </w:r>
      <w:r>
        <w:t xml:space="preserve">solo</w:t>
      </w:r>
      <w:r>
        <w:t xml:space="preserve"> </w:t>
      </w:r>
      <w:r>
        <w:t xml:space="preserve">“qué método gana”</w:t>
      </w:r>
      <w:r>
        <w:t xml:space="preserve">, sino</w:t>
      </w:r>
      <w:r>
        <w:t xml:space="preserve"> </w:t>
      </w:r>
      <w:r>
        <w:t xml:space="preserve">“qué propiedad de qué objeto explicativo se está</w:t>
      </w:r>
      <w:r>
        <w:t xml:space="preserve"> </w:t>
      </w:r>
      <w:r>
        <w:t xml:space="preserve">evaluando bajo qué condiciones”</w:t>
      </w:r>
      <w:r>
        <w:t xml:space="preserve"> </w:t>
      </w:r>
      <w:r>
        <w:t xml:space="preserve">(Carvalho et al. 2019; Nauta et al. 2023)</w:t>
      </w:r>
      <w:r>
        <w:t xml:space="preserve">.</w:t>
      </w:r>
    </w:p>
    <w:bookmarkEnd w:id="49"/>
    <w:bookmarkStart w:id="50" w:name="Xd196f32f12fd1cc1850af93995e5a1615dfcb83"/>
    <w:p>
      <w:pPr>
        <w:pStyle w:val="Ttulo3"/>
        <w:spacing w:line="360" w:lineRule="auto"/>
        <w:jc w:val="both"/>
      </w:pPr>
      <w:r>
        <w:t xml:space="preserve">DiCE: contrafactuales, accionabilidad y validez</w:t>
      </w:r>
    </w:p>
    <w:p>
      <w:pPr>
        <w:pStyle w:val="FirstParagraph"/>
        <w:spacing w:line="360" w:lineRule="auto"/>
        <w:jc w:val="both"/>
      </w:pPr>
      <w:r>
        <w:t xml:space="preserve">DiCE introduce explicaciones contrafactuales diversas, orientadas a mostrar</w:t>
      </w:r>
      <w:r>
        <w:t xml:space="preserve"> </w:t>
      </w:r>
      <w:r>
        <w:t xml:space="preserve">cambios plausibles que podrían alterar la decisión de un modelo</w:t>
      </w:r>
      <w:r>
        <w:t xml:space="preserve"> </w:t>
      </w:r>
      <w:r>
        <w:t xml:space="preserve">(Mothilal 2020)</w:t>
      </w:r>
      <w:r>
        <w:t xml:space="preserve">.</w:t>
      </w:r>
      <w:r>
        <w:t xml:space="preserve"> </w:t>
      </w:r>
      <w:r>
        <w:t xml:space="preserve">Su pregunta no es</w:t>
      </w:r>
      <w:r>
        <w:t xml:space="preserve"> </w:t>
      </w:r>
      <w:r>
        <w:t xml:space="preserve">“qué características contribuyeron más a esta predicción”</w:t>
      </w:r>
      <w:r>
        <w:t xml:space="preserve">,</w:t>
      </w:r>
      <w:r>
        <w:t xml:space="preserve"> </w:t>
      </w:r>
      <w:r>
        <w:t xml:space="preserve">sino</w:t>
      </w:r>
      <w:r>
        <w:t xml:space="preserve"> </w:t>
      </w:r>
      <w:r>
        <w:t xml:space="preserve">“qué tendría que cambiar para obtener otro resultado”</w:t>
      </w:r>
      <w:r>
        <w:t xml:space="preserve">. Esta diferencia</w:t>
      </w:r>
      <w:r>
        <w:t xml:space="preserve"> </w:t>
      </w:r>
      <w:r>
        <w:t xml:space="preserve">ubica a DiCE en una familia explicativa distinta, especialmente relevante para</w:t>
      </w:r>
      <w:r>
        <w:t xml:space="preserve"> </w:t>
      </w:r>
      <w:r>
        <w:t xml:space="preserve">escenarios donde el usuario necesita comprender alternativas de acción.</w:t>
      </w:r>
    </w:p>
    <w:p>
      <w:pPr>
        <w:pStyle w:val="Textoindependiente"/>
        <w:spacing w:line="360" w:lineRule="auto"/>
        <w:jc w:val="both"/>
      </w:pPr>
      <w:r>
        <w:t xml:space="preserve">La evaluación de contrafactuales exige criterios adicionales. Un contrafactual</w:t>
      </w:r>
      <w:r>
        <w:t xml:space="preserve"> </w:t>
      </w:r>
      <w:r>
        <w:t xml:space="preserve">debe ser válido respecto al modelo, cercano a la instancia original, diverso</w:t>
      </w:r>
      <w:r>
        <w:t xml:space="preserve"> </w:t>
      </w:r>
      <w:r>
        <w:t xml:space="preserve">respecto a otras alternativas y, en muchos dominios, accionable. La</w:t>
      </w:r>
      <w:r>
        <w:t xml:space="preserve"> </w:t>
      </w:r>
      <w:r>
        <w:t xml:space="preserve">accionabilidad impone restricciones semánticas: no todas las características</w:t>
      </w:r>
      <w:r>
        <w:t xml:space="preserve"> </w:t>
      </w:r>
      <w:r>
        <w:t xml:space="preserve">pueden modificarse, y no todos los cambios matemáticamente cercanos son</w:t>
      </w:r>
      <w:r>
        <w:t xml:space="preserve"> </w:t>
      </w:r>
      <w:r>
        <w:t xml:space="preserve">realistas. Por ello, una métrica de fidelidad tradicional puede ser insuficiente</w:t>
      </w:r>
      <w:r>
        <w:t xml:space="preserve"> </w:t>
      </w:r>
      <w:r>
        <w:t xml:space="preserve">para evaluar DiCE si no se acompaña de criterios de plausibilidad,</w:t>
      </w:r>
      <w:r>
        <w:t xml:space="preserve"> </w:t>
      </w:r>
      <w:r>
        <w:t xml:space="preserve">factibilidad y coherencia con el dominio</w:t>
      </w:r>
      <w:r>
        <w:t xml:space="preserve"> </w:t>
      </w:r>
      <w:r>
        <w:t xml:space="preserve">(Mothilal 2020; Karimi et al. 2022)</w:t>
      </w:r>
      <w:r>
        <w:t xml:space="preserve">.</w:t>
      </w:r>
    </w:p>
    <w:p>
      <w:pPr>
        <w:pStyle w:val="Textoindependiente"/>
        <w:spacing w:line="360" w:lineRule="auto"/>
        <w:jc w:val="both"/>
      </w:pPr>
      <w:r>
        <w:t xml:space="preserve">En esta tesis, DiCE permite mostrar que FOM-7 no debe forzar una métrica única</w:t>
      </w:r>
      <w:r>
        <w:t xml:space="preserve"> </w:t>
      </w:r>
      <w:r>
        <w:t xml:space="preserve">sobre objetos explicativos heterogéneos. Las explicaciones contrafactuales</w:t>
      </w:r>
      <w:r>
        <w:t xml:space="preserve"> </w:t>
      </w:r>
      <w:r>
        <w:t xml:space="preserve">requieren una lectura propia dentro del protocolo, especialmente cuando se</w:t>
      </w:r>
      <w:r>
        <w:t xml:space="preserve"> </w:t>
      </w:r>
      <w:r>
        <w:t xml:space="preserve">discuten utilidad, sensibilidad y trazabilidad de afirmaciones.</w:t>
      </w:r>
    </w:p>
    <w:p>
      <w:pPr>
        <w:pStyle w:val="Textoindependiente"/>
        <w:spacing w:line="360" w:lineRule="auto"/>
        <w:jc w:val="both"/>
      </w:pPr>
      <w:r>
        <w:t xml:space="preserve">La familia contrafactual amplía la XAI hacia preguntas de recourse y acción.</w:t>
      </w:r>
      <w:r>
        <w:t xml:space="preserve"> </w:t>
      </w:r>
      <w:r>
        <w:t xml:space="preserve">Mientras LIME o SHAP suelen describir por qué una decisión fue tomada en</w:t>
      </w:r>
      <w:r>
        <w:t xml:space="preserve"> </w:t>
      </w:r>
      <w:r>
        <w:t xml:space="preserve">términos de contribuciones o aproximaciones, el contrafactual pregunta que</w:t>
      </w:r>
      <w:r>
        <w:t xml:space="preserve"> </w:t>
      </w:r>
      <w:r>
        <w:t xml:space="preserve">alternativas podrían cambiar el resultado. Esta orientación es atractiva en</w:t>
      </w:r>
      <w:r>
        <w:t xml:space="preserve"> </w:t>
      </w:r>
      <w:r>
        <w:t xml:space="preserve">dominios de decisión porque conecta explicación con posibilidad de intervencion.</w:t>
      </w:r>
      <w:r>
        <w:t xml:space="preserve"> </w:t>
      </w:r>
      <w:r>
        <w:t xml:space="preserve">Sin embargo, también introduce exigencias más fuertes: los cambios sugeridos</w:t>
      </w:r>
      <w:r>
        <w:t xml:space="preserve"> </w:t>
      </w:r>
      <w:r>
        <w:t xml:space="preserve">deben ser posibles, coherentes con restricciones del dominio y no meramente</w:t>
      </w:r>
      <w:r>
        <w:t xml:space="preserve"> </w:t>
      </w:r>
      <w:r>
        <w:t xml:space="preserve">artefactos matemáticos cercanos en el espacio de variables. La literatura sobre</w:t>
      </w:r>
      <w:r>
        <w:t xml:space="preserve"> </w:t>
      </w:r>
      <w:r>
        <w:t xml:space="preserve">recourse enfatiza precisamente que una recomendación consecuencial debe evaluar</w:t>
      </w:r>
      <w:r>
        <w:t xml:space="preserve"> </w:t>
      </w:r>
      <w:r>
        <w:t xml:space="preserve">factibilidad, accionabilidad y consecuencias, no solo inversión de etiqueta</w:t>
      </w:r>
      <w:r>
        <w:t xml:space="preserve"> </w:t>
      </w:r>
      <w:r>
        <w:t xml:space="preserve">(Karimi et al. 2022)</w:t>
      </w:r>
      <w:r>
        <w:t xml:space="preserve">.</w:t>
      </w:r>
    </w:p>
    <w:p>
      <w:pPr>
        <w:pStyle w:val="Textoindependiente"/>
        <w:spacing w:line="360" w:lineRule="auto"/>
        <w:jc w:val="both"/>
      </w:pPr>
      <w:r>
        <w:t xml:space="preserve">DiCE aporta diversidad de alternativas contrafactuales, pero diversidad no</w:t>
      </w:r>
      <w:r>
        <w:t xml:space="preserve"> </w:t>
      </w:r>
      <w:r>
        <w:t xml:space="preserve">equivale automáticamente a accionabilidad. Un conjunto de contrafactuales puede</w:t>
      </w:r>
      <w:r>
        <w:t xml:space="preserve"> </w:t>
      </w:r>
      <w:r>
        <w:t xml:space="preserve">ser diverso en distancia matemática y aun así incluir cambios imposibles para</w:t>
      </w:r>
      <w:r>
        <w:t xml:space="preserve"> </w:t>
      </w:r>
      <w:r>
        <w:t xml:space="preserve">una persona o incoherentes con relaciones del dominio. FACE aborda esta</w:t>
      </w:r>
      <w:r>
        <w:t xml:space="preserve"> </w:t>
      </w:r>
      <w:r>
        <w:t xml:space="preserve">preocupación al enfatizar contrafactuales factibles y accionables en regiones</w:t>
      </w:r>
      <w:r>
        <w:t xml:space="preserve"> </w:t>
      </w:r>
      <w:r>
        <w:t xml:space="preserve">conectadas por datos observados</w:t>
      </w:r>
      <w:r>
        <w:t xml:space="preserve"> </w:t>
      </w:r>
      <w:r>
        <w:t xml:space="preserve">(Poyiadzi et al. 2020)</w:t>
      </w:r>
      <w:r>
        <w:t xml:space="preserve">. A la vez, las críticas sobre</w:t>
      </w:r>
      <w:r>
        <w:t xml:space="preserve"> </w:t>
      </w:r>
      <w:r>
        <w:t xml:space="preserve">contrafactuales post-hoc advierten que una explicación puede ser injustificada</w:t>
      </w:r>
      <w:r>
        <w:t xml:space="preserve"> </w:t>
      </w:r>
      <w:r>
        <w:t xml:space="preserve">si se apoya en regiones poco plausibles o si no respeta la estructura local del</w:t>
      </w:r>
      <w:r>
        <w:t xml:space="preserve"> </w:t>
      </w:r>
      <w:r>
        <w:t xml:space="preserve">problema</w:t>
      </w:r>
      <w:r>
        <w:t xml:space="preserve"> </w:t>
      </w:r>
      <w:r>
        <w:t xml:space="preserve">(Laugel et al. 2019)</w:t>
      </w:r>
      <w:r>
        <w:t xml:space="preserve">. Para FOM-7, esta tensión exige que DiCE sea evaluado</w:t>
      </w:r>
      <w:r>
        <w:t xml:space="preserve"> </w:t>
      </w:r>
      <w:r>
        <w:t xml:space="preserve">con criterios propios: validez de cambio de salida, proximidad, diversidad,</w:t>
      </w:r>
      <w:r>
        <w:t xml:space="preserve"> </w:t>
      </w:r>
      <w:r>
        <w:t xml:space="preserve">factibilidad, accionabilidad y límites de inferencia.</w:t>
      </w:r>
    </w:p>
    <w:p>
      <w:pPr>
        <w:pStyle w:val="Textoindependiente"/>
        <w:spacing w:line="360" w:lineRule="auto"/>
        <w:jc w:val="both"/>
      </w:pPr>
      <w:r>
        <w:t xml:space="preserve">El papel de los contrafactuales en la tesis no es demostrar que el usuario</w:t>
      </w:r>
      <w:r>
        <w:t xml:space="preserve"> </w:t>
      </w:r>
      <w:r>
        <w:t xml:space="preserve">puede ejecutar realmente la acción sugerida en cualquier dominio. El alcance es</w:t>
      </w:r>
      <w:r>
        <w:t xml:space="preserve"> </w:t>
      </w:r>
      <w:r>
        <w:t xml:space="preserve">más prudente: examinar si el método produce artefactos que cumplen criterios</w:t>
      </w:r>
      <w:r>
        <w:t xml:space="preserve"> </w:t>
      </w:r>
      <w:r>
        <w:t xml:space="preserve">operacionales definidos y si esos criterios son trazables. Esta distinción es</w:t>
      </w:r>
      <w:r>
        <w:t xml:space="preserve"> </w:t>
      </w:r>
      <w:r>
        <w:t xml:space="preserve">importante porque la accionabilidad plena suele requerir conocimiento causal,</w:t>
      </w:r>
      <w:r>
        <w:t xml:space="preserve"> </w:t>
      </w:r>
      <w:r>
        <w:t xml:space="preserve">normativo y contextual que excede un benchmark puramente computacional. FOM-7</w:t>
      </w:r>
      <w:r>
        <w:t xml:space="preserve"> </w:t>
      </w:r>
      <w:r>
        <w:t xml:space="preserve">puede registrar la distancia entre validez para el modelo y accionabilidad para</w:t>
      </w:r>
      <w:r>
        <w:t xml:space="preserve"> </w:t>
      </w:r>
      <w:r>
        <w:t xml:space="preserve">la persona, y esa distancia es justamente una de las brechas que una revisión</w:t>
      </w:r>
      <w:r>
        <w:t xml:space="preserve"> </w:t>
      </w:r>
      <w:r>
        <w:t xml:space="preserve">doctoral debe hacer visible</w:t>
      </w:r>
      <w:r>
        <w:t xml:space="preserve"> </w:t>
      </w:r>
      <w:r>
        <w:t xml:space="preserve">(Langer et al. 2021; Karimi et al. 2022)</w:t>
      </w:r>
      <w:r>
        <w:t xml:space="preserve">.</w:t>
      </w:r>
    </w:p>
    <w:bookmarkEnd w:id="50"/>
    <w:bookmarkEnd w:id="51"/>
    <w:bookmarkStart w:id="55" w:name="marcos-y-protocolos-de-evaluación-xai"/>
    <w:p>
      <w:pPr>
        <w:pStyle w:val="Ttulo2"/>
        <w:spacing w:line="360" w:lineRule="auto"/>
        <w:jc w:val="both"/>
      </w:pPr>
      <w:r>
        <w:t xml:space="preserve">Marcos y protocolos de evaluación XAI</w:t>
      </w:r>
    </w:p>
    <w:p>
      <w:pPr>
        <w:pStyle w:val="FirstParagraph"/>
        <w:spacing w:line="360" w:lineRule="auto"/>
        <w:jc w:val="both"/>
      </w:pPr>
      <w:r>
        <w:t xml:space="preserve">La evaluación de interpretabilidad requiere distinguir niveles de evidencia.</w:t>
      </w:r>
      <w:r>
        <w:t xml:space="preserve"> </w:t>
      </w:r>
      <w:r>
        <w:t xml:space="preserve">Doshi-Velez (2017)</w:t>
      </w:r>
      <w:r>
        <w:t xml:space="preserve"> </w:t>
      </w:r>
      <w:r>
        <w:t xml:space="preserve">proponen una taxonomía influyente: evaluación</w:t>
      </w:r>
      <w:r>
        <w:t xml:space="preserve"> </w:t>
      </w:r>
      <w:r>
        <w:t xml:space="preserve">application-grounded, human-grounded y functionally-grounded. La primera evalúa</w:t>
      </w:r>
      <w:r>
        <w:t xml:space="preserve"> </w:t>
      </w:r>
      <w:r>
        <w:t xml:space="preserve">explicaciones en tareas reales con usuarios y dominios específicos. La segunda</w:t>
      </w:r>
      <w:r>
        <w:t xml:space="preserve"> </w:t>
      </w:r>
      <w:r>
        <w:t xml:space="preserve">usa tareas simplificadas con humanos para estudiar propiedades generales de la</w:t>
      </w:r>
      <w:r>
        <w:t xml:space="preserve"> </w:t>
      </w:r>
      <w:r>
        <w:t xml:space="preserve">explicación. La tercera reemplaza la evaluación humana por proxies formales o</w:t>
      </w:r>
      <w:r>
        <w:t xml:space="preserve"> </w:t>
      </w:r>
      <w:r>
        <w:t xml:space="preserve">computacionales cuando existe una razón teórica para hacerlo. Esta distinción</w:t>
      </w:r>
      <w:r>
        <w:t xml:space="preserve"> </w:t>
      </w:r>
      <w:r>
        <w:t xml:space="preserve">es esencial para FOM-7, porque la presente tesis se ubica principalmente en una</w:t>
      </w:r>
      <w:r>
        <w:t xml:space="preserve"> </w:t>
      </w:r>
      <w:r>
        <w:t xml:space="preserve">evaluación functionally-grounded con aspiraciones de trazabilidad hacia</w:t>
      </w:r>
      <w:r>
        <w:t xml:space="preserve"> </w:t>
      </w:r>
      <w:r>
        <w:t xml:space="preserve">afirmaciones técnicas.</w:t>
      </w:r>
    </w:p>
    <w:p>
      <w:pPr>
        <w:pStyle w:val="Textoindependiente"/>
        <w:spacing w:line="360" w:lineRule="auto"/>
        <w:jc w:val="both"/>
      </w:pPr>
      <w:r>
        <w:t xml:space="preserve">La distinción entre estos niveles evita una confusión frecuente: evaluar una</w:t>
      </w:r>
      <w:r>
        <w:t xml:space="preserve"> </w:t>
      </w:r>
      <w:r>
        <w:t xml:space="preserve">explicación con una métrica computacional no equivale a demostrar que mejora la</w:t>
      </w:r>
      <w:r>
        <w:t xml:space="preserve"> </w:t>
      </w:r>
      <w:r>
        <w:t xml:space="preserve">decisión humana. Los estudios human-grounded muestran que la relación entre</w:t>
      </w:r>
      <w:r>
        <w:t xml:space="preserve"> </w:t>
      </w:r>
      <w:r>
        <w:t xml:space="preserve">formato explicativo y comportamiento del usuario es empírica, no deducible solo</w:t>
      </w:r>
      <w:r>
        <w:t xml:space="preserve"> </w:t>
      </w:r>
      <w:r>
        <w:t xml:space="preserve">de la elegancia del método. Por ejemplo, evaluar si ciertas explicaciones ayudan</w:t>
      </w:r>
      <w:r>
        <w:t xml:space="preserve"> </w:t>
      </w:r>
      <w:r>
        <w:t xml:space="preserve">a usuarios a predecir el comportamiento del modelo pertenece a una pregunta</w:t>
      </w:r>
      <w:r>
        <w:t xml:space="preserve"> </w:t>
      </w:r>
      <w:r>
        <w:t xml:space="preserve">distinta de medir fidelidad o estabilidad en un benchmark</w:t>
      </w:r>
      <w:r>
        <w:t xml:space="preserve"> </w:t>
      </w:r>
      <w:r>
        <w:t xml:space="preserve">(Hase and Bansal 2020)</w:t>
      </w:r>
      <w:r>
        <w:t xml:space="preserve">. Del</w:t>
      </w:r>
      <w:r>
        <w:t xml:space="preserve"> </w:t>
      </w:r>
      <w:r>
        <w:t xml:space="preserve">mismo modo, los estudios con científicos de datos muestran que las herramientas</w:t>
      </w:r>
      <w:r>
        <w:t xml:space="preserve"> </w:t>
      </w:r>
      <w:r>
        <w:t xml:space="preserve">de interpretabilidad se insertan en practicas de depuración, validación y</w:t>
      </w:r>
      <w:r>
        <w:t xml:space="preserve"> </w:t>
      </w:r>
      <w:r>
        <w:t xml:space="preserve">comunicación que no se reducen a una puntuación única</w:t>
      </w:r>
      <w:r>
        <w:t xml:space="preserve"> </w:t>
      </w:r>
      <w:r>
        <w:t xml:space="preserve">(Kaur et al. 2020)</w:t>
      </w:r>
      <w:r>
        <w:t xml:space="preserve">. Por ello,</w:t>
      </w:r>
      <w:r>
        <w:t xml:space="preserve"> </w:t>
      </w:r>
      <w:r>
        <w:t xml:space="preserve">FOM-7 debe afirmar con precisión que produce evidencia functionally-grounded y</w:t>
      </w:r>
      <w:r>
        <w:t xml:space="preserve"> </w:t>
      </w:r>
      <w:r>
        <w:t xml:space="preserve">no evidencia application-grounded.</w:t>
      </w:r>
    </w:p>
    <w:p>
      <w:pPr>
        <w:pStyle w:val="Textoindependiente"/>
        <w:spacing w:line="360" w:lineRule="auto"/>
        <w:jc w:val="both"/>
      </w:pPr>
      <w:r>
        <w:t xml:space="preserve">Quantus responde a la necesidad de evaluar explicaciones mediante un toolkit</w:t>
      </w:r>
      <w:r>
        <w:t xml:space="preserve"> </w:t>
      </w:r>
      <w:r>
        <w:t xml:space="preserve">que agrupa métricas y facilita comparaciones sistemáticas</w:t>
      </w:r>
      <w:r>
        <w:t xml:space="preserve"> </w:t>
      </w:r>
      <w:r>
        <w:t xml:space="preserve">(Hedström et al. 2023)</w:t>
      </w:r>
      <w:r>
        <w:t xml:space="preserve">.</w:t>
      </w:r>
      <w:r>
        <w:t xml:space="preserve"> </w:t>
      </w:r>
      <w:r>
        <w:t xml:space="preserve">Su contribución es importante porque reduce friccion tecnica, ordena familias de</w:t>
      </w:r>
      <w:r>
        <w:t xml:space="preserve"> </w:t>
      </w:r>
      <w:r>
        <w:t xml:space="preserve">métricas y promueve evaluaciones más reproducibles. No obstante, un toolkit no</w:t>
      </w:r>
      <w:r>
        <w:t xml:space="preserve"> </w:t>
      </w:r>
      <w:r>
        <w:t xml:space="preserve">resuelve por sí solo el problema de gobernanza del protocolo. Antes de ejecutar</w:t>
      </w:r>
      <w:r>
        <w:t xml:space="preserve"> </w:t>
      </w:r>
      <w:r>
        <w:t xml:space="preserve">métricas deben definirse artefactos, condiciones experimentales, filtros de</w:t>
      </w:r>
      <w:r>
        <w:t xml:space="preserve"> </w:t>
      </w:r>
      <w:r>
        <w:t xml:space="preserve">admisibilidad, estructura de reporte y reglas para convertir resultados en</w:t>
      </w:r>
      <w:r>
        <w:t xml:space="preserve"> </w:t>
      </w:r>
      <w:r>
        <w:t xml:space="preserve">afirmaciones defendibles.</w:t>
      </w:r>
    </w:p>
    <w:p>
      <w:pPr>
        <w:pStyle w:val="Textoindependiente"/>
        <w:spacing w:line="360" w:lineRule="auto"/>
        <w:jc w:val="both"/>
      </w:pPr>
      <w:r>
        <w:t xml:space="preserve">OpenXAI avanza en una direccion complementaria al proponer una plataforma de</w:t>
      </w:r>
      <w:r>
        <w:t xml:space="preserve"> </w:t>
      </w:r>
      <w:r>
        <w:t xml:space="preserve">evaluación transparente para explicaciones post-hoc</w:t>
      </w:r>
      <w:r>
        <w:t xml:space="preserve"> </w:t>
      </w:r>
      <w:r>
        <w:t xml:space="preserve">(Agarwal et al. 2022)</w:t>
      </w:r>
      <w:r>
        <w:t xml:space="preserve">. Su aporte</w:t>
      </w:r>
      <w:r>
        <w:t xml:space="preserve"> </w:t>
      </w:r>
      <w:r>
        <w:t xml:space="preserve">esta en hacer comparables métodos y condiciones de benchmarking. Para esta</w:t>
      </w:r>
      <w:r>
        <w:t xml:space="preserve"> </w:t>
      </w:r>
      <w:r>
        <w:t xml:space="preserve">tesis, OpenXAI funciona como referente directo: confirma que el problema de</w:t>
      </w:r>
      <w:r>
        <w:t xml:space="preserve"> </w:t>
      </w:r>
      <w:r>
        <w:t xml:space="preserve">estandarización es reconocido por la comunidad, pero también permite delimitar</w:t>
      </w:r>
      <w:r>
        <w:t xml:space="preserve"> </w:t>
      </w:r>
      <w:r>
        <w:t xml:space="preserve">la contribución de FOM-7. FOM-7 no pretende reemplazar estos marcos; busca</w:t>
      </w:r>
      <w:r>
        <w:t xml:space="preserve"> </w:t>
      </w:r>
      <w:r>
        <w:t xml:space="preserve">operacionalizar el camino desde el diseño experimental hasta la trazabilidad de</w:t>
      </w:r>
      <w:r>
        <w:t xml:space="preserve"> </w:t>
      </w:r>
      <w:r>
        <w:t xml:space="preserve">conclusiones en el contexto empírico de la tesis.</w:t>
      </w:r>
    </w:p>
    <w:p>
      <w:pPr>
        <w:pStyle w:val="Textoindependiente"/>
        <w:spacing w:line="360" w:lineRule="auto"/>
        <w:jc w:val="both"/>
      </w:pPr>
      <w:r>
        <w:t xml:space="preserve">La revisión sistemática de evaluación XAI refuerza este posiciónamiento.</w:t>
      </w:r>
      <w:r>
        <w:t xml:space="preserve"> </w:t>
      </w:r>
      <w:r>
        <w:t xml:space="preserve">Nauta et al. (2023)</w:t>
      </w:r>
      <w:r>
        <w:t xml:space="preserve"> </w:t>
      </w:r>
      <w:r>
        <w:t xml:space="preserve">describen un desplazamiento necesario desde evidencia anecdótica</w:t>
      </w:r>
      <w:r>
        <w:t xml:space="preserve"> </w:t>
      </w:r>
      <w:r>
        <w:t xml:space="preserve">hacia métodos cuantitativos de evaluación, pero ese desplazamiento no resuelve</w:t>
      </w:r>
      <w:r>
        <w:t xml:space="preserve"> </w:t>
      </w:r>
      <w:r>
        <w:t xml:space="preserve">por sí solo la relación entre métrica, constructo y claim. La evaluación puede</w:t>
      </w:r>
      <w:r>
        <w:t xml:space="preserve"> </w:t>
      </w:r>
      <w:r>
        <w:t xml:space="preserve">ser cuantitativa y aun así estar mal alineada si la métrica mide una propiedad</w:t>
      </w:r>
      <w:r>
        <w:t xml:space="preserve"> </w:t>
      </w:r>
      <w:r>
        <w:t xml:space="preserve">distinta a la afirmación. Los sanity checks para métricas de saliencia apuntan a</w:t>
      </w:r>
      <w:r>
        <w:t xml:space="preserve"> </w:t>
      </w:r>
      <w:r>
        <w:t xml:space="preserve">un problema similar: no basta con evaluar explicaciones; también deben</w:t>
      </w:r>
      <w:r>
        <w:t xml:space="preserve"> </w:t>
      </w:r>
      <w:r>
        <w:t xml:space="preserve">examinarse las métricas usadas para evaluarlas</w:t>
      </w:r>
      <w:r>
        <w:t xml:space="preserve"> </w:t>
      </w:r>
      <w:r>
        <w:t xml:space="preserve">(Tomsett et al. 2020)</w:t>
      </w:r>
      <w:r>
        <w:t xml:space="preserve">. Esta idea es</w:t>
      </w:r>
      <w:r>
        <w:t xml:space="preserve"> </w:t>
      </w:r>
      <w:r>
        <w:t xml:space="preserve">central para FOM-7, porque la tesis no puede tratar las métricas como</w:t>
      </w:r>
      <w:r>
        <w:t xml:space="preserve"> </w:t>
      </w:r>
      <w:r>
        <w:t xml:space="preserve">instrumentos neutrales. Debe documentar qué mide cada métrica, bajo qué</w:t>
      </w:r>
      <w:r>
        <w:t xml:space="preserve"> </w:t>
      </w:r>
      <w:r>
        <w:t xml:space="preserve">supuestos, y qué afirmaciones permite sostener.</w:t>
      </w:r>
    </w:p>
    <w:p>
      <w:pPr>
        <w:pStyle w:val="Textoindependiente"/>
        <w:spacing w:line="360" w:lineRule="auto"/>
        <w:jc w:val="both"/>
      </w:pPr>
      <w:r>
        <w:t xml:space="preserve">Los marcos existentes ofrecen piezas importantes del problema. Quantus facilita</w:t>
      </w:r>
      <w:r>
        <w:t xml:space="preserve"> </w:t>
      </w:r>
      <w:r>
        <w:t xml:space="preserve">la implementación sistemática de métricas; OpenXAI promueve comparabilidad y</w:t>
      </w:r>
      <w:r>
        <w:t xml:space="preserve"> </w:t>
      </w:r>
      <w:r>
        <w:t xml:space="preserve">transparencia de benchmark; las taxonomías de evaluación distinguen niveles de</w:t>
      </w:r>
      <w:r>
        <w:t xml:space="preserve"> </w:t>
      </w:r>
      <w:r>
        <w:t xml:space="preserve">evidencia; los estudios human-centered muestran que la utilidad depende de</w:t>
      </w:r>
      <w:r>
        <w:t xml:space="preserve"> </w:t>
      </w:r>
      <w:r>
        <w:t xml:space="preserve">usuarios y tareas</w:t>
      </w:r>
      <w:r>
        <w:t xml:space="preserve"> </w:t>
      </w:r>
      <w:r>
        <w:t xml:space="preserve">(Doshi-Velez 2017; Hedström et al. 2023; Agarwal et al. 2022; Rong et al. 2024)</w:t>
      </w:r>
      <w:r>
        <w:t xml:space="preserve">. FOM-7 se ubica entre estas piezas como una capa de integración</w:t>
      </w:r>
      <w:r>
        <w:t xml:space="preserve"> </w:t>
      </w:r>
      <w:r>
        <w:t xml:space="preserve">operativa. Su pregunta no es solamente</w:t>
      </w:r>
      <w:r>
        <w:t xml:space="preserve"> </w:t>
      </w:r>
      <w:r>
        <w:t xml:space="preserve">“qué métrica ejecutar”</w:t>
      </w:r>
      <w:r>
        <w:t xml:space="preserve">, sino cómo</w:t>
      </w:r>
      <w:r>
        <w:t xml:space="preserve"> </w:t>
      </w:r>
      <w:r>
        <w:t xml:space="preserve">asegurar que cada resultado métricamente calculado pueda transformarse en una</w:t>
      </w:r>
      <w:r>
        <w:t xml:space="preserve"> </w:t>
      </w:r>
      <w:r>
        <w:t xml:space="preserve">afirmación doctoralmente admisible, con artefactos calificados y límites de</w:t>
      </w:r>
      <w:r>
        <w:t xml:space="preserve"> </w:t>
      </w:r>
      <w:r>
        <w:t xml:space="preserve">alcance explícitos.</w:t>
      </w:r>
    </w:p>
    <w:p>
      <w:pPr>
        <w:pStyle w:val="Textoindependiente"/>
        <w:spacing w:line="360" w:lineRule="auto"/>
        <w:jc w:val="both"/>
      </w:pPr>
      <w:r>
        <w:t xml:space="preserve">La Tabla</w:t>
      </w:r>
      <w:r>
        <w:t xml:space="preserve"> </w:t>
      </w:r>
      <w:hyperlink w:anchor="tbl-framework-comparison">
        <w:r>
          <w:rPr>
            <w:rStyle w:val="Hipervnculo"/>
          </w:rPr>
          <w:t xml:space="preserve">Table 3.1</w:t>
        </w:r>
      </w:hyperlink>
      <w:r>
        <w:t xml:space="preserve"> </w:t>
      </w:r>
      <w:r>
        <w:t xml:space="preserve">compara los marcos de evaluación más</w:t>
      </w:r>
      <w:r>
        <w:t xml:space="preserve"> </w:t>
      </w:r>
      <w:r>
        <w:t xml:space="preserve">relevantes para la tesis según cuatro dimensiones: la cobertura de métricas</w:t>
      </w:r>
      <w:r>
        <w:t xml:space="preserve"> </w:t>
      </w:r>
      <w:r>
        <w:t xml:space="preserve">ofrecida, el soporte a la reproducibilidad experimental, la presencia de un</w:t>
      </w:r>
      <w:r>
        <w:t xml:space="preserve"> </w:t>
      </w:r>
      <w:r>
        <w:t xml:space="preserve">protocolo de gobernanza secuencial y el tipo de evaluación predominante.</w:t>
      </w:r>
    </w:p>
    <w:tbl>
      <w:tblPr>
        <w:tblStyle w:val="Table"/>
        <w:tblW w:type="pct" w:w="5000"/>
        <w:tblLayout w:type="fixed"/>
        <w:tblLook w:firstRow="0" w:lastRow="0" w:firstColumn="0" w:lastColumn="0" w:noHBand="0" w:noVBand="0" w:val="0000"/>
      </w:tblPr>
      <w:tblGrid>
        <w:gridCol w:w="7920"/>
      </w:tblGrid>
      <w:tr>
        <w:tc>
          <w:tcPr/>
          <w:bookmarkStart w:id="52" w:name="tbl-framework-comparison"/>
          <w:p>
            <w:pPr>
              <w:jc w:val="both"/>
              <w:spacing w:line="360" w:lineRule="auto"/>
            </w:pPr>
            <w:pPr>
              <w:jc w:val="left"/>
              <w:spacing w:before="200"/>
              <w:pStyle w:val="ImageCaption"/>
            </w:pPr>
            <w:r>
              <w:t xml:space="preserve">Table 3.1: Comparación de marcos de evaluación XAI según cobertura, reproducibilidad, gobernanza y tipo de evaluación.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Marco / protocolo</w:t>
                  </w:r>
                </w:p>
              </w:tc>
              <w:tc>
                <w:tcPr/>
                <w:p>
                  <w:pPr>
                    <w:pStyle w:val="Compact"/>
                    <w:jc w:val="both"/>
                    <w:jc w:val="center"/>
                    <w:spacing w:line="360" w:lineRule="auto"/>
                  </w:pPr>
                  <w:r>
                    <w:t xml:space="preserve">Cobertura de métricas</w:t>
                  </w:r>
                </w:p>
              </w:tc>
              <w:tc>
                <w:tcPr/>
                <w:p>
                  <w:pPr>
                    <w:pStyle w:val="Compact"/>
                    <w:jc w:val="both"/>
                    <w:jc w:val="center"/>
                    <w:spacing w:line="360" w:lineRule="auto"/>
                  </w:pPr>
                  <w:r>
                    <w:t xml:space="preserve">Soporte a reproducibilidad</w:t>
                  </w:r>
                </w:p>
              </w:tc>
              <w:tc>
                <w:tcPr/>
                <w:p>
                  <w:pPr>
                    <w:pStyle w:val="Compact"/>
                    <w:jc w:val="both"/>
                    <w:jc w:val="center"/>
                    <w:spacing w:line="360" w:lineRule="auto"/>
                  </w:pPr>
                  <w:r>
                    <w:t xml:space="preserve">Protocolo de gobernanza</w:t>
                  </w:r>
                </w:p>
              </w:tc>
              <w:tc>
                <w:tcPr/>
                <w:p>
                  <w:pPr>
                    <w:pStyle w:val="Compact"/>
                    <w:jc w:val="both"/>
                    <w:jc w:val="center"/>
                    <w:spacing w:line="360" w:lineRule="auto"/>
                  </w:pPr>
                  <w:r>
                    <w:t xml:space="preserve">Tipo de evaluación predominante</w:t>
                  </w:r>
                </w:p>
              </w:tc>
            </w:tr>
            <w:tr>
              <w:tc>
                <w:tcPr/>
                <w:p>
                  <w:pPr>
                    <w:pStyle w:val="Compact"/>
                    <w:jc w:val="both"/>
                    <w:jc w:val="center"/>
                    <w:spacing w:line="360" w:lineRule="auto"/>
                  </w:pPr>
                  <w:r>
                    <w:rPr>
                      <w:b/>
                      <w:bCs/>
                    </w:rPr>
                    <w:t xml:space="preserve">Quantus</w:t>
                  </w:r>
                  <w:r>
                    <w:t xml:space="preserve"> </w:t>
                  </w:r>
                  <w:r>
                    <w:t xml:space="preserve">(Hedström et al. 2023)</w:t>
                  </w:r>
                </w:p>
              </w:tc>
              <w:tc>
                <w:tcPr/>
                <w:p>
                  <w:pPr>
                    <w:pStyle w:val="Compact"/>
                    <w:jc w:val="both"/>
                    <w:jc w:val="center"/>
                    <w:spacing w:line="360" w:lineRule="auto"/>
                  </w:pPr>
                  <w:r>
                    <w:t xml:space="preserve">Alta: 20+ métricas implementadas (fidelidad, robustez, complejidad, localidad, aleatoriedad)</w:t>
                  </w:r>
                </w:p>
              </w:tc>
              <w:tc>
                <w:tcPr/>
                <w:p>
                  <w:pPr>
                    <w:pStyle w:val="Compact"/>
                    <w:jc w:val="both"/>
                    <w:jc w:val="center"/>
                    <w:spacing w:line="360" w:lineRule="auto"/>
                  </w:pPr>
                  <w:r>
                    <w:t xml:space="preserve">Moderado: versiones fijadas, pero sin protocolo de calificación de artefactos</w:t>
                  </w:r>
                </w:p>
              </w:tc>
              <w:tc>
                <w:tcPr/>
                <w:p>
                  <w:pPr>
                    <w:pStyle w:val="Compact"/>
                    <w:jc w:val="both"/>
                    <w:jc w:val="center"/>
                    <w:spacing w:line="360" w:lineRule="auto"/>
                  </w:pPr>
                  <w:r>
                    <w:t xml:space="preserve">Ninguno: uso ad-hoc por el investigador</w:t>
                  </w:r>
                </w:p>
              </w:tc>
              <w:tc>
                <w:tcPr/>
                <w:p>
                  <w:pPr>
                    <w:pStyle w:val="Compact"/>
                    <w:jc w:val="both"/>
                    <w:jc w:val="center"/>
                    <w:spacing w:line="360" w:lineRule="auto"/>
                  </w:pPr>
                  <w:r>
                    <w:t xml:space="preserve">Functionally-grounded; sin capa inferencial integrada</w:t>
                  </w:r>
                </w:p>
              </w:tc>
            </w:tr>
            <w:tr>
              <w:tc>
                <w:tcPr/>
                <w:p>
                  <w:pPr>
                    <w:pStyle w:val="Compact"/>
                    <w:jc w:val="both"/>
                    <w:jc w:val="center"/>
                    <w:spacing w:line="360" w:lineRule="auto"/>
                  </w:pPr>
                  <w:r>
                    <w:rPr>
                      <w:b/>
                      <w:bCs/>
                    </w:rPr>
                    <w:t xml:space="preserve">OpenXAI</w:t>
                  </w:r>
                  <w:r>
                    <w:t xml:space="preserve"> </w:t>
                  </w:r>
                  <w:r>
                    <w:t xml:space="preserve">(Agarwal et al. 2022)</w:t>
                  </w:r>
                </w:p>
              </w:tc>
              <w:tc>
                <w:tcPr/>
                <w:p>
                  <w:pPr>
                    <w:pStyle w:val="Compact"/>
                    <w:jc w:val="both"/>
                    <w:jc w:val="center"/>
                    <w:spacing w:line="360" w:lineRule="auto"/>
                  </w:pPr>
                  <w:r>
                    <w:t xml:space="preserve">Alta: cubre fidelidad, estabilidad, fairness; incluye ground-truth sintético</w:t>
                  </w:r>
                </w:p>
              </w:tc>
              <w:tc>
                <w:tcPr/>
                <w:p>
                  <w:pPr>
                    <w:pStyle w:val="Compact"/>
                    <w:jc w:val="both"/>
                    <w:jc w:val="center"/>
                    <w:spacing w:line="360" w:lineRule="auto"/>
                  </w:pPr>
                  <w:r>
                    <w:t xml:space="preserve">Moderado: plataforma y conjuntos estandarizados; sin control de semillas declarativo</w:t>
                  </w:r>
                </w:p>
              </w:tc>
              <w:tc>
                <w:tcPr/>
                <w:p>
                  <w:pPr>
                    <w:pStyle w:val="Compact"/>
                    <w:jc w:val="both"/>
                    <w:jc w:val="center"/>
                    <w:spacing w:line="360" w:lineRule="auto"/>
                  </w:pPr>
                  <w:r>
                    <w:t xml:space="preserve">Ninguno: comparabilidad por convención, no por protocolo</w:t>
                  </w:r>
                </w:p>
              </w:tc>
              <w:tc>
                <w:tcPr/>
                <w:p>
                  <w:pPr>
                    <w:pStyle w:val="Compact"/>
                    <w:jc w:val="both"/>
                    <w:jc w:val="center"/>
                    <w:spacing w:line="360" w:lineRule="auto"/>
                  </w:pPr>
                  <w:r>
                    <w:t xml:space="preserve">Functionally-grounded + comparación con ground-truth</w:t>
                  </w:r>
                </w:p>
              </w:tc>
            </w:tr>
            <w:tr>
              <w:tc>
                <w:tcPr/>
                <w:p>
                  <w:pPr>
                    <w:pStyle w:val="Compact"/>
                    <w:jc w:val="both"/>
                    <w:jc w:val="center"/>
                    <w:spacing w:line="360" w:lineRule="auto"/>
                  </w:pPr>
                  <w:r>
                    <w:rPr>
                      <w:b/>
                      <w:bCs/>
                    </w:rPr>
                    <w:t xml:space="preserve">Encuesta Nauta et al.</w:t>
                  </w:r>
                  <w:r>
                    <w:t xml:space="preserve"> </w:t>
                  </w:r>
                  <w:r>
                    <w:t xml:space="preserve">(Nauta et al. 2023)</w:t>
                  </w:r>
                </w:p>
              </w:tc>
              <w:tc>
                <w:tcPr/>
                <w:p>
                  <w:pPr>
                    <w:pStyle w:val="Compact"/>
                    <w:jc w:val="both"/>
                    <w:jc w:val="center"/>
                    <w:spacing w:line="360" w:lineRule="auto"/>
                  </w:pPr>
                  <w:r>
                    <w:t xml:space="preserve">Muy alta: revisión de 30 propiedades de evaluación; incluye nivel de usuario y tarea</w:t>
                  </w:r>
                </w:p>
              </w:tc>
              <w:tc>
                <w:tcPr/>
                <w:p>
                  <w:pPr>
                    <w:pStyle w:val="Compact"/>
                    <w:jc w:val="both"/>
                    <w:jc w:val="center"/>
                    <w:spacing w:line="360" w:lineRule="auto"/>
                  </w:pPr>
                  <w:r>
                    <w:t xml:space="preserve">Bajo: documento de revisión, sin implementación de pipeline</w:t>
                  </w:r>
                </w:p>
              </w:tc>
              <w:tc>
                <w:tcPr/>
                <w:p>
                  <w:pPr>
                    <w:pStyle w:val="Compact"/>
                    <w:jc w:val="both"/>
                    <w:jc w:val="center"/>
                    <w:spacing w:line="360" w:lineRule="auto"/>
                  </w:pPr>
                  <w:r>
                    <w:t xml:space="preserve">Ninguno: marco conceptual, no operativo</w:t>
                  </w:r>
                </w:p>
              </w:tc>
              <w:tc>
                <w:tcPr/>
                <w:p>
                  <w:pPr>
                    <w:pStyle w:val="Compact"/>
                    <w:jc w:val="both"/>
                    <w:jc w:val="center"/>
                    <w:spacing w:line="360" w:lineRule="auto"/>
                  </w:pPr>
                  <w:r>
                    <w:t xml:space="preserve">Múltiple: application, human y functionally-grounded</w:t>
                  </w:r>
                </w:p>
              </w:tc>
            </w:tr>
            <w:tr>
              <w:tc>
                <w:tcPr/>
                <w:p>
                  <w:pPr>
                    <w:pStyle w:val="Compact"/>
                    <w:jc w:val="both"/>
                    <w:jc w:val="center"/>
                    <w:spacing w:line="360" w:lineRule="auto"/>
                  </w:pPr>
                  <w:r>
                    <w:rPr>
                      <w:b/>
                      <w:bCs/>
                    </w:rPr>
                    <w:t xml:space="preserve">CARLA</w:t>
                  </w:r>
                  <w:r>
                    <w:t xml:space="preserve"> </w:t>
                  </w:r>
                  <w:r>
                    <w:t xml:space="preserve">(Pawlicki et al. 2024)</w:t>
                  </w:r>
                </w:p>
              </w:tc>
              <w:tc>
                <w:tcPr/>
                <w:p>
                  <w:pPr>
                    <w:pStyle w:val="Compact"/>
                    <w:jc w:val="both"/>
                    <w:jc w:val="center"/>
                    <w:spacing w:line="360" w:lineRule="auto"/>
                  </w:pPr>
                  <w:r>
                    <w:t xml:space="preserve">Moderada: orientada a contrafactuales y recourse; cubre validez, proximidad, diversidad</w:t>
                  </w:r>
                </w:p>
              </w:tc>
              <w:tc>
                <w:tcPr/>
                <w:p>
                  <w:pPr>
                    <w:pStyle w:val="Compact"/>
                    <w:jc w:val="both"/>
                    <w:jc w:val="center"/>
                    <w:spacing w:line="360" w:lineRule="auto"/>
                  </w:pPr>
                  <w:r>
                    <w:t xml:space="preserve">Moderado: librería de benchmarking, configuraciones documentadas</w:t>
                  </w:r>
                </w:p>
              </w:tc>
              <w:tc>
                <w:tcPr/>
                <w:p>
                  <w:pPr>
                    <w:pStyle w:val="Compact"/>
                    <w:jc w:val="both"/>
                    <w:jc w:val="center"/>
                    <w:spacing w:line="360" w:lineRule="auto"/>
                  </w:pPr>
                  <w:r>
                    <w:t xml:space="preserve">Ninguno: librería sin protocolo de admisibilidad</w:t>
                  </w:r>
                </w:p>
              </w:tc>
              <w:tc>
                <w:tcPr/>
                <w:p>
                  <w:pPr>
                    <w:pStyle w:val="Compact"/>
                    <w:jc w:val="both"/>
                    <w:jc w:val="center"/>
                    <w:spacing w:line="360" w:lineRule="auto"/>
                  </w:pPr>
                  <w:r>
                    <w:t xml:space="preserve">Functionally-grounded + counterfactual-specific</w:t>
                  </w:r>
                </w:p>
              </w:tc>
            </w:tr>
            <w:tr>
              <w:tc>
                <w:tcPr/>
                <w:p>
                  <w:pPr>
                    <w:pStyle w:val="Compact"/>
                    <w:jc w:val="both"/>
                    <w:jc w:val="center"/>
                    <w:spacing w:line="360" w:lineRule="auto"/>
                  </w:pPr>
                  <w:r>
                    <w:rPr>
                      <w:b/>
                      <w:bCs/>
                    </w:rPr>
                    <w:t xml:space="preserve">FOM-7</w:t>
                  </w:r>
                  <w:r>
                    <w:t xml:space="preserve"> </w:t>
                  </w:r>
                  <w:r>
                    <w:t xml:space="preserve">(esta tesis)</w:t>
                  </w:r>
                </w:p>
              </w:tc>
              <w:tc>
                <w:tcPr/>
                <w:p>
                  <w:pPr>
                    <w:pStyle w:val="Compact"/>
                    <w:jc w:val="both"/>
                    <w:jc w:val="center"/>
                    <w:spacing w:line="360" w:lineRule="auto"/>
                  </w:pPr>
                  <w:r>
                    <w:t xml:space="preserve">Moderada: cinco métricas primarias operacionalizadas; extensible por diseño</w:t>
                  </w:r>
                </w:p>
              </w:tc>
              <w:tc>
                <w:tcPr/>
                <w:p>
                  <w:pPr>
                    <w:pStyle w:val="Compact"/>
                    <w:jc w:val="both"/>
                    <w:jc w:val="center"/>
                    <w:spacing w:line="360" w:lineRule="auto"/>
                  </w:pPr>
                  <w:r>
                    <w:t xml:space="preserve">Alto: manifiestos YAML, semillas declarativas, artefactos calificados, DOI Zenodo</w:t>
                  </w:r>
                </w:p>
              </w:tc>
              <w:tc>
                <w:tcPr/>
                <w:p>
                  <w:pPr>
                    <w:pStyle w:val="Compact"/>
                    <w:jc w:val="both"/>
                    <w:jc w:val="center"/>
                    <w:spacing w:line="360" w:lineRule="auto"/>
                  </w:pPr>
                  <w:r>
                    <w:t xml:space="preserve">Sí: siete puertas secuenciales con criterios de admisibilidad y falla explícitos</w:t>
                  </w:r>
                </w:p>
              </w:tc>
              <w:tc>
                <w:tcPr/>
                <w:p>
                  <w:pPr>
                    <w:pStyle w:val="Compact"/>
                    <w:jc w:val="both"/>
                    <w:jc w:val="center"/>
                    <w:spacing w:line="360" w:lineRule="auto"/>
                  </w:pPr>
                  <w:r>
                    <w:t xml:space="preserve">Functionally-grounded con admisibilidad estadística integrada</w:t>
                  </w:r>
                </w:p>
              </w:tc>
            </w:tr>
          </w:tbl>
          <w:bookmarkEnd w:id="52"/>
          <w:p>
            <w:pPr>
              <w:spacing w:line="360" w:lineRule="auto"/>
              <w:jc w:val="both"/>
            </w:pPr>
          </w:p>
        </w:tc>
      </w:tr>
    </w:tbl>
    <w:p>
      <w:pPr>
        <w:pStyle w:val="Textoindependiente"/>
        <w:spacing w:line="360" w:lineRule="auto"/>
        <w:jc w:val="both"/>
      </w:pPr>
      <w:r>
        <w:t xml:space="preserve">Esta comparación muestra que los marcos existentes cubren bien la dimensión de</w:t>
      </w:r>
      <w:r>
        <w:t xml:space="preserve"> </w:t>
      </w:r>
      <w:r>
        <w:t xml:space="preserve">cobertura de métricas (Quantus, OpenXAI) o la dimensión conceptual (Nauta et</w:t>
      </w:r>
      <w:r>
        <w:t xml:space="preserve"> </w:t>
      </w:r>
      <w:r>
        <w:t xml:space="preserve">al.), pero ninguno integra un protocolo de gobernanza secuencial que garantice</w:t>
      </w:r>
      <w:r>
        <w:t xml:space="preserve"> </w:t>
      </w:r>
      <w:r>
        <w:t xml:space="preserve">que cada paso del ciclo de evidencia —desde la congelación del diseño hasta la</w:t>
      </w:r>
      <w:r>
        <w:t xml:space="preserve"> </w:t>
      </w:r>
      <w:r>
        <w:t xml:space="preserve">trazabilidad de afirmaciones— esté regulado por criterios de admisibilidad</w:t>
      </w:r>
      <w:r>
        <w:t xml:space="preserve"> </w:t>
      </w:r>
      <w:r>
        <w:t xml:space="preserve">explícitos. Esa integración es precisamente la contribución diferenciadora de</w:t>
      </w:r>
      <w:r>
        <w:t xml:space="preserve"> </w:t>
      </w:r>
      <w:r>
        <w:t xml:space="preserve">FOM-7 respecto a los marcos enumerados.</w:t>
      </w:r>
    </w:p>
    <w:p>
      <w:pPr>
        <w:pStyle w:val="Textoindependiente"/>
        <w:spacing w:line="360" w:lineRule="auto"/>
        <w:jc w:val="both"/>
      </w:pPr>
      <w:r>
        <w:t xml:space="preserve">En dominios de alta responsabilidad, como salud, esta distinción se vuelve aún</w:t>
      </w:r>
      <w:r>
        <w:t xml:space="preserve"> </w:t>
      </w:r>
      <w:r>
        <w:t xml:space="preserve">más visible: las revisiones de XAI médico muestran que la explicabilidad debe</w:t>
      </w:r>
      <w:r>
        <w:t xml:space="preserve"> </w:t>
      </w:r>
      <w:r>
        <w:t xml:space="preserve">relacionarse con confianza, validación, responsabilidad y restricciones del</w:t>
      </w:r>
      <w:r>
        <w:t xml:space="preserve"> </w:t>
      </w:r>
      <w:r>
        <w:t xml:space="preserve">contexto de uso, no solo con la disponibilidad de una visualización o una lista</w:t>
      </w:r>
      <w:r>
        <w:t xml:space="preserve"> </w:t>
      </w:r>
      <w:r>
        <w:t xml:space="preserve">de importancias</w:t>
      </w:r>
      <w:r>
        <w:t xml:space="preserve"> </w:t>
      </w:r>
      <w:r>
        <w:t xml:space="preserve">(Tjoa and Guan 2021)</w:t>
      </w:r>
      <w:r>
        <w:t xml:space="preserve">. Aunque esta tesis no se limita al dominio médico,</w:t>
      </w:r>
      <w:r>
        <w:t xml:space="preserve"> </w:t>
      </w:r>
      <w:r>
        <w:t xml:space="preserve">ese tipo de literatura refuerza la necesidad de separar utilidad contextual,</w:t>
      </w:r>
      <w:r>
        <w:t xml:space="preserve"> </w:t>
      </w:r>
      <w:r>
        <w:t xml:space="preserve">evidencia computacional y admisibilidad de claims.</w:t>
      </w:r>
    </w:p>
    <w:p>
      <w:pPr>
        <w:pStyle w:val="Textoindependiente"/>
        <w:spacing w:line="360" w:lineRule="auto"/>
        <w:jc w:val="both"/>
      </w:pPr>
      <w:r>
        <w:t xml:space="preserve">La literatura reciente sobre métricas XAI insiste en que la evaluación</w:t>
      </w:r>
      <w:r>
        <w:t xml:space="preserve"> </w:t>
      </w:r>
      <w:r>
        <w:t xml:space="preserve">unidimensional es insuficiente</w:t>
      </w:r>
      <w:r>
        <w:t xml:space="preserve"> </w:t>
      </w:r>
      <w:r>
        <w:t xml:space="preserve">(Abdul Kadir et al. 2023; Pawlicki et al. 2024)</w:t>
      </w:r>
      <w:r>
        <w:t xml:space="preserve">. Fidelidad,</w:t>
      </w:r>
      <w:r>
        <w:t xml:space="preserve"> </w:t>
      </w:r>
      <w:r>
        <w:t xml:space="preserve">estabilidad, robustez, complejidad, coste y utilidad capturan constructos</w:t>
      </w:r>
      <w:r>
        <w:t xml:space="preserve"> </w:t>
      </w:r>
      <w:r>
        <w:t xml:space="preserve">diferentes. Un método puede ser rápido y estable, pero poco fiel; otro puede ser</w:t>
      </w:r>
      <w:r>
        <w:t xml:space="preserve"> </w:t>
      </w:r>
      <w:r>
        <w:t xml:space="preserve">fiel y costoso; otro puede ser comprensible pero frágil ante perturbaciones. La</w:t>
      </w:r>
      <w:r>
        <w:t xml:space="preserve"> </w:t>
      </w:r>
      <w:r>
        <w:t xml:space="preserve">consecuencia metodológica es clara: la tesis debe reportar perfiles de</w:t>
      </w:r>
      <w:r>
        <w:t xml:space="preserve"> </w:t>
      </w:r>
      <w:r>
        <w:t xml:space="preserve">desempeño, no rankings absolutos simplificados.</w:t>
      </w:r>
    </w:p>
    <w:p>
      <w:pPr>
        <w:pStyle w:val="Textoindependiente"/>
        <w:spacing w:line="360" w:lineRule="auto"/>
        <w:jc w:val="both"/>
      </w:pPr>
      <w:r>
        <w:t xml:space="preserve">La perspectiva human-centered refuerza la misma conclusión desde otro ángulo.</w:t>
      </w:r>
      <w:r>
        <w:t xml:space="preserve"> </w:t>
      </w:r>
      <w:r>
        <w:t xml:space="preserve">No hay una explicación universalmente adecuada para todos los usuarios, tareas y</w:t>
      </w:r>
      <w:r>
        <w:t xml:space="preserve"> </w:t>
      </w:r>
      <w:r>
        <w:t xml:space="preserve">contextos. Las revisiones y estudios de usuarios muestran que la explicación</w:t>
      </w:r>
      <w:r>
        <w:t xml:space="preserve"> </w:t>
      </w:r>
      <w:r>
        <w:t xml:space="preserve">puede servir para depurar modelos, justificar decisiones, calibrar confianza,</w:t>
      </w:r>
      <w:r>
        <w:t xml:space="preserve"> </w:t>
      </w:r>
      <w:r>
        <w:t xml:space="preserve">enseñar comportamiento del sistema, identificar errores o apoyar acción</w:t>
      </w:r>
      <w:r>
        <w:t xml:space="preserve"> </w:t>
      </w:r>
      <w:r>
        <w:t xml:space="preserve">(Miller 2019; Abdul et al. 2018; Langer et al. 2021; Sokol and Flach 2020; Rong et al. 2024)</w:t>
      </w:r>
      <w:r>
        <w:t xml:space="preserve">. Cada finalidad</w:t>
      </w:r>
      <w:r>
        <w:t xml:space="preserve"> </w:t>
      </w:r>
      <w:r>
        <w:t xml:space="preserve">demanda criterios distintos. Por ello, FOM-7 no debe usar la palabra</w:t>
      </w:r>
      <w:r>
        <w:t xml:space="preserve"> </w:t>
      </w:r>
      <w:r>
        <w:t xml:space="preserve">“mejor”</w:t>
      </w:r>
      <w:r>
        <w:t xml:space="preserve"> </w:t>
      </w:r>
      <w:r>
        <w:t xml:space="preserve">sin</w:t>
      </w:r>
      <w:r>
        <w:t xml:space="preserve"> </w:t>
      </w:r>
      <w:r>
        <w:t xml:space="preserve">calificador. Debe hablar de mejor fidelidad local, mayor estabilidad bajo una</w:t>
      </w:r>
      <w:r>
        <w:t xml:space="preserve"> </w:t>
      </w:r>
      <w:r>
        <w:t xml:space="preserve">perturbación definida, menor coste computacional, mayor cobertura de regla o</w:t>
      </w:r>
      <w:r>
        <w:t xml:space="preserve"> </w:t>
      </w:r>
      <w:r>
        <w:t xml:space="preserve">mayor satisfacción de un criterio contrafactual. Esta disciplina semántica es</w:t>
      </w:r>
      <w:r>
        <w:t xml:space="preserve"> </w:t>
      </w:r>
      <w:r>
        <w:t xml:space="preserve">parte del aporte teórico del protocolo.</w:t>
      </w:r>
    </w:p>
    <w:bookmarkStart w:id="53" w:name="X900f39c64f84f209bdf33df61ada6c5cfa8ef2d"/>
    <w:p>
      <w:pPr>
        <w:pStyle w:val="Ttulo3"/>
        <w:spacing w:line="360" w:lineRule="auto"/>
        <w:jc w:val="both"/>
      </w:pPr>
      <w:r>
        <w:t xml:space="preserve">Evaluación human-centered: usuarios, tareas y calidad explicativa</w:t>
      </w:r>
    </w:p>
    <w:p>
      <w:pPr>
        <w:pStyle w:val="FirstParagraph"/>
        <w:spacing w:line="360" w:lineRule="auto"/>
        <w:jc w:val="both"/>
      </w:pPr>
      <w:r>
        <w:t xml:space="preserve">La evaluación human-centered constituye una rama de la XAI que parte de una</w:t>
      </w:r>
      <w:r>
        <w:t xml:space="preserve"> </w:t>
      </w:r>
      <w:r>
        <w:t xml:space="preserve">premisa metodológica distinta: la calidad de una explicación no puede medirse</w:t>
      </w:r>
      <w:r>
        <w:t xml:space="preserve"> </w:t>
      </w:r>
      <w:r>
        <w:t xml:space="preserve">solo con proxies computacionales, sino que depende de su efecto sobre el</w:t>
      </w:r>
      <w:r>
        <w:t xml:space="preserve"> </w:t>
      </w:r>
      <w:r>
        <w:t xml:space="preserve">entendimiento, la confianza, la calibración y la acción de personas concretas</w:t>
      </w:r>
      <w:r>
        <w:t xml:space="preserve"> </w:t>
      </w:r>
      <w:r>
        <w:t xml:space="preserve">(Doshi-Velez 2017; Miller 2019)</w:t>
      </w:r>
      <w:r>
        <w:t xml:space="preserve">. Esta perspectiva no invalida la evaluación</w:t>
      </w:r>
      <w:r>
        <w:t xml:space="preserve"> </w:t>
      </w:r>
      <w:r>
        <w:t xml:space="preserve">functionally-grounded, sino que la complementa al señalar que las métricas</w:t>
      </w:r>
      <w:r>
        <w:t xml:space="preserve"> </w:t>
      </w:r>
      <w:r>
        <w:t xml:space="preserve">automáticas responden a preguntas distintas a las que responden los usuarios.</w:t>
      </w:r>
    </w:p>
    <w:p>
      <w:pPr>
        <w:pStyle w:val="Textoindependiente"/>
        <w:spacing w:line="360" w:lineRule="auto"/>
        <w:jc w:val="both"/>
      </w:pPr>
      <w:r>
        <w:t xml:space="preserve">Miller (2019)</w:t>
      </w:r>
      <w:r>
        <w:t xml:space="preserve"> </w:t>
      </w:r>
      <w:r>
        <w:t xml:space="preserve">revisa la literatura sobre explicación en ciencias cognitivas y</w:t>
      </w:r>
      <w:r>
        <w:t xml:space="preserve"> </w:t>
      </w:r>
      <w:r>
        <w:t xml:space="preserve">sociales e identifica un conjunto de propiedades empíricamente validadas sobre</w:t>
      </w:r>
      <w:r>
        <w:t xml:space="preserve"> </w:t>
      </w:r>
      <w:r>
        <w:t xml:space="preserve">qué hace útil una explicación para los humanos. Las explicaciones son</w:t>
      </w:r>
      <w:r>
        <w:t xml:space="preserve"> </w:t>
      </w:r>
      <w:r>
        <w:t xml:space="preserve">contrastivas (respondemos a</w:t>
      </w:r>
      <w:r>
        <w:t xml:space="preserve"> </w:t>
      </w:r>
      <w:r>
        <w:t xml:space="preserve">“¿por qué P y no Q?”</w:t>
      </w:r>
      <w:r>
        <w:t xml:space="preserve"> </w:t>
      </w:r>
      <w:r>
        <w:t xml:space="preserve">mejor que a</w:t>
      </w:r>
      <w:r>
        <w:t xml:space="preserve"> </w:t>
      </w:r>
      <w:r>
        <w:t xml:space="preserve">“¿por qué P?”</w:t>
      </w:r>
      <w:r>
        <w:t xml:space="preserve">),</w:t>
      </w:r>
      <w:r>
        <w:t xml:space="preserve"> </w:t>
      </w:r>
      <w:r>
        <w:t xml:space="preserve">selectivas (preferimos explicaciones que citan pocas causas), sociales (el valor</w:t>
      </w:r>
      <w:r>
        <w:t xml:space="preserve"> </w:t>
      </w:r>
      <w:r>
        <w:t xml:space="preserve">de una explicación depende del destinatario y del diálogo) y dependientes del</w:t>
      </w:r>
      <w:r>
        <w:t xml:space="preserve"> </w:t>
      </w:r>
      <w:r>
        <w:t xml:space="preserve">contexto de uso. Estas propiedades no están capturadas por métricas como fidelidad</w:t>
      </w:r>
      <w:r>
        <w:t xml:space="preserve"> </w:t>
      </w:r>
      <w:r>
        <w:t xml:space="preserve">o estabilidad, que son agnósticas al destinatario. La consecuencia metodológica</w:t>
      </w:r>
      <w:r>
        <w:t xml:space="preserve"> </w:t>
      </w:r>
      <w:r>
        <w:t xml:space="preserve">es clara: una tesis que produce evidencia functionally-grounded debe reconocer</w:t>
      </w:r>
      <w:r>
        <w:t xml:space="preserve"> </w:t>
      </w:r>
      <w:r>
        <w:t xml:space="preserve">explícitamente que no puede derivar inferencias sobre comprensión humana o</w:t>
      </w:r>
      <w:r>
        <w:t xml:space="preserve"> </w:t>
      </w:r>
      <w:r>
        <w:t xml:space="preserve">utilidad en tarea.</w:t>
      </w:r>
    </w:p>
    <w:p>
      <w:pPr>
        <w:pStyle w:val="Textoindependiente"/>
        <w:spacing w:line="360" w:lineRule="auto"/>
        <w:jc w:val="both"/>
      </w:pPr>
      <w:r>
        <w:t xml:space="preserve">El problema de calibración de confianza ha recibido atención creciente</w:t>
      </w:r>
      <w:r>
        <w:t xml:space="preserve"> </w:t>
      </w:r>
      <w:r>
        <w:t xml:space="preserve">(Hoffman et al. 2023; Kaur et al. 2020)</w:t>
      </w:r>
      <w:r>
        <w:t xml:space="preserve">. Estudios con científicos de datos muestran que las</w:t>
      </w:r>
      <w:r>
        <w:t xml:space="preserve"> </w:t>
      </w:r>
      <w:r>
        <w:t xml:space="preserve">herramientas de XAI pueden inducir exceso de confianza: los usuarios tienden a</w:t>
      </w:r>
      <w:r>
        <w:t xml:space="preserve"> </w:t>
      </w:r>
      <w:r>
        <w:t xml:space="preserve">aceptar explicaciones visualmente atractivas sin verificar su validez técnica</w:t>
      </w:r>
      <w:r>
        <w:t xml:space="preserve"> </w:t>
      </w:r>
      <w:r>
        <w:t xml:space="preserve">(Kaur et al. 2020)</w:t>
      </w:r>
      <w:r>
        <w:t xml:space="preserve">. Este fenómeno es especialmente problemático en explicaciones LIME,</w:t>
      </w:r>
      <w:r>
        <w:t xml:space="preserve"> </w:t>
      </w:r>
      <w:r>
        <w:t xml:space="preserve">donde el sustituto local puede parecer coherente —una lista de importancias</w:t>
      </w:r>
      <w:r>
        <w:t xml:space="preserve"> </w:t>
      </w:r>
      <w:r>
        <w:t xml:space="preserve">lineales— aunque sea inestable o de baja fidelidad. La literatura de evaluación</w:t>
      </w:r>
      <w:r>
        <w:t xml:space="preserve"> </w:t>
      </w:r>
      <w:r>
        <w:t xml:space="preserve">human-centered sugiere que medir confianza calibrada (si la confianza del usuario</w:t>
      </w:r>
      <w:r>
        <w:t xml:space="preserve"> </w:t>
      </w:r>
      <w:r>
        <w:t xml:space="preserve">en el modelo aumenta cuando la explicación es fiable y disminuye cuando no lo</w:t>
      </w:r>
      <w:r>
        <w:t xml:space="preserve"> </w:t>
      </w:r>
      <w:r>
        <w:t xml:space="preserve">es) es un criterio de calidad distinto e irreductible a los criterios</w:t>
      </w:r>
      <w:r>
        <w:t xml:space="preserve"> </w:t>
      </w:r>
      <w:r>
        <w:t xml:space="preserve">computacionales</w:t>
      </w:r>
      <w:r>
        <w:t xml:space="preserve"> </w:t>
      </w:r>
      <w:r>
        <w:t xml:space="preserve">(Hoffman et al. 2023)</w:t>
      </w:r>
      <w:r>
        <w:t xml:space="preserve">.</w:t>
      </w:r>
    </w:p>
    <w:p>
      <w:pPr>
        <w:pStyle w:val="Textoindependiente"/>
        <w:spacing w:line="360" w:lineRule="auto"/>
        <w:jc w:val="both"/>
      </w:pPr>
      <w:r>
        <w:t xml:space="preserve">Hase and Bansal (2020)</w:t>
      </w:r>
      <w:r>
        <w:t xml:space="preserve"> </w:t>
      </w:r>
      <w:r>
        <w:t xml:space="preserve">evalúan directamente la relación entre explicaciones y comprensión del</w:t>
      </w:r>
      <w:r>
        <w:t xml:space="preserve"> </w:t>
      </w:r>
      <w:r>
        <w:t xml:space="preserve">modelo por parte de usuarios. Sus experimentos muestran que explicaciones con</w:t>
      </w:r>
      <w:r>
        <w:t xml:space="preserve"> </w:t>
      </w:r>
      <w:r>
        <w:t xml:space="preserve">mayor fidelidad no siempre producen mejor comprensión: los usuarios pueden</w:t>
      </w:r>
      <w:r>
        <w:t xml:space="preserve"> </w:t>
      </w:r>
      <w:r>
        <w:t xml:space="preserve">modelar mejor el comportamiento del clasificador con explicaciones simples y</w:t>
      </w:r>
      <w:r>
        <w:t xml:space="preserve"> </w:t>
      </w:r>
      <w:r>
        <w:t xml:space="preserve">ligeramente imprecisas que con atribuciones técnicamente más exactas pero</w:t>
      </w:r>
      <w:r>
        <w:t xml:space="preserve"> </w:t>
      </w:r>
      <w:r>
        <w:t xml:space="preserve">cognitivamente costosas. Esta disociación —fidelidad técnica y comprensión</w:t>
      </w:r>
      <w:r>
        <w:t xml:space="preserve"> </w:t>
      </w:r>
      <w:r>
        <w:t xml:space="preserve">humana no alineadas— es una de las razones por las que la taxonomía de este</w:t>
      </w:r>
      <w:r>
        <w:t xml:space="preserve"> </w:t>
      </w:r>
      <w:r>
        <w:t xml:space="preserve">trabajo distingue el eje de contexto de tarea y señala que el contexto de</w:t>
      </w:r>
      <w:r>
        <w:t xml:space="preserve"> </w:t>
      </w:r>
      <w:r>
        <w:t xml:space="preserve">“soporte a usuario final”</w:t>
      </w:r>
      <w:r>
        <w:t xml:space="preserve"> </w:t>
      </w:r>
      <w:r>
        <w:t xml:space="preserve">requiere criterios propios.</w:t>
      </w:r>
    </w:p>
    <w:p>
      <w:pPr>
        <w:pStyle w:val="Textoindependiente"/>
        <w:spacing w:line="360" w:lineRule="auto"/>
        <w:jc w:val="both"/>
      </w:pPr>
      <w:r>
        <w:t xml:space="preserve">Bhattacharya and Verbert (2024)</w:t>
      </w:r>
      <w:r>
        <w:t xml:space="preserve"> </w:t>
      </w:r>
      <w:r>
        <w:t xml:space="preserve">y</w:t>
      </w:r>
      <w:r>
        <w:t xml:space="preserve"> </w:t>
      </w:r>
      <w:r>
        <w:t xml:space="preserve">Rong et al. (2024)</w:t>
      </w:r>
      <w:r>
        <w:t xml:space="preserve"> </w:t>
      </w:r>
      <w:r>
        <w:t xml:space="preserve">contribuyen revisiones sistemáticas de la</w:t>
      </w:r>
      <w:r>
        <w:t xml:space="preserve"> </w:t>
      </w:r>
      <w:r>
        <w:t xml:space="preserve">literatura sobre XAI human-centered que convergen en recomendar el uso de</w:t>
      </w:r>
      <w:r>
        <w:t xml:space="preserve"> </w:t>
      </w:r>
      <w:r>
        <w:t xml:space="preserve">escalas normalizadas para medir comprehensibilidad entre sistemas, la separación</w:t>
      </w:r>
      <w:r>
        <w:t xml:space="preserve"> </w:t>
      </w:r>
      <w:r>
        <w:t xml:space="preserve">entre satisfacción de usuario y utilidad en tarea, y la necesidad de reportar</w:t>
      </w:r>
      <w:r>
        <w:t xml:space="preserve"> </w:t>
      </w:r>
      <w:r>
        <w:t xml:space="preserve">características del usuario (experto, no experto, dominio) como covariables de</w:t>
      </w:r>
      <w:r>
        <w:t xml:space="preserve"> </w:t>
      </w:r>
      <w:r>
        <w:t xml:space="preserve">los estudios. Estos estudios refuerzan la pertinencia de que la presente tesis</w:t>
      </w:r>
      <w:r>
        <w:t xml:space="preserve"> </w:t>
      </w:r>
      <w:r>
        <w:t xml:space="preserve">declare explícitamente sus límites: FOM-7 opera en el dominio de la evaluación</w:t>
      </w:r>
      <w:r>
        <w:t xml:space="preserve"> </w:t>
      </w:r>
      <w:r>
        <w:t xml:space="preserve">functionally-grounded y cualquier extensión a evaluación human-centered</w:t>
      </w:r>
      <w:r>
        <w:t xml:space="preserve"> </w:t>
      </w:r>
      <w:r>
        <w:t xml:space="preserve">requeriría un protocolo propio con participantes, tareas, escalas y análisis de</w:t>
      </w:r>
      <w:r>
        <w:t xml:space="preserve"> </w:t>
      </w:r>
      <w:r>
        <w:t xml:space="preserve">fiabilidad interrater.</w:t>
      </w:r>
    </w:p>
    <w:p>
      <w:pPr>
        <w:pStyle w:val="Textoindependiente"/>
        <w:spacing w:line="360" w:lineRule="auto"/>
        <w:jc w:val="both"/>
      </w:pPr>
      <w:r>
        <w:t xml:space="preserve">La ausencia de evaluación human-centered no es una omisión inadvertida de esta</w:t>
      </w:r>
      <w:r>
        <w:t xml:space="preserve"> </w:t>
      </w:r>
      <w:r>
        <w:t xml:space="preserve">tesis; es una delimitación metodológica explícita y defendible. La taxonomía del</w:t>
      </w:r>
      <w:r>
        <w:t xml:space="preserve"> </w:t>
      </w:r>
      <w:r>
        <w:t xml:space="preserve">Capítulo 5 localiza con precisión qué cuadrantes del espacio de evaluación XAI</w:t>
      </w:r>
      <w:r>
        <w:t xml:space="preserve"> </w:t>
      </w:r>
      <w:r>
        <w:t xml:space="preserve">cubre el benchmark y cuáles no, lo que convierte la limitación en información</w:t>
      </w:r>
      <w:r>
        <w:t xml:space="preserve"> </w:t>
      </w:r>
      <w:r>
        <w:t xml:space="preserve">científica estructurada y evita sobreinterpretar los resultados empíricos.</w:t>
      </w:r>
    </w:p>
    <w:bookmarkEnd w:id="53"/>
    <w:bookmarkStart w:id="54" w:name="Xcb28a5da8e0ee4c37a7111d109b1f7262846e3e"/>
    <w:p>
      <w:pPr>
        <w:pStyle w:val="Ttulo3"/>
        <w:spacing w:line="360" w:lineRule="auto"/>
        <w:jc w:val="both"/>
      </w:pPr>
      <w:r>
        <w:t xml:space="preserve">Reproducibilidad en XAI: crisis, causas y respuestas</w:t>
      </w:r>
    </w:p>
    <w:p>
      <w:pPr>
        <w:pStyle w:val="FirstParagraph"/>
        <w:spacing w:line="360" w:lineRule="auto"/>
        <w:jc w:val="both"/>
      </w:pPr>
      <w:r>
        <w:t xml:space="preserve">La reproducibilidad es una condición de validez científica, no un detalle</w:t>
      </w:r>
      <w:r>
        <w:t xml:space="preserve"> </w:t>
      </w:r>
      <w:r>
        <w:t xml:space="preserve">técnico. En aprendizaje automático, la crisis de reproducibilidad ha sido</w:t>
      </w:r>
      <w:r>
        <w:t xml:space="preserve"> </w:t>
      </w:r>
      <w:r>
        <w:t xml:space="preserve">documentada tanto en investigación fundamental</w:t>
      </w:r>
      <w:r>
        <w:t xml:space="preserve"> </w:t>
      </w:r>
      <w:r>
        <w:t xml:space="preserve">(Hutson 2018)</w:t>
      </w:r>
      <w:r>
        <w:t xml:space="preserve"> </w:t>
      </w:r>
      <w:r>
        <w:t xml:space="preserve">como en evaluación</w:t>
      </w:r>
      <w:r>
        <w:t xml:space="preserve"> </w:t>
      </w:r>
      <w:r>
        <w:t xml:space="preserve">XAI</w:t>
      </w:r>
      <w:r>
        <w:t xml:space="preserve"> </w:t>
      </w:r>
      <w:r>
        <w:t xml:space="preserve">(Pawlicki et al. 2024; Canha et al. 2025)</w:t>
      </w:r>
      <w:r>
        <w:t xml:space="preserve">. En el contexto de XAI, la reproducibilidad</w:t>
      </w:r>
      <w:r>
        <w:t xml:space="preserve"> </w:t>
      </w:r>
      <w:r>
        <w:t xml:space="preserve">tiene una dimensión adicional: no solo deben reproducirse las predicciones del</w:t>
      </w:r>
      <w:r>
        <w:t xml:space="preserve"> </w:t>
      </w:r>
      <w:r>
        <w:t xml:space="preserve">modelo, sino también los artefactos explicativos, las métricas calculadas sobre</w:t>
      </w:r>
      <w:r>
        <w:t xml:space="preserve"> </w:t>
      </w:r>
      <w:r>
        <w:t xml:space="preserve">ellos y las conclusiones inferenciales derivadas. Esta cadena de reproducibilidad</w:t>
      </w:r>
      <w:r>
        <w:t xml:space="preserve"> </w:t>
      </w:r>
      <w:r>
        <w:t xml:space="preserve">es más frágil que la del modelo base porque introduce más puntos de variación:</w:t>
      </w:r>
      <w:r>
        <w:t xml:space="preserve"> </w:t>
      </w:r>
      <w:r>
        <w:t xml:space="preserve">semillas del explicador, estrategias de muestreo, conjuntos de referencia,</w:t>
      </w:r>
      <w:r>
        <w:t xml:space="preserve"> </w:t>
      </w:r>
      <w:r>
        <w:t xml:space="preserve">umbrales de reglas, y parámetros de métricas.</w:t>
      </w:r>
    </w:p>
    <w:p>
      <w:pPr>
        <w:pStyle w:val="Textoindependiente"/>
        <w:spacing w:line="360" w:lineRule="auto"/>
        <w:jc w:val="both"/>
      </w:pPr>
      <w:r>
        <w:t xml:space="preserve">La literatura identifica al menos cinco fuentes de irreproducibilidad específicas</w:t>
      </w:r>
      <w:r>
        <w:t xml:space="preserve"> </w:t>
      </w:r>
      <w:r>
        <w:t xml:space="preserve">de los benchmarks XAI. Primera, la</w:t>
      </w:r>
      <w:r>
        <w:t xml:space="preserve"> </w:t>
      </w:r>
      <w:r>
        <w:rPr>
          <w:b/>
          <w:bCs/>
        </w:rPr>
        <w:t xml:space="preserve">sensibilidad a hiperparámetros no declarados</w:t>
      </w:r>
      <w:r>
        <w:t xml:space="preserve">:</w:t>
      </w:r>
      <w:r>
        <w:t xml:space="preserve"> </w:t>
      </w:r>
      <w:r>
        <w:t xml:space="preserve">LIME sin declarar</w:t>
      </w:r>
      <w:r>
        <w:t xml:space="preserve"> </w:t>
      </w:r>
      <w:r>
        <w:rPr>
          <w:rStyle w:val="VerbatimChar"/>
        </w:rPr>
        <w:t xml:space="preserve">num_samples</w:t>
      </w:r>
      <w:r>
        <w:t xml:space="preserve">,</w:t>
      </w:r>
      <w:r>
        <w:t xml:space="preserve"> </w:t>
      </w:r>
      <w:r>
        <w:rPr>
          <w:rStyle w:val="VerbatimChar"/>
        </w:rPr>
        <w:t xml:space="preserve">kernel_width</w:t>
      </w:r>
      <w:r>
        <w:t xml:space="preserve"> </w:t>
      </w:r>
      <w:r>
        <w:t xml:space="preserve">y</w:t>
      </w:r>
      <w:r>
        <w:t xml:space="preserve"> </w:t>
      </w:r>
      <w:r>
        <w:rPr>
          <w:rStyle w:val="VerbatimChar"/>
        </w:rPr>
        <w:t xml:space="preserve">discretize_continuous</w:t>
      </w:r>
      <w:r>
        <w:t xml:space="preserve"> </w:t>
      </w:r>
      <w:r>
        <w:t xml:space="preserve">puede</w:t>
      </w:r>
      <w:r>
        <w:t xml:space="preserve"> </w:t>
      </w:r>
      <w:r>
        <w:t xml:space="preserve">producir explicaciones sustancialmente distintas entre estudios que usan</w:t>
      </w:r>
      <w:r>
        <w:t xml:space="preserve"> </w:t>
      </w:r>
      <w:r>
        <w:t xml:space="preserve">“LIME”</w:t>
      </w:r>
      <w:r>
        <w:t xml:space="preserve"> </w:t>
      </w:r>
      <w:r>
        <w:t xml:space="preserve">como etiqueta sin especificar configuración</w:t>
      </w:r>
      <w:r>
        <w:t xml:space="preserve"> </w:t>
      </w:r>
      <w:r>
        <w:t xml:space="preserve">(Burger et al. 2023; Slack et al. 2020)</w:t>
      </w:r>
      <w:r>
        <w:t xml:space="preserve">. Segunda,</w:t>
      </w:r>
      <w:r>
        <w:t xml:space="preserve"> </w:t>
      </w:r>
      <w:r>
        <w:t xml:space="preserve">la</w:t>
      </w:r>
      <w:r>
        <w:t xml:space="preserve"> </w:t>
      </w:r>
      <w:r>
        <w:rPr>
          <w:b/>
          <w:bCs/>
        </w:rPr>
        <w:t xml:space="preserve">dependencia de semillas aleatorias</w:t>
      </w:r>
      <w:r>
        <w:t xml:space="preserve">: los explicadores estocásticos como</w:t>
      </w:r>
      <w:r>
        <w:t xml:space="preserve"> </w:t>
      </w:r>
      <w:r>
        <w:t xml:space="preserve">LIME y DiCE producen resultados distintos con semillas distintas, lo que requiere</w:t>
      </w:r>
      <w:r>
        <w:t xml:space="preserve"> </w:t>
      </w:r>
      <w:r>
        <w:t xml:space="preserve">múltiples réplicas y análisis de varianza por semilla para distinguir señal de</w:t>
      </w:r>
      <w:r>
        <w:t xml:space="preserve"> </w:t>
      </w:r>
      <w:r>
        <w:t xml:space="preserve">ruido</w:t>
      </w:r>
      <w:r>
        <w:t xml:space="preserve"> </w:t>
      </w:r>
      <w:r>
        <w:t xml:space="preserve">(Canha et al. 2025)</w:t>
      </w:r>
      <w:r>
        <w:t xml:space="preserve">. Tercera, la</w:t>
      </w:r>
      <w:r>
        <w:t xml:space="preserve"> </w:t>
      </w:r>
      <w:r>
        <w:rPr>
          <w:b/>
          <w:bCs/>
        </w:rPr>
        <w:t xml:space="preserve">mezcla de cohortes de evidencia</w:t>
      </w:r>
      <w:r>
        <w:t xml:space="preserve">: estudios</w:t>
      </w:r>
      <w:r>
        <w:t xml:space="preserve"> </w:t>
      </w:r>
      <w:r>
        <w:t xml:space="preserve">que usan los mismos artefactos para calibración y para inferencia confirmativa</w:t>
      </w:r>
      <w:r>
        <w:t xml:space="preserve"> </w:t>
      </w:r>
      <w:r>
        <w:t xml:space="preserve">pueden reportar efectos estadísticos inflados, no por fraude sino por falta de</w:t>
      </w:r>
      <w:r>
        <w:t xml:space="preserve"> </w:t>
      </w:r>
      <w:r>
        <w:t xml:space="preserve">una arquitectura que separe las dos funciones</w:t>
      </w:r>
      <w:r>
        <w:t xml:space="preserve"> </w:t>
      </w:r>
      <w:r>
        <w:t xml:space="preserve">(Hedström et al. 2023)</w:t>
      </w:r>
      <w:r>
        <w:t xml:space="preserve">. Cuarta, la</w:t>
      </w:r>
      <w:r>
        <w:t xml:space="preserve"> </w:t>
      </w:r>
      <w:r>
        <w:rPr>
          <w:b/>
          <w:bCs/>
        </w:rPr>
        <w:t xml:space="preserve">ausencia de criterios de calificación de artefactos</w:t>
      </w:r>
      <w:r>
        <w:t xml:space="preserve">: un artefacto vacío,</w:t>
      </w:r>
      <w:r>
        <w:t xml:space="preserve"> </w:t>
      </w:r>
      <w:r>
        <w:t xml:space="preserve">malformado o de convergencia fallida que no se detecta en la etapa de auditoría</w:t>
      </w:r>
      <w:r>
        <w:t xml:space="preserve"> </w:t>
      </w:r>
      <w:r>
        <w:t xml:space="preserve">contamina las tablas métricas con valores espurios</w:t>
      </w:r>
      <w:r>
        <w:t xml:space="preserve"> </w:t>
      </w:r>
      <w:r>
        <w:t xml:space="preserve">(Pawlicki et al. 2024)</w:t>
      </w:r>
      <w:r>
        <w:t xml:space="preserve">. Quinta, la</w:t>
      </w:r>
      <w:r>
        <w:t xml:space="preserve"> </w:t>
      </w:r>
      <w:r>
        <w:rPr>
          <w:b/>
          <w:bCs/>
        </w:rPr>
        <w:t xml:space="preserve">dependencia del entorno computacional</w:t>
      </w:r>
      <w:r>
        <w:t xml:space="preserve">: versiones de librerías, hardware</w:t>
      </w:r>
      <w:r>
        <w:t xml:space="preserve"> </w:t>
      </w:r>
      <w:r>
        <w:t xml:space="preserve">disponible y órdenes de ejecución pueden afectar el timing y, en algunos casos,</w:t>
      </w:r>
      <w:r>
        <w:t xml:space="preserve"> </w:t>
      </w:r>
      <w:r>
        <w:t xml:space="preserve">los valores de métricas.</w:t>
      </w:r>
    </w:p>
    <w:p>
      <w:pPr>
        <w:pStyle w:val="Textoindependiente"/>
        <w:spacing w:line="360" w:lineRule="auto"/>
        <w:jc w:val="both"/>
      </w:pPr>
      <w:r>
        <w:t xml:space="preserve">Canha et al.</w:t>
      </w:r>
      <w:r>
        <w:t xml:space="preserve"> </w:t>
      </w:r>
      <w:r>
        <w:t xml:space="preserve">(2025)</w:t>
      </w:r>
      <w:r>
        <w:t xml:space="preserve"> </w:t>
      </w:r>
      <w:r>
        <w:t xml:space="preserve">proponen un conjunto de principios de reproducibilidad</w:t>
      </w:r>
      <w:r>
        <w:t xml:space="preserve"> </w:t>
      </w:r>
      <w:r>
        <w:t xml:space="preserve">para XAI que incluye declaración de semillas, versionado de dependencias,</w:t>
      </w:r>
      <w:r>
        <w:t xml:space="preserve"> </w:t>
      </w:r>
      <w:r>
        <w:t xml:space="preserve">separación entre datos de entrenamiento y de evaluación, y publicación de</w:t>
      </w:r>
      <w:r>
        <w:t xml:space="preserve"> </w:t>
      </w:r>
      <w:r>
        <w:t xml:space="preserve">artefactos en repositorios con DOI. FOM-7 operacionaliza estos principios en</w:t>
      </w:r>
      <w:r>
        <w:t xml:space="preserve"> </w:t>
      </w:r>
      <w:r>
        <w:t xml:space="preserve">siete puertas: la puerta 1 (congelación del protocolo) previene modificaciones</w:t>
      </w:r>
      <w:r>
        <w:t xml:space="preserve"> </w:t>
      </w:r>
      <w:r>
        <w:t xml:space="preserve">post-hoc; la puerta 2 (ejecución con semillas declarativas) previene</w:t>
      </w:r>
      <w:r>
        <w:t xml:space="preserve"> </w:t>
      </w:r>
      <w:r>
        <w:t xml:space="preserve">sensibilidad no documentada; la puerta 3 (auditoría de integridad) previene</w:t>
      </w:r>
      <w:r>
        <w:t xml:space="preserve"> </w:t>
      </w:r>
      <w:r>
        <w:t xml:space="preserve">contaminación por artefactos malformados; y la puerta 6 (perfilado de</w:t>
      </w:r>
      <w:r>
        <w:t xml:space="preserve"> </w:t>
      </w:r>
      <w:r>
        <w:t xml:space="preserve">reproducibilidad) cuantifica la varianza residual de semilla. Estas puertas no</w:t>
      </w:r>
      <w:r>
        <w:t xml:space="preserve"> </w:t>
      </w:r>
      <w:r>
        <w:t xml:space="preserve">eliminan todas las fuentes de variación, pero las documentan y controlan dentro</w:t>
      </w:r>
      <w:r>
        <w:t xml:space="preserve"> </w:t>
      </w:r>
      <w:r>
        <w:t xml:space="preserve">del alcance del diseño experimental.</w:t>
      </w:r>
    </w:p>
    <w:p>
      <w:pPr>
        <w:pStyle w:val="Textoindependiente"/>
        <w:spacing w:line="360" w:lineRule="auto"/>
        <w:jc w:val="both"/>
      </w:pPr>
      <w:r>
        <w:t xml:space="preserve">La importancia de la reproducibilidad se amplifica en el contexto regulatorio.</w:t>
      </w:r>
      <w:r>
        <w:t xml:space="preserve"> </w:t>
      </w:r>
      <w:r>
        <w:t xml:space="preserve">El EU AI Act exige que los sistemas de IA de alto riesgo sean auditables, lo que</w:t>
      </w:r>
      <w:r>
        <w:t xml:space="preserve"> </w:t>
      </w:r>
      <w:r>
        <w:t xml:space="preserve">implica que las explicaciones usadas en decisiones consecuentes deben poder</w:t>
      </w:r>
      <w:r>
        <w:t xml:space="preserve"> </w:t>
      </w:r>
      <w:r>
        <w:t xml:space="preserve">regenerarse con los mismos parámetros y producir el mismo resultado. Un método</w:t>
      </w:r>
      <w:r>
        <w:t xml:space="preserve"> </w:t>
      </w:r>
      <w:r>
        <w:t xml:space="preserve">de explicación con alta variabilidad de semilla no puede satisfacer este</w:t>
      </w:r>
      <w:r>
        <w:t xml:space="preserve"> </w:t>
      </w:r>
      <w:r>
        <w:t xml:space="preserve">requisito de auditabilidad, independientemente de su fidelidad media. El</w:t>
      </w:r>
      <w:r>
        <w:t xml:space="preserve"> </w:t>
      </w:r>
      <w:r>
        <w:t xml:space="preserve">protocolo FOM-7, al incorporar reproducibilidad como criterio explícito de</w:t>
      </w:r>
      <w:r>
        <w:t xml:space="preserve"> </w:t>
      </w:r>
      <w:r>
        <w:t xml:space="preserve">admisibilidad (proposición P1), conecta la dimensión técnica del benchmark con</w:t>
      </w:r>
      <w:r>
        <w:t xml:space="preserve"> </w:t>
      </w:r>
      <w:r>
        <w:t xml:space="preserve">este requisito normativo emergente.</w:t>
      </w:r>
    </w:p>
    <w:bookmarkEnd w:id="54"/>
    <w:bookmarkEnd w:id="55"/>
    <w:bookmarkStart w:id="56" w:name="X1ac049df9037bab7d9ddedb9eb6dfc246d0f001"/>
    <w:p>
      <w:pPr>
        <w:pStyle w:val="Ttulo2"/>
        <w:spacing w:line="360" w:lineRule="auto"/>
        <w:jc w:val="both"/>
      </w:pPr>
      <w:r>
        <w:t xml:space="preserve">Taxonomias de métricas y brechas de constructo</w:t>
      </w:r>
    </w:p>
    <w:p>
      <w:pPr>
        <w:pStyle w:val="FirstParagraph"/>
        <w:spacing w:line="360" w:lineRule="auto"/>
        <w:jc w:val="both"/>
      </w:pPr>
      <w:r>
        <w:t xml:space="preserve">La fidelidad mide hasta qué punto una explicación aproxima el comportamiento</w:t>
      </w:r>
      <w:r>
        <w:t xml:space="preserve"> </w:t>
      </w:r>
      <w:r>
        <w:t xml:space="preserve">observable del modelo. En métodos de sustitución local, puede operacionalizarse</w:t>
      </w:r>
      <w:r>
        <w:t xml:space="preserve"> </w:t>
      </w:r>
      <w:r>
        <w:t xml:space="preserve">como acuerdo entre el modelo de caja negra y el sustituto en un vecindario</w:t>
      </w:r>
      <w:r>
        <w:t xml:space="preserve"> </w:t>
      </w:r>
      <w:r>
        <w:t xml:space="preserve">definido. Sin embargo, la fidelidad depende de cómo se construye ese</w:t>
      </w:r>
      <w:r>
        <w:t xml:space="preserve"> </w:t>
      </w:r>
      <w:r>
        <w:t xml:space="preserve">vecindario, de qué instancias se consultan y de qué diferencia se considera</w:t>
      </w:r>
      <w:r>
        <w:t xml:space="preserve"> </w:t>
      </w:r>
      <w:r>
        <w:t xml:space="preserve">relevante. Por ello, FOM-7 trata la fidelidad como un resultado condicionado por</w:t>
      </w:r>
      <w:r>
        <w:t xml:space="preserve"> </w:t>
      </w:r>
      <w:r>
        <w:t xml:space="preserve">decisiones experimentales, no como propiedad absoluta del método.</w:t>
      </w:r>
    </w:p>
    <w:p>
      <w:pPr>
        <w:pStyle w:val="Textoindependiente"/>
        <w:spacing w:line="360" w:lineRule="auto"/>
        <w:jc w:val="both"/>
      </w:pPr>
      <w:r>
        <w:t xml:space="preserve">La fidelidad debe leerse como una relación entre tres elementos: el modelo que</w:t>
      </w:r>
      <w:r>
        <w:t xml:space="preserve"> </w:t>
      </w:r>
      <w:r>
        <w:t xml:space="preserve">se explica, el artefacto explicativo y el dominio de comparación. En LIME, por</w:t>
      </w:r>
      <w:r>
        <w:t xml:space="preserve"> </w:t>
      </w:r>
      <w:r>
        <w:t xml:space="preserve">ejemplo, la fidelidad remite al acuerdo entre el modelo de caja negra y el</w:t>
      </w:r>
      <w:r>
        <w:t xml:space="preserve"> </w:t>
      </w:r>
      <w:r>
        <w:t xml:space="preserve">sustituto local en un vecindario definido. En SHAP, la pregunta se desplaza</w:t>
      </w:r>
      <w:r>
        <w:t xml:space="preserve"> </w:t>
      </w:r>
      <w:r>
        <w:t xml:space="preserve">hacia la coherencia de una atribución aditiva bajo supuestos de referencia. En</w:t>
      </w:r>
      <w:r>
        <w:t xml:space="preserve"> </w:t>
      </w:r>
      <w:r>
        <w:t xml:space="preserve">Anchors, la fidelidad no aparece como peso continuo sino como precisión de una</w:t>
      </w:r>
      <w:r>
        <w:t xml:space="preserve"> </w:t>
      </w:r>
      <w:r>
        <w:t xml:space="preserve">regla bajo condiciones de cobertura. En DiCE, la validez de un contrafactual</w:t>
      </w:r>
      <w:r>
        <w:t xml:space="preserve"> </w:t>
      </w:r>
      <w:r>
        <w:t xml:space="preserve">depende de si el cambio propuesto modifica efectivamente la salida del modelo.</w:t>
      </w:r>
      <w:r>
        <w:t xml:space="preserve"> </w:t>
      </w:r>
      <w:r>
        <w:t xml:space="preserve">Estos ejemplos muestran que la fidelidad no es una propiedad homogénea entre</w:t>
      </w:r>
      <w:r>
        <w:t xml:space="preserve"> </w:t>
      </w:r>
      <w:r>
        <w:t xml:space="preserve">familias explicativas; debe operacionalizarse según el objeto que cada método</w:t>
      </w:r>
      <w:r>
        <w:t xml:space="preserve"> </w:t>
      </w:r>
      <w:r>
        <w:t xml:space="preserve">produce</w:t>
      </w:r>
      <w:r>
        <w:t xml:space="preserve"> </w:t>
      </w:r>
      <w:r>
        <w:t xml:space="preserve">(Guidotti et al. 2018; Carvalho et al. 2019; Nauta et al. 2023)</w:t>
      </w:r>
      <w:r>
        <w:t xml:space="preserve">.</w:t>
      </w:r>
    </w:p>
    <w:p>
      <w:pPr>
        <w:pStyle w:val="Textoindependiente"/>
        <w:spacing w:line="360" w:lineRule="auto"/>
        <w:jc w:val="both"/>
      </w:pPr>
      <w:r>
        <w:t xml:space="preserve">La estabilidad evalúa la consistencia de explicaciones ante variaciones</w:t>
      </w:r>
      <w:r>
        <w:t xml:space="preserve"> </w:t>
      </w:r>
      <w:r>
        <w:t xml:space="preserve">pequeñas. Esta propiedad es central porque un usuario puede perder confianza si</w:t>
      </w:r>
      <w:r>
        <w:t xml:space="preserve"> </w:t>
      </w:r>
      <w:r>
        <w:t xml:space="preserve">instancias casi idénticas reciben explicaciones incompatibles. Sin embargo, una</w:t>
      </w:r>
      <w:r>
        <w:t xml:space="preserve"> </w:t>
      </w:r>
      <w:r>
        <w:t xml:space="preserve">explicación estable no es necesariamente correcta; puede repetir de forma</w:t>
      </w:r>
      <w:r>
        <w:t xml:space="preserve"> </w:t>
      </w:r>
      <w:r>
        <w:t xml:space="preserve">consistente una aproximación pobre. La estabilidad debe leerse junto con</w:t>
      </w:r>
      <w:r>
        <w:t xml:space="preserve"> </w:t>
      </w:r>
      <w:r>
        <w:t xml:space="preserve">fidelidad, robustez y alcance del experimento.</w:t>
      </w:r>
    </w:p>
    <w:p>
      <w:pPr>
        <w:pStyle w:val="Textoindependiente"/>
        <w:spacing w:line="360" w:lineRule="auto"/>
        <w:jc w:val="both"/>
      </w:pPr>
      <w:r>
        <w:t xml:space="preserve">En FOM-7, la estabilidad funciona como un control de sensibilidad. Su pregunta</w:t>
      </w:r>
      <w:r>
        <w:t xml:space="preserve"> </w:t>
      </w:r>
      <w:r>
        <w:t xml:space="preserve">no es si la explicación es verdadera, sino si el explicador responde de forma</w:t>
      </w:r>
      <w:r>
        <w:t xml:space="preserve"> </w:t>
      </w:r>
      <w:r>
        <w:t xml:space="preserve">coherente ante variaciones que no deberían alterar sustancialmente la</w:t>
      </w:r>
      <w:r>
        <w:t xml:space="preserve"> </w:t>
      </w:r>
      <w:r>
        <w:t xml:space="preserve">interpretación. Esta distinción es relevante porque algunos explicadores</w:t>
      </w:r>
      <w:r>
        <w:t xml:space="preserve"> </w:t>
      </w:r>
      <w:r>
        <w:t xml:space="preserve">post-hoc pueden variar por razones técnicas ajenas al fenómeno que se desea</w:t>
      </w:r>
      <w:r>
        <w:t xml:space="preserve"> </w:t>
      </w:r>
      <w:r>
        <w:t xml:space="preserve">explicar, como el muestreo, la selección de características o la aleatoriedad</w:t>
      </w:r>
      <w:r>
        <w:t xml:space="preserve"> </w:t>
      </w:r>
      <w:r>
        <w:t xml:space="preserve">del procedimiento</w:t>
      </w:r>
      <w:r>
        <w:t xml:space="preserve"> </w:t>
      </w:r>
      <w:r>
        <w:t xml:space="preserve">(Burger et al. 2023; Slack et al. 2020)</w:t>
      </w:r>
      <w:r>
        <w:t xml:space="preserve">. Por ello, reportar estabilidad</w:t>
      </w:r>
      <w:r>
        <w:t xml:space="preserve"> </w:t>
      </w:r>
      <w:r>
        <w:t xml:space="preserve">ayuda a distinguir entre una diferencia significativa del modelo y una</w:t>
      </w:r>
      <w:r>
        <w:t xml:space="preserve"> </w:t>
      </w:r>
      <w:r>
        <w:t xml:space="preserve">diferencia inducida por el explicador.</w:t>
      </w:r>
    </w:p>
    <w:p>
      <w:pPr>
        <w:pStyle w:val="Textoindependiente"/>
        <w:spacing w:line="360" w:lineRule="auto"/>
        <w:jc w:val="both"/>
      </w:pPr>
      <w:r>
        <w:t xml:space="preserve">La robustez amplía el análisis hacia perturbaciones mayores, ataques o</w:t>
      </w:r>
      <w:r>
        <w:t xml:space="preserve"> </w:t>
      </w:r>
      <w:r>
        <w:t xml:space="preserve">condiciones fuera de distribución. En evaluación XAI, esto es especialmente</w:t>
      </w:r>
      <w:r>
        <w:t xml:space="preserve"> </w:t>
      </w:r>
      <w:r>
        <w:t xml:space="preserve">problemático porque muchas métricas operan alterando entradas. Si las entradas</w:t>
      </w:r>
      <w:r>
        <w:t xml:space="preserve"> </w:t>
      </w:r>
      <w:r>
        <w:t xml:space="preserve">alteradas dejan de representar casos plausibles del dominio, la métrica puede</w:t>
      </w:r>
      <w:r>
        <w:t xml:space="preserve"> </w:t>
      </w:r>
      <w:r>
        <w:t xml:space="preserve">estar evaluando un comportamiento artificial del modelo. Esta advertencia</w:t>
      </w:r>
      <w:r>
        <w:t xml:space="preserve"> </w:t>
      </w:r>
      <w:r>
        <w:t xml:space="preserve">respalda la necesidad de documentar generadores de perturbaciones, dominios de</w:t>
      </w:r>
      <w:r>
        <w:t xml:space="preserve"> </w:t>
      </w:r>
      <w:r>
        <w:t xml:space="preserve">validez y criterios de admisibilidad</w:t>
      </w:r>
      <w:r>
        <w:t xml:space="preserve"> </w:t>
      </w:r>
      <w:r>
        <w:t xml:space="preserve">(Zheng et al. 2025)</w:t>
      </w:r>
      <w:r>
        <w:t xml:space="preserve">.</w:t>
      </w:r>
    </w:p>
    <w:p>
      <w:pPr>
        <w:pStyle w:val="Textoindependiente"/>
        <w:spacing w:line="360" w:lineRule="auto"/>
        <w:jc w:val="both"/>
      </w:pPr>
      <w:r>
        <w:t xml:space="preserve">La complejidad o sparsity evalúa el tamaño cognitivo del artefacto explicativo.</w:t>
      </w:r>
      <w:r>
        <w:t xml:space="preserve"> </w:t>
      </w:r>
      <w:r>
        <w:t xml:space="preserve">Explicaciones más breves pueden ser más comprensibles, pero la parquedad no</w:t>
      </w:r>
      <w:r>
        <w:t xml:space="preserve"> </w:t>
      </w:r>
      <w:r>
        <w:t xml:space="preserve">garantiza calidad. Una explicación demasiado simple puede omitir factores</w:t>
      </w:r>
      <w:r>
        <w:t xml:space="preserve"> </w:t>
      </w:r>
      <w:r>
        <w:t xml:space="preserve">necesarios; una demasiado extensa puede ser técnicamente rica pero inútil para</w:t>
      </w:r>
      <w:r>
        <w:t xml:space="preserve"> </w:t>
      </w:r>
      <w:r>
        <w:t xml:space="preserve">un usuario. FOM-7 usa complejidad como una dimensión de perfil, no como criterio</w:t>
      </w:r>
      <w:r>
        <w:t xml:space="preserve"> </w:t>
      </w:r>
      <w:r>
        <w:t xml:space="preserve">supremo</w:t>
      </w:r>
      <w:r>
        <w:t xml:space="preserve"> </w:t>
      </w:r>
      <w:r>
        <w:t xml:space="preserve">(Nauta et al. 2023)</w:t>
      </w:r>
      <w:r>
        <w:t xml:space="preserve">.</w:t>
      </w:r>
    </w:p>
    <w:p>
      <w:pPr>
        <w:pStyle w:val="Textoindependiente"/>
        <w:spacing w:line="360" w:lineRule="auto"/>
        <w:jc w:val="both"/>
      </w:pPr>
      <w:r>
        <w:t xml:space="preserve">El coste computacional incorpora una dimensión práctica. Explicaciones que</w:t>
      </w:r>
      <w:r>
        <w:t xml:space="preserve"> </w:t>
      </w:r>
      <w:r>
        <w:t xml:space="preserve">requieren miles de consultas al modelo pueden ser aceptables en investigación</w:t>
      </w:r>
      <w:r>
        <w:t xml:space="preserve"> </w:t>
      </w:r>
      <w:r>
        <w:t xml:space="preserve">offline, pero inadecuadas para sistemas interactivos o despliegues con</w:t>
      </w:r>
      <w:r>
        <w:t xml:space="preserve"> </w:t>
      </w:r>
      <w:r>
        <w:t xml:space="preserve">restricciones de latencia. La comparación entre KernelSHAP y aproximaciones más</w:t>
      </w:r>
      <w:r>
        <w:t xml:space="preserve"> </w:t>
      </w:r>
      <w:r>
        <w:t xml:space="preserve">rápidas muestra que la evaluación debe incluir compromisos de factibilidad</w:t>
      </w:r>
      <w:r>
        <w:t xml:space="preserve"> </w:t>
      </w:r>
      <w:r>
        <w:t xml:space="preserve">(Lundberg 2017; Van den Broeck et al. 2022)</w:t>
      </w:r>
      <w:r>
        <w:t xml:space="preserve">.</w:t>
      </w:r>
    </w:p>
    <w:p>
      <w:pPr>
        <w:pStyle w:val="Textoindependiente"/>
        <w:spacing w:line="360" w:lineRule="auto"/>
        <w:jc w:val="both"/>
      </w:pPr>
      <w:r>
        <w:t xml:space="preserve">El coste no es solamente una medida de eficiencia; también condiciona que</w:t>
      </w:r>
      <w:r>
        <w:t xml:space="preserve"> </w:t>
      </w:r>
      <w:r>
        <w:t xml:space="preserve">preguntas pueden contestarse dentro de un benchmark. Un método costoso puede</w:t>
      </w:r>
      <w:r>
        <w:t xml:space="preserve"> </w:t>
      </w:r>
      <w:r>
        <w:t xml:space="preserve">limitar el número de instancias evaluadas, reducir la cantidad de semillas,</w:t>
      </w:r>
      <w:r>
        <w:t xml:space="preserve"> </w:t>
      </w:r>
      <w:r>
        <w:t xml:space="preserve">impedir análisis de sensibilidad o forzar aproximaciones. La literatura sobre</w:t>
      </w:r>
      <w:r>
        <w:t xml:space="preserve"> </w:t>
      </w:r>
      <w:r>
        <w:t xml:space="preserve">tractabilidad de SHAP ilustra que la complejidad computacional no es un detalle</w:t>
      </w:r>
      <w:r>
        <w:t xml:space="preserve"> </w:t>
      </w:r>
      <w:r>
        <w:t xml:space="preserve">de implementación, sino una propiedad que afecta la admisibilidad experimental</w:t>
      </w:r>
      <w:r>
        <w:t xml:space="preserve"> </w:t>
      </w:r>
      <w:r>
        <w:t xml:space="preserve">(Van den Broeck et al. 2022)</w:t>
      </w:r>
      <w:r>
        <w:t xml:space="preserve">. FOM-7 incorpora el coste para evitar que la comparación</w:t>
      </w:r>
      <w:r>
        <w:t xml:space="preserve"> </w:t>
      </w:r>
      <w:r>
        <w:t xml:space="preserve">privilegie explicaciones teóricamente atractivas pero impracticables bajo</w:t>
      </w:r>
      <w:r>
        <w:t xml:space="preserve"> </w:t>
      </w:r>
      <w:r>
        <w:t xml:space="preserve">restricciones reales.</w:t>
      </w:r>
    </w:p>
    <w:p>
      <w:pPr>
        <w:pStyle w:val="Textoindependiente"/>
        <w:spacing w:line="360" w:lineRule="auto"/>
        <w:jc w:val="both"/>
      </w:pPr>
      <w:r>
        <w:t xml:space="preserve">La utilidad y la plausibilidad introducen una capa distinta. Una explicación</w:t>
      </w:r>
      <w:r>
        <w:t xml:space="preserve"> </w:t>
      </w:r>
      <w:r>
        <w:t xml:space="preserve">puede ser útil para un científico de datos que busca depurar un pipeline, para</w:t>
      </w:r>
      <w:r>
        <w:t xml:space="preserve"> </w:t>
      </w:r>
      <w:r>
        <w:t xml:space="preserve">un experto de dominio que evalúa coherencia sustantiva o para un usuario que</w:t>
      </w:r>
      <w:r>
        <w:t xml:space="preserve"> </w:t>
      </w:r>
      <w:r>
        <w:t xml:space="preserve">necesita entender una decisión. Sin embargo, esos usos no se derivan</w:t>
      </w:r>
      <w:r>
        <w:t xml:space="preserve"> </w:t>
      </w:r>
      <w:r>
        <w:t xml:space="preserve">automáticamente de las métricas computacionales. Los estudios human-centered</w:t>
      </w:r>
      <w:r>
        <w:t xml:space="preserve"> </w:t>
      </w:r>
      <w:r>
        <w:t xml:space="preserve">muestran que la utilidad depende de usuario, tarea, interfaz y contexto</w:t>
      </w:r>
      <w:r>
        <w:t xml:space="preserve"> </w:t>
      </w:r>
      <w:r>
        <w:t xml:space="preserve">(Miller 2019; Kaur et al. 2020; Hase and Bansal 2020; Rong et al. 2024)</w:t>
      </w:r>
      <w:r>
        <w:t xml:space="preserve">. Por ello, FOM-7 debe mantener</w:t>
      </w:r>
      <w:r>
        <w:t xml:space="preserve"> </w:t>
      </w:r>
      <w:r>
        <w:t xml:space="preserve">separada la utilidad inferida por proxy de la utilidad demostrada en una tarea</w:t>
      </w:r>
      <w:r>
        <w:t xml:space="preserve"> </w:t>
      </w:r>
      <w:r>
        <w:t xml:space="preserve">humana.</w:t>
      </w:r>
    </w:p>
    <w:p>
      <w:pPr>
        <w:pStyle w:val="Textoindependiente"/>
        <w:spacing w:line="360" w:lineRule="auto"/>
        <w:jc w:val="both"/>
      </w:pPr>
      <w:r>
        <w:t xml:space="preserve">La brecha de constructo aparece cuando una métrica mide una propiedad cercana</w:t>
      </w:r>
      <w:r>
        <w:t xml:space="preserve"> </w:t>
      </w:r>
      <w:r>
        <w:t xml:space="preserve">pero no idéntica a la afirmación que se desea hacer. Por ejemplo, una métrica de</w:t>
      </w:r>
      <w:r>
        <w:t xml:space="preserve"> </w:t>
      </w:r>
      <w:r>
        <w:t xml:space="preserve">fidelidad local no autoriza automáticamente afirmar utilidad humana; una métrica</w:t>
      </w:r>
      <w:r>
        <w:t xml:space="preserve"> </w:t>
      </w:r>
      <w:r>
        <w:t xml:space="preserve">de estabilidad no prueba causalidad; una regla Anchor precisa no garantiza</w:t>
      </w:r>
      <w:r>
        <w:t xml:space="preserve"> </w:t>
      </w:r>
      <w:r>
        <w:t xml:space="preserve">cobertura amplia; un contrafactual válido para el modelo no siempre es</w:t>
      </w:r>
      <w:r>
        <w:t xml:space="preserve"> </w:t>
      </w:r>
      <w:r>
        <w:t xml:space="preserve">accionable para la persona. Esta brecha es uno de los fundamentos conceptuales</w:t>
      </w:r>
      <w:r>
        <w:t xml:space="preserve"> </w:t>
      </w:r>
      <w:r>
        <w:t xml:space="preserve">de FOM-7.</w:t>
      </w:r>
    </w:p>
    <w:p>
      <w:pPr>
        <w:pStyle w:val="Textoindependiente"/>
        <w:spacing w:line="360" w:lineRule="auto"/>
        <w:jc w:val="both"/>
      </w:pPr>
      <w:r>
        <w:t xml:space="preserve">El problema se agrava cuando la métrica produce una cifra fácil de comparar. La</w:t>
      </w:r>
      <w:r>
        <w:t xml:space="preserve"> </w:t>
      </w:r>
      <w:r>
        <w:t xml:space="preserve">forma tabular puede sugerir una objetividad mayor que la realmente disponible.</w:t>
      </w:r>
      <w:r>
        <w:t xml:space="preserve"> </w:t>
      </w:r>
      <w:r>
        <w:t xml:space="preserve">Una diferencia numérica entre dos explicadores solo es significativa si la</w:t>
      </w:r>
      <w:r>
        <w:t xml:space="preserve"> </w:t>
      </w:r>
      <w:r>
        <w:t xml:space="preserve">métrica es válida para el constructo, si la variabilidad fue estimada, si el</w:t>
      </w:r>
      <w:r>
        <w:t xml:space="preserve"> </w:t>
      </w:r>
      <w:r>
        <w:t xml:space="preserve">procedimiento es reproducible y si la afirmación resultante respeta el alcance</w:t>
      </w:r>
      <w:r>
        <w:t xml:space="preserve"> </w:t>
      </w:r>
      <w:r>
        <w:t xml:space="preserve">del experimento. Las revisiones de métodos y métricas insisten en la necesidad</w:t>
      </w:r>
      <w:r>
        <w:t xml:space="preserve"> </w:t>
      </w:r>
      <w:r>
        <w:t xml:space="preserve">de interpretar la evaluación XAI como un conjunto de dimensiones relacionadas,</w:t>
      </w:r>
      <w:r>
        <w:t xml:space="preserve"> </w:t>
      </w:r>
      <w:r>
        <w:t xml:space="preserve">no como un único eje de optimización</w:t>
      </w:r>
      <w:r>
        <w:t xml:space="preserve"> </w:t>
      </w:r>
      <w:r>
        <w:t xml:space="preserve">(Carvalho et al. 2019; Nauta et al. 2023)</w:t>
      </w:r>
      <w:r>
        <w:t xml:space="preserve">. FOM-7 adopta</w:t>
      </w:r>
      <w:r>
        <w:t xml:space="preserve"> </w:t>
      </w:r>
      <w:r>
        <w:t xml:space="preserve">esta lectura y la convierte en una regla de reporte: cada resultado debe</w:t>
      </w:r>
      <w:r>
        <w:t xml:space="preserve"> </w:t>
      </w:r>
      <w:r>
        <w:t xml:space="preserve">mantener unido método, métrica, constructo, condición experimental y claim.</w:t>
      </w:r>
    </w:p>
    <w:p>
      <w:pPr>
        <w:pStyle w:val="Textoindependiente"/>
        <w:spacing w:line="360" w:lineRule="auto"/>
        <w:jc w:val="both"/>
      </w:pPr>
      <w:r>
        <w:t xml:space="preserve">La siguiente matriz resume esta alineación entre métodos, objetos explicativos y</w:t>
      </w:r>
      <w:r>
        <w:t xml:space="preserve"> </w:t>
      </w:r>
      <w:r>
        <w:t xml:space="preserve">constructos de evaluación. Su función no es sustituir el análisis empírico, sino</w:t>
      </w:r>
      <w:r>
        <w:t xml:space="preserve"> </w:t>
      </w:r>
      <w:r>
        <w:t xml:space="preserve">hacer explícita la razón por la cual FOM-7 evalúa perfiles y no rankings</w:t>
      </w:r>
      <w:r>
        <w:t xml:space="preserve"> </w:t>
      </w:r>
      <w:r>
        <w:t xml:space="preserve">absolutos.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360" w:lineRule="auto"/>
              <w:jc w:val="both"/>
            </w:pPr>
            <w:r>
              <w:t xml:space="preserve">Método</w:t>
            </w:r>
          </w:p>
        </w:tc>
        <w:tc>
          <w:tcPr/>
          <w:p>
            <w:pPr>
              <w:pStyle w:val="Compact"/>
              <w:spacing w:line="360" w:lineRule="auto"/>
              <w:jc w:val="both"/>
            </w:pPr>
            <w:r>
              <w:t xml:space="preserve">Objeto explicativo principal</w:t>
            </w:r>
          </w:p>
        </w:tc>
        <w:tc>
          <w:tcPr/>
          <w:p>
            <w:pPr>
              <w:pStyle w:val="Compact"/>
              <w:spacing w:line="360" w:lineRule="auto"/>
              <w:jc w:val="both"/>
            </w:pPr>
            <w:r>
              <w:t xml:space="preserve">Constructos naturalmente alineados</w:t>
            </w:r>
          </w:p>
        </w:tc>
        <w:tc>
          <w:tcPr/>
          <w:p>
            <w:pPr>
              <w:pStyle w:val="Compact"/>
              <w:spacing w:line="360" w:lineRule="auto"/>
              <w:jc w:val="both"/>
            </w:pPr>
            <w:r>
              <w:t xml:space="preserve">Riesgos de evaluación</w:t>
            </w:r>
          </w:p>
        </w:tc>
        <w:tc>
          <w:tcPr/>
          <w:p>
            <w:pPr>
              <w:pStyle w:val="Compact"/>
              <w:spacing w:line="360" w:lineRule="auto"/>
              <w:jc w:val="both"/>
            </w:pPr>
            <w:r>
              <w:t xml:space="preserve">Lectura dentro de FOM-7</w:t>
            </w:r>
          </w:p>
        </w:tc>
      </w:tr>
      <w:tr>
        <w:tc>
          <w:tcPr/>
          <w:p>
            <w:pPr>
              <w:pStyle w:val="Compact"/>
              <w:spacing w:line="360" w:lineRule="auto"/>
              <w:jc w:val="both"/>
            </w:pPr>
            <w:r>
              <w:t xml:space="preserve">LIME</w:t>
            </w:r>
          </w:p>
        </w:tc>
        <w:tc>
          <w:tcPr/>
          <w:p>
            <w:pPr>
              <w:pStyle w:val="Compact"/>
              <w:spacing w:line="360" w:lineRule="auto"/>
              <w:jc w:val="both"/>
            </w:pPr>
            <w:r>
              <w:t xml:space="preserve">Sustituto local interpretable</w:t>
            </w:r>
          </w:p>
        </w:tc>
        <w:tc>
          <w:tcPr/>
          <w:p>
            <w:pPr>
              <w:pStyle w:val="Compact"/>
              <w:spacing w:line="360" w:lineRule="auto"/>
              <w:jc w:val="both"/>
            </w:pPr>
            <w:r>
              <w:t xml:space="preserve">Fidelidad local, estabilidad, complejidad, coste</w:t>
            </w:r>
          </w:p>
        </w:tc>
        <w:tc>
          <w:tcPr/>
          <w:p>
            <w:pPr>
              <w:pStyle w:val="Compact"/>
              <w:spacing w:line="360" w:lineRule="auto"/>
              <w:jc w:val="both"/>
            </w:pPr>
            <w:r>
              <w:t xml:space="preserve">Sensibilidad al muestreo, vecindarios artificiales, manipulabilidad post-hoc</w:t>
            </w:r>
          </w:p>
        </w:tc>
        <w:tc>
          <w:tcPr/>
          <w:p>
            <w:pPr>
              <w:pStyle w:val="Compact"/>
              <w:spacing w:line="360" w:lineRule="auto"/>
              <w:jc w:val="both"/>
            </w:pPr>
            <w:r>
              <w:t xml:space="preserve">Válido como aproximación local condicionada por parámetros documentados</w:t>
            </w:r>
          </w:p>
        </w:tc>
      </w:tr>
      <w:tr>
        <w:tc>
          <w:tcPr/>
          <w:p>
            <w:pPr>
              <w:pStyle w:val="Compact"/>
              <w:spacing w:line="360" w:lineRule="auto"/>
              <w:jc w:val="both"/>
            </w:pPr>
            <w:r>
              <w:t xml:space="preserve">SHAP</w:t>
            </w:r>
          </w:p>
        </w:tc>
        <w:tc>
          <w:tcPr/>
          <w:p>
            <w:pPr>
              <w:pStyle w:val="Compact"/>
              <w:spacing w:line="360" w:lineRule="auto"/>
              <w:jc w:val="both"/>
            </w:pPr>
            <w:r>
              <w:t xml:space="preserve">Atribución aditiva de características</w:t>
            </w:r>
          </w:p>
        </w:tc>
        <w:tc>
          <w:tcPr/>
          <w:p>
            <w:pPr>
              <w:pStyle w:val="Compact"/>
              <w:spacing w:line="360" w:lineRule="auto"/>
              <w:jc w:val="both"/>
            </w:pPr>
            <w:r>
              <w:t xml:space="preserve">Consistencia atributiva, coste, estabilidad, sensibilidad al conjunto de referencia</w:t>
            </w:r>
          </w:p>
        </w:tc>
        <w:tc>
          <w:tcPr/>
          <w:p>
            <w:pPr>
              <w:pStyle w:val="Compact"/>
              <w:spacing w:line="360" w:lineRule="auto"/>
              <w:jc w:val="both"/>
            </w:pPr>
            <w:r>
              <w:t xml:space="preserve">Coste elevado, supuestos sobre ausencia/presencia de variables, lectura causal indebida</w:t>
            </w:r>
          </w:p>
        </w:tc>
        <w:tc>
          <w:tcPr/>
          <w:p>
            <w:pPr>
              <w:pStyle w:val="Compact"/>
              <w:spacing w:line="360" w:lineRule="auto"/>
              <w:jc w:val="both"/>
            </w:pPr>
            <w:r>
              <w:t xml:space="preserve">Válido como perfil de atribución bajo variante y referencia especificadas</w:t>
            </w:r>
          </w:p>
        </w:tc>
      </w:tr>
      <w:tr>
        <w:tc>
          <w:tcPr/>
          <w:p>
            <w:pPr>
              <w:pStyle w:val="Compact"/>
              <w:spacing w:line="360" w:lineRule="auto"/>
              <w:jc w:val="both"/>
            </w:pPr>
            <w:r>
              <w:t xml:space="preserve">Anchors</w:t>
            </w:r>
          </w:p>
        </w:tc>
        <w:tc>
          <w:tcPr/>
          <w:p>
            <w:pPr>
              <w:pStyle w:val="Compact"/>
              <w:spacing w:line="360" w:lineRule="auto"/>
              <w:jc w:val="both"/>
            </w:pPr>
            <w:r>
              <w:t xml:space="preserve">Regla local de alta precisión</w:t>
            </w:r>
          </w:p>
        </w:tc>
        <w:tc>
          <w:tcPr/>
          <w:p>
            <w:pPr>
              <w:pStyle w:val="Compact"/>
              <w:spacing w:line="360" w:lineRule="auto"/>
              <w:jc w:val="both"/>
            </w:pPr>
            <w:r>
              <w:t xml:space="preserve">Precisión, cobertura, complejidad de regla, reproducibilidad</w:t>
            </w:r>
          </w:p>
        </w:tc>
        <w:tc>
          <w:tcPr/>
          <w:p>
            <w:pPr>
              <w:pStyle w:val="Compact"/>
              <w:spacing w:line="360" w:lineRule="auto"/>
              <w:jc w:val="both"/>
            </w:pPr>
            <w:r>
              <w:t xml:space="preserve">Reglas demasiado estrechas, cobertura limitada, comparación difícil con atribuciones</w:t>
            </w:r>
          </w:p>
        </w:tc>
        <w:tc>
          <w:tcPr/>
          <w:p>
            <w:pPr>
              <w:pStyle w:val="Compact"/>
              <w:spacing w:line="360" w:lineRule="auto"/>
              <w:jc w:val="both"/>
            </w:pPr>
            <w:r>
              <w:t xml:space="preserve">Válido como evidencia condicional cuando precisión y cobertura se reportan juntas</w:t>
            </w:r>
          </w:p>
        </w:tc>
      </w:tr>
      <w:tr>
        <w:tc>
          <w:tcPr/>
          <w:p>
            <w:pPr>
              <w:pStyle w:val="Compact"/>
              <w:spacing w:line="360" w:lineRule="auto"/>
              <w:jc w:val="both"/>
            </w:pPr>
            <w:r>
              <w:t xml:space="preserve">DiCE</w:t>
            </w:r>
          </w:p>
        </w:tc>
        <w:tc>
          <w:tcPr/>
          <w:p>
            <w:pPr>
              <w:pStyle w:val="Compact"/>
              <w:spacing w:line="360" w:lineRule="auto"/>
              <w:jc w:val="both"/>
            </w:pPr>
            <w:r>
              <w:t xml:space="preserve">Conjunto de contrafactuales diversos</w:t>
            </w:r>
          </w:p>
        </w:tc>
        <w:tc>
          <w:tcPr/>
          <w:p>
            <w:pPr>
              <w:pStyle w:val="Compact"/>
              <w:spacing w:line="360" w:lineRule="auto"/>
              <w:jc w:val="both"/>
            </w:pPr>
            <w:r>
              <w:t xml:space="preserve">Validez, proximidad, diversidad, factibilidad, accionabilidad</w:t>
            </w:r>
          </w:p>
        </w:tc>
        <w:tc>
          <w:tcPr/>
          <w:p>
            <w:pPr>
              <w:pStyle w:val="Compact"/>
              <w:spacing w:line="360" w:lineRule="auto"/>
              <w:jc w:val="both"/>
            </w:pPr>
            <w:r>
              <w:t xml:space="preserve">Cambios imposibles, recourse no garantizado, confundir cambio de etiqueta con acción real</w:t>
            </w:r>
          </w:p>
        </w:tc>
        <w:tc>
          <w:tcPr/>
          <w:p>
            <w:pPr>
              <w:pStyle w:val="Compact"/>
              <w:spacing w:line="360" w:lineRule="auto"/>
              <w:jc w:val="both"/>
            </w:pPr>
            <w:r>
              <w:t xml:space="preserve">Válido como evidencia contrafactual bajo restricciones de factibilidad explicitadas</w:t>
            </w:r>
          </w:p>
        </w:tc>
      </w:tr>
    </w:tbl>
    <w:p>
      <w:pPr>
        <w:pStyle w:val="Textoindependiente"/>
        <w:spacing w:line="360" w:lineRule="auto"/>
        <w:jc w:val="both"/>
      </w:pPr>
      <w:r>
        <w:t xml:space="preserve">La matriz también muestra que la comparación entre métodos es necesariamente</w:t>
      </w:r>
      <w:r>
        <w:t xml:space="preserve"> </w:t>
      </w:r>
      <w:r>
        <w:t xml:space="preserve">asimétrica. LIME y SHAP pueden compararse parcialmente en términos de</w:t>
      </w:r>
      <w:r>
        <w:t xml:space="preserve"> </w:t>
      </w:r>
      <w:r>
        <w:t xml:space="preserve">atribución o fidelidad local, pero Anchors introduce cobertura de regla y DiCE</w:t>
      </w:r>
      <w:r>
        <w:t xml:space="preserve"> </w:t>
      </w:r>
      <w:r>
        <w:t xml:space="preserve">introduce accionabilidad contrafactual. Si el protocolo fuerza una escala única,</w:t>
      </w:r>
      <w:r>
        <w:t xml:space="preserve"> </w:t>
      </w:r>
      <w:r>
        <w:t xml:space="preserve">puede castigar a un método por no producir el tipo de artefacto que la métrica</w:t>
      </w:r>
      <w:r>
        <w:t xml:space="preserve"> </w:t>
      </w:r>
      <w:r>
        <w:t xml:space="preserve">espera. FOM-7 evita ese error al requerir que cada conclusión especifique el</w:t>
      </w:r>
      <w:r>
        <w:t xml:space="preserve"> </w:t>
      </w:r>
      <w:r>
        <w:t xml:space="preserve">constructo evaluado y el tipo de objeto explicativo al que se aplica</w:t>
      </w:r>
      <w:r>
        <w:t xml:space="preserve"> </w:t>
      </w:r>
      <w:r>
        <w:t xml:space="preserve">(Mothilal 2020; Ribeiro 2018; Lundberg 2017; Karimi et al. 2022)</w:t>
      </w:r>
      <w:r>
        <w:t xml:space="preserve">.</w:t>
      </w:r>
    </w:p>
    <w:bookmarkEnd w:id="56"/>
    <w:bookmarkStart w:id="57" w:name="X56f8700cbeeed185eff27b2505360753d99a361"/>
    <w:p>
      <w:pPr>
        <w:pStyle w:val="Ttulo2"/>
        <w:spacing w:line="360" w:lineRule="auto"/>
        <w:jc w:val="both"/>
      </w:pPr>
      <w:r>
        <w:t xml:space="preserve">Reproducibilidad y trazabilidad en benchmarking XAI</w:t>
      </w:r>
    </w:p>
    <w:p>
      <w:pPr>
        <w:pStyle w:val="FirstParagraph"/>
        <w:spacing w:line="360" w:lineRule="auto"/>
        <w:jc w:val="both"/>
      </w:pPr>
      <w:r>
        <w:t xml:space="preserve">La reproducibilidad en XAI no se limita a publicar código. Un benchmark de</w:t>
      </w:r>
      <w:r>
        <w:t xml:space="preserve"> </w:t>
      </w:r>
      <w:r>
        <w:t xml:space="preserve">explicaciones depende de versiones de datos, modelos, semillas, hiperparámetros,</w:t>
      </w:r>
      <w:r>
        <w:t xml:space="preserve"> </w:t>
      </w:r>
      <w:r>
        <w:t xml:space="preserve">métodos de perturbación, parámetros de explicadores, definiciones de métricas y</w:t>
      </w:r>
      <w:r>
        <w:t xml:space="preserve"> </w:t>
      </w:r>
      <w:r>
        <w:t xml:space="preserve">reglas de agregación. Si estos elementos no se registran, dos estudios pueden</w:t>
      </w:r>
      <w:r>
        <w:t xml:space="preserve"> </w:t>
      </w:r>
      <w:r>
        <w:t xml:space="preserve">usar el mismo nombre de método y producir evidencia no comparable. La</w:t>
      </w:r>
      <w:r>
        <w:t xml:space="preserve"> </w:t>
      </w:r>
      <w:r>
        <w:t xml:space="preserve">reproducibilidad requiere entonces una descripción del pipeline completo</w:t>
      </w:r>
      <w:r>
        <w:t xml:space="preserve"> </w:t>
      </w:r>
      <w:r>
        <w:t xml:space="preserve">(Hedström et al. 2023; Nauta et al. 2023)</w:t>
      </w:r>
      <w:r>
        <w:t xml:space="preserve">.</w:t>
      </w:r>
    </w:p>
    <w:p>
      <w:pPr>
        <w:pStyle w:val="Textoindependiente"/>
        <w:spacing w:line="360" w:lineRule="auto"/>
        <w:jc w:val="both"/>
      </w:pPr>
      <w:r>
        <w:t xml:space="preserve">La literatura de evaluación XAI muestra que esta exigencia es particularmente</w:t>
      </w:r>
      <w:r>
        <w:t xml:space="preserve"> </w:t>
      </w:r>
      <w:r>
        <w:t xml:space="preserve">delicada porque las explicaciones suelen depender de decisiones que parecen</w:t>
      </w:r>
      <w:r>
        <w:t xml:space="preserve"> </w:t>
      </w:r>
      <w:r>
        <w:t xml:space="preserve">menores: una semilla, un conjunto de referencia, una forma de imputar ausencia</w:t>
      </w:r>
      <w:r>
        <w:t xml:space="preserve"> </w:t>
      </w:r>
      <w:r>
        <w:t xml:space="preserve">de variables, un umbral de regla o un generador de perturbaciones. Cuando esas</w:t>
      </w:r>
      <w:r>
        <w:t xml:space="preserve"> </w:t>
      </w:r>
      <w:r>
        <w:t xml:space="preserve">decisiones no se documentan, el resultado puede parecer una propiedad estable</w:t>
      </w:r>
      <w:r>
        <w:t xml:space="preserve"> </w:t>
      </w:r>
      <w:r>
        <w:t xml:space="preserve">del método aunque en realidad sea una propiedad de una configuración concreta.</w:t>
      </w:r>
      <w:r>
        <w:t xml:space="preserve"> </w:t>
      </w:r>
      <w:r>
        <w:t xml:space="preserve">Por eso, el paso desde evaluación anecdótica hacia evaluación cuantitativa debe</w:t>
      </w:r>
      <w:r>
        <w:t xml:space="preserve"> </w:t>
      </w:r>
      <w:r>
        <w:t xml:space="preserve">acompañarse de una disciplina de trazabilidad: no basta con que una métrica</w:t>
      </w:r>
      <w:r>
        <w:t xml:space="preserve"> </w:t>
      </w:r>
      <w:r>
        <w:t xml:space="preserve">exista, debe poder reconstruirse como parte de un experimento completo</w:t>
      </w:r>
      <w:r>
        <w:t xml:space="preserve"> </w:t>
      </w:r>
      <w:r>
        <w:t xml:space="preserve">(Nauta et al. 2023; Hedström et al. 2023)</w:t>
      </w:r>
      <w:r>
        <w:t xml:space="preserve">.</w:t>
      </w:r>
    </w:p>
    <w:p>
      <w:pPr>
        <w:pStyle w:val="Textoindependiente"/>
        <w:spacing w:line="360" w:lineRule="auto"/>
        <w:jc w:val="both"/>
      </w:pPr>
      <w:r>
        <w:t xml:space="preserve">FOM-7 incorpora esta preocupación mediante una secuencia de control: congelar el</w:t>
      </w:r>
      <w:r>
        <w:t xml:space="preserve"> </w:t>
      </w:r>
      <w:r>
        <w:t xml:space="preserve">diseño experimental, calificar artefactos, ejecutar métricas armonizadas,</w:t>
      </w:r>
      <w:r>
        <w:t xml:space="preserve"> </w:t>
      </w:r>
      <w:r>
        <w:t xml:space="preserve">aplicar criterios estadísticos, perfilar reproducibilidad y mapear afirmaciones</w:t>
      </w:r>
      <w:r>
        <w:t xml:space="preserve"> </w:t>
      </w:r>
      <w:r>
        <w:t xml:space="preserve">a evidencia. Esta secuencia evita que los resultados se presenten como</w:t>
      </w:r>
      <w:r>
        <w:t xml:space="preserve"> </w:t>
      </w:r>
      <w:r>
        <w:t xml:space="preserve">conclusiones generales sin indicar las condiciones que los sostienen.</w:t>
      </w:r>
    </w:p>
    <w:p>
      <w:pPr>
        <w:pStyle w:val="Textoindependiente"/>
        <w:spacing w:line="360" w:lineRule="auto"/>
        <w:jc w:val="both"/>
      </w:pPr>
      <w:r>
        <w:t xml:space="preserve">Esta secuencia también protege contra un problema frecuente en revisiones</w:t>
      </w:r>
      <w:r>
        <w:t xml:space="preserve"> </w:t>
      </w:r>
      <w:r>
        <w:t xml:space="preserve">comparativas: la conversión de resultados de herramienta en conclusiones de</w:t>
      </w:r>
      <w:r>
        <w:t xml:space="preserve"> </w:t>
      </w:r>
      <w:r>
        <w:t xml:space="preserve">teoría. Un toolkit puede calcular métricas correctamente y, aun así, el estudio</w:t>
      </w:r>
      <w:r>
        <w:t xml:space="preserve"> </w:t>
      </w:r>
      <w:r>
        <w:t xml:space="preserve">puede sobreinterpretar el resultado si no distingue entre constructo medido,</w:t>
      </w:r>
      <w:r>
        <w:t xml:space="preserve"> </w:t>
      </w:r>
      <w:r>
        <w:t xml:space="preserve">objeto explicativo y alcance del dataset. Los sanity checks de métricas y las</w:t>
      </w:r>
      <w:r>
        <w:t xml:space="preserve"> </w:t>
      </w:r>
      <w:r>
        <w:t xml:space="preserve">críticas a explicaciones post-hoc muestran que tanto los explicadores como los</w:t>
      </w:r>
      <w:r>
        <w:t xml:space="preserve"> </w:t>
      </w:r>
      <w:r>
        <w:t xml:space="preserve">instrumentos de evaluación pueden fallar de maneras no obvias</w:t>
      </w:r>
      <w:r>
        <w:t xml:space="preserve"> </w:t>
      </w:r>
      <w:r>
        <w:t xml:space="preserve">(Tomsett et al. 2020; Slack et al. 2020; Laugel et al. 2019)</w:t>
      </w:r>
      <w:r>
        <w:t xml:space="preserve">. FOM-7 responde a esta vulnerabilidad haciendo que la</w:t>
      </w:r>
      <w:r>
        <w:t xml:space="preserve"> </w:t>
      </w:r>
      <w:r>
        <w:t xml:space="preserve">calificación del artefacto y la admisibilidad del claim sean pasos explícitos,</w:t>
      </w:r>
      <w:r>
        <w:t xml:space="preserve"> </w:t>
      </w:r>
      <w:r>
        <w:t xml:space="preserve">no inferencias dejadas al lector.</w:t>
      </w:r>
    </w:p>
    <w:p>
      <w:pPr>
        <w:pStyle w:val="Textoindependiente"/>
        <w:spacing w:line="360" w:lineRule="auto"/>
        <w:jc w:val="both"/>
      </w:pPr>
      <w:r>
        <w:t xml:space="preserve">La trazabilidad de afirmaciones es especialmente relevante para una tesis</w:t>
      </w:r>
      <w:r>
        <w:t xml:space="preserve"> </w:t>
      </w:r>
      <w:r>
        <w:t xml:space="preserve">doctoral. Cada afirmación fuerte debe poder regresar a una tabla, figura,</w:t>
      </w:r>
      <w:r>
        <w:t xml:space="preserve"> </w:t>
      </w:r>
      <w:r>
        <w:t xml:space="preserve">métrica, prueba estadística o decisión metodológica. Si se afirma que un método</w:t>
      </w:r>
      <w:r>
        <w:t xml:space="preserve"> </w:t>
      </w:r>
      <w:r>
        <w:t xml:space="preserve">es más estable, debe quedar claro en qué dataset, modelo, configuración,</w:t>
      </w:r>
      <w:r>
        <w:t xml:space="preserve"> </w:t>
      </w:r>
      <w:r>
        <w:t xml:space="preserve">vecindario, semilla y métrica se observó esa estabilidad. Si se afirma que un</w:t>
      </w:r>
      <w:r>
        <w:t xml:space="preserve"> </w:t>
      </w:r>
      <w:r>
        <w:t xml:space="preserve">método es preferible, debe específicarse preferible respecto a qué criterio y</w:t>
      </w:r>
      <w:r>
        <w:t xml:space="preserve"> </w:t>
      </w:r>
      <w:r>
        <w:t xml:space="preserve">bajo qué restricciones.</w:t>
      </w:r>
    </w:p>
    <w:p>
      <w:pPr>
        <w:pStyle w:val="Textoindependiente"/>
        <w:spacing w:line="360" w:lineRule="auto"/>
        <w:jc w:val="both"/>
      </w:pPr>
      <w:r>
        <w:t xml:space="preserve">Esta disciplina también protege contra sobreclaiming. FOM-7 no convierte la</w:t>
      </w:r>
      <w:r>
        <w:t xml:space="preserve"> </w:t>
      </w:r>
      <w:r>
        <w:t xml:space="preserve">evaluación functionally-grounded en evidencia application-grounded. Tampoco</w:t>
      </w:r>
      <w:r>
        <w:t xml:space="preserve"> </w:t>
      </w:r>
      <w:r>
        <w:t xml:space="preserve">pretende resolver todos los problemas human-centered de la XAI. Su contribución</w:t>
      </w:r>
      <w:r>
        <w:t xml:space="preserve"> </w:t>
      </w:r>
      <w:r>
        <w:t xml:space="preserve">es más precisa: construir un protocolo operacional para producir evidencia</w:t>
      </w:r>
      <w:r>
        <w:t xml:space="preserve"> </w:t>
      </w:r>
      <w:r>
        <w:t xml:space="preserve">multinivel, reproducible y trazable en un benchmark de explicaciones post-hoc.</w:t>
      </w:r>
    </w:p>
    <w:p>
      <w:pPr>
        <w:pStyle w:val="Textoindependiente"/>
        <w:spacing w:line="360" w:lineRule="auto"/>
        <w:jc w:val="both"/>
      </w:pPr>
      <w:r>
        <w:t xml:space="preserve">La consecuencia práctica es que cada tabla de resultados debe leerse como una</w:t>
      </w:r>
      <w:r>
        <w:t xml:space="preserve"> </w:t>
      </w:r>
      <w:r>
        <w:t xml:space="preserve">tabla de evidencia condicionada. Un valor de fidelidad pertenece a una</w:t>
      </w:r>
      <w:r>
        <w:t xml:space="preserve"> </w:t>
      </w:r>
      <w:r>
        <w:t xml:space="preserve">combinación de modelo, dataset, explicador, perturbación y criterio de</w:t>
      </w:r>
      <w:r>
        <w:t xml:space="preserve"> </w:t>
      </w:r>
      <w:r>
        <w:t xml:space="preserve">agregación. Un valor de estabilidad pertenece a una definición de vecindario y</w:t>
      </w:r>
      <w:r>
        <w:t xml:space="preserve"> </w:t>
      </w:r>
      <w:r>
        <w:t xml:space="preserve">a una clase de variación. Una medición de coste pertenece a una configuración de</w:t>
      </w:r>
      <w:r>
        <w:t xml:space="preserve"> </w:t>
      </w:r>
      <w:r>
        <w:t xml:space="preserve">hardware, implementación y parámetros. Sin esta información, la comparación</w:t>
      </w:r>
      <w:r>
        <w:t xml:space="preserve"> </w:t>
      </w:r>
      <w:r>
        <w:t xml:space="preserve">puede ser útil como orientación preliminar, pero débil como evidencia doctoral.</w:t>
      </w:r>
      <w:r>
        <w:t xml:space="preserve"> </w:t>
      </w:r>
      <w:r>
        <w:t xml:space="preserve">Con esta información, en cambio, la tesis puede formular conclusiones</w:t>
      </w:r>
      <w:r>
        <w:t xml:space="preserve"> </w:t>
      </w:r>
      <w:r>
        <w:t xml:space="preserve">delimitadas y auditables: no</w:t>
      </w:r>
      <w:r>
        <w:t xml:space="preserve"> </w:t>
      </w:r>
      <w:r>
        <w:t xml:space="preserve">“este explicador es mejor”</w:t>
      </w:r>
      <w:r>
        <w:t xml:space="preserve">, sino</w:t>
      </w:r>
      <w:r>
        <w:t xml:space="preserve"> </w:t>
      </w:r>
      <w:r>
        <w:t xml:space="preserve">“este explicador</w:t>
      </w:r>
      <w:r>
        <w:t xml:space="preserve"> </w:t>
      </w:r>
      <w:r>
        <w:t xml:space="preserve">exhibe mayor estabilidad bajo estas condiciones y con este criterio de</w:t>
      </w:r>
      <w:r>
        <w:t xml:space="preserve"> </w:t>
      </w:r>
      <w:r>
        <w:t xml:space="preserve">medición”</w:t>
      </w:r>
      <w:r>
        <w:t xml:space="preserve">. Ese cambio de lenguaje es una parte sustantiva de la contribución</w:t>
      </w:r>
      <w:r>
        <w:t xml:space="preserve"> </w:t>
      </w:r>
      <w:r>
        <w:t xml:space="preserve">metodológica.</w:t>
      </w:r>
    </w:p>
    <w:bookmarkEnd w:id="57"/>
    <w:bookmarkStart w:id="58" w:name="síntesis-crítica-justificación-de-fom-7"/>
    <w:p>
      <w:pPr>
        <w:pStyle w:val="Ttulo2"/>
        <w:spacing w:line="360" w:lineRule="auto"/>
        <w:jc w:val="both"/>
      </w:pPr>
      <w:r>
        <w:t xml:space="preserve">Síntesis crítica: justificación de FOM-7</w:t>
      </w:r>
    </w:p>
    <w:p>
      <w:pPr>
        <w:pStyle w:val="FirstParagraph"/>
        <w:spacing w:line="360" w:lineRule="auto"/>
        <w:jc w:val="both"/>
      </w:pPr>
      <w:r>
        <w:t xml:space="preserve">La revisión permite formular la brecha central de la tesis. La literatura ofrece</w:t>
      </w:r>
      <w:r>
        <w:t xml:space="preserve"> </w:t>
      </w:r>
      <w:r>
        <w:t xml:space="preserve">métodos de explicación influyentes, como LIME, SHAP, Anchors y DiCE. También</w:t>
      </w:r>
      <w:r>
        <w:t xml:space="preserve"> </w:t>
      </w:r>
      <w:r>
        <w:t xml:space="preserve">ofrece marcos de evaluación y toolkits, como Quantus y OpenXAI. Además,</w:t>
      </w:r>
      <w:r>
        <w:t xml:space="preserve"> </w:t>
      </w:r>
      <w:r>
        <w:t xml:space="preserve">dispone de taxonomías conceptuales que distinguen tipos de evaluación,</w:t>
      </w:r>
      <w:r>
        <w:t xml:space="preserve"> </w:t>
      </w:r>
      <w:r>
        <w:t xml:space="preserve">constructos métricos y niveles de participación humana. El problema, por tanto,</w:t>
      </w:r>
      <w:r>
        <w:t xml:space="preserve"> </w:t>
      </w:r>
      <w:r>
        <w:t xml:space="preserve">no es la ausencia total de recursos teóricos o técnicos.</w:t>
      </w:r>
    </w:p>
    <w:p>
      <w:pPr>
        <w:pStyle w:val="Textoindependiente"/>
        <w:spacing w:line="360" w:lineRule="auto"/>
        <w:jc w:val="both"/>
      </w:pPr>
      <w:r>
        <w:t xml:space="preserve">La brecha reside en la integración operacional. En la práctica, evaluar XAI para</w:t>
      </w:r>
      <w:r>
        <w:t xml:space="preserve"> </w:t>
      </w:r>
      <w:r>
        <w:t xml:space="preserve">fines comparativos exige responder preguntas encadenadas: qué artefactos son</w:t>
      </w:r>
      <w:r>
        <w:t xml:space="preserve"> </w:t>
      </w:r>
      <w:r>
        <w:t xml:space="preserve">admisibles, qué métodos se comparan, bajo qué datasets y modelos, con qué</w:t>
      </w:r>
      <w:r>
        <w:t xml:space="preserve"> </w:t>
      </w:r>
      <w:r>
        <w:t xml:space="preserve">parámetros, mediante qué métricas, con qué controles estadísticos, bajo qué</w:t>
      </w:r>
      <w:r>
        <w:t xml:space="preserve"> </w:t>
      </w:r>
      <w:r>
        <w:t xml:space="preserve">criterios de reproducibilidad y con qué límites de interpretación. Cuando estas</w:t>
      </w:r>
      <w:r>
        <w:t xml:space="preserve"> </w:t>
      </w:r>
      <w:r>
        <w:t xml:space="preserve">decisiones no se integran en un protocolo, la evaluación puede producir tablas</w:t>
      </w:r>
      <w:r>
        <w:t xml:space="preserve"> </w:t>
      </w:r>
      <w:r>
        <w:t xml:space="preserve">aparentemente rigurosas pero débiles como evidencia científica.</w:t>
      </w:r>
    </w:p>
    <w:p>
      <w:pPr>
        <w:pStyle w:val="Textoindependiente"/>
        <w:spacing w:line="360" w:lineRule="auto"/>
        <w:jc w:val="both"/>
      </w:pPr>
      <w:r>
        <w:t xml:space="preserve">Esta brecha no debe formularse como una descalificación de los marcos</w:t>
      </w:r>
      <w:r>
        <w:t xml:space="preserve"> </w:t>
      </w:r>
      <w:r>
        <w:t xml:space="preserve">existentes. Quantus, OpenXAI y las revisiones sistemáticas recientes representan</w:t>
      </w:r>
      <w:r>
        <w:t xml:space="preserve"> </w:t>
      </w:r>
      <w:r>
        <w:t xml:space="preserve">avances reales hacia la estandarización, la comparabilidad y la cuantificación</w:t>
      </w:r>
      <w:r>
        <w:t xml:space="preserve"> </w:t>
      </w:r>
      <w:r>
        <w:t xml:space="preserve">de explicaciones</w:t>
      </w:r>
      <w:r>
        <w:t xml:space="preserve"> </w:t>
      </w:r>
      <w:r>
        <w:t xml:space="preserve">(Hedström et al. 2023; Agarwal et al. 2022; Nauta et al. 2023)</w:t>
      </w:r>
      <w:r>
        <w:t xml:space="preserve">. La tesis no afirma</w:t>
      </w:r>
      <w:r>
        <w:t xml:space="preserve"> </w:t>
      </w:r>
      <w:r>
        <w:t xml:space="preserve">que esos recursos sean insuficientes en términos absolutos, sino que no agotan</w:t>
      </w:r>
      <w:r>
        <w:t xml:space="preserve"> </w:t>
      </w:r>
      <w:r>
        <w:t xml:space="preserve">la necesidad de un protocolo situado que gobierne el ciclo completo de evidencia</w:t>
      </w:r>
      <w:r>
        <w:t xml:space="preserve"> </w:t>
      </w:r>
      <w:r>
        <w:t xml:space="preserve">en este estudio. La diferencia es sutil pero decisiva: un toolkit puede ofrecer</w:t>
      </w:r>
      <w:r>
        <w:t xml:space="preserve"> </w:t>
      </w:r>
      <w:r>
        <w:t xml:space="preserve">métricas; un protocolo doctoral debe decir cuándo esas métricas son admisibles,</w:t>
      </w:r>
      <w:r>
        <w:t xml:space="preserve"> </w:t>
      </w:r>
      <w:r>
        <w:t xml:space="preserve">cómo se documentan, cómo se comparan, qué inferencias permiten y qué límites</w:t>
      </w:r>
      <w:r>
        <w:t xml:space="preserve"> </w:t>
      </w:r>
      <w:r>
        <w:t xml:space="preserve">conservan.</w:t>
      </w:r>
    </w:p>
    <w:p>
      <w:pPr>
        <w:pStyle w:val="Textoindependiente"/>
        <w:spacing w:line="360" w:lineRule="auto"/>
        <w:jc w:val="both"/>
      </w:pPr>
      <w:r>
        <w:t xml:space="preserve">La revisión también muestra que las familias de explicación no comparten una</w:t>
      </w:r>
      <w:r>
        <w:t xml:space="preserve"> </w:t>
      </w:r>
      <w:r>
        <w:t xml:space="preserve">ontología única. LIME produce sustitutos locales; SHAP produce atribuciones;</w:t>
      </w:r>
      <w:r>
        <w:t xml:space="preserve"> </w:t>
      </w:r>
      <w:r>
        <w:t xml:space="preserve">Anchors produce reglas; DiCE produce contrafactuales. Esta diversidad implica</w:t>
      </w:r>
      <w:r>
        <w:t xml:space="preserve"> </w:t>
      </w:r>
      <w:r>
        <w:t xml:space="preserve">que el protocolo no puede asumir una equivalencia natural entre salidas</w:t>
      </w:r>
      <w:r>
        <w:t xml:space="preserve"> </w:t>
      </w:r>
      <w:r>
        <w:t xml:space="preserve">explicativas. La comparación debe ser multinivel porque cada método se relaciona</w:t>
      </w:r>
      <w:r>
        <w:t xml:space="preserve"> </w:t>
      </w:r>
      <w:r>
        <w:t xml:space="preserve">de manera distinta con fidelidad, estabilidad, coste, cobertura, accionabilidad</w:t>
      </w:r>
      <w:r>
        <w:t xml:space="preserve"> </w:t>
      </w:r>
      <w:r>
        <w:t xml:space="preserve">y utilidad. La matriz anterior formaliza esta asimetría y convierte una</w:t>
      </w:r>
      <w:r>
        <w:t xml:space="preserve"> </w:t>
      </w:r>
      <w:r>
        <w:t xml:space="preserve">observación teórica en una regla metodológica: ninguna conclusión comparativa</w:t>
      </w:r>
      <w:r>
        <w:t xml:space="preserve"> </w:t>
      </w:r>
      <w:r>
        <w:t xml:space="preserve">puede separarse del tipo de objeto explicativo que la sostiene.</w:t>
      </w:r>
    </w:p>
    <w:p>
      <w:pPr>
        <w:pStyle w:val="Textoindependiente"/>
        <w:spacing w:line="360" w:lineRule="auto"/>
        <w:jc w:val="both"/>
      </w:pPr>
      <w:r>
        <w:t xml:space="preserve">El tercer elemento de la brecha es la admisibilidad estadística. Una diferencia</w:t>
      </w:r>
      <w:r>
        <w:t xml:space="preserve"> </w:t>
      </w:r>
      <w:r>
        <w:t xml:space="preserve">observada entre métodos no basta para sostener una afirmación doctoral si no se</w:t>
      </w:r>
      <w:r>
        <w:t xml:space="preserve"> </w:t>
      </w:r>
      <w:r>
        <w:t xml:space="preserve">acompaña de controles sobre variabilidad, repetición, comparabilidad y alcance.</w:t>
      </w:r>
      <w:r>
        <w:t xml:space="preserve"> </w:t>
      </w:r>
      <w:r>
        <w:t xml:space="preserve">La literatura de benchmarking XAI ha avanzado al ofrecer métricas y esquemas de</w:t>
      </w:r>
      <w:r>
        <w:t xml:space="preserve"> </w:t>
      </w:r>
      <w:r>
        <w:t xml:space="preserve">evaluación, pero el paso desde resultado numérico hasta claim requiere una capa</w:t>
      </w:r>
      <w:r>
        <w:t xml:space="preserve"> </w:t>
      </w:r>
      <w:r>
        <w:t xml:space="preserve">de decisión metodológica. FOM-7 ubica esa capa dentro del protocolo: antes de</w:t>
      </w:r>
      <w:r>
        <w:t xml:space="preserve"> </w:t>
      </w:r>
      <w:r>
        <w:t xml:space="preserve">declarar superioridad, preferencia o robustez, el estudio debe establecer si el</w:t>
      </w:r>
      <w:r>
        <w:t xml:space="preserve"> </w:t>
      </w:r>
      <w:r>
        <w:t xml:space="preserve">resultado es estable, si la prueba estadística es apropiada, si los artefactos</w:t>
      </w:r>
      <w:r>
        <w:t xml:space="preserve"> </w:t>
      </w:r>
      <w:r>
        <w:t xml:space="preserve">son comparables y si la conclusión respeta el constructo evaluado.</w:t>
      </w:r>
    </w:p>
    <w:p>
      <w:pPr>
        <w:pStyle w:val="Textoindependiente"/>
        <w:spacing w:line="360" w:lineRule="auto"/>
        <w:jc w:val="both"/>
      </w:pPr>
      <w:r>
        <w:t xml:space="preserve">El cuarto elemento es la trazabilidad. En una tesis doctoral, la credibilidad no</w:t>
      </w:r>
      <w:r>
        <w:t xml:space="preserve"> </w:t>
      </w:r>
      <w:r>
        <w:t xml:space="preserve">depende solo de tener resultados, sino de que el lector pueda seguir el camino</w:t>
      </w:r>
      <w:r>
        <w:t xml:space="preserve"> </w:t>
      </w:r>
      <w:r>
        <w:t xml:space="preserve">desde una afirmación hasta sus condiciones de producción. Esta trazabilidad</w:t>
      </w:r>
      <w:r>
        <w:t xml:space="preserve"> </w:t>
      </w:r>
      <w:r>
        <w:t xml:space="preserve">incluye referencias bibliográficas, definiciones conceptuales, decisiones de</w:t>
      </w:r>
      <w:r>
        <w:t xml:space="preserve"> </w:t>
      </w:r>
      <w:r>
        <w:t xml:space="preserve">diseño, configuraciones experimentales, métricas, pruebas estadísticas y</w:t>
      </w:r>
      <w:r>
        <w:t xml:space="preserve"> </w:t>
      </w:r>
      <w:r>
        <w:t xml:space="preserve">limitaciones. FOM-7 convierte esta exigencia en arquitectura: cada claim debe</w:t>
      </w:r>
      <w:r>
        <w:t xml:space="preserve"> </w:t>
      </w:r>
      <w:r>
        <w:t xml:space="preserve">vincularse con evidencia identificable y cada evidencia debe declarar su alcance</w:t>
      </w:r>
      <w:r>
        <w:t xml:space="preserve"> </w:t>
      </w:r>
      <w:r>
        <w:t xml:space="preserve">interpretativo. Así, el protocolo evita que la literatura revise conceptos por</w:t>
      </w:r>
      <w:r>
        <w:t xml:space="preserve"> </w:t>
      </w:r>
      <w:r>
        <w:t xml:space="preserve">un lado y los experimentos reporten cifras por otro, sin un puente claro entre</w:t>
      </w:r>
      <w:r>
        <w:t xml:space="preserve"> </w:t>
      </w:r>
      <w:r>
        <w:t xml:space="preserve">ambos.</w:t>
      </w:r>
    </w:p>
    <w:p>
      <w:pPr>
        <w:pStyle w:val="Textoindependiente"/>
        <w:spacing w:line="360" w:lineRule="auto"/>
        <w:jc w:val="both"/>
      </w:pPr>
      <w:r>
        <w:t xml:space="preserve">FOM-7 se justifica como respuesta a esa brecha. Su aporte no es proponer una</w:t>
      </w:r>
      <w:r>
        <w:t xml:space="preserve"> </w:t>
      </w:r>
      <w:r>
        <w:t xml:space="preserve">métrica aislada ni afirmar que un método de explicación domina universalmente a</w:t>
      </w:r>
      <w:r>
        <w:t xml:space="preserve"> </w:t>
      </w:r>
      <w:r>
        <w:t xml:space="preserve">los demás. Su aporte es estructurar un proceso de evaluación multinivel que</w:t>
      </w:r>
      <w:r>
        <w:t xml:space="preserve"> </w:t>
      </w:r>
      <w:r>
        <w:t xml:space="preserve">conecta diseño experimental, calificación de artefactos, medición,</w:t>
      </w:r>
      <w:r>
        <w:t xml:space="preserve"> </w:t>
      </w:r>
      <w:r>
        <w:t xml:space="preserve">admisibilidad estadística, reproducibilidad y trazabilidad de claims. Esta</w:t>
      </w:r>
      <w:r>
        <w:t xml:space="preserve"> </w:t>
      </w:r>
      <w:r>
        <w:t xml:space="preserve">conexión permite que las conclusiones de la tesis sean evaluables, replicables y</w:t>
      </w:r>
      <w:r>
        <w:t xml:space="preserve"> </w:t>
      </w:r>
      <w:r>
        <w:t xml:space="preserve">delimitadas.</w:t>
      </w:r>
    </w:p>
    <w:p>
      <w:pPr>
        <w:pStyle w:val="Textoindependiente"/>
        <w:spacing w:line="360" w:lineRule="auto"/>
        <w:jc w:val="both"/>
      </w:pPr>
      <w:r>
        <w:t xml:space="preserve">En consecuencia, FOM-7 puede describirse como una contribución de gobernanza</w:t>
      </w:r>
      <w:r>
        <w:t xml:space="preserve"> </w:t>
      </w:r>
      <w:r>
        <w:t xml:space="preserve">metodológica para evaluación XAI. No compite con LIME, SHAP, Anchors o DiCE,</w:t>
      </w:r>
      <w:r>
        <w:t xml:space="preserve"> </w:t>
      </w:r>
      <w:r>
        <w:t xml:space="preserve">porque no es un explicador. No compite con Quantus u OpenXAI como librería de</w:t>
      </w:r>
      <w:r>
        <w:t xml:space="preserve"> </w:t>
      </w:r>
      <w:r>
        <w:t xml:space="preserve">métricas, porque su foco no es ampliar el catálogo de implementaciones. Su</w:t>
      </w:r>
      <w:r>
        <w:t xml:space="preserve"> </w:t>
      </w:r>
      <w:r>
        <w:t xml:space="preserve">espacio propio está en coordinar los pasos que permiten convertir explicaciones</w:t>
      </w:r>
      <w:r>
        <w:t xml:space="preserve"> </w:t>
      </w:r>
      <w:r>
        <w:t xml:space="preserve">y métricas en evidencia científica: selección de artefactos, congelamiento de</w:t>
      </w:r>
      <w:r>
        <w:t xml:space="preserve"> </w:t>
      </w:r>
      <w:r>
        <w:t xml:space="preserve">condiciones, ejecución comparable, análisis estadístico, perfil reproducible y</w:t>
      </w:r>
      <w:r>
        <w:t xml:space="preserve"> </w:t>
      </w:r>
      <w:r>
        <w:t xml:space="preserve">claim trazable. Esta posición hace que la contribución sea defendible sin</w:t>
      </w:r>
      <w:r>
        <w:t xml:space="preserve"> </w:t>
      </w:r>
      <w:r>
        <w:t xml:space="preserve">sobreclaiming.</w:t>
      </w:r>
    </w:p>
    <w:p>
      <w:pPr>
        <w:pStyle w:val="Textoindependiente"/>
        <w:spacing w:line="360" w:lineRule="auto"/>
        <w:jc w:val="both"/>
      </w:pPr>
      <w:r>
        <w:t xml:space="preserve">El capítulo también delimita lo que FOM-7 no demuestra. No demuestra utilidad</w:t>
      </w:r>
      <w:r>
        <w:t xml:space="preserve"> </w:t>
      </w:r>
      <w:r>
        <w:t xml:space="preserve">humana directa, porque esa afirmación requeriría estudios human-grounded o</w:t>
      </w:r>
      <w:r>
        <w:t xml:space="preserve"> </w:t>
      </w:r>
      <w:r>
        <w:t xml:space="preserve">application-grounded específicos</w:t>
      </w:r>
      <w:r>
        <w:t xml:space="preserve"> </w:t>
      </w:r>
      <w:r>
        <w:t xml:space="preserve">(Doshi-Velez 2017; Hase and Bansal 2020; Rong et al. 2024)</w:t>
      </w:r>
      <w:r>
        <w:t xml:space="preserve">. No</w:t>
      </w:r>
      <w:r>
        <w:t xml:space="preserve"> </w:t>
      </w:r>
      <w:r>
        <w:t xml:space="preserve">demuestra verdad causal de las explicaciones, porque las métricas</w:t>
      </w:r>
      <w:r>
        <w:t xml:space="preserve"> </w:t>
      </w:r>
      <w:r>
        <w:t xml:space="preserve">functionally-grounded operan sobre proxies definidos. No demuestra superioridad</w:t>
      </w:r>
      <w:r>
        <w:t xml:space="preserve"> </w:t>
      </w:r>
      <w:r>
        <w:t xml:space="preserve">universal de un método, porque los métodos producen objetos heterogéneos y</w:t>
      </w:r>
      <w:r>
        <w:t xml:space="preserve"> </w:t>
      </w:r>
      <w:r>
        <w:t xml:space="preserve">responden a constructos distintos. Estas limitaciones no debilitan la tesis; al</w:t>
      </w:r>
      <w:r>
        <w:t xml:space="preserve"> </w:t>
      </w:r>
      <w:r>
        <w:t xml:space="preserve">contrario, fortalecen su precisión. Un protocolo doctoral robusto no elimina los</w:t>
      </w:r>
      <w:r>
        <w:t xml:space="preserve"> </w:t>
      </w:r>
      <w:r>
        <w:t xml:space="preserve">límites, los vuelve visibles y auditables.</w:t>
      </w:r>
    </w:p>
    <w:p>
      <w:pPr>
        <w:pStyle w:val="Textoindependiente"/>
        <w:spacing w:line="360" w:lineRule="auto"/>
        <w:jc w:val="both"/>
      </w:pPr>
      <w:r>
        <w:t xml:space="preserve">Desde esta perspectiva, el capítulo 2 cumple una función argumentativa:</w:t>
      </w:r>
      <w:r>
        <w:t xml:space="preserve"> </w:t>
      </w:r>
      <w:r>
        <w:t xml:space="preserve">demuestra que la XAI ha madurado como campo de métodos, que la evaluación ha</w:t>
      </w:r>
      <w:r>
        <w:t xml:space="preserve"> </w:t>
      </w:r>
      <w:r>
        <w:t xml:space="preserve">avanzado mediante taxonomías y toolkits, y que aún falta una capa operacional</w:t>
      </w:r>
      <w:r>
        <w:t xml:space="preserve"> </w:t>
      </w:r>
      <w:r>
        <w:t xml:space="preserve">que gobierne el paso desde resultados métricos hacia afirmaciones científicas.</w:t>
      </w:r>
      <w:r>
        <w:t xml:space="preserve"> </w:t>
      </w:r>
      <w:r>
        <w:t xml:space="preserve">Esa capa es el espacio de contribución de FOM-7 y el puente conceptual hacia el</w:t>
      </w:r>
      <w:r>
        <w:t xml:space="preserve"> </w:t>
      </w:r>
      <w:r>
        <w:t xml:space="preserve">diseño experimental desarrollado en el capítulo siguiente.</w:t>
      </w:r>
    </w:p>
    <w:p>
      <w:pPr>
        <w:pStyle w:val="Textoindependiente"/>
        <w:spacing w:line="360" w:lineRule="auto"/>
        <w:jc w:val="both"/>
      </w:pPr>
      <w:r>
        <w:t xml:space="preserve">Este capítulo ha establecido el fundamento conceptual que sostiene la propuesta</w:t>
      </w:r>
      <w:r>
        <w:t xml:space="preserve"> </w:t>
      </w:r>
      <w:r>
        <w:t xml:space="preserve">FOM-7. La revisión muestra que la literatura dispone de explicadores maduros,</w:t>
      </w:r>
      <w:r>
        <w:t xml:space="preserve"> </w:t>
      </w:r>
      <w:r>
        <w:t xml:space="preserve">toolkits de evaluación funcionales y taxonomías conceptuales que distinguen</w:t>
      </w:r>
      <w:r>
        <w:t xml:space="preserve"> </w:t>
      </w:r>
      <w:r>
        <w:t xml:space="preserve">niveles de evidencia —pero ningún protocolo operativo que gobierne el ciclo</w:t>
      </w:r>
      <w:r>
        <w:t xml:space="preserve"> </w:t>
      </w:r>
      <w:r>
        <w:t xml:space="preserve">completo desde el diseño experimental hasta la trazabilidad de afirmaciones. Las</w:t>
      </w:r>
      <w:r>
        <w:t xml:space="preserve"> </w:t>
      </w:r>
      <w:r>
        <w:t xml:space="preserve">dos subsecciones finales —evaluación human-centered y reproducibilidad en XAI—</w:t>
      </w:r>
      <w:r>
        <w:t xml:space="preserve"> </w:t>
      </w:r>
      <w:r>
        <w:t xml:space="preserve">sitúan esa brecha en su contexto más amplio: la reproducibilidad es un requisito</w:t>
      </w:r>
      <w:r>
        <w:t xml:space="preserve"> </w:t>
      </w:r>
      <w:r>
        <w:t xml:space="preserve">de validez científica y un requisito normativo emergente; la evaluación centrada</w:t>
      </w:r>
      <w:r>
        <w:t xml:space="preserve"> </w:t>
      </w:r>
      <w:r>
        <w:t xml:space="preserve">en el usuario es una dimensión de calidad que el benchmark puede delimitar, pero</w:t>
      </w:r>
      <w:r>
        <w:t xml:space="preserve"> </w:t>
      </w:r>
      <w:r>
        <w:t xml:space="preserve">no sustituir. La consecuencia operativa de esta revisión es que el Capítulo 3</w:t>
      </w:r>
      <w:r>
        <w:t xml:space="preserve"> </w:t>
      </w:r>
      <w:r>
        <w:t xml:space="preserve">no puede limitarse a describir qué métricas se calculan: debe especificar bajo</w:t>
      </w:r>
      <w:r>
        <w:t xml:space="preserve"> </w:t>
      </w:r>
      <w:r>
        <w:t xml:space="preserve">qué condiciones experimentales son admisibles, qué artefactos las sostienen y</w:t>
      </w:r>
      <w:r>
        <w:t xml:space="preserve"> </w:t>
      </w:r>
      <w:r>
        <w:t xml:space="preserve">qué inferencias permiten. Esa especificación es el diseño de FOM-7.</w:t>
      </w:r>
    </w:p>
    <w:bookmarkEnd w:id="58"/>
    <w:bookmarkEnd w:id="59"/>
    <w:bookmarkStart w:id="102" w:name="marco-empírico-y-diseño-experimental"/>
    <w:p>
      <w:pPr>
        <w:pStyle w:val="Ttulo1"/>
        <w:spacing w:line="360" w:lineRule="auto"/>
        <w:jc w:val="both"/>
      </w:pPr>
      <w:r>
        <w:t xml:space="preserve">Marco empírico y diseño experimental</w:t>
      </w:r>
    </w:p>
    <w:p>
      <w:pPr>
        <w:pStyle w:val="FirstParagraph"/>
        <w:spacing w:line="360" w:lineRule="auto"/>
        <w:jc w:val="both"/>
      </w:pPr>
      <w:r>
        <w:t xml:space="preserve">Este capítulo describe el diseño empírico de los dos estudios que conforman el</w:t>
      </w:r>
      <w:r>
        <w:t xml:space="preserve"> </w:t>
      </w:r>
      <w:r>
        <w:t xml:space="preserve">núcleo cuantitativo de la tesis: el benchmark multinivel de métodos agnósticos</w:t>
      </w:r>
      <w:r>
        <w:t xml:space="preserve"> </w:t>
      </w:r>
      <w:r>
        <w:t xml:space="preserve">(Estudio A, Paper A) y la comparación pareada enfocada entre LIME y SHAP</w:t>
      </w:r>
      <w:r>
        <w:t xml:space="preserve"> </w:t>
      </w:r>
      <w:r>
        <w:t xml:space="preserve">(Estudio B, Paper B). Ambos estudios comparten el mismo pipeline experimental,</w:t>
      </w:r>
      <w:r>
        <w:t xml:space="preserve"> </w:t>
      </w:r>
      <w:r>
        <w:t xml:space="preserve">el mismo conjunto de datos y los mismos artefactos de modelo, y se distinguen</w:t>
      </w:r>
      <w:r>
        <w:t xml:space="preserve"> </w:t>
      </w:r>
      <w:r>
        <w:t xml:space="preserve">por el alcance del análisis inferencial: Estudio A evalúa los cuatro métodos</w:t>
      </w:r>
      <w:r>
        <w:t xml:space="preserve"> </w:t>
      </w:r>
      <w:r>
        <w:t xml:space="preserve">sobre el diseño factorial completo; Estudio B restringe la inferencia</w:t>
      </w:r>
      <w:r>
        <w:t xml:space="preserve"> </w:t>
      </w:r>
      <w:r>
        <w:t xml:space="preserve">confirmativa al subconjunto pareado LIME-SHAP. El capítulo se organiza en ocho</w:t>
      </w:r>
      <w:r>
        <w:t xml:space="preserve"> </w:t>
      </w:r>
      <w:r>
        <w:t xml:space="preserve">secciones: las dos fases experimentales (EXP1 y EXP2), el conjunto de datos y</w:t>
      </w:r>
      <w:r>
        <w:t xml:space="preserve"> </w:t>
      </w:r>
      <w:r>
        <w:t xml:space="preserve">el protocolo de preprocesamiento, el diseño factorial, las configuraciones de</w:t>
      </w:r>
      <w:r>
        <w:t xml:space="preserve"> </w:t>
      </w:r>
      <w:r>
        <w:t xml:space="preserve">los explicadores, la operacionalización de las métricas, el protocolo FOM-7,</w:t>
      </w:r>
      <w:r>
        <w:t xml:space="preserve"> </w:t>
      </w:r>
      <w:r>
        <w:t xml:space="preserve">el análisis de cobertura de artefactos, y el plan de inferencia estadística.</w:t>
      </w:r>
      <w:r>
        <w:t xml:space="preserve"> </w:t>
      </w:r>
      <w:r>
        <w:t xml:space="preserve">Las amenazas a la validez y el inventario de recursos de reproducibilidad</w:t>
      </w:r>
      <w:r>
        <w:t xml:space="preserve"> </w:t>
      </w:r>
      <w:r>
        <w:t xml:space="preserve">figuran en el Apéndice A.</w:t>
      </w:r>
    </w:p>
    <w:p>
      <w:pPr>
        <w:pStyle w:val="Textoindependiente"/>
        <w:spacing w:line="360" w:lineRule="auto"/>
        <w:jc w:val="both"/>
      </w:pPr>
      <w:r>
        <w:t xml:space="preserve">El diseño traduce los constructos definidos en el Capítulo 2 a decisiones</w:t>
      </w:r>
      <w:r>
        <w:t xml:space="preserve"> </w:t>
      </w:r>
      <w:r>
        <w:t xml:space="preserve">operativas: fidelidad, estabilidad, robustez, complejidad, coste computacional,</w:t>
      </w:r>
      <w:r>
        <w:t xml:space="preserve"> </w:t>
      </w:r>
      <w:r>
        <w:t xml:space="preserve">calificación de artefactos, admisibilidad estadística y trazabilidad de claims.</w:t>
      </w:r>
      <w:r>
        <w:t xml:space="preserve"> </w:t>
      </w:r>
      <w:r>
        <w:t xml:space="preserve">Esta traducción es deliberadamente functionally-grounded: las métricas producen</w:t>
      </w:r>
      <w:r>
        <w:t xml:space="preserve"> </w:t>
      </w:r>
      <w:r>
        <w:t xml:space="preserve">evidencia computacional reproducible, no evidencia directa de utilidad humana ni</w:t>
      </w:r>
      <w:r>
        <w:t xml:space="preserve"> </w:t>
      </w:r>
      <w:r>
        <w:t xml:space="preserve">de verdad causal de las explicaciones</w:t>
      </w:r>
      <w:r>
        <w:t xml:space="preserve"> </w:t>
      </w:r>
      <w:r>
        <w:t xml:space="preserve">(Doshi-Velez 2017; Hedström et al. 2023; Nauta et al. 2023)</w:t>
      </w:r>
      <w:r>
        <w:t xml:space="preserve">.</w:t>
      </w:r>
    </w:p>
    <w:bookmarkStart w:id="63" w:name="fases-experimentales-exp1-y-exp2"/>
    <w:p>
      <w:pPr>
        <w:pStyle w:val="Ttulo2"/>
        <w:spacing w:line="360" w:lineRule="auto"/>
        <w:jc w:val="both"/>
      </w:pPr>
      <w:r>
        <w:t xml:space="preserve">Fases experimentales: EXP1 y EXP2</w:t>
      </w:r>
    </w:p>
    <w:p>
      <w:pPr>
        <w:pStyle w:val="FirstParagraph"/>
        <w:spacing w:line="360" w:lineRule="auto"/>
        <w:jc w:val="both"/>
      </w:pPr>
      <w:r>
        <w:t xml:space="preserve">El diseño experimental distingue dos cohortes de evidencia con roles</w:t>
      </w:r>
      <w:r>
        <w:t xml:space="preserve"> </w:t>
      </w:r>
      <w:r>
        <w:t xml:space="preserve">diferenciados, siguiendo el principio de separación entre actividades de</w:t>
      </w:r>
      <w:r>
        <w:t xml:space="preserve"> </w:t>
      </w:r>
      <w:r>
        <w:t xml:space="preserve">calibración y afirmaciones confirmativas</w:t>
      </w:r>
      <w:r>
        <w:t xml:space="preserve"> </w:t>
      </w:r>
      <w:r>
        <w:t xml:space="preserve">(Hedström et al. 2023; Zheng et al. 2025)</w:t>
      </w:r>
      <w:r>
        <w:t xml:space="preserve">.</w:t>
      </w:r>
    </w:p>
    <w:bookmarkStart w:id="61" w:name="X32cac70d6076bcfbcdceb21da7e13d3984b2a1d"/>
    <w:p>
      <w:pPr>
        <w:pStyle w:val="Ttulo3"/>
        <w:spacing w:line="360" w:lineRule="auto"/>
        <w:jc w:val="both"/>
      </w:pPr>
      <w:r>
        <w:t xml:space="preserve">Fase de calibración y reproducibilidad (EXP1)</w:t>
      </w:r>
    </w:p>
    <w:p>
      <w:pPr>
        <w:pStyle w:val="FirstParagraph"/>
        <w:spacing w:line="360" w:lineRule="auto"/>
        <w:jc w:val="both"/>
      </w:pPr>
      <w:r>
        <w:t xml:space="preserve">La Fase EXP1 tiene por objetivos: verificar la correcta implementación del</w:t>
      </w:r>
      <w:r>
        <w:t xml:space="preserve"> </w:t>
      </w:r>
      <w:r>
        <w:t xml:space="preserve">pipeline experimental, entrenar y congelar los artefactos de modelo</w:t>
      </w:r>
      <w:r>
        <w:t xml:space="preserve"> </w:t>
      </w:r>
      <w:r>
        <w:t xml:space="preserve">compartidos por todos los explicadores en EXP2, y generar un perfil de</w:t>
      </w:r>
      <w:r>
        <w:t xml:space="preserve"> </w:t>
      </w:r>
      <w:r>
        <w:t xml:space="preserve">reproducibilidad sobre configuraciones replicadas que permita cuantificar la</w:t>
      </w:r>
      <w:r>
        <w:t xml:space="preserve"> </w:t>
      </w:r>
      <w:r>
        <w:t xml:space="preserve">dispersión métrica esperada bajo variación de semilla.</w:t>
      </w:r>
    </w:p>
    <w:p>
      <w:pPr>
        <w:pStyle w:val="Textoindependiente"/>
        <w:spacing w:line="360" w:lineRule="auto"/>
        <w:jc w:val="both"/>
      </w:pPr>
      <w:r>
        <w:t xml:space="preserve">EXP1 opera sobre dos familias de modelos —bosque aleatorio (</w:t>
      </w:r>
      <w:r>
        <w:rPr>
          <w:rStyle w:val="VerbatimChar"/>
        </w:rPr>
        <w:t xml:space="preserve">rf</w:t>
      </w:r>
      <w:r>
        <w:t xml:space="preserve">) y XGBoost</w:t>
      </w:r>
      <w:r>
        <w:t xml:space="preserve"> </w:t>
      </w:r>
      <w:r>
        <w:t xml:space="preserve">(</w:t>
      </w:r>
      <w:r>
        <w:rPr>
          <w:rStyle w:val="VerbatimChar"/>
        </w:rPr>
        <w:t xml:space="preserve">xgb</w:t>
      </w:r>
      <w:r>
        <w:t xml:space="preserve">)— y dos métodos explicadores —SHAP (modo árbol) y LIME— formando una</w:t>
      </w:r>
      <w:r>
        <w:t xml:space="preserve"> </w:t>
      </w:r>
      <w:r>
        <w:t xml:space="preserve">cohorte de 75 ejecuciones planificadas. De estas, 66 resultaron analizables</w:t>
      </w:r>
      <w:r>
        <w:t xml:space="preserve"> </w:t>
      </w:r>
      <w:r>
        <w:t xml:space="preserve">(88.0% de cobertura). Los modelos entrenados en EXP1 se congelan como</w:t>
      </w:r>
      <w:r>
        <w:t xml:space="preserve"> </w:t>
      </w:r>
      <w:r>
        <w:t xml:space="preserve">artefactos repositorio bajo</w:t>
      </w:r>
      <w:r>
        <w:t xml:space="preserve"> </w:t>
      </w:r>
      <w:r>
        <w:rPr>
          <w:rStyle w:val="VerbatimChar"/>
        </w:rPr>
        <w:t xml:space="preserve">experiments/exp1_adult/models/</w:t>
      </w:r>
      <w:r>
        <w:t xml:space="preserve"> </w:t>
      </w:r>
      <w:r>
        <w:t xml:space="preserve">y son</w:t>
      </w:r>
      <w:r>
        <w:t xml:space="preserve"> </w:t>
      </w:r>
      <w:r>
        <w:t xml:space="preserve">reutilizados sin reentrenamiento en EXP2, de modo que cualquier diferencia</w:t>
      </w:r>
      <w:r>
        <w:t xml:space="preserve"> </w:t>
      </w:r>
      <w:r>
        <w:t xml:space="preserve">observada entre métodos en la fase primaria es atribuible al explicador y no</w:t>
      </w:r>
      <w:r>
        <w:t xml:space="preserve"> </w:t>
      </w:r>
      <w:r>
        <w:t xml:space="preserve">a variación en el modelo subyacente.</w:t>
      </w:r>
    </w:p>
    <w:p>
      <w:pPr>
        <w:pStyle w:val="Textoindependiente"/>
        <w:spacing w:line="360" w:lineRule="auto"/>
        <w:jc w:val="both"/>
      </w:pPr>
      <w:r>
        <w:t xml:space="preserve">El rendimiento predictivo de los cinco modelos entrenados en EXP1 y evaluados</w:t>
      </w:r>
      <w:r>
        <w:t xml:space="preserve"> </w:t>
      </w:r>
      <w:r>
        <w:t xml:space="preserve">sobre el conjunto de prueba (9,758 instancias, semilla 42) se muestra en la</w:t>
      </w:r>
      <w:r>
        <w:t xml:space="preserve"> </w:t>
      </w:r>
      <w:r>
        <w:t xml:space="preserve">Tabla 3.1. Los valores fueron extraídos directamente de los archivos</w:t>
      </w:r>
      <w:r>
        <w:t xml:space="preserve"> </w:t>
      </w:r>
      <w:r>
        <w:rPr>
          <w:rStyle w:val="VerbatimChar"/>
        </w:rPr>
        <w:t xml:space="preserve">experiments/exp1_adult/models/*/metrics.json</w:t>
      </w:r>
      <w:r>
        <w:t xml:space="preserve"> </w:t>
      </w:r>
      <w:r>
        <w:t xml:space="preserve">del repositorio.</w:t>
      </w:r>
    </w:p>
    <w:tbl>
      <w:tblPr>
        <w:tblStyle w:val="Table"/>
        <w:tblW w:type="pct" w:w="5000"/>
        <w:tblLayout w:type="fixed"/>
        <w:tblLook w:firstRow="0" w:lastRow="0" w:firstColumn="0" w:lastColumn="0" w:noHBand="0" w:noVBand="0" w:val="0000"/>
      </w:tblPr>
      <w:tblGrid>
        <w:gridCol w:w="7920"/>
      </w:tblGrid>
      <w:tr>
        <w:tc>
          <w:tcPr/>
          <w:bookmarkStart w:id="60" w:name="tbl-model-performance"/>
          <w:p>
            <w:pPr>
              <w:jc w:val="both"/>
              <w:spacing w:line="360" w:lineRule="auto"/>
            </w:pPr>
            <w:pPr>
              <w:jc w:val="left"/>
              <w:spacing w:before="200"/>
              <w:pStyle w:val="ImageCaption"/>
            </w:pPr>
            <w:r>
              <w:t xml:space="preserve">Table 4.1: Rendimiento predictivo de los modelos en el conjunto de prueba (</w:t>
            </w:r>
            <ns1:oMath>
              <ns1:r>
                <ns1:t>n</ns1:t>
              </ns1:r>
              <ns1:r>
                <ns1:rPr>
                  <ns1:sty ns1:val="p"/>
                </ns1:rPr>
                <ns1:t>=</ns1:t>
              </ns1:r>
              <ns1:r>
                <ns1:t>9</ns1:t>
              </ns1:r>
              <ns1:r>
                <ns1:rPr>
                  <ns1:sty ns1:val="p"/>
                </ns1:rPr>
                <ns1:t>,</ns1:t>
              </ns1:r>
              <ns1:r>
                <ns1:t>758</ns1:t>
              </ns1:r>
            </ns1:oMath>
            <w:r>
              <w:t xml:space="preserve">,</w:t>
            </w:r>
            <w:r>
              <w:t xml:space="preserve"> </w:t>
            </w:r>
            <w:r>
              <w:t xml:space="preserve">semilla 42). Valores extraídos de</w:t>
            </w:r>
            <w:r>
              <w:t xml:space="preserve"> </w:t>
            </w:r>
            <w:r>
              <w:rPr>
                <w:rStyle w:val="VerbatimChar"/>
              </w:rPr>
              <w:t xml:space="preserve">models/*/metrics.json</w:t>
            </w:r>
            <w:r>
              <w:t xml:space="preserve">. XGBoost lidera en</w:t>
            </w:r>
            <w:r>
              <w:t xml:space="preserve"> </w:t>
            </w:r>
            <w:r>
              <w:t xml:space="preserve">todas las métricas; el perceptrón multicapa presenta el AUC-ROC más bajo pero</w:t>
            </w:r>
            <w:r>
              <w:t xml:space="preserve"> </w:t>
            </w:r>
            <w:r>
              <w:t xml:space="preserve">supera el umbral de inclusión de 0.88.</w:t>
            </w:r>
          </w:p>
          <w:tbl>
            <w:tblPr>
              <w:tblStyle w:val="Table"/>
              <w:tblW w:type="pct" w:w="5000"/>
              <w:tblLayout w:type="fixed"/>
              <w:tblLook w:firstRow="1" w:lastRow="0" w:firstColumn="0" w:lastColumn="0" w:noHBand="0" w:noVBand="0" w:val="0020"/>
            </w:tblPr>
            <w:tblGrid>
              <w:gridCol w:w="1242"/>
              <w:gridCol w:w="1708"/>
              <w:gridCol w:w="1708"/>
              <w:gridCol w:w="1242"/>
              <w:gridCol w:w="621"/>
              <w:gridCol w:w="1397"/>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Exactitud</w:t>
                  </w:r>
                </w:p>
              </w:tc>
              <w:tc>
                <w:tcPr/>
                <w:p>
                  <w:pPr>
                    <w:pStyle w:val="Compact"/>
                    <w:jc w:val="both"/>
                    <w:jc w:val="center"/>
                    <w:spacing w:line="360" w:lineRule="auto"/>
                  </w:pPr>
                  <w:r>
                    <w:t xml:space="preserve">Precisión</w:t>
                  </w:r>
                </w:p>
              </w:tc>
              <w:tc>
                <w:tcPr/>
                <w:p>
                  <w:pPr>
                    <w:pStyle w:val="Compact"/>
                    <w:jc w:val="both"/>
                    <w:jc w:val="center"/>
                    <w:spacing w:line="360" w:lineRule="auto"/>
                  </w:pPr>
                  <w:r>
                    <w:t xml:space="preserve">Recall</w:t>
                  </w:r>
                </w:p>
              </w:tc>
              <w:tc>
                <w:tcPr/>
                <w:p>
                  <w:pPr>
                    <w:pStyle w:val="Compact"/>
                    <w:jc w:val="both"/>
                    <w:jc w:val="center"/>
                    <w:spacing w:line="360" w:lineRule="auto"/>
                  </w:pPr>
                  <w:r>
                    <w:t xml:space="preserve">F1</w:t>
                  </w:r>
                </w:p>
              </w:tc>
              <w:tc>
                <w:tcPr/>
                <w:p>
                  <w:pPr>
                    <w:pStyle w:val="Compact"/>
                    <w:jc w:val="both"/>
                    <w:jc w:val="center"/>
                    <w:spacing w:line="360" w:lineRule="auto"/>
                  </w:pPr>
                  <w:r>
                    <w:t xml:space="preserve">AUC-ROC</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0.842</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0.844</w:t>
                  </w:r>
                </w:p>
              </w:tc>
              <w:tc>
                <w:tcPr/>
                <w:p>
                  <w:pPr>
                    <w:pStyle w:val="Compact"/>
                    <w:jc w:val="both"/>
                    <w:jc w:val="center"/>
                    <w:spacing w:line="360" w:lineRule="auto"/>
                  </w:pPr>
                  <w:r>
                    <w:t xml:space="preserve">0.903</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0.851</w:t>
                  </w:r>
                </w:p>
              </w:tc>
              <w:tc>
                <w:tcPr/>
                <w:p>
                  <w:pPr>
                    <w:pStyle w:val="Compact"/>
                    <w:jc w:val="both"/>
                    <w:jc w:val="center"/>
                    <w:spacing w:line="360" w:lineRule="auto"/>
                  </w:pPr>
                  <w:r>
                    <w:t xml:space="preserve">0.902</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0.926</w:t>
                  </w:r>
                </w:p>
              </w:tc>
            </w:tr>
            <w:tr>
              <w:tc>
                <w:tcPr/>
                <w:p>
                  <w:pPr>
                    <w:pStyle w:val="Compact"/>
                    <w:jc w:val="both"/>
                    <w:jc w:val="center"/>
                    <w:spacing w:line="360" w:lineRule="auto"/>
                  </w:pPr>
                  <w:r>
                    <w:t xml:space="preserve">Máquina de vectores soporte (</w:t>
                  </w:r>
                  <w:r>
                    <w:rPr>
                      <w:rStyle w:val="VerbatimChar"/>
                    </w:rPr>
                    <w:t xml:space="preserve">svm</w:t>
                  </w:r>
                  <w:r>
                    <w:t xml:space="preserve">)</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0.898</w:t>
                  </w:r>
                </w:p>
              </w:tc>
            </w:tr>
            <w:tr>
              <w:tc>
                <w:tcPr/>
                <w:p>
                  <w:pPr>
                    <w:pStyle w:val="Compact"/>
                    <w:jc w:val="both"/>
                    <w:jc w:val="center"/>
                    <w:spacing w:line="360" w:lineRule="auto"/>
                  </w:pPr>
                  <w:r>
                    <w:t xml:space="preserve">Perceptrón multicapa (</w:t>
                  </w:r>
                  <w:r>
                    <w:rPr>
                      <w:rStyle w:val="VerbatimChar"/>
                    </w:rPr>
                    <w:t xml:space="preserve">mlp</w:t>
                  </w:r>
                  <w:r>
                    <w:t xml:space="preserve">)</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0.833</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0.835</w:t>
                  </w:r>
                </w:p>
              </w:tc>
              <w:tc>
                <w:tcPr/>
                <w:p>
                  <w:pPr>
                    <w:pStyle w:val="Compact"/>
                    <w:jc w:val="both"/>
                    <w:jc w:val="center"/>
                    <w:spacing w:line="360" w:lineRule="auto"/>
                  </w:pPr>
                  <w:r>
                    <w:t xml:space="preserve">0.885</w:t>
                  </w:r>
                </w:p>
              </w:tc>
            </w:tr>
          </w:tbl>
          <w:bookmarkEnd w:id="60"/>
          <w:p>
            <w:pPr>
              <w:spacing w:line="360" w:lineRule="auto"/>
              <w:jc w:val="both"/>
            </w:pPr>
          </w:p>
        </w:tc>
      </w:tr>
    </w:tbl>
    <w:p>
      <w:pPr>
        <w:pStyle w:val="Textoindependiente"/>
        <w:spacing w:line="360" w:lineRule="auto"/>
        <w:jc w:val="both"/>
      </w:pPr>
      <w:r>
        <w:t xml:space="preserve">Todos los modelos superan los umbrales de inclusión definidos en el protocolo:</w:t>
      </w:r>
      <w:r>
        <w:t xml:space="preserve"> </w:t>
      </w:r>
      <w:r>
        <w:t xml:space="preserve">exactitud</w:t>
      </w:r>
      <w:r>
        <w:t xml:space="preserve"> </w:t>
      </w:r>
      <ns1:oMath>
        <ns1:r>
          <ns1:rPr>
            <ns1:sty ns1:val="p"/>
          </ns1:rPr>
          <ns1:t>≥</ns1:t>
        </ns1:r>
        <ns1:r>
          <ns1:t>0.83</ns1:t>
        </ns1:r>
      </ns1:oMath>
      <w:r>
        <w:t xml:space="preserve"> </w:t>
      </w:r>
      <w:r>
        <w:t xml:space="preserve">y AUC-ROC</w:t>
      </w:r>
      <w:r>
        <w:t xml:space="preserve"> </w:t>
      </w:r>
      <ns1:oMath>
        <ns1:r>
          <ns1:rPr>
            <ns1:sty ns1:val="p"/>
          </ns1:rPr>
          <ns1:t>≥</ns1:t>
        </ns1:r>
        <ns1:r>
          <ns1:t>0.88</ns1:t>
        </ns1:r>
      </ns1:oMath>
      <w:r>
        <w:t xml:space="preserve">. Esta dispersión inter-modelo es</w:t>
      </w:r>
      <w:r>
        <w:t xml:space="preserve"> </w:t>
      </w:r>
      <w:r>
        <w:t xml:space="preserve">intencional: un benchmark robusto debe evaluar explicadores sobre modelos de</w:t>
      </w:r>
      <w:r>
        <w:t xml:space="preserve"> </w:t>
      </w:r>
      <w:r>
        <w:t xml:space="preserve">distinta complejidad y tipo de frontera de decisión, incluyendo modelos</w:t>
      </w:r>
      <w:r>
        <w:t xml:space="preserve"> </w:t>
      </w:r>
      <w:r>
        <w:t xml:space="preserve">lineales (logreg), de conjuntos de árboles (rf, xgb), con kernel (svm) y</w:t>
      </w:r>
      <w:r>
        <w:t xml:space="preserve"> </w:t>
      </w:r>
      <w:r>
        <w:t xml:space="preserve">neuronales (mlp).</w:t>
      </w:r>
    </w:p>
    <w:p>
      <w:pPr>
        <w:pStyle w:val="Textoindependiente"/>
        <w:spacing w:line="360" w:lineRule="auto"/>
        <w:jc w:val="both"/>
      </w:pPr>
      <w:r>
        <w:t xml:space="preserve">El perfilado de reproducibilidad de EXP1 establece que las métricas de calidad</w:t>
      </w:r>
      <w:r>
        <w:t xml:space="preserve"> </w:t>
      </w:r>
      <w:r>
        <w:t xml:space="preserve">presentan coeficientes de variación inferiores al 9% bajo variación de semilla:</w:t>
      </w:r>
      <w:r>
        <w:t xml:space="preserve"> </w:t>
      </w:r>
      <ns1:oMath>
        <ns1:sSub>
          <ns1:e>
            <ns1:r>
              <ns1:rPr>
                <ns1:nor/>
                <ns1:sty ns1:val="p"/>
              </ns1:rPr>
              <ns1:t>CV</ns1:t>
            </ns1:r>
          </ns1:e>
          <ns1:sub>
            <ns1:r>
              <ns1:t>F</ns1:t>
            </ns1:r>
          </ns1:sub>
        </ns1:sSub>
        <ns1:r>
          <ns1:rPr>
            <ns1:sty ns1:val="p"/>
          </ns1:rPr>
          <ns1:t>≤</ns1:t>
        </ns1:r>
        <ns1:r>
          <ns1:t>0.063</ns1:t>
        </ns1:r>
      </ns1:oMath>
      <w:r>
        <w:t xml:space="preserve">,</w:t>
      </w:r>
      <w:r>
        <w:t xml:space="preserve"> </w:t>
      </w:r>
      <ns1:oMath>
        <ns1:sSub>
          <ns1:e>
            <ns1:r>
              <ns1:rPr>
                <ns1:nor/>
                <ns1:sty ns1:val="p"/>
              </ns1:rPr>
              <ns1:t>CV</ns1:t>
            </ns1:r>
          </ns1:e>
          <ns1:sub>
            <ns1:r>
              <ns1:t>S</ns1:t>
            </ns1:r>
          </ns1:sub>
        </ns1:sSub>
        <ns1:r>
          <ns1:rPr>
            <ns1:sty ns1:val="p"/>
          </ns1:rPr>
          <ns1:t>≤</ns1:t>
        </ns1:r>
        <ns1:r>
          <ns1:t>0.083</ns1:t>
        </ns1:r>
      </ns1:oMath>
      <w:r>
        <w:t xml:space="preserve">,</w:t>
      </w:r>
      <w:r>
        <w:t xml:space="preserve"> </w:t>
      </w:r>
      <ns1:oMath>
        <ns1:sSub>
          <ns1:e>
            <ns1:r>
              <ns1:rPr>
                <ns1:nor/>
                <ns1:sty ns1:val="p"/>
              </ns1:rPr>
              <ns1:t>CV</ns1:t>
            </ns1:r>
          </ns1:e>
          <ns1:sub>
            <ns1:r>
              <ns1:t>P</ns1:t>
            </ns1:r>
          </ns1:sub>
        </ns1:sSub>
        <ns1:r>
          <ns1:rPr>
            <ns1:sty ns1:val="p"/>
          </ns1:rPr>
          <ns1:t>≤</ns1:t>
        </ns1:r>
        <ns1:r>
          <ns1:t>0.044</ns1:t>
        </ns1:r>
      </ns1:oMath>
      <w:r>
        <w:t xml:space="preserve">,</w:t>
      </w:r>
      <w:r>
        <w:t xml:space="preserve"> </w:t>
      </w:r>
      <ns1:oMath>
        <ns1:sSub>
          <ns1:e>
            <ns1:r>
              <ns1:rPr>
                <ns1:nor/>
                <ns1:sty ns1:val="p"/>
              </ns1:rPr>
              <ns1:t>CV</ns1:t>
            </ns1:r>
          </ns1:e>
          <ns1:sub>
            <ns1:sSub>
              <ns1:e>
                <ns1:r>
                  <ns1:rPr>
                    <ns1:sty ns1:val="p"/>
                  </ns1:rPr>
                  <ns1:t>Δ</ns1:t>
                </ns1:r>
              </ns1:e>
              <ns1:sub>
                <ns1:r>
                  <ns1:t>k</ns1:t>
                </ns1:r>
              </ns1:sub>
            </ns1:sSub>
          </ns1:sub>
        </ns1:sSub>
        <ns1:r>
          <ns1:rPr>
            <ns1:sty ns1:val="p"/>
          </ns1:rPr>
          <ns1:t>≤</ns1:t>
        </ns1:r>
        <ns1:r>
          <ns1:t>0.036</ns1:t>
        </ns1:r>
      </ns1:oMath>
      <w:r>
        <w:t xml:space="preserve">. El coste</w:t>
      </w:r>
      <w:r>
        <w:t xml:space="preserve"> </w:t>
      </w:r>
      <w:r>
        <w:t xml:space="preserve">computacional exhibe mayor variabilidad (</w:t>
      </w:r>
      <ns1:oMath>
        <ns1:sSub>
          <ns1:e>
            <ns1:r>
              <ns1:rPr>
                <ns1:nor/>
                <ns1:sty ns1:val="p"/>
              </ns1:rPr>
              <ns1:t>CV</ns1:t>
            </ns1:r>
          </ns1:e>
          <ns1:sub>
            <ns1:r>
              <ns1:t>C</ns1:t>
            </ns1:r>
          </ns1:sub>
        </ns1:sSub>
        <ns1:r>
          <ns1:rPr>
            <ns1:sty ns1:val="p"/>
          </ns1:rPr>
          <ns1:t>≤</ns1:t>
        </ns1:r>
        <ns1:r>
          <ns1:t>0.225</ns1:t>
        </ns1:r>
      </ns1:oMath>
      <w:r>
        <w:t xml:space="preserve"> </w:t>
      </w:r>
      <w:r>
        <w:t xml:space="preserve">para SHAP</w:t>
      </w:r>
      <w:r>
        <w:t xml:space="preserve"> </w:t>
      </w:r>
      <w:r>
        <w:t xml:space="preserve">con kernel), lo que implica que los rankings de calidad son sustancialmente</w:t>
      </w:r>
      <w:r>
        <w:t xml:space="preserve"> </w:t>
      </w:r>
      <w:r>
        <w:t xml:space="preserve">más reproducibles que las estimaciones de latencia. EXP1</w:t>
      </w:r>
      <w:r>
        <w:t xml:space="preserve"> </w:t>
      </w:r>
      <w:r>
        <w:rPr>
          <w:b/>
          <w:bCs/>
        </w:rPr>
        <w:t xml:space="preserve">no</w:t>
      </w:r>
      <w:r>
        <w:t xml:space="preserve"> </w:t>
      </w:r>
      <w:r>
        <w:t xml:space="preserve">contribuye</w:t>
      </w:r>
      <w:r>
        <w:t xml:space="preserve"> </w:t>
      </w:r>
      <w:r>
        <w:t xml:space="preserve">a la inferencia confirmativa de EXP2 ni a las hipótesis H1-H3.</w:t>
      </w:r>
    </w:p>
    <w:bookmarkEnd w:id="61"/>
    <w:bookmarkStart w:id="62" w:name="X88dee61532cae681dfa2cfeee2779c5c9929176"/>
    <w:p>
      <w:pPr>
        <w:pStyle w:val="Ttulo3"/>
        <w:spacing w:line="360" w:lineRule="auto"/>
        <w:jc w:val="both"/>
      </w:pPr>
      <w:r>
        <w:t xml:space="preserve">Fase de benchmark primario de robustez (EXP2)</w:t>
      </w:r>
    </w:p>
    <w:p>
      <w:pPr>
        <w:pStyle w:val="FirstParagraph"/>
        <w:spacing w:line="360" w:lineRule="auto"/>
        <w:jc w:val="both"/>
      </w:pPr>
      <w:r>
        <w:t xml:space="preserve">La Fase EXP2 es la cohorte de evidencia confirmativa. Expande EXP1 a los cinco</w:t>
      </w:r>
      <w:r>
        <w:t xml:space="preserve"> </w:t>
      </w:r>
      <w:r>
        <w:t xml:space="preserve">modelos y cuatro métodos explicadores, con cinco semillas y tres tamaños de</w:t>
      </w:r>
      <w:r>
        <w:t xml:space="preserve"> </w:t>
      </w:r>
      <w:r>
        <w:t xml:space="preserve">muestra, bajo el protocolo FOM-7 descrito en la Sección 3.6. Los resultados</w:t>
      </w:r>
      <w:r>
        <w:t xml:space="preserve"> </w:t>
      </w:r>
      <w:r>
        <w:t xml:space="preserve">de EXP2 son la fuente exclusiva de las afirmaciones estadísticas inferenciales</w:t>
      </w:r>
      <w:r>
        <w:t xml:space="preserve"> </w:t>
      </w:r>
      <w:r>
        <w:t xml:space="preserve">de los Estudios A y B.</w:t>
      </w:r>
    </w:p>
    <w:bookmarkEnd w:id="62"/>
    <w:bookmarkEnd w:id="63"/>
    <w:bookmarkStart w:id="67" w:name="Xb179eb5e9b7cbdb0e78e991d72b8aeee41d8932"/>
    <w:p>
      <w:pPr>
        <w:pStyle w:val="Ttulo2"/>
        <w:spacing w:line="360" w:lineRule="auto"/>
        <w:jc w:val="both"/>
      </w:pPr>
      <w:r>
        <w:t xml:space="preserve">Conjunto de datos y protocolo de preprocesamiento</w:t>
      </w:r>
    </w:p>
    <w:bookmarkStart w:id="64" w:name="descripción-del-conjunto-de-datos"/>
    <w:p>
      <w:pPr>
        <w:pStyle w:val="Ttulo3"/>
        <w:spacing w:line="360" w:lineRule="auto"/>
        <w:jc w:val="both"/>
      </w:pPr>
      <w:r>
        <w:t xml:space="preserve">Descripción del conjunto de datos</w:t>
      </w:r>
    </w:p>
    <w:p>
      <w:pPr>
        <w:pStyle w:val="FirstParagraph"/>
        <w:spacing w:line="360" w:lineRule="auto"/>
        <w:jc w:val="both"/>
      </w:pPr>
      <w:r>
        <w:t xml:space="preserve">Ambos estudios utilizan el conjunto de datos UCI Adult Income</w:t>
      </w:r>
      <w:r>
        <w:t xml:space="preserve"> </w:t>
      </w:r>
      <w:r>
        <w:t xml:space="preserve">(Breiman 2001; Kohavi and Becker 1996)</w:t>
      </w:r>
      <w:r>
        <w:t xml:space="preserve">, ampliamente empleado en benchmarking de XAI por</w:t>
      </w:r>
      <w:r>
        <w:t xml:space="preserve"> </w:t>
      </w:r>
      <w:r>
        <w:t xml:space="preserve">su estructura tabular heterogénea, su variable objetivo binaria bien definida</w:t>
      </w:r>
      <w:r>
        <w:t xml:space="preserve"> </w:t>
      </w:r>
      <w:r>
        <w:t xml:space="preserve">y la disponibilidad de comparaciones publicadas que facilitan la verificación</w:t>
      </w:r>
      <w:r>
        <w:t xml:space="preserve"> </w:t>
      </w:r>
      <w:r>
        <w:t xml:space="preserve">de reproducibilidad externa</w:t>
      </w:r>
      <w:r>
        <w:t xml:space="preserve"> </w:t>
      </w:r>
      <w:r>
        <w:t xml:space="preserve">(Agarwal et al. 2022; Hedström et al. 2023)</w:t>
      </w:r>
      <w:r>
        <w:t xml:space="preserve">.</w:t>
      </w:r>
    </w:p>
    <w:p>
      <w:pPr>
        <w:pStyle w:val="Textoindependiente"/>
        <w:spacing w:line="360" w:lineRule="auto"/>
        <w:jc w:val="both"/>
      </w:pPr>
      <w:r>
        <w:t xml:space="preserve">El conjunto contiene 48,842 instancias, 14 características originales (6</w:t>
      </w:r>
      <w:r>
        <w:t xml:space="preserve"> </w:t>
      </w:r>
      <w:r>
        <w:t xml:space="preserve">numéricas y 8 categóricas) y una variable binaria de predicción. Las</w:t>
      </w:r>
      <w:r>
        <w:t xml:space="preserve"> </w:t>
      </w:r>
      <w:r>
        <w:t xml:space="preserve">características numéricas son: edad, horas de trabajo por semana, educación</w:t>
      </w:r>
      <w:r>
        <w:t xml:space="preserve"> </w:t>
      </w:r>
      <w:r>
        <w:t xml:space="preserve">en años, ganancia de capital, pérdida de capital y peso final del censo. Las</w:t>
      </w:r>
      <w:r>
        <w:t xml:space="preserve"> </w:t>
      </w:r>
      <w:r>
        <w:t xml:space="preserve">categóricas incluyen: clase de trabajo, nivel de educación, estado civil,</w:t>
      </w:r>
      <w:r>
        <w:t xml:space="preserve"> </w:t>
      </w:r>
      <w:r>
        <w:t xml:space="preserve">ocupación, relación familiar, raza, sexo y país de origen. La tasa de positivos</w:t>
      </w:r>
      <w:r>
        <w:t xml:space="preserve"> </w:t>
      </w:r>
      <w:r>
        <w:t xml:space="preserve">(clase</w:t>
      </w:r>
      <w:r>
        <w:t xml:space="preserve"> </w:t>
      </w:r>
      <ns1:oMath>
        <ns1:r>
          <ns1:rPr>
            <ns1:sty ns1:val="p"/>
          </ns1:rPr>
          <ns1:t>&gt;</ns1:t>
        </ns1:r>
        <ns1:r>
          <ns1:t>50</ns1:t>
        </ns1:r>
      </ns1:oMath>
      <w:r>
        <w:t xml:space="preserve">K USD) es del 23.9%, lo que implica un desbalance moderado</w:t>
      </w:r>
      <w:r>
        <w:t xml:space="preserve"> </w:t>
      </w:r>
      <w:r>
        <w:t xml:space="preserve">controlado mediante el muestreo estratificado por cuadrante de error descrito</w:t>
      </w:r>
      <w:r>
        <w:t xml:space="preserve"> </w:t>
      </w:r>
      <w:r>
        <w:t xml:space="preserve">en la Sección 3.4.</w:t>
      </w:r>
    </w:p>
    <w:bookmarkEnd w:id="64"/>
    <w:bookmarkStart w:id="65" w:name="carga-limpieza-y-partición"/>
    <w:p>
      <w:pPr>
        <w:pStyle w:val="Ttulo3"/>
        <w:spacing w:line="360" w:lineRule="auto"/>
        <w:jc w:val="both"/>
      </w:pPr>
      <w:r>
        <w:t xml:space="preserve">Carga, limpieza y partición</w:t>
      </w:r>
    </w:p>
    <w:p>
      <w:pPr>
        <w:pStyle w:val="FirstParagraph"/>
        <w:spacing w:line="360" w:lineRule="auto"/>
        <w:jc w:val="both"/>
      </w:pPr>
      <w:r>
        <w:t xml:space="preserve">El conjunto se carga mediante</w:t>
      </w:r>
      <w:r>
        <w:t xml:space="preserve"> </w:t>
      </w:r>
      <w:r>
        <w:rPr>
          <w:rStyle w:val="VerbatimChar"/>
        </w:rPr>
        <w:t xml:space="preserve">src/data_loading/adult.py</w:t>
      </w:r>
      <w:r>
        <w:t xml:space="preserve"> </w:t>
      </w:r>
      <w:r>
        <w:t xml:space="preserve">con OpenML como</w:t>
      </w:r>
      <w:r>
        <w:t xml:space="preserve"> </w:t>
      </w:r>
      <w:r>
        <w:t xml:space="preserve">fuente primaria y UCI como respaldo. El pipeline de limpieza aplica las</w:t>
      </w:r>
      <w:r>
        <w:t xml:space="preserve"> </w:t>
      </w:r>
      <w:r>
        <w:t xml:space="preserve">siguientes transformaciones de forma determinista: (i) normalización de</w:t>
      </w:r>
      <w:r>
        <w:t xml:space="preserve"> </w:t>
      </w:r>
      <w:r>
        <w:t xml:space="preserve">espacios en blanco en valores de texto, (ii) canonicalización de valores</w:t>
      </w:r>
      <w:r>
        <w:t xml:space="preserve"> </w:t>
      </w:r>
      <w:r>
        <w:t xml:space="preserve">faltantes (</w:t>
      </w:r>
      <w:r>
        <w:rPr>
          <w:rStyle w:val="VerbatimChar"/>
        </w:rPr>
        <w:t xml:space="preserve">"?"</w:t>
      </w:r>
      <w:r>
        <w:t xml:space="preserve"> </w:t>
      </w:r>
      <ns1:oMath>
        <ns1:r>
          <ns1:rPr>
            <ns1:sty ns1:val="p"/>
          </ns1:rPr>
          <ns1:t>→</ns1:t>
        </ns1:r>
      </ns1:oMath>
      <w:r>
        <w:t xml:space="preserve"> </w:t>
      </w:r>
      <w:r>
        <w:rPr>
          <w:rStyle w:val="VerbatimChar"/>
        </w:rPr>
        <w:t xml:space="preserve">NaN</w:t>
      </w:r>
      <w:r>
        <w:t xml:space="preserve">), (iii) unificación de etiquetas de objetivo</w:t>
      </w:r>
      <w:r>
        <w:t xml:space="preserve"> </w:t>
      </w:r>
      <w:r>
        <w:t xml:space="preserve">(</w:t>
      </w:r>
      <w:r>
        <w:rPr>
          <w:rStyle w:val="VerbatimChar"/>
        </w:rPr>
        <w:t xml:space="preserve">"&gt;50K."</w:t>
      </w:r>
      <w:r>
        <w:t xml:space="preserve"> </w:t>
      </w:r>
      <ns1:oMath>
        <ns1:r>
          <ns1:rPr>
            <ns1:sty ns1:val="p"/>
          </ns1:rPr>
          <ns1:t>→</ns1:t>
        </ns1:r>
      </ns1:oMath>
      <w:r>
        <w:t xml:space="preserve"> </w:t>
      </w:r>
      <w:r>
        <w:t xml:space="preserve">1,</w:t>
      </w:r>
      <w:r>
        <w:t xml:space="preserve"> </w:t>
      </w:r>
      <w:r>
        <w:rPr>
          <w:rStyle w:val="VerbatimChar"/>
        </w:rPr>
        <w:t xml:space="preserve">"&lt;=50K."</w:t>
      </w:r>
      <w:r>
        <w:t xml:space="preserve"> </w:t>
      </w:r>
      <ns1:oMath>
        <ns1:r>
          <ns1:rPr>
            <ns1:sty ns1:val="p"/>
          </ns1:rPr>
          <ns1:t>→</ns1:t>
        </ns1:r>
      </ns1:oMath>
      <w:r>
        <w:t xml:space="preserve"> </w:t>
      </w:r>
      <w:r>
        <w:t xml:space="preserve">0), (iv) eliminación de duplicados</w:t>
      </w:r>
      <w:r>
        <w:t xml:space="preserve"> </w:t>
      </w:r>
      <w:r>
        <w:t xml:space="preserve">exactos, y (v) ordenamiento determinista de columnas.</w:t>
      </w:r>
    </w:p>
    <w:p>
      <w:pPr>
        <w:pStyle w:val="Textoindependiente"/>
        <w:spacing w:line="360" w:lineRule="auto"/>
        <w:jc w:val="both"/>
      </w:pPr>
      <w:r>
        <w:t xml:space="preserve">La partición sigue el esquema estratificado:</w:t>
      </w:r>
    </w:p>
    <w:p>
      <w:pPr>
        <w:pStyle w:val="Textoindependiente"/>
        <w:spacing w:line="360" w:lineRule="auto"/>
        <w:jc w:val="both"/>
      </w:pPr>
      <ns1:oMathPara>
        <ns1:oMathParaPr>
          <ns1:jc ns1:val="center"/>
        </ns1:oMathParaPr>
        <ns1:oMath>
          <ns1:r>
            <ns1:rPr>
              <ns1:nor/>
              <ns1:sty ns1:val="p"/>
            </ns1:rPr>
            <ns1:t>train_test_split</ns1:t>
          </ns1:r>
          <ns1:r>
            <ns1:t>​</ns1:t>
          </ns1:r>
          <ns1:d>
            <ns1:dPr>
              <ns1:begChr ns1:val="("/>
              <ns1:sepChr ns1:val=""/>
              <ns1:endChr ns1:val=")"/>
              <ns1:grow/>
            </ns1:dPr>
            <ns1:e>
              <ns1:r>
                <ns1:rPr>
                  <ns1:nor/>
                  <ns1:sty ns1:val="p"/>
                </ns1:rPr>
                <ns1:t>test_size</ns1:t>
              </ns1:r>
              <ns1:r>
                <ns1:rPr>
                  <ns1:sty ns1:val="p"/>
                </ns1:rPr>
                <ns1:t>=</ns1:t>
              </ns1:r>
              <ns1:r>
                <ns1:t>0.20</ns1:t>
              </ns1:r>
              <ns1:r>
                <ns1:rPr>
                  <ns1:sty ns1:val="p"/>
                </ns1:rPr>
                <ns1:t>,</ns1:t>
              </ns1:r>
              <ns1:r>
                <ns1:t> </ns1:t>
              </ns1:r>
              <ns1:r>
                <ns1:rPr>
                  <ns1:nor/>
                  <ns1:sty ns1:val="p"/>
                </ns1:rPr>
                <ns1:t>stratify</ns1:t>
              </ns1:r>
              <ns1:r>
                <ns1:rPr>
                  <ns1:sty ns1:val="p"/>
                </ns1:rPr>
                <ns1:t>=</ns1:t>
              </ns1:r>
              <ns1:r>
                <ns1:t>y</ns1:t>
              </ns1:r>
              <ns1:r>
                <ns1:rPr>
                  <ns1:sty ns1:val="p"/>
                </ns1:rPr>
                <ns1:t>,</ns1:t>
              </ns1:r>
              <ns1:r>
                <ns1:t> </ns1:t>
              </ns1:r>
              <ns1:r>
                <ns1:rPr>
                  <ns1:nor/>
                  <ns1:sty ns1:val="p"/>
                </ns1:rPr>
                <ns1:t>random_state</ns1:t>
              </ns1:r>
              <ns1:r>
                <ns1:rPr>
                  <ns1:sty ns1:val="p"/>
                </ns1:rPr>
                <ns1:t>=</ns1:t>
              </ns1:r>
              <ns1:r>
                <ns1:t>s</ns1:t>
              </ns1:r>
            </ns1:e>
          </ns1:d>
        </ns1:oMath>
      </ns1:oMathPara>
    </w:p>
    <w:p>
      <w:pPr>
        <w:pStyle w:val="FirstParagraph"/>
        <w:spacing w:line="360" w:lineRule="auto"/>
        <w:jc w:val="both"/>
      </w:pPr>
      <w:r>
        <w:t xml:space="preserve">Para la semilla canónica</w:t>
      </w:r>
      <w:r>
        <w:t xml:space="preserve"> </w:t>
      </w:r>
      <ns1:oMath>
        <ns1:r>
          <ns1:t>s</ns1:t>
        </ns1:r>
        <ns1:r>
          <ns1:rPr>
            <ns1:sty ns1:val="p"/>
          </ns1:rPr>
          <ns1:t>=</ns1:t>
        </ns1:r>
        <ns1:r>
          <ns1:t>42</ns1:t>
        </ns1:r>
      </ns1:oMath>
      <w:r>
        <w:t xml:space="preserve">, la partición produce 39,032 instancias</w:t>
      </w:r>
      <w:r>
        <w:t xml:space="preserve"> </w:t>
      </w:r>
      <w:r>
        <w:t xml:space="preserve">de entrenamiento y 9,758 de prueba.</w:t>
      </w:r>
    </w:p>
    <w:bookmarkEnd w:id="65"/>
    <w:bookmarkStart w:id="66" w:name="controles-de-fuga-de-datos"/>
    <w:p>
      <w:pPr>
        <w:pStyle w:val="Ttulo3"/>
        <w:spacing w:line="360" w:lineRule="auto"/>
        <w:jc w:val="both"/>
      </w:pPr>
      <w:r>
        <w:t xml:space="preserve">Controles de fuga de datos</w:t>
      </w:r>
    </w:p>
    <w:p>
      <w:pPr>
        <w:pStyle w:val="FirstParagraph"/>
        <w:spacing w:line="360" w:lineRule="auto"/>
        <w:jc w:val="both"/>
      </w:pPr>
      <w:r>
        <w:t xml:space="preserve">Los cuatro controles de fuga de datos se aplican de forma uniforme a todos</w:t>
      </w:r>
      <w:r>
        <w:t xml:space="preserve"> </w:t>
      </w:r>
      <w:r>
        <w:t xml:space="preserve">los métodos explicadores:</w:t>
      </w:r>
    </w:p>
    <w:p>
      <w:pPr>
        <w:pStyle w:val="Compact"/>
        <w:numPr>
          <w:ilvl w:val="0"/>
          <w:numId w:val="1006"/>
        </w:numPr>
        <w:spacing w:line="360" w:lineRule="auto"/>
        <w:jc w:val="both"/>
      </w:pPr>
      <w:r>
        <w:t xml:space="preserve">La partición estratificada se realiza</w:t>
      </w:r>
      <w:r>
        <w:t xml:space="preserve"> </w:t>
      </w:r>
      <w:r>
        <w:rPr>
          <w:i/>
          <w:iCs/>
        </w:rPr>
        <w:t xml:space="preserve">antes</w:t>
      </w:r>
      <w:r>
        <w:t xml:space="preserve"> </w:t>
      </w:r>
      <w:r>
        <w:t xml:space="preserve">de ajustar cualquier</w:t>
      </w:r>
      <w:r>
        <w:t xml:space="preserve"> </w:t>
      </w:r>
      <w:r>
        <w:t xml:space="preserve">transformación de preprocesamiento.</w:t>
      </w:r>
    </w:p>
    <w:p>
      <w:pPr>
        <w:pStyle w:val="Compact"/>
        <w:numPr>
          <w:ilvl w:val="0"/>
          <w:numId w:val="1006"/>
        </w:numPr>
        <w:spacing w:line="360" w:lineRule="auto"/>
        <w:jc w:val="both"/>
      </w:pPr>
      <w:r>
        <w:rPr>
          <w:rStyle w:val="VerbatimChar"/>
        </w:rPr>
        <w:t xml:space="preserve">StandardScaler</w:t>
      </w:r>
      <w:r>
        <w:t xml:space="preserve"> </w:t>
      </w:r>
      <w:r>
        <w:t xml:space="preserve">(numéricas) y</w:t>
      </w:r>
      <w:r>
        <w:t xml:space="preserve"> </w:t>
      </w:r>
      <w:r>
        <w:rPr>
          <w:rStyle w:val="VerbatimChar"/>
        </w:rPr>
        <w:t xml:space="preserve">OneHotEncoder</w:t>
      </w:r>
      <w:r>
        <w:t xml:space="preserve"> </w:t>
      </w:r>
      <w:r>
        <w:t xml:space="preserve">(</w:t>
      </w:r>
      <w:r>
        <w:rPr>
          <w:rStyle w:val="VerbatimChar"/>
        </w:rPr>
        <w:t xml:space="preserve">handle_unknown='ignore'</w:t>
      </w:r>
      <w:r>
        <w:t xml:space="preserve">,</w:t>
      </w:r>
      <w:r>
        <w:t xml:space="preserve"> </w:t>
      </w:r>
      <w:r>
        <w:t xml:space="preserve">categóricas) se ajustan</w:t>
      </w:r>
      <w:r>
        <w:t xml:space="preserve"> </w:t>
      </w:r>
      <w:r>
        <w:rPr>
          <w:b/>
          <w:bCs/>
        </w:rPr>
        <w:t xml:space="preserve">exclusivamente</w:t>
      </w:r>
      <w:r>
        <w:t xml:space="preserve"> </w:t>
      </w:r>
      <w:r>
        <w:t xml:space="preserve">sobre el conjunto de</w:t>
      </w:r>
      <w:r>
        <w:t xml:space="preserve"> </w:t>
      </w:r>
      <w:r>
        <w:t xml:space="preserve">entrenamiento.</w:t>
      </w:r>
    </w:p>
    <w:p>
      <w:pPr>
        <w:pStyle w:val="Compact"/>
        <w:numPr>
          <w:ilvl w:val="0"/>
          <w:numId w:val="1006"/>
        </w:numPr>
        <w:spacing w:line="360" w:lineRule="auto"/>
        <w:jc w:val="both"/>
      </w:pPr>
      <w:r>
        <w:t xml:space="preserve">El preprocesador ajustado se persiste como artefacto y es</w:t>
      </w:r>
      <w:r>
        <w:t xml:space="preserve"> </w:t>
      </w:r>
      <w:r>
        <w:rPr>
          <w:b/>
          <w:bCs/>
        </w:rPr>
        <w:t xml:space="preserve">compartido</w:t>
      </w:r>
      <w:r>
        <w:t xml:space="preserve"> </w:t>
      </w:r>
      <w:r>
        <w:t xml:space="preserve">por todos los métodos XAI en cada ejecución, eliminando la variación por</w:t>
      </w:r>
      <w:r>
        <w:t xml:space="preserve"> </w:t>
      </w:r>
      <w:r>
        <w:t xml:space="preserve">diferencias de escalado entre métodos.</w:t>
      </w:r>
    </w:p>
    <w:p>
      <w:pPr>
        <w:pStyle w:val="Compact"/>
        <w:numPr>
          <w:ilvl w:val="0"/>
          <w:numId w:val="1006"/>
        </w:numPr>
        <w:spacing w:line="360" w:lineRule="auto"/>
        <w:jc w:val="both"/>
      </w:pPr>
      <w:r>
        <w:t xml:space="preserve">Las explicaciones se generan sobre el espacio de características</w:t>
      </w:r>
      <w:r>
        <w:t xml:space="preserve"> </w:t>
      </w:r>
      <w:r>
        <w:t xml:space="preserve">transformado que el modelo usó durante el entrenamiento.</w:t>
      </w:r>
    </w:p>
    <w:bookmarkEnd w:id="66"/>
    <w:bookmarkEnd w:id="67"/>
    <w:bookmarkStart w:id="69" w:name="X810bf4db8899260d734480c9f59b02e6a2182a3"/>
    <w:p>
      <w:pPr>
        <w:pStyle w:val="Ttulo2"/>
        <w:spacing w:line="360" w:lineRule="auto"/>
        <w:jc w:val="both"/>
      </w:pPr>
      <w:r>
        <w:t xml:space="preserve">Diseño factorial del benchmark primario (EXP2)</w:t>
      </w:r>
    </w:p>
    <w:p>
      <w:pPr>
        <w:pStyle w:val="FirstParagraph"/>
        <w:spacing w:line="360" w:lineRule="auto"/>
        <w:jc w:val="both"/>
      </w:pPr>
      <w:r>
        <w:t xml:space="preserve">El benchmark primario adopta una estructura factorial cruzada de cuatro</w:t>
      </w:r>
      <w:r>
        <w:t xml:space="preserve"> </w:t>
      </w:r>
      <w:r>
        <w:t xml:space="preserve">factores:</w:t>
      </w:r>
    </w:p>
    <w:p>
      <w:pPr>
        <w:pStyle w:val="Textoindependiente"/>
        <w:spacing w:line="360" w:lineRule="auto"/>
        <w:jc w:val="both"/>
      </w:pPr>
      <ns1:oMathPara>
        <ns1:oMathParaPr>
          <ns1:jc ns1:val="center"/>
        </ns1:oMathParaPr>
        <ns1:oMath>
          <ns1:r>
            <ns1:rPr>
              <ns1:scr ns1:val="script"/>
              <ns1:sty ns1:val="p"/>
            </ns1:rP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oMath>
      </ns1:oMathPara>
    </w:p>
    <w:p>
      <w:pPr>
        <w:pStyle w:val="FirstParagraph"/>
        <w:spacing w:line="360" w:lineRule="auto"/>
        <w:jc w:val="both"/>
      </w:pPr>
      <w:r>
        <w:t xml:space="preserve">donde:</w:t>
      </w:r>
    </w:p>
    <w:p>
      <w:pPr>
        <w:pStyle w:val="Compact"/>
        <w:numPr>
          <w:ilvl w:val="0"/>
          <w:numId w:val="1007"/>
        </w:numPr>
        <w:spacing w:line="360" w:lineRule="auto"/>
        <w:jc w:val="both"/>
      </w:pPr>
      <ns1:oMath>
        <ns1:r>
          <ns1:t>g</ns1:t>
        </ns1:r>
        <ns1:r>
          <ns1:rPr>
            <ns1:sty ns1:val="p"/>
          </ns1:rPr>
          <ns1:t>∈</ns1:t>
        </ns1:r>
        <ns1:r>
          <ns1:rPr>
            <ns1:sty ns1:val="p"/>
          </ns1:rPr>
          <ns1:t>{</ns1:t>
        </ns1:r>
        <ns1:r>
          <ns1:rPr>
            <ns1:nor/>
            <ns1:sty ns1:val="p"/>
          </ns1:rPr>
          <ns1:t>logreg</ns1:t>
        </ns1:r>
        <ns1:r>
          <ns1:rPr>
            <ns1:sty ns1:val="p"/>
          </ns1:rPr>
          <ns1:t>,</ns1:t>
        </ns1:r>
        <ns1:r>
          <ns1:t> </ns1:t>
        </ns1:r>
        <ns1:r>
          <ns1:rPr>
            <ns1:nor/>
            <ns1:sty ns1:val="p"/>
          </ns1:rPr>
          <ns1:t>rf</ns1:t>
        </ns1:r>
        <ns1:r>
          <ns1:rPr>
            <ns1:sty ns1:val="p"/>
          </ns1:rPr>
          <ns1:t>,</ns1:t>
        </ns1:r>
        <ns1:r>
          <ns1:t> </ns1:t>
        </ns1:r>
        <ns1:r>
          <ns1:rPr>
            <ns1:nor/>
            <ns1:sty ns1:val="p"/>
          </ns1:rPr>
          <ns1:t>xgb</ns1:t>
        </ns1:r>
        <ns1:r>
          <ns1:rPr>
            <ns1:sty ns1:val="p"/>
          </ns1:rPr>
          <ns1:t>,</ns1:t>
        </ns1:r>
        <ns1:r>
          <ns1:t> </ns1:t>
        </ns1:r>
        <ns1:r>
          <ns1:rPr>
            <ns1:nor/>
            <ns1:sty ns1:val="p"/>
          </ns1:rPr>
          <ns1:t>svm</ns1:t>
        </ns1:r>
        <ns1:r>
          <ns1:rPr>
            <ns1:sty ns1:val="p"/>
          </ns1:rPr>
          <ns1:t>,</ns1:t>
        </ns1:r>
        <ns1:r>
          <ns1:t> </ns1:t>
        </ns1:r>
        <ns1:r>
          <ns1:rPr>
            <ns1:nor/>
            <ns1:sty ns1:val="p"/>
          </ns1:rPr>
          <ns1:t>mlp</ns1:t>
        </ns1:r>
        <ns1:r>
          <ns1:rPr>
            <ns1:sty ns1:val="p"/>
          </ns1:rPr>
          <ns1:t>}</ns1:t>
        </ns1:r>
      </ns1:oMath>
      <w:r>
        <w:t xml:space="preserve"> </w:t>
      </w:r>
      <w:r>
        <w:t xml:space="preserve">— familia de modelo predictivo (5 niveles),</w:t>
      </w:r>
    </w:p>
    <w:p>
      <w:pPr>
        <w:pStyle w:val="Compact"/>
        <w:numPr>
          <w:ilvl w:val="0"/>
          <w:numId w:val="1007"/>
        </w:numPr>
        <w:spacing w:line="360" w:lineRule="auto"/>
        <w:jc w:val="both"/>
      </w:pPr>
      <ns1:oMath>
        <ns1:r>
          <ns1:t>k</ns1:t>
        </ns1:r>
        <ns1:r>
          <ns1:rPr>
            <ns1:sty ns1:val="p"/>
          </ns1:rPr>
          <ns1:t>∈</ns1:t>
        </ns1:r>
        <ns1:r>
          <ns1:rPr>
            <ns1:sty ns1:val="p"/>
          </ns1:rPr>
          <ns1:t>{</ns1:t>
        </ns1:r>
        <ns1:r>
          <ns1:rPr>
            <ns1:nor/>
            <ns1:sty ns1:val="p"/>
          </ns1:rPr>
          <ns1:t>shap</ns1:t>
        </ns1:r>
        <ns1:r>
          <ns1:rPr>
            <ns1:sty ns1:val="p"/>
          </ns1:rPr>
          <ns1:t>,</ns1:t>
        </ns1:r>
        <ns1:r>
          <ns1:t> </ns1:t>
        </ns1:r>
        <ns1:r>
          <ns1:rPr>
            <ns1:nor/>
            <ns1:sty ns1:val="p"/>
          </ns1:rPr>
          <ns1:t>lime</ns1:t>
        </ns1:r>
        <ns1:r>
          <ns1:rPr>
            <ns1:sty ns1:val="p"/>
          </ns1:rPr>
          <ns1:t>,</ns1:t>
        </ns1:r>
        <ns1:r>
          <ns1:t> </ns1:t>
        </ns1:r>
        <ns1:r>
          <ns1:rPr>
            <ns1:nor/>
            <ns1:sty ns1:val="p"/>
          </ns1:rPr>
          <ns1:t>anchors</ns1:t>
        </ns1:r>
        <ns1:r>
          <ns1:rPr>
            <ns1:sty ns1:val="p"/>
          </ns1:rPr>
          <ns1:t>,</ns1:t>
        </ns1:r>
        <ns1:r>
          <ns1:t> </ns1:t>
        </ns1:r>
        <ns1:r>
          <ns1:rPr>
            <ns1:nor/>
            <ns1:sty ns1:val="p"/>
          </ns1:rPr>
          <ns1:t>dice</ns1:t>
        </ns1:r>
        <ns1:r>
          <ns1:rPr>
            <ns1:sty ns1:val="p"/>
          </ns1:rPr>
          <ns1:t>}</ns1:t>
        </ns1:r>
      </ns1:oMath>
      <w:r>
        <w:t xml:space="preserve"> </w:t>
      </w:r>
      <w:r>
        <w:t xml:space="preserve">—</w:t>
      </w:r>
      <w:r>
        <w:t xml:space="preserve"> </w:t>
      </w:r>
      <w:r>
        <w:t xml:space="preserve">método de explicabilidad (4 niveles),</w:t>
      </w:r>
    </w:p>
    <w:p>
      <w:pPr>
        <w:pStyle w:val="Compact"/>
        <w:numPr>
          <w:ilvl w:val="0"/>
          <w:numId w:val="1007"/>
        </w:numPr>
        <w:spacing w:line="360" w:lineRule="auto"/>
        <w:jc w:val="both"/>
      </w:pPr>
      <ns1:oMath>
        <ns1:r>
          <ns1:t>s</ns1:t>
        </ns1:r>
        <ns1:r>
          <ns1:rPr>
            <ns1:sty ns1:val="p"/>
          </ns1:rPr>
          <ns1:t>∈</ns1:t>
        </ns1:r>
        <ns1:r>
          <ns1:rPr>
            <ns1:sty ns1:val="p"/>
          </ns1:rPr>
          <ns1:t>{</ns1:t>
        </ns1:r>
        <ns1:r>
          <ns1:t>42</ns1:t>
        </ns1:r>
        <ns1:r>
          <ns1:rPr>
            <ns1:sty ns1:val="p"/>
          </ns1:rPr>
          <ns1:t>,</ns1:t>
        </ns1:r>
        <ns1:r>
          <ns1:t> </ns1:t>
        </ns1:r>
        <ns1:r>
          <ns1:t>123</ns1:t>
        </ns1:r>
        <ns1:r>
          <ns1:rPr>
            <ns1:sty ns1:val="p"/>
          </ns1:rPr>
          <ns1:t>,</ns1:t>
        </ns1:r>
        <ns1:r>
          <ns1:t> </ns1:t>
        </ns1:r>
        <ns1:r>
          <ns1:t>456</ns1:t>
        </ns1:r>
        <ns1:r>
          <ns1:rPr>
            <ns1:sty ns1:val="p"/>
          </ns1:rPr>
          <ns1:t>,</ns1:t>
        </ns1:r>
        <ns1:r>
          <ns1:t> </ns1:t>
        </ns1:r>
        <ns1:r>
          <ns1:t>789</ns1:t>
        </ns1:r>
        <ns1:r>
          <ns1:rPr>
            <ns1:sty ns1:val="p"/>
          </ns1:rPr>
          <ns1:t>,</ns1:t>
        </ns1:r>
        <ns1:r>
          <ns1:t> </ns1:t>
        </ns1:r>
        <ns1:r>
          <ns1:t>999</ns1:t>
        </ns1:r>
        <ns1:r>
          <ns1:rPr>
            <ns1:sty ns1:val="p"/>
          </ns1:rPr>
          <ns1:t>}</ns1:t>
        </ns1:r>
      </ns1:oMath>
      <w:r>
        <w:t xml:space="preserve"> </w:t>
      </w:r>
      <w:r>
        <w:t xml:space="preserve">— semilla de aleatoriedad</w:t>
      </w:r>
      <w:r>
        <w:t xml:space="preserve"> </w:t>
      </w:r>
      <w:r>
        <w:t xml:space="preserve">(5 niveles),</w:t>
      </w:r>
    </w:p>
    <w:p>
      <w:pPr>
        <w:pStyle w:val="Compact"/>
        <w:numPr>
          <w:ilvl w:val="0"/>
          <w:numId w:val="1007"/>
        </w:numPr>
        <w:spacing w:line="360" w:lineRule="auto"/>
        <w:jc w:val="both"/>
      </w:pPr>
      <ns1:oMath>
        <ns1:r>
          <ns1:t>n</ns1:t>
        </ns1:r>
        <ns1:r>
          <ns1:rPr>
            <ns1:sty ns1:val="p"/>
          </ns1:rPr>
          <ns1:t>∈</ns1:t>
        </ns1:r>
        <ns1:r>
          <ns1:rPr>
            <ns1:sty ns1:val="p"/>
          </ns1:rPr>
          <ns1:t>{</ns1:t>
        </ns1:r>
        <ns1:r>
          <ns1:t>50</ns1:t>
        </ns1:r>
        <ns1:r>
          <ns1:rPr>
            <ns1:sty ns1:val="p"/>
          </ns1:rPr>
          <ns1:t>,</ns1:t>
        </ns1:r>
        <ns1:r>
          <ns1:t> </ns1:t>
        </ns1:r>
        <ns1:r>
          <ns1:t>100</ns1:t>
        </ns1:r>
        <ns1:r>
          <ns1:rPr>
            <ns1:sty ns1:val="p"/>
          </ns1:rPr>
          <ns1:t>,</ns1:t>
        </ns1:r>
        <ns1:r>
          <ns1:t> </ns1:t>
        </ns1:r>
        <ns1:r>
          <ns1:t>200</ns1:t>
        </ns1:r>
        <ns1:r>
          <ns1:rPr>
            <ns1:sty ns1:val="p"/>
          </ns1:rPr>
          <ns1:t>}</ns1:t>
        </ns1:r>
      </ns1:oMath>
      <w:r>
        <w:t xml:space="preserve"> </w:t>
      </w:r>
      <w:r>
        <w:t xml:space="preserve">— instancias por cuadrante de error (3 niveles).</w:t>
      </w:r>
    </w:p>
    <w:p>
      <w:pPr>
        <w:pStyle w:val="FirstParagraph"/>
        <w:spacing w:line="360" w:lineRule="auto"/>
        <w:jc w:val="both"/>
      </w:pPr>
      <w:r>
        <w:t xml:space="preserve">El tamaño del diseño planificado es:</w:t>
      </w:r>
    </w:p>
    <w:p>
      <w:pPr>
        <w:pStyle w:val="Textoindependiente"/>
        <w:spacing w:line="360" w:lineRule="auto"/>
        <w:jc w:val="both"/>
      </w:pPr>
      <ns1:oMathPara>
        <ns1:oMathParaPr>
          <ns1:jc ns1:val="center"/>
        </ns1:oMathParaPr>
        <ns1:oMath>
          <ns1:r>
            <ns1:rPr>
              <ns1:sty ns1:val="p"/>
            </ns1:rPr>
            <ns1:t>|</ns1:t>
          </ns1:r>
          <ns1:r>
            <ns1:rPr>
              <ns1:scr ns1:val="script"/>
              <ns1:sty ns1:val="p"/>
            </ns1:rPr>
            <ns1:t>D</ns1:t>
          </ns1:r>
          <ns1:r>
            <ns1:rPr>
              <ns1:sty ns1:val="p"/>
            </ns1:rPr>
            <ns1:t>|</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r>
            <ns1:rPr>
              <ns1:nor/>
              <ns1:sty ns1:val="p"/>
            </ns1:rPr>
            <ns1:t> ejecuciones</ns1:t>
          </ns1:r>
        </ns1:oMath>
      </ns1:oMathPara>
    </w:p>
    <w:p>
      <w:pPr>
        <w:pStyle w:val="FirstParagraph"/>
        <w:spacing w:line="360" w:lineRule="auto"/>
        <w:jc w:val="both"/>
      </w:pPr>
      <w:r>
        <w:t xml:space="preserve">Cada celda</w:t>
      </w:r>
      <w:r>
        <w:t xml:space="preserve"> </w:t>
      </w:r>
      <ns1:oMath>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oMath>
      <w:r>
        <w:t xml:space="preserve"> </w:t>
      </w:r>
      <w:r>
        <w:t xml:space="preserve">produce un artefacto de resultado independiente.</w:t>
      </w:r>
      <w:r>
        <w:t xml:space="preserve"> </w:t>
      </w:r>
      <w:r>
        <w:t xml:space="preserve">La variación en</w:t>
      </w:r>
      <w:r>
        <w:t xml:space="preserve"> </w:t>
      </w:r>
      <ns1:oMath>
        <ns1:r>
          <ns1:t>s</ns1:t>
        </ns1:r>
      </ns1:oMath>
      <w:r>
        <w:t xml:space="preserve"> </w:t>
      </w:r>
      <w:r>
        <w:t xml:space="preserve">sirve para estimar la reproducibilidad del protocolo. La</w:t>
      </w:r>
      <w:r>
        <w:t xml:space="preserve"> </w:t>
      </w:r>
      <w:r>
        <w:t xml:space="preserve">variación en</w:t>
      </w:r>
      <w:r>
        <w:t xml:space="preserve"> </w:t>
      </w:r>
      <ns1:oMath>
        <ns1:r>
          <ns1:t>n</ns1:t>
        </ns1:r>
      </ns1:oMath>
      <w:r>
        <w:t xml:space="preserve"> </w:t>
      </w:r>
      <w:r>
        <w:t xml:space="preserve">permite examinar la estabilidad de los rankings bajo</w:t>
      </w:r>
      <w:r>
        <w:t xml:space="preserve"> </w:t>
      </w:r>
      <w:r>
        <w:t xml:space="preserve">distintos volúmenes de evidencia local.</w:t>
      </w:r>
    </w:p>
    <w:bookmarkStart w:id="68" w:name="X7f3be01e797123bdbedac923d646584591998bc"/>
    <w:p>
      <w:pPr>
        <w:pStyle w:val="Ttulo3"/>
        <w:spacing w:line="360" w:lineRule="auto"/>
        <w:jc w:val="both"/>
      </w:pPr>
      <w:r>
        <w:t xml:space="preserve">Jerarquía de análisis y unidad inferencial</w:t>
      </w:r>
    </w:p>
    <w:p>
      <w:pPr>
        <w:pStyle w:val="FirstParagraph"/>
        <w:spacing w:line="360" w:lineRule="auto"/>
        <w:jc w:val="both"/>
      </w:pPr>
      <w:r>
        <w:t xml:space="preserve">Para evitar la pseudo-replicación, el análisis adopta una estructura</w:t>
      </w:r>
      <w:r>
        <w:t xml:space="preserve"> </w:t>
      </w:r>
      <w:r>
        <w:t xml:space="preserve">jerárquica de tres niveles:</w:t>
      </w:r>
    </w:p>
    <w:p>
      <w:pPr>
        <w:pStyle w:val="Compact"/>
        <w:numPr>
          <w:ilvl w:val="0"/>
          <w:numId w:val="1008"/>
        </w:numPr>
        <w:spacing w:line="360" w:lineRule="auto"/>
        <w:jc w:val="both"/>
      </w:pPr>
      <w:r>
        <w:rPr>
          <w:b/>
          <w:bCs/>
        </w:rPr>
        <w:t xml:space="preserve">Nivel de instancia:</w:t>
      </w:r>
      <w:r>
        <w:t xml:space="preserve"> </w:t>
      </w:r>
      <w:r>
        <w:t xml:space="preserve">métricas computadas por instancia dentro de cada</w:t>
      </w:r>
      <w:r>
        <w:t xml:space="preserve"> </w:t>
      </w:r>
      <w:r>
        <w:t xml:space="preserve">ejecución.</w:t>
      </w:r>
    </w:p>
    <w:p>
      <w:pPr>
        <w:pStyle w:val="Compact"/>
        <w:numPr>
          <w:ilvl w:val="0"/>
          <w:numId w:val="1008"/>
        </w:numPr>
        <w:spacing w:line="360" w:lineRule="auto"/>
        <w:jc w:val="both"/>
      </w:pPr>
      <w:r>
        <w:rPr>
          <w:b/>
          <w:bCs/>
        </w:rPr>
        <w:t xml:space="preserve">Nivel de ejecución:</w:t>
      </w:r>
      <w:r>
        <w:t xml:space="preserve"> </w:t>
      </w:r>
      <w:r>
        <w:t xml:space="preserve">media métrica por instancia, estimador del</w:t>
      </w:r>
      <w:r>
        <w:t xml:space="preserve"> </w:t>
      </w:r>
      <w:r>
        <w:t xml:space="preserve">rendimiento del método</w:t>
      </w:r>
      <w:r>
        <w:t xml:space="preserve"> </w:t>
      </w:r>
      <ns1:oMath>
        <ns1:r>
          <ns1:t>k</ns1:t>
        </ns1:r>
      </ns1:oMath>
      <w:r>
        <w:t xml:space="preserve"> </w:t>
      </w:r>
      <w:r>
        <w:t xml:space="preserve">sobre el modelo</w:t>
      </w:r>
      <w:r>
        <w:t xml:space="preserve"> </w:t>
      </w:r>
      <ns1:oMath>
        <ns1:r>
          <ns1:t>g</ns1:t>
        </ns1:r>
      </ns1:oMath>
      <w:r>
        <w:t xml:space="preserve"> </w:t>
      </w:r>
      <w:r>
        <w:t xml:space="preserve">bajo semilla</w:t>
      </w:r>
      <w:r>
        <w:t xml:space="preserve"> </w:t>
      </w:r>
      <ns1:oMath>
        <ns1:r>
          <ns1:t>s</ns1:t>
        </ns1:r>
      </ns1:oMath>
      <w:r>
        <w:t xml:space="preserve"> </w:t>
      </w:r>
      <w:r>
        <w:t xml:space="preserve">y tamaño</w:t>
      </w:r>
      <w:r>
        <w:t xml:space="preserve"> </w:t>
      </w:r>
      <ns1:oMath>
        <ns1:r>
          <ns1:t>n</ns1:t>
        </ns1:r>
      </ns1:oMath>
      <w:r>
        <w:t xml:space="preserve">. Estimando declarado:</w:t>
      </w:r>
      <w:r>
        <w:t xml:space="preserve"> </w:t>
      </w:r>
      <ns1:oMath>
        <ns1:sSub>
          <ns1:e>
            <ns1:r>
              <ns1:t>y</ns1:t>
            </ns1:r>
          </ns1:e>
          <ns1:sub>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m</ns1:t>
            </ns1:r>
          </ns1:sub>
        </ns1:sSub>
      </ns1:oMath>
      <w:r>
        <w:t xml:space="preserve">.</w:t>
      </w:r>
    </w:p>
    <w:p>
      <w:pPr>
        <w:pStyle w:val="Compact"/>
        <w:numPr>
          <w:ilvl w:val="0"/>
          <w:numId w:val="1008"/>
        </w:numPr>
        <w:spacing w:line="360" w:lineRule="auto"/>
        <w:jc w:val="both"/>
      </w:pPr>
      <w:r>
        <w:rPr>
          <w:b/>
          <w:bCs/>
        </w:rPr>
        <w:t xml:space="preserve">Nivel de bloque:</w:t>
      </w:r>
      <w:r>
        <w:t xml:space="preserve"> </w:t>
      </w:r>
      <w:r>
        <w:t xml:space="preserve">para los tests de Friedman, el bloque se define como</w:t>
      </w:r>
      <w:r>
        <w:t xml:space="preserve"> </w:t>
      </w:r>
      <ns1:oMath>
        <ns1:r>
          <ns1:t>b</ns1:t>
        </ns1:r>
        <ns1:r>
          <ns1:rPr>
            <ns1:sty ns1:val="p"/>
          </ns1:rPr>
          <ns1:t>=</ns1:t>
        </ns1:r>
        <ns1:r>
          <ns1:rPr>
            <ns1:sty ns1:val="p"/>
          </ns1:rPr>
          <ns1:t>(</ns1:t>
        </ns1:r>
        <ns1:r>
          <ns1:t>g</ns1:t>
        </ns1:r>
        <ns1:r>
          <ns1:rPr>
            <ns1:sty ns1:val="p"/>
          </ns1:rPr>
          <ns1:t>,</ns1:t>
        </ns1:r>
        <ns1:r>
          <ns1:t>n</ns1:t>
        </ns1:r>
        <ns1:r>
          <ns1:rPr>
            <ns1:sty ns1:val="p"/>
          </ns1:rPr>
          <ns1:t>)</ns1:t>
        </ns1:r>
      </ns1:oMath>
      <w:r>
        <w:t xml:space="preserve">, con la ejecución como unidad de observación dentro del bloque.</w:t>
      </w:r>
      <w:r>
        <w:t xml:space="preserve"> </w:t>
      </w:r>
      <w:r>
        <w:t xml:space="preserve">Este diseño produce</w:t>
      </w:r>
      <w:r>
        <w:t xml:space="preserve"> </w:t>
      </w:r>
      <ns1:oMath>
        <ns1:r>
          <ns1:t>5</ns1:t>
        </ns1:r>
        <ns1:r>
          <ns1:rPr>
            <ns1:sty ns1:val="p"/>
          </ns1:rPr>
          <ns1:t>×</ns1:t>
        </ns1:r>
        <ns1:r>
          <ns1:t>3</ns1:t>
        </ns1:r>
        <ns1:r>
          <ns1:rPr>
            <ns1:sty ns1:val="p"/>
          </ns1:rPr>
          <ns1:t>=</ns1:t>
        </ns1:r>
        <ns1:r>
          <ns1:t>15</ns1:t>
        </ns1:r>
      </ns1:oMath>
      <w:r>
        <w:t xml:space="preserve"> </w:t>
      </w:r>
      <w:r>
        <w:t xml:space="preserve">bloques completos.</w:t>
      </w:r>
    </w:p>
    <w:p>
      <w:pPr>
        <w:pStyle w:val="FirstParagraph"/>
        <w:spacing w:line="360" w:lineRule="auto"/>
        <w:jc w:val="both"/>
      </w:pPr>
      <w:r>
        <w:t xml:space="preserve">La unidad inferencial primaria del Estudio B es la</w:t>
      </w:r>
      <w:r>
        <w:t xml:space="preserve"> </w:t>
      </w:r>
      <w:r>
        <w:rPr>
          <w:b/>
          <w:bCs/>
        </w:rPr>
        <w:t xml:space="preserve">celda pareada</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las 75 tuplas para las que existen artefactos calificados de</w:t>
      </w:r>
      <w:r>
        <w:t xml:space="preserve"> </w:t>
      </w:r>
      <w:r>
        <w:t xml:space="preserve">SHAP y LIME con coordenadas idénticas.</w:t>
      </w:r>
    </w:p>
    <w:bookmarkEnd w:id="68"/>
    <w:bookmarkEnd w:id="69"/>
    <w:bookmarkStart w:id="72" w:name="Xa1b63f5b80ef9314faeb5aae6b8d7e743e4217a"/>
    <w:p>
      <w:pPr>
        <w:pStyle w:val="Ttulo2"/>
        <w:spacing w:line="360" w:lineRule="auto"/>
        <w:jc w:val="both"/>
      </w:pPr>
      <w:r>
        <w:t xml:space="preserve">Protocolo de muestreo de instancias y configuración de explicadores</w:t>
      </w:r>
    </w:p>
    <w:bookmarkStart w:id="70" w:name="X22a27531824c8c7d79a9c6abca6e13f987fd35c"/>
    <w:p>
      <w:pPr>
        <w:pStyle w:val="Ttulo3"/>
        <w:spacing w:line="360" w:lineRule="auto"/>
        <w:jc w:val="both"/>
      </w:pPr>
      <w:r>
        <w:t xml:space="preserve">Muestreo estratificado por cuadrante de error</w:t>
      </w:r>
    </w:p>
    <w:p>
      <w:pPr>
        <w:pStyle w:val="FirstParagraph"/>
        <w:spacing w:line="360" w:lineRule="auto"/>
        <w:jc w:val="both"/>
      </w:pPr>
      <w:r>
        <w:t xml:space="preserve">Las instancias para cada ejecución se seleccionan mediante muestreo</w:t>
      </w:r>
      <w:r>
        <w:t xml:space="preserve"> </w:t>
      </w:r>
      <w:r>
        <w:t xml:space="preserve">estratificado por cuadrante de error de predicción: Verdaderos Positivos (VP),</w:t>
      </w:r>
      <w:r>
        <w:t xml:space="preserve"> </w:t>
      </w:r>
      <w:r>
        <w:t xml:space="preserve">Verdaderos Negativos (VN), Falsos Positivos (FP) y Falsos Negativos (FN), con</w:t>
      </w:r>
      <w:r>
        <w:t xml:space="preserve"> </w:t>
      </w:r>
      <w:r>
        <w:t xml:space="preserve">objetivo de</w:t>
      </w:r>
      <w:r>
        <w:t xml:space="preserve"> </w:t>
      </w:r>
      <ns1:oMath>
        <ns1:r>
          <ns1:t>n</ns1:t>
        </ns1:r>
      </ns1:oMath>
      <w:r>
        <w:t xml:space="preserve"> </w:t>
      </w:r>
      <w:r>
        <w:t xml:space="preserve">instancias por cuadrante:</w:t>
      </w:r>
    </w:p>
    <w:p>
      <w:pPr>
        <w:pStyle w:val="Textoindependiente"/>
        <w:spacing w:line="360" w:lineRule="auto"/>
        <w:jc w:val="both"/>
      </w:pPr>
      <ns1:oMathPara>
        <ns1:oMathParaPr>
          <ns1:jc ns1:val="center"/>
        </ns1:oMathParaPr>
        <ns1:oMath>
          <ns1:sSub>
            <ns1:e>
              <ns1:r>
                <ns1:rPr>
                  <ns1:scr ns1:val="script"/>
                  <ns1:sty ns1:val="p"/>
                </ns1:rPr>
                <ns1:t>I</ns1:t>
              </ns1:r>
            </ns1:e>
            <ns1:sub>
              <ns1:r>
                <ns1:t>g</ns1:t>
              </ns1:r>
              <ns1:r>
                <ns1:rPr>
                  <ns1:sty ns1:val="p"/>
                </ns1:rPr>
                <ns1:t>,</ns1:t>
              </ns1:r>
              <ns1:r>
                <ns1:t>s</ns1:t>
              </ns1:r>
              <ns1:r>
                <ns1:rPr>
                  <ns1:sty ns1:val="p"/>
                </ns1:rPr>
                <ns1:t>,</ns1:t>
              </ns1:r>
              <ns1:r>
                <ns1:t>n</ns1:t>
              </ns1:r>
            </ns1:sub>
          </ns1:sSub>
          <ns1:r>
            <ns1:rPr>
              <ns1:sty ns1:val="p"/>
            </ns1:rPr>
            <ns1:t>=</ns1:t>
          </ns1:r>
          <ns1:r>
            <ns1:rPr>
              <ns1:nor/>
              <ns1:sty ns1:val="p"/>
            </ns1:rPr>
            <ns1:t>StratSample</ns1:t>
          </ns1:r>
          <ns1:r>
            <ns1:t>​</ns1:t>
          </ns1:r>
          <ns1:d>
            <ns1:dPr>
              <ns1:begChr ns1:val="("/>
              <ns1:sepChr ns1:val=""/>
              <ns1:endChr ns1:val=")"/>
              <ns1:grow/>
            </ns1:dPr>
            <ns1:e>
              <ns1:sSub>
                <ns1:e>
                  <ns1:r>
                    <ns1:rPr>
                      <ns1:scr ns1:val="script"/>
                      <ns1:sty ns1:val="p"/>
                    </ns1:rPr>
                    <ns1:t>I</ns1:t>
                  </ns1:r>
                </ns1:e>
                <ns1:sub>
                  <ns1:r>
                    <ns1:rPr>
                      <ns1:nor/>
                      <ns1:sty ns1:val="p"/>
                    </ns1:rPr>
                    <ns1:t>test</ns1:t>
                  </ns1:r>
                </ns1:sub>
              </ns1:sSub>
              <ns1:r>
                <ns1:rPr>
                  <ns1:sty ns1:val="p"/>
                </ns1:rPr>
                <ns1:t>,</ns1:t>
              </ns1:r>
              <ns1:r>
                <ns1:t> </ns1:t>
              </ns1:r>
              <ns1:r>
                <ns1:rPr>
                  <ns1:nor/>
                  <ns1:sty ns1:val="p"/>
                </ns1:rPr>
                <ns1:t>strata</ns1:t>
              </ns1:r>
              <ns1:r>
                <ns1:rPr>
                  <ns1:sty ns1:val="p"/>
                </ns1:rPr>
                <ns1:t>=</ns1:t>
              </ns1:r>
              <ns1:r>
                <ns1:rPr>
                  <ns1:sty ns1:val="p"/>
                </ns1:rPr>
                <ns1:t>{</ns1:t>
              </ns1:r>
              <ns1:r>
                <ns1:rPr>
                  <ns1:nor/>
                  <ns1:sty ns1:val="p"/>
                </ns1:rPr>
                <ns1:t>VP, VN, FP, FN</ns1:t>
              </ns1:r>
              <ns1:r>
                <ns1:rPr>
                  <ns1:sty ns1:val="p"/>
                </ns1:rPr>
                <ns1:t>}</ns1:t>
              </ns1:r>
              <ns1:r>
                <ns1:rPr>
                  <ns1:sty ns1:val="p"/>
                </ns1:rPr>
                <ns1:t>,</ns1:t>
              </ns1:r>
              <ns1:r>
                <ns1:t> </ns1:t>
              </ns1:r>
              <ns1:sSub>
                <ns1:e>
                  <ns1:r>
                    <ns1:t>n</ns1:t>
                  </ns1:r>
                </ns1:e>
                <ns1:sub>
                  <ns1:r>
                    <ns1:rPr>
                      <ns1:nor/>
                      <ns1:sty ns1:val="p"/>
                    </ns1:rPr>
                    <ns1:t>per_strata</ns1:t>
                  </ns1:r>
                </ns1:sub>
              </ns1:sSub>
              <ns1:r>
                <ns1:rPr>
                  <ns1:sty ns1:val="p"/>
                </ns1:rPr>
                <ns1:t>=</ns1:t>
              </ns1:r>
              <ns1:r>
                <ns1:t>n</ns1:t>
              </ns1:r>
            </ns1:e>
          </ns1:d>
        </ns1:oMath>
      </ns1:oMathPara>
    </w:p>
    <w:p>
      <w:pPr>
        <w:pStyle w:val="FirstParagraph"/>
        <w:spacing w:line="360" w:lineRule="auto"/>
        <w:jc w:val="both"/>
      </w:pPr>
      <w:r>
        <w:t xml:space="preserve">El tamaño nominal por ejecución es</w:t>
      </w:r>
      <w:r>
        <w:t xml:space="preserve"> </w:t>
      </w:r>
      <ns1:oMath>
        <ns1:r>
          <ns1:t>4</ns1:t>
        </ns1:r>
        <ns1:r>
          <ns1:t>n</ns1:t>
        </ns1:r>
      </ns1:oMath>
      <w:r>
        <w:t xml:space="preserve">, sujeto a la disponibilidad de</w:t>
      </w:r>
      <w:r>
        <w:t xml:space="preserve"> </w:t>
      </w:r>
      <w:r>
        <w:t xml:space="preserve">instancias en cada cuadrante. El rango observado es de 27 a 800 instancias por</w:t>
      </w:r>
      <w:r>
        <w:t xml:space="preserve"> </w:t>
      </w:r>
      <w:r>
        <w:t xml:space="preserve">ejecución (mediana: 400). Esta estrategia garantiza que el explicador se evalúa</w:t>
      </w:r>
      <w:r>
        <w:t xml:space="preserve"> </w:t>
      </w:r>
      <w:r>
        <w:t xml:space="preserve">en los cuatro regímenes de decisión del modelo, no solo en los casos</w:t>
      </w:r>
      <w:r>
        <w:t xml:space="preserve"> </w:t>
      </w:r>
      <w:r>
        <w:t xml:space="preserve">correctamente clasificados.</w:t>
      </w:r>
    </w:p>
    <w:bookmarkEnd w:id="70"/>
    <w:bookmarkStart w:id="71" w:name="configuración-de-los-explicadores"/>
    <w:p>
      <w:pPr>
        <w:pStyle w:val="Ttulo3"/>
        <w:spacing w:line="360" w:lineRule="auto"/>
        <w:jc w:val="both"/>
      </w:pPr>
      <w:r>
        <w:t xml:space="preserve">Configuración de los explicadores</w:t>
      </w:r>
    </w:p>
    <w:p>
      <w:pPr>
        <w:pStyle w:val="FirstParagraph"/>
        <w:spacing w:line="360" w:lineRule="auto"/>
        <w:jc w:val="both"/>
      </w:pPr>
      <w:r>
        <w:t xml:space="preserve">Todos los métodos se ejecutan a través de</w:t>
      </w:r>
      <w:r>
        <w:t xml:space="preserve"> </w:t>
      </w:r>
      <w:r>
        <w:rPr>
          <w:rStyle w:val="VerbatimChar"/>
        </w:rPr>
        <w:t xml:space="preserve">ExplainerWrapper.explain_instance</w:t>
      </w:r>
      <w:r>
        <w:t xml:space="preserve">,</w:t>
      </w:r>
      <w:r>
        <w:t xml:space="preserve"> </w:t>
      </w:r>
      <w:r>
        <w:t xml:space="preserve">que registra el tiempo de ejecución y persiste las importancias de</w:t>
      </w:r>
      <w:r>
        <w:t xml:space="preserve"> </w:t>
      </w:r>
      <w:r>
        <w:t xml:space="preserve">características. Los parámetros efectivos en EXP2 son:</w:t>
      </w:r>
    </w:p>
    <w:p>
      <w:pPr>
        <w:pStyle w:val="Textoindependiente"/>
        <w:spacing w:line="360" w:lineRule="auto"/>
        <w:jc w:val="both"/>
      </w:pPr>
      <w:r>
        <w:rPr>
          <w:b/>
          <w:bCs/>
        </w:rPr>
        <w:t xml:space="preserve">SHAP</w:t>
      </w:r>
      <w:r>
        <w:t xml:space="preserve"> </w:t>
      </w:r>
      <w:r>
        <w:t xml:space="preserve">(Lundberg 2017)</w:t>
      </w:r>
      <w:r>
        <w:t xml:space="preserve">:</w:t>
      </w:r>
      <w:r>
        <w:t xml:space="preserve"> </w:t>
      </w:r>
      <w:r>
        <w:rPr>
          <w:rStyle w:val="VerbatimChar"/>
        </w:rPr>
        <w:t xml:space="preserve">TreeExplainer</w:t>
      </w:r>
      <w:r>
        <w:t xml:space="preserve"> </w:t>
      </w:r>
      <w:r>
        <w:t xml:space="preserve">para</w:t>
      </w:r>
      <w:r>
        <w:t xml:space="preserve"> </w:t>
      </w:r>
      <w:r>
        <w:rPr>
          <w:rStyle w:val="VerbatimChar"/>
        </w:rPr>
        <w:t xml:space="preserve">rf</w:t>
      </w:r>
      <w:r>
        <w:t xml:space="preserve"> </w:t>
      </w:r>
      <w:r>
        <w:t xml:space="preserve">y</w:t>
      </w:r>
      <w:r>
        <w:t xml:space="preserve"> </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t xml:space="preserve"> </w:t>
      </w:r>
      <w:r>
        <w:rPr>
          <w:rStyle w:val="VerbatimChar"/>
        </w:rPr>
        <w:t xml:space="preserve">svm</w:t>
      </w:r>
      <w:r>
        <w:t xml:space="preserve"> </w:t>
      </w:r>
      <w:r>
        <w:t xml:space="preserve">y</w:t>
      </w:r>
      <w:r>
        <w:t xml:space="preserve"> </w:t>
      </w:r>
      <w:r>
        <w:rPr>
          <w:rStyle w:val="VerbatimChar"/>
        </w:rPr>
        <w:t xml:space="preserve">mlp</w:t>
      </w:r>
      <w:r>
        <w:t xml:space="preserve"> </w:t>
      </w:r>
      <w:r>
        <w:t xml:space="preserve">con conjunto de referencia</w:t>
      </w:r>
      <w:r>
        <w:t xml:space="preserve"> </w:t>
      </w:r>
      <ns1:oMath>
        <ns1:sSub>
          <ns1:e>
            <ns1:r>
              <ns1:t>n</ns1:t>
            </ns1:r>
          </ns1:e>
          <ns1:sub>
            <ns1:r>
              <ns1:rPr>
                <ns1:nor/>
                <ns1:sty ns1:val="p"/>
              </ns1:rPr>
              <ns1:t>bg</ns1:t>
            </ns1:r>
          </ns1:sub>
        </ns1:sSub>
        <ns1:r>
          <ns1:rPr>
            <ns1:sty ns1:val="p"/>
          </ns1:rPr>
          <ns1:t>=</ns1:t>
        </ns1:r>
        <ns1:r>
          <ns1:t>50</ns1:t>
        </ns1:r>
      </ns1:oMath>
      <w:r>
        <w:t xml:space="preserve"> </w:t>
      </w:r>
      <w:r>
        <w:t xml:space="preserve">muestras del conjunto de entrenamiento. Objetivo:</w:t>
      </w:r>
      <w:r>
        <w:t xml:space="preserve"> </w:t>
      </w:r>
      <w:r>
        <w:t xml:space="preserve">probabilidad de la clase positiva.</w:t>
      </w:r>
    </w:p>
    <w:p>
      <w:pPr>
        <w:pStyle w:val="Textoindependiente"/>
        <w:spacing w:line="360" w:lineRule="auto"/>
        <w:jc w:val="both"/>
      </w:pPr>
      <w:r>
        <w:rPr>
          <w:b/>
          <w:bCs/>
        </w:rPr>
        <w:t xml:space="preserve">LIME</w:t>
      </w:r>
      <w:r>
        <w:t xml:space="preserve"> </w:t>
      </w:r>
      <w:r>
        <w:t xml:space="preserve">(Ribeiro 2016)</w:t>
      </w:r>
      <w:r>
        <w:t xml:space="preserve">:</w:t>
      </w:r>
      <w:r>
        <w:t xml:space="preserve"> </w:t>
      </w:r>
      <w:r>
        <w:rPr>
          <w:rStyle w:val="VerbatimChar"/>
        </w:rPr>
        <w:t xml:space="preserve">LimeTabularExplainer</w:t>
      </w:r>
      <w:r>
        <w:t xml:space="preserve"> </w:t>
      </w:r>
      <w:r>
        <w:t xml:space="preserve">con</w:t>
      </w:r>
      <w:r>
        <w:t xml:space="preserve"> </w:t>
      </w: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de numéricas.</w:t>
      </w:r>
    </w:p>
    <w:p>
      <w:pPr>
        <w:pStyle w:val="Textoindependiente"/>
        <w:spacing w:line="360" w:lineRule="auto"/>
        <w:jc w:val="both"/>
      </w:pPr>
      <w:r>
        <w:rPr>
          <w:b/>
          <w:bCs/>
        </w:rPr>
        <w:t xml:space="preserve">Anchors</w:t>
      </w:r>
      <w:r>
        <w:t xml:space="preserve"> </w:t>
      </w:r>
      <w:r>
        <w:t xml:space="preserve">(Ribeiro 2018)</w:t>
      </w:r>
      <w:r>
        <w:t xml:space="preserve">:</w:t>
      </w:r>
      <w:r>
        <w:t xml:space="preserve"> </w:t>
      </w:r>
      <w:r>
        <w:rPr>
          <w:rStyle w:val="VerbatimChar"/>
        </w:rPr>
        <w:t xml:space="preserve">AnchorTabular</w:t>
      </w:r>
      <w:r>
        <w:t xml:space="preserve"> </w:t>
      </w:r>
      <w:r>
        <w:t xml:space="preserve">con umbral de precisión efectivo</w:t>
      </w:r>
      <w:r>
        <w:t xml:space="preserve"> </w:t>
      </w:r>
      <ns1:oMath>
        <ns1:r>
          <ns1:t>τ</ns1:t>
        </ns1:r>
        <ns1:r>
          <ns1:rPr>
            <ns1:sty ns1:val="p"/>
          </ns1:rPr>
          <ns1:t>=</ns1:t>
        </ns1:r>
        <ns1:r>
          <ns1:t>0.95</ns1:t>
        </ns1:r>
      </ns1:oMath>
      <w:r>
        <w:t xml:space="preserve"> </w:t>
      </w:r>
      <w:r>
        <w:t xml:space="preserve">(el parámetro YAML no es consumido en</w:t>
      </w:r>
      <w:r>
        <w:t xml:space="preserve"> </w:t>
      </w:r>
      <w:r>
        <w:rPr>
          <w:i/>
          <w:iCs/>
        </w:rPr>
        <w:t xml:space="preserve">runtime</w:t>
      </w:r>
      <w:r>
        <w:t xml:space="preserve">; el umbral es</w:t>
      </w:r>
      <w:r>
        <w:t xml:space="preserve"> </w:t>
      </w:r>
      <w:r>
        <w:t xml:space="preserve">fijo). Caveat de implementación registrado en el inventario FOM-7.</w:t>
      </w:r>
    </w:p>
    <w:p>
      <w:pPr>
        <w:pStyle w:val="Textoindependiente"/>
        <w:spacing w:line="360" w:lineRule="auto"/>
        <w:jc w:val="both"/>
      </w:pPr>
      <w:r>
        <w:rPr>
          <w:b/>
          <w:bCs/>
        </w:rPr>
        <w:t xml:space="preserve">DiCE</w:t>
      </w:r>
      <w:r>
        <w:t xml:space="preserve"> </w:t>
      </w:r>
      <w:r>
        <w:t xml:space="preserve">(Mothilal 2020)</w:t>
      </w:r>
      <w:r>
        <w:t xml:space="preserve">:</w:t>
      </w:r>
      <w:r>
        <w:t xml:space="preserve"> </w:t>
      </w:r>
      <w:r>
        <w:rPr>
          <w:i/>
          <w:iCs/>
        </w:rPr>
        <w:t xml:space="preserve">backend</w:t>
      </w:r>
      <w:r>
        <w:t xml:space="preserve"> </w:t>
      </w:r>
      <w:r>
        <w:t xml:space="preserve">aleatorio, objetivo contrafactual de clase</w:t>
      </w:r>
      <w:r>
        <w:t xml:space="preserve"> </w:t>
      </w:r>
      <w:r>
        <w:t xml:space="preserve">opuesta, importancia definida como</w:t>
      </w:r>
      <w:r>
        <w:t xml:space="preserve"> </w:t>
      </w:r>
      <ns1:oMath>
        <ns1:sSub>
          <ns1:e>
            <ns1:r>
              <ns1:rPr>
                <ns1:nor/>
                <ns1:sty ns1:val="p"/>
              </ns1:rPr>
              <ns1:t>imp</ns1:t>
            </ns1:r>
          </ns1:e>
          <ns1:sub>
            <ns1:r>
              <ns1:t>i</ns1:t>
            </ns1:r>
          </ns1:sub>
        </ns1:sSub>
        <ns1:r>
          <ns1:rPr>
            <ns1:sty ns1:val="p"/>
          </ns1:rPr>
          <ns1:t>=</ns1:t>
        </ns1:r>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r>
        <w:t xml:space="preserve">,</w:t>
      </w:r>
      <w:r>
        <w:t xml:space="preserve"> </w:t>
      </w:r>
      <w:r>
        <w:rPr>
          <w:rStyle w:val="VerbatimChar"/>
        </w:rPr>
        <w:t xml:space="preserve">total_CFs = 1</w:t>
      </w:r>
      <w:r>
        <w:t xml:space="preserve"> </w:t>
      </w:r>
      <w:r>
        <w:t xml:space="preserve">efectivo (parámetro YAML no consumido).</w:t>
      </w:r>
    </w:p>
    <w:bookmarkEnd w:id="71"/>
    <w:bookmarkEnd w:id="72"/>
    <w:bookmarkStart w:id="80" w:name="operacionalización-de-las-métricas"/>
    <w:p>
      <w:pPr>
        <w:pStyle w:val="Ttulo2"/>
        <w:spacing w:line="360" w:lineRule="auto"/>
        <w:jc w:val="both"/>
      </w:pPr>
      <w:r>
        <w:t xml:space="preserve">Operacionalización de las métricas</w:t>
      </w:r>
    </w:p>
    <w:p>
      <w:pPr>
        <w:pStyle w:val="FirstParagraph"/>
        <w:spacing w:line="360" w:lineRule="auto"/>
        <w:jc w:val="both"/>
      </w:pPr>
      <w:r>
        <w:t xml:space="preserve">Las cinco métricas primarias se computan por instancia y se agregan a nivel de</w:t>
      </w:r>
      <w:r>
        <w:t xml:space="preserve"> </w:t>
      </w:r>
      <w:r>
        <w:t xml:space="preserve">ejecución mediante media aritmética. La dirección de cada métrica se fija en</w:t>
      </w:r>
      <w:r>
        <w:t xml:space="preserve"> </w:t>
      </w:r>
      <w:r>
        <w:t xml:space="preserve">el protocolo antes del análisis.</w:t>
      </w:r>
    </w:p>
    <w:p>
      <w:pPr>
        <w:pStyle w:val="Textoindependiente"/>
        <w:spacing w:line="360" w:lineRule="auto"/>
        <w:jc w:val="both"/>
      </w:pPr>
      <w:r>
        <w:t xml:space="preserve">Estas métricas deben leerse como proxies operacionales de los constructos</w:t>
      </w:r>
      <w:r>
        <w:t xml:space="preserve"> </w:t>
      </w:r>
      <w:r>
        <w:t xml:space="preserve">revisados en el Capítulo 2. Fidelidad, estabilidad, parsimonia, brecha de</w:t>
      </w:r>
      <w:r>
        <w:t xml:space="preserve"> </w:t>
      </w:r>
      <w:r>
        <w:t xml:space="preserve">fidelidad y coste no son intercambiables con utilidad humana, plausibilidad</w:t>
      </w:r>
      <w:r>
        <w:t xml:space="preserve"> </w:t>
      </w:r>
      <w:r>
        <w:t xml:space="preserve">semántica o causalidad del mecanismo; son indicadores reproducibles que</w:t>
      </w:r>
      <w:r>
        <w:t xml:space="preserve"> </w:t>
      </w:r>
      <w:r>
        <w:t xml:space="preserve">permiten comparar artefactos explicativos bajo condiciones experimentales</w:t>
      </w:r>
      <w:r>
        <w:t xml:space="preserve"> </w:t>
      </w:r>
      <w:r>
        <w:t xml:space="preserve">controladas</w:t>
      </w:r>
      <w:r>
        <w:t xml:space="preserve"> </w:t>
      </w:r>
      <w:r>
        <w:t xml:space="preserve">(Carvalho et al. 2019; Tomsett et al. 2020; Nauta et al. 2023)</w:t>
      </w:r>
      <w:r>
        <w:t xml:space="preserve">.</w:t>
      </w:r>
    </w:p>
    <w:bookmarkStart w:id="73" w:name="fidelidad"/>
    <w:p>
      <w:pPr>
        <w:pStyle w:val="Ttulo3"/>
        <w:spacing w:line="360" w:lineRule="auto"/>
        <w:jc w:val="both"/>
      </w:pPr>
      <w:r>
        <w:t xml:space="preserve">Fidelidad</w:t>
      </w:r>
    </w:p>
    <w:p>
      <w:pPr>
        <w:pStyle w:val="FirstParagraph"/>
        <w:spacing w:line="360" w:lineRule="auto"/>
        <w:jc w:val="both"/>
      </w:pPr>
      <w:r>
        <w:t xml:space="preserve">La fidelidad cuantifica la alineación entre las importancias del explicador y</w:t>
      </w:r>
      <w:r>
        <w:t xml:space="preserve"> </w:t>
      </w:r>
      <w:r>
        <w:t xml:space="preserve">el efecto predictivo real bajo enmascaramiento individual de características:</w:t>
      </w:r>
    </w:p>
    <w:p>
      <w:pPr>
        <w:pStyle w:val="Textoindependiente"/>
        <w:spacing w:line="360" w:lineRule="auto"/>
        <w:jc w:val="both"/>
      </w:pPr>
      <ns1:oMathPara>
        <ns1:oMathParaPr>
          <ns1:jc ns1:val="center"/>
        </ns1:oMathParaPr>
        <ns1:oMath>
          <ns1:r>
            <ns1:t>F</ns1:t>
          </ns1:r>
          <ns1:r>
            <ns1:rPr>
              <ns1:sty ns1:val="p"/>
            </ns1:rPr>
            <ns1:t>=</ns1:t>
          </ns1:r>
          <ns1:r>
            <ns1:rPr>
              <ns1:nor/>
              <ns1:sty ns1:val="p"/>
            </ns1:rPr>
            <ns1:t>corr</ns1:t>
          </ns1:r>
          <ns1:r>
            <ns1:t>​</ns1:t>
          </ns1:r>
          <ns1:d>
            <ns1:dPr>
              <ns1:begChr ns1:val="("/>
              <ns1:sepChr ns1:val=""/>
              <ns1:endChr ns1:val=")"/>
              <ns1:grow/>
            </ns1:dPr>
            <ns1:e>
              <ns1:r>
                <ns1:rPr>
                  <ns1:sty ns1:val="p"/>
                </ns1:rPr>
                <ns1:t>|</ns1:t>
              </ns1:r>
              <ns1:sSub>
                <ns1:e>
                  <ns1:r>
                    <ns1:t>w</ns1:t>
                  </ns1:r>
                </ns1:e>
                <ns1:sub>
                  <ns1:r>
                    <ns1:t>i</ns1:t>
                  </ns1:r>
                </ns1:sub>
              </ns1:sSub>
              <ns1:r>
                <ns1:rPr>
                  <ns1:sty ns1:val="p"/>
                </ns1:rPr>
                <ns1:t>|</ns1:t>
              </ns1:r>
              <ns1:r>
                <ns1:rPr>
                  <ns1:sty ns1:val="p"/>
                </ns1:rPr>
                <ns1:t>,</ns1:t>
              </ns1:r>
              <ns1:r>
                <ns1:t> </ns1:t>
              </ns1:r>
              <ns1:r>
                <ns1:rPr>
                  <ns1:sty ns1:val="p"/>
                </ns1:rPr>
                <ns1:t>|</ns1:t>
              </ns1:r>
              <ns1:r>
                <ns1:t>f</ns1:t>
              </ns1:r>
              <ns1:r>
                <ns1:rPr>
                  <ns1:sty ns1:val="p"/>
                </ns1:rPr>
                <ns1:t>(</ns1:t>
              </ns1:r>
              <ns1:r>
                <ns1:t>x</ns1:t>
              </ns1:r>
              <ns1:r>
                <ns1:rPr>
                  <ns1:sty ns1:val="p"/>
                </ns1:rPr>
                <ns1:t>)</ns1:t>
              </ns1:r>
              <ns1:r>
                <ns1:rPr>
                  <ns1:sty ns1:val="p"/>
                </ns1:rPr>
                <ns1:t>−</ns1:t>
              </ns1:r>
              <ns1:r>
                <ns1:t>f</ns1:t>
              </ns1:r>
              <ns1:r>
                <ns1:rPr>
                  <ns1:sty ns1:val="p"/>
                </ns1:rPr>
                <ns1:t>(</ns1:t>
              </ns1:r>
              <ns1:sSub>
                <ns1:e>
                  <ns1:r>
                    <ns1:t>x</ns1:t>
                  </ns1:r>
                </ns1:e>
                <ns1:sub>
                  <ns1:r>
                    <ns1:rPr>
                      <ns1:sty ns1:val="p"/>
                    </ns1:rPr>
                    <ns1:t>−</ns1:t>
                  </ns1:r>
                  <ns1:r>
                    <ns1:t>i</ns1:t>
                  </ns1:r>
                </ns1:sub>
              </ns1:sSub>
              <ns1:r>
                <ns1:rPr>
                  <ns1:sty ns1:val="p"/>
                </ns1:rPr>
                <ns1:t>)</ns1:t>
              </ns1:r>
              <ns1:r>
                <ns1:rPr>
                  <ns1:sty ns1:val="p"/>
                </ns1:rPr>
                <ns1:t>|</ns1:t>
              </ns1:r>
            </ns1:e>
          </ns1:d>
        </ns1:oMath>
      </ns1:oMathPara>
    </w:p>
    <w:p>
      <w:pPr>
        <w:pStyle w:val="FirstParagraph"/>
        <w:spacing w:line="360" w:lineRule="auto"/>
        <w:jc w:val="both"/>
      </w:pPr>
      <w:r>
        <w:t xml:space="preserve">donde</w:t>
      </w:r>
      <w:r>
        <w:t xml:space="preserve"> </w:t>
      </w:r>
      <ns1:oMath>
        <ns1:sSub>
          <ns1:e>
            <ns1:r>
              <ns1:t>x</ns1:t>
            </ns1:r>
          </ns1:e>
          <ns1:sub>
            <ns1:r>
              <ns1:rPr>
                <ns1:sty ns1:val="p"/>
              </ns1:rPr>
              <ns1:t>−</ns1:t>
            </ns1:r>
            <ns1:r>
              <ns1:t>i</ns1:t>
            </ns1:r>
          </ns1:sub>
        </ns1:sSub>
      </ns1:oMath>
      <w:r>
        <w:t xml:space="preserve"> </w:t>
      </w:r>
      <w:r>
        <w:t xml:space="preserve">sustituye la característica</w:t>
      </w:r>
      <w:r>
        <w:t xml:space="preserve"> </w:t>
      </w:r>
      <ns1:oMath>
        <ns1:r>
          <ns1:t>i</ns1:t>
        </ns1:r>
      </ns1:oMath>
      <w:r>
        <w:t xml:space="preserve"> </w:t>
      </w:r>
      <w:r>
        <w:t xml:space="preserve">por su media de entrenamiento.</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src/metrics/fidelity.py</w:t>
      </w:r>
      <w:r>
        <w:t xml:space="preserve">.</w:t>
      </w:r>
    </w:p>
    <w:bookmarkEnd w:id="73"/>
    <w:bookmarkStart w:id="74" w:name="estabilidad"/>
    <w:p>
      <w:pPr>
        <w:pStyle w:val="Ttulo3"/>
        <w:spacing w:line="360" w:lineRule="auto"/>
        <w:jc w:val="both"/>
      </w:pPr>
      <w:r>
        <w:t xml:space="preserve">Estabilidad</w:t>
      </w:r>
    </w:p>
    <w:p>
      <w:pPr>
        <w:pStyle w:val="FirstParagraph"/>
        <w:spacing w:line="360" w:lineRule="auto"/>
        <w:jc w:val="both"/>
      </w:pPr>
      <w:r>
        <w:t xml:space="preserve">La estabilidad mide la consistencia de las explicaciones bajo</w:t>
      </w:r>
      <w:r>
        <w:t xml:space="preserve"> </w:t>
      </w:r>
      <ns1:oMath>
        <ns1:r>
          <ns1:t>T</ns1:t>
        </ns1:r>
        <ns1:r>
          <ns1:rPr>
            <ns1:sty ns1:val="p"/>
          </ns1:rPr>
          <ns1:t>=</ns1:t>
        </ns1:r>
        <ns1:r>
          <ns1:t>15</ns1:t>
        </ns1:r>
      </ns1:oMath>
      <w:r>
        <w:t xml:space="preserve"> </w:t>
      </w:r>
      <w:r>
        <w:t xml:space="preserve">perturbaciones gaussianas</w:t>
      </w:r>
      <w:r>
        <w:t xml:space="preserve"> </w:t>
      </w:r>
      <ns1:oMath>
        <ns1:sSup>
          <ns1:e>
            <ns1:r>
              <ns1:t>x</ns1:t>
            </ns1:r>
          </ns1:e>
          <ns1:sup>
            <ns1:r>
              <ns1:rPr>
                <ns1:sty ns1:val="p"/>
              </ns1:rPr>
              <ns1:t>(</ns1:t>
            </ns1:r>
            <ns1:r>
              <ns1:t>t</ns1:t>
            </ns1:r>
            <ns1:r>
              <ns1:rPr>
                <ns1:sty ns1:val="p"/>
              </ns1:rPr>
              <ns1:t>)</ns1:t>
            </ns1:r>
          </ns1:sup>
        </ns1:sSup>
        <ns1:r>
          <ns1:rPr>
            <ns1:sty ns1:val="p"/>
          </ns1:rPr>
          <ns1:t>=</ns1:t>
        </ns1:r>
        <ns1:r>
          <ns1:t>x</ns1:t>
        </ns1:r>
        <ns1:r>
          <ns1:rPr>
            <ns1:sty ns1:val="p"/>
          </ns1:rPr>
          <ns1:t>+</ns1:t>
        </ns1:r>
        <ns1:sSup>
          <ns1:e>
            <ns1:r>
              <ns1:t>ε</ns1:t>
            </ns1:r>
          </ns1:e>
          <ns1:sup>
            <ns1:r>
              <ns1:rPr>
                <ns1:sty ns1:val="p"/>
              </ns1:rPr>
              <ns1:t>(</ns1:t>
            </ns1:r>
            <ns1:r>
              <ns1:t>t</ns1:t>
            </ns1:r>
            <ns1:r>
              <ns1:rPr>
                <ns1:sty ns1:val="p"/>
              </ns1:rPr>
              <ns1:t>)</ns1:t>
            </ns1:r>
          </ns1:sup>
        </ns1:sSup>
      </ns1:oMath>
      <w:r>
        <w:t xml:space="preserve">,</w:t>
      </w:r>
      <w:r>
        <w:t xml:space="preserve"> </w:t>
      </w:r>
      <ns1:oMath>
        <ns1:sSup>
          <ns1:e>
            <ns1:r>
              <ns1:t>ε</ns1:t>
            </ns1:r>
          </ns1:e>
          <ns1:sup>
            <ns1:r>
              <ns1:rPr>
                <ns1:sty ns1:val="p"/>
              </ns1:rPr>
              <ns1:t>(</ns1:t>
            </ns1:r>
            <ns1:r>
              <ns1:t>t</ns1:t>
            </ns1:r>
            <ns1:r>
              <ns1:rPr>
                <ns1:sty ns1:val="p"/>
              </ns1:rPr>
              <ns1:t>)</ns1:t>
            </ns1:r>
          </ns1:sup>
        </ns1:sSup>
        <ns1:r>
          <ns1:rPr>
            <ns1:sty ns1:val="p"/>
          </ns1:rPr>
          <ns1:t>∼</ns1:t>
        </ns1:r>
        <ns1:r>
          <ns1:rPr>
            <ns1:scr ns1:val="script"/>
            <ns1:sty ns1:val="p"/>
          </ns1:rPr>
          <ns1:t>N</ns1:t>
        </ns1:r>
        <ns1:r>
          <ns1:rPr>
            <ns1:sty ns1:val="p"/>
          </ns1:rPr>
          <ns1:t>(</ns1:t>
        </ns1:r>
        <ns1:r>
          <ns1:t>0</ns1:t>
        </ns1:r>
        <ns1:r>
          <ns1:rPr>
            <ns1:sty ns1:val="p"/>
          </ns1:rPr>
          <ns1:t>,</ns1:t>
        </ns1:r>
        <ns1:sSup>
          <ns1:e>
            <ns1:r>
              <ns1:t>σ</ns1:t>
            </ns1:r>
          </ns1:e>
          <ns1:sup>
            <ns1:r>
              <ns1:t>2</ns1:t>
            </ns1:r>
          </ns1:sup>
        </ns1:sSup>
        <ns1:r>
          <ns1:rPr>
            <ns1:sty ns1:val="b"/>
          </ns1:rPr>
          <ns1:t>I</ns1:t>
        </ns1:r>
        <ns1:r>
          <ns1:rPr>
            <ns1:sty ns1:val="p"/>
          </ns1:rPr>
          <ns1:t>)</ns1:t>
        </ns1:r>
      </ns1:oMath>
      <w:r>
        <w:t xml:space="preserve">,</w:t>
      </w:r>
      <w:r>
        <w:t xml:space="preserve"> </w:t>
      </w:r>
      <ns1:oMath>
        <ns1:r>
          <ns1:t>σ</ns1:t>
        </ns1:r>
        <ns1:r>
          <ns1:rPr>
            <ns1:sty ns1:val="p"/>
          </ns1:rPr>
          <ns1:t>=</ns1:t>
        </ns1:r>
        <ns1:r>
          <ns1:t>0.1</ns1:t>
        </ns1:r>
      </ns1:oMath>
      <w:r>
        <w:t xml:space="preserve">:</w:t>
      </w:r>
    </w:p>
    <w:p>
      <w:pPr>
        <w:pStyle w:val="Textoindependiente"/>
        <w:spacing w:line="360" w:lineRule="auto"/>
        <w:jc w:val="both"/>
      </w:pPr>
      <ns1:oMathPara>
        <ns1:oMathParaPr>
          <ns1:jc ns1:val="center"/>
        </ns1:oMathParaPr>
        <ns1:oMath>
          <ns1:r>
            <ns1:t>S</ns1:t>
          </ns1:r>
          <ns1:r>
            <ns1:rPr>
              <ns1:sty ns1:val="p"/>
            </ns1:rPr>
            <ns1:t>=</ns1:t>
          </ns1:r>
          <ns1:f>
            <ns1:fPr>
              <ns1:type ns1:val="bar"/>
            </ns1:fPr>
            <ns1:num>
              <ns1:r>
                <ns1:t>2</ns1:t>
              </ns1:r>
            </ns1:num>
            <ns1:den>
              <ns1:r>
                <ns1:t>T</ns1:t>
              </ns1:r>
              <ns1:r>
                <ns1:rPr>
                  <ns1:sty ns1:val="p"/>
                </ns1:rPr>
                <ns1:t>(</ns1:t>
              </ns1:r>
              <ns1:r>
                <ns1:t>T</ns1:t>
              </ns1:r>
              <ns1:r>
                <ns1:rPr>
                  <ns1:sty ns1:val="p"/>
                </ns1:rPr>
                <ns1:t>−</ns1:t>
              </ns1:r>
              <ns1:r>
                <ns1:t>1</ns1:t>
              </ns1:r>
              <ns1:r>
                <ns1:rPr>
                  <ns1:sty ns1:val="p"/>
                </ns1:rPr>
                <ns1:t>)</ns1:t>
              </ns1:r>
            </ns1:den>
          </ns1:f>
          <ns1:nary>
            <ns1:naryPr>
              <ns1:chr ns1:val="∑"/>
              <ns1:limLoc ns1:val="undOvr"/>
              <ns1:subHide ns1:val="off"/>
              <ns1:supHide ns1:val="on"/>
            </ns1:naryPr>
            <ns1:sub>
              <ns1:r>
                <ns1:t>a</ns1:t>
              </ns1:r>
              <ns1:r>
                <ns1:rPr>
                  <ns1:sty ns1:val="p"/>
                </ns1:rPr>
                <ns1:t>&lt;</ns1:t>
              </ns1:r>
              <ns1:r>
                <ns1:t>b</ns1:t>
              </ns1:r>
            </ns1:sub>
            <ns1:sup>
              <ns1:r>
                <ns1:t>​</ns1:t>
              </ns1:r>
            </ns1:sup>
            <ns1:e>
              <ns1:r>
                <ns1:rPr>
                  <ns1:sty ns1:val="p"/>
                </ns1:rPr>
                <ns1:t>cos</ns1:t>
              </ns1:r>
            </ns1:e>
          </ns1:nary>
          <ns1:r>
            <ns1:t>​</ns1:t>
          </ns1:r>
          <ns1:d>
            <ns1:dPr>
              <ns1:begChr ns1:val="("/>
              <ns1:sepChr ns1:val=""/>
              <ns1:endChr ns1:val=")"/>
              <ns1:grow/>
            </ns1:dPr>
            <ns1:e>
              <ns1:sSup>
                <ns1:e>
                  <ns1:r>
                    <ns1:t>e</ns1:t>
                  </ns1:r>
                </ns1:e>
                <ns1:sup>
                  <ns1:r>
                    <ns1:rPr>
                      <ns1:sty ns1:val="p"/>
                    </ns1:rPr>
                    <ns1:t>(</ns1:t>
                  </ns1:r>
                  <ns1:r>
                    <ns1:t>a</ns1:t>
                  </ns1:r>
                  <ns1:r>
                    <ns1:rPr>
                      <ns1:sty ns1:val="p"/>
                    </ns1:rPr>
                    <ns1:t>)</ns1:t>
                  </ns1:r>
                </ns1:sup>
              </ns1:sSup>
              <ns1:r>
                <ns1:rPr>
                  <ns1:sty ns1:val="p"/>
                </ns1:rPr>
                <ns1:t>,</ns1:t>
              </ns1:r>
              <ns1:r>
                <ns1:t> </ns1:t>
              </ns1:r>
              <ns1:sSup>
                <ns1:e>
                  <ns1:r>
                    <ns1:t>e</ns1:t>
                  </ns1:r>
                </ns1:e>
                <ns1:sup>
                  <ns1:r>
                    <ns1:rPr>
                      <ns1:sty ns1:val="p"/>
                    </ns1:rPr>
                    <ns1:t>(</ns1:t>
                  </ns1:r>
                  <ns1:r>
                    <ns1:t>b</ns1:t>
                  </ns1:r>
                  <ns1:r>
                    <ns1:rPr>
                      <ns1:sty ns1:val="p"/>
                    </ns1:rPr>
                    <ns1:t>)</ns1:t>
                  </ns1:r>
                </ns1:sup>
              </ns1:sSup>
            </ns1:e>
          </ns1:d>
        </ns1:oMath>
      </ns1:oMathPara>
    </w:p>
    <w:p>
      <w:pPr>
        <w:pStyle w:val="FirstParagraph"/>
        <w:spacing w:line="360" w:lineRule="auto"/>
        <w:jc w:val="both"/>
      </w:pPr>
      <w:r>
        <w:t xml:space="preserve">Con</w:t>
      </w:r>
      <w:r>
        <w:t xml:space="preserve"> </w:t>
      </w:r>
      <ns1:oMath>
        <ns1:r>
          <ns1:t>T</ns1:t>
        </ns1:r>
        <ns1:r>
          <ns1:rPr>
            <ns1:sty ns1:val="p"/>
          </ns1:rPr>
          <ns1:t>=</ns1:t>
        </ns1:r>
        <ns1:r>
          <ns1:t>15</ns1:t>
        </ns1:r>
      </ns1:oMath>
      <w:r>
        <w:t xml:space="preserve"> </w:t>
      </w:r>
      <w:r>
        <w:t xml:space="preserve">se forman</w:t>
      </w:r>
      <w:r>
        <w:t xml:space="preserve"> </w:t>
      </w:r>
      <ns1:oMath>
        <ns1:d>
          <ns1:dPr>
            <ns1:begChr ns1:val="("/>
            <ns1:sepChr ns1:val=""/>
            <ns1:endChr ns1:val=")"/>
            <ns1:grow/>
          </ns1:dPr>
          <ns1:e>
            <ns1:f>
              <ns1:fPr>
                <ns1:type ns1:val="noBar"/>
              </ns1:fPr>
              <ns1:num>
                <ns1:r>
                  <ns1:t>15</ns1:t>
                </ns1:r>
              </ns1:num>
              <ns1:den>
                <ns1:r>
                  <ns1:t>2</ns1:t>
                </ns1:r>
              </ns1:den>
            </ns1:f>
          </ns1:e>
        </ns1:d>
        <ns1:r>
          <ns1:rPr>
            <ns1:sty ns1:val="p"/>
          </ns1:rPr>
          <ns1:t>=</ns1:t>
        </ns1:r>
        <ns1:r>
          <ns1:t>105</ns1:t>
        </ns1:r>
      </ns1:oMath>
      <w:r>
        <w:t xml:space="preserve"> </w:t>
      </w:r>
      <w:r>
        <w:t xml:space="preserve">pares por instancia.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src/metrics/stability.py</w:t>
      </w:r>
      <w:r>
        <w:t xml:space="preserve">.</w:t>
      </w:r>
    </w:p>
    <w:bookmarkEnd w:id="74"/>
    <w:bookmarkStart w:id="75" w:name="parsimonia"/>
    <w:p>
      <w:pPr>
        <w:pStyle w:val="Ttulo3"/>
        <w:spacing w:line="360" w:lineRule="auto"/>
        <w:jc w:val="both"/>
      </w:pPr>
      <w:r>
        <w:t xml:space="preserve">Parsimonia</w:t>
      </w:r>
    </w:p>
    <w:p>
      <w:pPr>
        <w:pStyle w:val="FirstParagraph"/>
        <w:spacing w:line="360" w:lineRule="auto"/>
        <w:jc w:val="both"/>
      </w:pPr>
      <w:r>
        <w:t xml:space="preserve">La parsimonia cuantifica la proporción de características activas</w:t>
      </w:r>
      <w:r>
        <w:t xml:space="preserve"> </w:t>
      </w:r>
      <w:r>
        <w:t xml:space="preserve">(</w:t>
      </w:r>
      <ns1:oMath>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sSup>
          <ns1:e>
            <ns1:r>
              <ns1:t>10</ns1:t>
            </ns1:r>
          </ns1:e>
          <ns1:sup>
            <ns1:r>
              <ns1:rPr>
                <ns1:sty ns1:val="p"/>
              </ns1:rPr>
              <ns1:t>−</ns1:t>
            </ns1:r>
            <ns1:r>
              <ns1:t>4</ns1:t>
            </ns1:r>
          </ns1:sup>
        </ns1:sSup>
      </ns1:oMath>
      <w:r>
        <w:t xml:space="preserve">) sobre el total de características transformadas:</w:t>
      </w:r>
    </w:p>
    <w:p>
      <w:pPr>
        <w:pStyle w:val="Textoindependiente"/>
        <w:spacing w:line="360" w:lineRule="auto"/>
        <w:jc w:val="both"/>
      </w:pPr>
      <ns1:oMathPara>
        <ns1:oMathParaPr>
          <ns1:jc ns1:val="center"/>
        </ns1:oMathParaPr>
        <ns1:oMath>
          <ns1:r>
            <ns1:t>P</ns1:t>
          </ns1:r>
          <ns1:r>
            <ns1:rPr>
              <ns1:sty ns1:val="p"/>
            </ns1:rPr>
            <ns1:t>=</ns1:t>
          </ns1:r>
          <ns1:f>
            <ns1:fPr>
              <ns1:type ns1:val="bar"/>
            </ns1:fPr>
            <ns1:num>
              <ns1:r>
                <ns1:rPr>
                  <ns1:sty ns1:val="p"/>
                </ns1:rPr>
                <ns1:t>#</ns1:t>
              </ns1:r>
              <ns1:r>
                <ns1:rPr>
                  <ns1:sty ns1:val="p"/>
                </ns1:rPr>
                <ns1:t>{</ns1:t>
              </ns1:r>
              <ns1:r>
                <ns1:t>i</ns1:t>
              </ns1:r>
              <ns1:r>
                <ns1:rPr>
                  <ns1:sty ns1:val="p"/>
                </ns1:rPr>
                <ns1:t>:</ns1:t>
              </ns1:r>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num>
            <ns1:den>
              <ns1:r>
                <ns1:rPr>
                  <ns1:sty ns1:val="p"/>
                </ns1:rPr>
                <ns1:t>|</ns1:t>
              </ns1:r>
              <ns1:r>
                <ns1:rPr>
                  <ns1:scr ns1:val="script"/>
                  <ns1:sty ns1:val="p"/>
                </ns1:rPr>
                <ns1:t>F</ns1:t>
              </ns1:r>
              <ns1:r>
                <ns1:rPr>
                  <ns1:sty ns1:val="p"/>
                </ns1:rPr>
                <ns1:t>|</ns1:t>
              </ns1:r>
            </ns1:den>
          </ns1:f>
        </ns1:oMath>
      </ns1:oMathPara>
    </w:p>
    <w:p>
      <w:pPr>
        <w:pStyle w:val="FirstParagraph"/>
        <w:spacing w:line="360" w:lineRule="auto"/>
        <w:jc w:val="both"/>
      </w:pPr>
      <w:r>
        <w:t xml:space="preserve">Un valor bajo indica mayor concisión. Dirección:</w:t>
      </w:r>
      <w:r>
        <w:t xml:space="preserve"> </w:t>
      </w:r>
      <ns1:oMath>
        <ns1:r>
          <ns1:rPr>
            <ns1:sty ns1:val="p"/>
          </ns1:rPr>
          <ns1:t>↓</ns1:t>
        </ns1:r>
      </ns1:oMath>
      <w:r>
        <w:t xml:space="preserve">.</w:t>
      </w:r>
      <w:r>
        <w:t xml:space="preserve"> </w:t>
      </w:r>
      <w:r>
        <w:t xml:space="preserve">Implementación:</w:t>
      </w:r>
      <w:r>
        <w:t xml:space="preserve"> </w:t>
      </w:r>
      <w:r>
        <w:rPr>
          <w:rStyle w:val="VerbatimChar"/>
        </w:rPr>
        <w:t xml:space="preserve">src/metrics/sparsity.py</w:t>
      </w:r>
      <w:r>
        <w:t xml:space="preserve">.</w:t>
      </w:r>
    </w:p>
    <w:bookmarkEnd w:id="75"/>
    <w:bookmarkStart w:id="76" w:name="brecha-de-fidelidad"/>
    <w:p>
      <w:pPr>
        <w:pStyle w:val="Ttulo3"/>
        <w:spacing w:line="360" w:lineRule="auto"/>
        <w:jc w:val="both"/>
      </w:pPr>
      <w:r>
        <w:t xml:space="preserve">Brecha de fidelidad</w:t>
      </w:r>
    </w:p>
    <w:p>
      <w:pPr>
        <w:pStyle w:val="FirstParagraph"/>
        <w:spacing w:line="360" w:lineRule="auto"/>
        <w:jc w:val="both"/>
      </w:pPr>
      <w:r>
        <w:t xml:space="preserve">La brecha de fidelidad cuantifica el cambio en la salida del modelo al</w:t>
      </w:r>
      <w:r>
        <w:t xml:space="preserve"> </w:t>
      </w:r>
      <w:r>
        <w:t xml:space="preserve">enmascarar las</w:t>
      </w:r>
      <w:r>
        <w:t xml:space="preserve"> </w:t>
      </w:r>
      <ns1:oMath>
        <ns1:r>
          <ns1:t>k</ns1:t>
        </ns1:r>
        <ns1:r>
          <ns1:rPr>
            <ns1:sty ns1:val="p"/>
          </ns1:rPr>
          <ns1:t>=</ns1:t>
        </ns1:r>
        <ns1:r>
          <ns1:t>5</ns1:t>
        </ns1:r>
      </ns1:oMath>
      <w:r>
        <w:t xml:space="preserve"> </w:t>
      </w:r>
      <w:r>
        <w:t xml:space="preserve">características de mayor importancia:</w:t>
      </w:r>
    </w:p>
    <w:p>
      <w:pPr>
        <w:pStyle w:val="Textoindependiente"/>
        <w:spacing w:line="360" w:lineRule="auto"/>
        <w:jc w:val="both"/>
      </w:pPr>
      <ns1:oMathPara>
        <ns1:oMathParaPr>
          <ns1:jc ns1:val="center"/>
        </ns1:oMathParaPr>
        <ns1:oMath>
          <ns1:sSub>
            <ns1:e>
              <ns1:r>
                <ns1:rPr>
                  <ns1:sty ns1:val="p"/>
                </ns1:rPr>
                <ns1:t>Δ</ns1:t>
              </ns1:r>
            </ns1:e>
            <ns1:sub>
              <ns1:r>
                <ns1:t>k</ns1:t>
              </ns1:r>
            </ns1:sub>
          </ns1:sSub>
          <ns1:r>
            <ns1:rPr>
              <ns1:sty ns1:val="p"/>
            </ns1:rPr>
            <ns1:t>=</ns1:t>
          </ns1:r>
          <ns1:d>
            <ns1:dPr>
              <ns1:begChr ns1:val="|"/>
              <ns1:sepChr ns1:val=""/>
              <ns1:endChr ns1:val="|"/>
              <ns1:grow/>
            </ns1:dPr>
            <ns1:e>
              <ns1:r>
                <ns1:t>f</ns1:t>
              </ns1:r>
              <ns1:r>
                <ns1:rPr>
                  <ns1:sty ns1:val="p"/>
                </ns1:rPr>
                <ns1:t>(</ns1:t>
              </ns1:r>
              <ns1:r>
                <ns1:t>x</ns1:t>
              </ns1:r>
              <ns1:r>
                <ns1:rPr>
                  <ns1:sty ns1:val="p"/>
                </ns1:rPr>
                <ns1:t>)</ns1:t>
              </ns1:r>
              <ns1:r>
                <ns1:rPr>
                  <ns1:sty ns1:val="p"/>
                </ns1:rPr>
                <ns1:t>−</ns1:t>
              </ns1:r>
              <ns1:r>
                <ns1:t>f</ns1:t>
              </ns1:r>
              <ns1:r>
                <ns1:t>​</ns1:t>
              </ns1:r>
              <ns1:d>
                <ns1:dPr>
                  <ns1:begChr ns1:val="("/>
                  <ns1:sepChr ns1:val=""/>
                  <ns1:endChr ns1:val=")"/>
                  <ns1:grow/>
                </ns1:dPr>
                <ns1:e>
                  <ns1:sSub>
                    <ns1:e>
                      <ns1:r>
                        <ns1:t>x</ns1:t>
                      </ns1:r>
                    </ns1:e>
                    <ns1:sub>
                      <ns1:r>
                        <ns1:rPr>
                          <ns1:nor/>
                          <ns1:sty ns1:val="p"/>
                        </ns1:rPr>
                        <ns1:t>mask-top-</ns1:t>
                      </ns1:r>
                      <ns1:r>
                        <ns1:t>k</ns1:t>
                      </ns1:r>
                    </ns1:sub>
                  </ns1:sSub>
                </ns1:e>
              </ns1:d>
            </ns1:e>
          </ns1:d>
        </ns1:oMath>
      </ns1:oMathPara>
    </w:p>
    <w:p>
      <w:pPr>
        <w:pStyle w:val="FirstParagraph"/>
        <w:spacing w:line="360" w:lineRule="auto"/>
        <w:jc w:val="both"/>
      </w:pPr>
      <w:r>
        <w:t xml:space="preserve">donde</w:t>
      </w:r>
      <w:r>
        <w:t xml:space="preserve"> </w:t>
      </w:r>
      <ns1:oMath>
        <ns1:r>
          <ns1:t>f</ns1:t>
        </ns1:r>
        <ns1:r>
          <ns1:rPr>
            <ns1:sty ns1:val="p"/>
          </ns1:rPr>
          <ns1:t>(</ns1:t>
        </ns1:r>
        <ns1:r>
          <ns1:rPr>
            <ns1:sty ns1:val="p"/>
          </ns1:rPr>
          <ns1:t>⋅</ns1:t>
        </ns1:r>
        <ns1:r>
          <ns1:rPr>
            <ns1:sty ns1:val="p"/>
          </ns1:rPr>
          <ns1:t>)</ns1:t>
        </ns1:r>
      </ns1:oMath>
      <w:r>
        <w:t xml:space="preserve"> </w:t>
      </w:r>
      <w:r>
        <w:t xml:space="preserve">devuelve la probabilidad de la clase positiva.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src/metrics/faithfulness.py</w:t>
      </w:r>
      <w:r>
        <w:t xml:space="preserve">.</w:t>
      </w:r>
    </w:p>
    <w:bookmarkEnd w:id="76"/>
    <w:bookmarkStart w:id="77" w:name="coste-computacional"/>
    <w:p>
      <w:pPr>
        <w:pStyle w:val="Ttulo3"/>
        <w:spacing w:line="360" w:lineRule="auto"/>
        <w:jc w:val="both"/>
      </w:pPr>
      <w:r>
        <w:t xml:space="preserve">Coste computacional</w:t>
      </w:r>
    </w:p>
    <w:p>
      <w:pPr>
        <w:pStyle w:val="FirstParagraph"/>
        <w:spacing w:line="360" w:lineRule="auto"/>
        <w:jc w:val="both"/>
      </w:pPr>
      <w:r>
        <w:t xml:space="preserve">El coste (</w:t>
      </w:r>
      <ns1:oMath>
        <ns1:r>
          <ns1:t>C</ns1:t>
        </ns1:r>
      </ns1:oMath>
      <w:r>
        <w:t xml:space="preserve">) es el tiempo de pared en milisegundos por instancia explicada,</w:t>
      </w:r>
      <w:r>
        <w:t xml:space="preserve"> </w:t>
      </w:r>
      <w:r>
        <w:t xml:space="preserve">registrado en</w:t>
      </w:r>
      <w:r>
        <w:t xml:space="preserve"> </w:t>
      </w:r>
      <w:r>
        <w:rPr>
          <w:rStyle w:val="VerbatimChar"/>
        </w:rPr>
        <w:t xml:space="preserve">ExplainerWrapper</w:t>
      </w:r>
      <w:r>
        <w:t xml:space="preserve"> </w:t>
      </w:r>
      <w:r>
        <w:t xml:space="preserve">bajo restricciones de recursos gestionadas por</w:t>
      </w:r>
      <w:r>
        <w:t xml:space="preserve"> </w:t>
      </w:r>
      <w:r>
        <w:rPr>
          <w:rStyle w:val="VerbatimChar"/>
        </w:rPr>
        <w:t xml:space="preserve">ResourceGuard</w:t>
      </w:r>
      <w:r>
        <w:t xml:space="preserve"> </w:t>
      </w:r>
      <w:r>
        <w:t xml:space="preserve">(especificaciones en el Apéndice A). Dirección:</w:t>
      </w:r>
      <w:r>
        <w:t xml:space="preserve"> </w:t>
      </w:r>
      <ns1:oMath>
        <ns1:r>
          <ns1:rPr>
            <ns1:sty ns1:val="p"/>
          </ns1:rPr>
          <ns1:t>↓</ns1:t>
        </ns1:r>
      </ns1:oMath>
      <w:r>
        <w:t xml:space="preserve">.</w:t>
      </w:r>
    </w:p>
    <w:bookmarkEnd w:id="77"/>
    <w:bookmarkStart w:id="79" w:name="resumen-de-métricas-primarias"/>
    <w:p>
      <w:pPr>
        <w:pStyle w:val="Ttulo3"/>
        <w:spacing w:line="360" w:lineRule="auto"/>
        <w:jc w:val="both"/>
      </w:pPr>
      <w:r>
        <w:t xml:space="preserve">Resumen de métricas primarias</w:t>
      </w:r>
    </w:p>
    <w:tbl>
      <w:tblPr>
        <w:tblStyle w:val="Table"/>
        <w:tblW w:type="pct" w:w="5000"/>
        <w:tblLayout w:type="fixed"/>
        <w:tblLook w:firstRow="0" w:lastRow="0" w:firstColumn="0" w:lastColumn="0" w:noHBand="0" w:noVBand="0" w:val="0000"/>
      </w:tblPr>
      <w:tblGrid>
        <w:gridCol w:w="7920"/>
      </w:tblGrid>
      <w:tr>
        <w:tc>
          <w:tcPr/>
          <w:bookmarkStart w:id="78" w:name="tbl-metrics"/>
          <w:p>
            <w:pPr>
              <w:jc w:val="both"/>
              <w:spacing w:line="360" w:lineRule="auto"/>
            </w:pPr>
            <w:pPr>
              <w:jc w:val="left"/>
              <w:spacing w:before="200"/>
              <w:pStyle w:val="ImageCaption"/>
            </w:pPr>
            <w:r>
              <w:t xml:space="preserve">Table 4.2: Métricas primarias del benchmark con unidades y direcciones.</w:t>
            </w: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Símbolo</w:t>
                  </w:r>
                </w:p>
              </w:tc>
              <w:tc>
                <w:tcPr/>
                <w:p>
                  <w:pPr>
                    <w:pStyle w:val="Compact"/>
                    <w:jc w:val="both"/>
                    <w:jc w:val="center"/>
                    <w:spacing w:line="360" w:lineRule="auto"/>
                  </w:pPr>
                  <w:r>
                    <w:t xml:space="preserve">Unidad</w:t>
                  </w:r>
                </w:p>
              </w:tc>
              <w:tc>
                <w:tcPr/>
                <w:p>
                  <w:pPr>
                    <w:pStyle w:val="Compact"/>
                    <w:jc w:val="both"/>
                    <w:jc w:val="center"/>
                    <w:spacing w:line="360" w:lineRule="auto"/>
                  </w:pPr>
                  <w:r>
                    <w:t xml:space="preserve">Dirección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t>F</ns1:t>
                    </ns1:r>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t>S</ns1:t>
                    </ns1:r>
                  </ns1:oMath>
                </w:p>
              </w:tc>
              <w:tc>
                <w:tcPr/>
                <w:p>
                  <w:pPr>
                    <w:pStyle w:val="Compact"/>
                    <w:jc w:val="both"/>
                    <w:jc w:val="center"/>
                    <w:spacing w:line="360" w:lineRule="auto"/>
                  </w:pPr>
                  <w:r>
                    <w:t xml:space="preserve">similitud coseno</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t>P</ns1:t>
                    </ns1:r>
                  </ns1:oMath>
                </w:p>
              </w:tc>
              <w:tc>
                <w:tcPr/>
                <w:p>
                  <w:pPr>
                    <w:pStyle w:val="Compact"/>
                    <w:jc w:val="both"/>
                    <w:jc w:val="center"/>
                    <w:spacing w:line="360" w:lineRule="auto"/>
                  </w:pPr>
                  <w:r>
                    <w:t xml:space="preserve">proporción activa</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Brecha de fidelidad</w:t>
                  </w:r>
                </w:p>
              </w:tc>
              <w:tc>
                <w:tcPr/>
                <w:p>
                  <w:pPr>
                    <w:pStyle w:val="Compact"/>
                    <w:jc w:val="both"/>
                    <w:jc w:val="center"/>
                    <w:spacing w:line="360" w:lineRule="auto"/>
                  </w:pPr>
                  <ns1:oMath>
                    <ns1:sSub>
                      <ns1:e>
                        <ns1:r>
                          <ns1:rPr>
                            <ns1:sty ns1:val="p"/>
                          </ns1:rPr>
                          <ns1:t>Δ</ns1:t>
                        </ns1:r>
                      </ns1:e>
                      <ns1:sub>
                        <ns1:r>
                          <ns1:t>k</ns1:t>
                        </ns1:r>
                      </ns1:sub>
                    </ns1:sSub>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Coste computacional</w:t>
                  </w:r>
                </w:p>
              </w:tc>
              <w:tc>
                <w:tcPr/>
                <w:p>
                  <w:pPr>
                    <w:pStyle w:val="Compact"/>
                    <w:jc w:val="both"/>
                    <w:jc w:val="center"/>
                    <w:spacing w:line="360" w:lineRule="auto"/>
                  </w:pPr>
                  <ns1:oMath>
                    <ns1:r>
                      <ns1:t>C</ns1:t>
                    </ns1:r>
                  </ns1:oMath>
                </w:p>
              </w:tc>
              <w:tc>
                <w:tcPr/>
                <w:p>
                  <w:pPr>
                    <w:pStyle w:val="Compact"/>
                    <w:jc w:val="both"/>
                    <w:jc w:val="center"/>
                    <w:spacing w:line="360" w:lineRule="auto"/>
                  </w:pPr>
                  <w:r>
                    <w:t xml:space="preserve">ms/instancia</w:t>
                  </w:r>
                </w:p>
              </w:tc>
              <w:tc>
                <w:tcPr/>
                <w:p>
                  <w:pPr>
                    <w:pStyle w:val="Compact"/>
                    <w:jc w:val="both"/>
                    <w:jc w:val="center"/>
                    <w:spacing w:line="360" w:lineRule="auto"/>
                  </w:pPr>
                  <ns1:oMath>
                    <ns1:r>
                      <ns1:rPr>
                        <ns1:sty ns1:val="p"/>
                      </ns1:rPr>
                      <ns1:t>↓</ns1:t>
                    </ns1:r>
                  </ns1:oMath>
                </w:p>
              </w:tc>
            </w:tr>
          </w:tbl>
          <w:bookmarkEnd w:id="78"/>
          <w:p>
            <w:pPr>
              <w:spacing w:line="360" w:lineRule="auto"/>
              <w:jc w:val="both"/>
            </w:pPr>
          </w:p>
        </w:tc>
      </w:tr>
    </w:tbl>
    <w:bookmarkEnd w:id="79"/>
    <w:bookmarkEnd w:id="80"/>
    <w:bookmarkStart w:id="82" w:name="protocolo-de-operación-fom-7"/>
    <w:p>
      <w:pPr>
        <w:pStyle w:val="Ttulo2"/>
        <w:spacing w:line="360" w:lineRule="auto"/>
        <w:jc w:val="both"/>
      </w:pPr>
      <w:r>
        <w:t xml:space="preserve">Protocolo de operación FOM-7</w:t>
      </w:r>
    </w:p>
    <w:p>
      <w:pPr>
        <w:pStyle w:val="FirstParagraph"/>
        <w:spacing w:line="360" w:lineRule="auto"/>
        <w:jc w:val="both"/>
      </w:pPr>
      <w:r>
        <w:t xml:space="preserve">FOM-7 (</w:t>
      </w:r>
      <w:r>
        <w:rPr>
          <w:i/>
          <w:iCs/>
        </w:rPr>
        <w:t xml:space="preserve">Framework Operation Method</w:t>
      </w:r>
      <w:r>
        <w:t xml:space="preserve">, siete puertas) es la contribución</w:t>
      </w:r>
      <w:r>
        <w:t xml:space="preserve"> </w:t>
      </w:r>
      <w:r>
        <w:t xml:space="preserve">metodológica central de este estudio. Fue derivado de: (i) los requisitos de</w:t>
      </w:r>
      <w:r>
        <w:t xml:space="preserve"> </w:t>
      </w:r>
      <w:r>
        <w:t xml:space="preserve">benchmarking reproducible documentados en la literatura</w:t>
      </w:r>
      <w:r>
        <w:t xml:space="preserve"> </w:t>
      </w:r>
      <w:r>
        <w:t xml:space="preserve">(Canha et al. 2025; Agarwal et al. 2022; Hedström et al. 2023)</w:t>
      </w:r>
      <w:r>
        <w:t xml:space="preserve">, y (ii) los modos de fallo observados en EXP1:</w:t>
      </w:r>
      <w:r>
        <w:t xml:space="preserve"> </w:t>
      </w:r>
      <w:r>
        <w:t xml:space="preserve">deriva de protocolo, fallos de integridad de artefactos y exportaciones de</w:t>
      </w:r>
      <w:r>
        <w:t xml:space="preserve"> </w:t>
      </w:r>
      <w:r>
        <w:t xml:space="preserve">análisis no equivalentes entre ejecuciones. Las siete puertas son</w:t>
      </w:r>
      <w:r>
        <w:t xml:space="preserve"> </w:t>
      </w:r>
      <w:r>
        <w:rPr>
          <w:b/>
          <w:bCs/>
        </w:rPr>
        <w:t xml:space="preserve">secuenciales</w:t>
      </w:r>
      <w:r>
        <w:t xml:space="preserve">: cada puerta debe ser satisfecha antes de proceder a la</w:t>
      </w:r>
      <w:r>
        <w:t xml:space="preserve"> </w:t>
      </w:r>
      <w:r>
        <w:t xml:space="preserve">siguiente, y un fallo en cualquier puerta degrada los outputs afectados a</w:t>
      </w:r>
      <w:r>
        <w:t xml:space="preserve"> </w:t>
      </w:r>
      <w:r>
        <w:t xml:space="preserve">estatus descriptivo.</w:t>
      </w:r>
    </w:p>
    <w:p>
      <w:pPr>
        <w:pStyle w:val="Textoindependiente"/>
        <w:spacing w:line="360" w:lineRule="auto"/>
        <w:jc w:val="both"/>
      </w:pPr>
      <w:r>
        <w:rPr>
          <w:b/>
          <w:bCs/>
        </w:rPr>
        <w:t xml:space="preserve">Puerta 1 — Congelación del protocolo.</w:t>
      </w:r>
      <w:r>
        <w:t xml:space="preserve"> </w:t>
      </w:r>
      <w:r>
        <w:t xml:space="preserve">Bloqueo de versiones de código,</w:t>
      </w:r>
      <w:r>
        <w:t xml:space="preserve"> </w:t>
      </w:r>
      <w:r>
        <w:t xml:space="preserve">archivos de configuración YAML, factores del diseño y plan de inferencia</w:t>
      </w:r>
      <w:r>
        <w:t xml:space="preserve"> </w:t>
      </w:r>
      <w:r>
        <w:t xml:space="preserve">estadística</w:t>
      </w:r>
      <w:r>
        <w:t xml:space="preserve"> </w:t>
      </w:r>
      <w:r>
        <w:rPr>
          <w:i/>
          <w:iCs/>
        </w:rPr>
        <w:t xml:space="preserve">antes</w:t>
      </w:r>
      <w:r>
        <w:t xml:space="preserve"> </w:t>
      </w:r>
      <w:r>
        <w:t xml:space="preserve">de iniciar cualquier ejecución confirmativa. Formalizado</w:t>
      </w:r>
      <w:r>
        <w:t xml:space="preserve"> </w:t>
      </w:r>
      <w:r>
        <w:t xml:space="preserve">mediante</w:t>
      </w:r>
      <w:r>
        <w:t xml:space="preserve"> </w:t>
      </w:r>
      <w:r>
        <w:rPr>
          <w:rStyle w:val="VerbatimChar"/>
        </w:rPr>
        <w:t xml:space="preserve">configs/experiments/exp2_scaled/manifest.yaml</w:t>
      </w:r>
      <w:r>
        <w:t xml:space="preserve">.</w:t>
      </w:r>
    </w:p>
    <w:p>
      <w:pPr>
        <w:pStyle w:val="Textoindependiente"/>
        <w:spacing w:line="360" w:lineRule="auto"/>
        <w:jc w:val="both"/>
      </w:pPr>
      <w:r>
        <w:rPr>
          <w:b/>
          <w:bCs/>
        </w:rPr>
        <w:t xml:space="preserve">Puerta 2 — Ejecución por lotes controlada.</w:t>
      </w:r>
      <w:r>
        <w:t xml:space="preserve"> </w:t>
      </w:r>
      <w:r>
        <w:t xml:space="preserve">Ejecución de las 300 celdas</w:t>
      </w:r>
      <w:r>
        <w:t xml:space="preserve"> </w:t>
      </w:r>
      <w:r>
        <w:t xml:space="preserve">desde el manifiesto declarativo, con semillas fijas y registro del contexto</w:t>
      </w:r>
      <w:r>
        <w:t xml:space="preserve"> </w:t>
      </w:r>
      <w:r>
        <w:t xml:space="preserve">de tiempo de ejecución. No se permiten modificaciones ad-hoc de configuración.</w:t>
      </w:r>
    </w:p>
    <w:p>
      <w:pPr>
        <w:pStyle w:val="Textoindependiente"/>
        <w:spacing w:line="360" w:lineRule="auto"/>
        <w:jc w:val="both"/>
      </w:pPr>
      <w:r>
        <w:rPr>
          <w:b/>
          <w:bCs/>
        </w:rPr>
        <w:t xml:space="preserve">Puerta 3 — Auditoría de integridad de artefactos.</w:t>
      </w:r>
      <w:r>
        <w:t xml:space="preserve"> </w:t>
      </w:r>
      <w:r>
        <w:t xml:space="preserve">Inspección determinista</w:t>
      </w:r>
      <w:r>
        <w:t xml:space="preserve"> </w:t>
      </w:r>
      <w:r>
        <w:t xml:space="preserve">de cada</w:t>
      </w:r>
      <w:r>
        <w:t xml:space="preserve"> </w:t>
      </w:r>
      <w:r>
        <w:rPr>
          <w:rStyle w:val="VerbatimChar"/>
        </w:rPr>
        <w:t xml:space="preserve">results.json</w:t>
      </w:r>
      <w:r>
        <w:t xml:space="preserve">: detección y exclusión de archivos vacíos, con esquema</w:t>
      </w:r>
      <w:r>
        <w:t xml:space="preserve"> </w:t>
      </w:r>
      <w:r>
        <w:t xml:space="preserve">incompatible o con valores numéricos inválidos. Ningún artefacto excluido se</w:t>
      </w:r>
      <w:r>
        <w:t xml:space="preserve"> </w:t>
      </w:r>
      <w:r>
        <w:t xml:space="preserve">reemplaza mediante reconstrucción sintética.</w:t>
      </w:r>
    </w:p>
    <w:p>
      <w:pPr>
        <w:pStyle w:val="Textoindependiente"/>
        <w:spacing w:line="360" w:lineRule="auto"/>
        <w:jc w:val="both"/>
      </w:pPr>
      <w:r>
        <w:rPr>
          <w:b/>
          <w:bCs/>
        </w:rPr>
        <w:t xml:space="preserve">Puerta 4 — Armonización a tablas listas para el análisis.</w:t>
      </w:r>
      <w:r>
        <w:t xml:space="preserve"> </w:t>
      </w:r>
      <w:r>
        <w:t xml:space="preserve">Estandarización</w:t>
      </w:r>
      <w:r>
        <w:t xml:space="preserve"> </w:t>
      </w:r>
      <w:r>
        <w:t xml:space="preserve">de claves y campos de métricas: las diferencias de esquema entre cohortes</w:t>
      </w:r>
      <w:r>
        <w:t xml:space="preserve"> </w:t>
      </w:r>
      <w:r>
        <w:t xml:space="preserve">se resuelven mediante un proceso auditado que genera tablas merge-seguras.</w:t>
      </w:r>
    </w:p>
    <w:p>
      <w:pPr>
        <w:pStyle w:val="Textoindependiente"/>
        <w:spacing w:line="360" w:lineRule="auto"/>
        <w:jc w:val="both"/>
      </w:pPr>
      <w:r>
        <w:rPr>
          <w:b/>
          <w:bCs/>
        </w:rPr>
        <w:t xml:space="preserve">Puerta 5 — Exportación inferencial.</w:t>
      </w:r>
      <w:r>
        <w:t xml:space="preserve"> </w:t>
      </w:r>
      <w:r>
        <w:t xml:space="preserve">Generación determinista de tablas</w:t>
      </w:r>
      <w:r>
        <w:t xml:space="preserve"> </w:t>
      </w:r>
      <w:r>
        <w:t xml:space="preserve">de test omnibus y pruebas pareadas exclusivamente desde entradas calificadas.</w:t>
      </w:r>
      <w:r>
        <w:t xml:space="preserve"> </w:t>
      </w:r>
      <w:r>
        <w:t xml:space="preserve">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w:t>
      </w:r>
      <w:r>
        <w:rPr>
          <w:rStyle w:val="VerbatimChar"/>
        </w:rPr>
        <w:t xml:space="preserve">outputs/batch_results.csv</w:t>
      </w:r>
      <w:r>
        <w:t xml:space="preserve">) es la única excepción explícitamente</w:t>
      </w:r>
      <w:r>
        <w:t xml:space="preserve"> </w:t>
      </w:r>
      <w:r>
        <w:t xml:space="preserve">documentada.</w:t>
      </w:r>
    </w:p>
    <w:p>
      <w:pPr>
        <w:pStyle w:val="Textoindependiente"/>
        <w:spacing w:line="360" w:lineRule="auto"/>
        <w:jc w:val="both"/>
      </w:pPr>
      <w:r>
        <w:rPr>
          <w:b/>
          <w:bCs/>
        </w:rPr>
        <w:t xml:space="preserve">Puerta 6 — Perfilado de reproducibilidad.</w:t>
      </w:r>
      <w:r>
        <w:t xml:space="preserve"> </w:t>
      </w:r>
      <w:r>
        <w:t xml:space="preserve">Cuantificación de la dispersión</w:t>
      </w:r>
      <w:r>
        <w:t xml:space="preserve"> </w:t>
      </w:r>
      <w:r>
        <w:t xml:space="preserve">entre ejecuciones y del CV en configuraciones replicadas de EXP1. Fundamenta</w:t>
      </w:r>
      <w:r>
        <w:t xml:space="preserve"> </w:t>
      </w:r>
      <w:r>
        <w:t xml:space="preserve">la proposición P1 y establece el rango de variabilidad esperada para</w:t>
      </w:r>
      <w:r>
        <w:t xml:space="preserve"> </w:t>
      </w:r>
      <w:r>
        <w:t xml:space="preserve">interpretar los intervalos de confianza de EXP2.</w:t>
      </w:r>
    </w:p>
    <w:p>
      <w:pPr>
        <w:pStyle w:val="Textoindependiente"/>
        <w:spacing w:line="360" w:lineRule="auto"/>
        <w:jc w:val="both"/>
      </w:pPr>
      <w:r>
        <w:rPr>
          <w:b/>
          <w:bCs/>
        </w:rPr>
        <w:t xml:space="preserve">Puerta 7 — Reporte con trazabilidad de afirmaciones.</w:t>
      </w:r>
      <w:r>
        <w:t xml:space="preserve"> </w:t>
      </w:r>
      <w:r>
        <w:t xml:space="preserve">Las afirmaciones</w:t>
      </w:r>
      <w:r>
        <w:t xml:space="preserve"> </w:t>
      </w:r>
      <w:r>
        <w:t xml:space="preserve">inferenciales se emiten únicamente cuando todas las puertas previas están</w:t>
      </w:r>
      <w:r>
        <w:t xml:space="preserve"> </w:t>
      </w:r>
      <w:r>
        <w:t xml:space="preserve">satisfechas y son trazables a artefactos fuente específicos. Cualquier</w:t>
      </w:r>
      <w:r>
        <w:t xml:space="preserve"> </w:t>
      </w:r>
      <w:r>
        <w:t xml:space="preserve">afirmación no trazable se presenta como descriptiva.</w:t>
      </w:r>
    </w:p>
    <w:p>
      <w:pPr>
        <w:pStyle w:val="Textoindependiente"/>
        <w:spacing w:line="360" w:lineRule="auto"/>
        <w:jc w:val="both"/>
      </w:pPr>
      <w:r>
        <w:t xml:space="preserve">El flujo compacto del protocolo es:</w:t>
      </w:r>
    </w:p>
    <w:p>
      <w:pPr>
        <w:pStyle w:val="Textoindependiente"/>
        <w:spacing w:line="360" w:lineRule="auto"/>
        <w:jc w:val="both"/>
      </w:pPr>
      <ns1:oMathPara>
        <ns1:oMathParaPr>
          <ns1:jc ns1:val="center"/>
        </ns1:oMathParaPr>
        <ns1:oMath>
          <ns1:r>
            <ns1:rPr>
              <ns1:nor/>
              <ns1:sty ns1:val="p"/>
            </ns1:rPr>
            <ns1:t>Congelación</ns1:t>
          </ns1:r>
          <ns1:r>
            <ns1:rPr>
              <ns1:sty ns1:val="p"/>
            </ns1:rPr>
            <ns1:t>→</ns1:t>
          </ns1:r>
          <ns1:r>
            <ns1:rPr>
              <ns1:nor/>
              <ns1:sty ns1:val="p"/>
            </ns1:rPr>
            <ns1:t>Ejecución</ns1:t>
          </ns1:r>
          <ns1:r>
            <ns1:rPr>
              <ns1:sty ns1:val="p"/>
            </ns1:rPr>
            <ns1:t>→</ns1:t>
          </ns1:r>
          <ns1:r>
            <ns1:rPr>
              <ns1:nor/>
              <ns1:sty ns1:val="p"/>
            </ns1:rPr>
            <ns1:t>Auditoría</ns1:t>
          </ns1:r>
          <ns1:r>
            <ns1:rPr>
              <ns1:sty ns1:val="p"/>
            </ns1:rPr>
            <ns1:t>→</ns1:t>
          </ns1:r>
          <ns1:r>
            <ns1:rPr>
              <ns1:nor/>
              <ns1:sty ns1:val="p"/>
            </ns1:rPr>
            <ns1:t>Armonización</ns1:t>
          </ns1:r>
          <ns1:r>
            <ns1:rPr>
              <ns1:sty ns1:val="p"/>
            </ns1:rPr>
            <ns1:t>→</ns1:t>
          </ns1:r>
          <ns1:r>
            <ns1:rPr>
              <ns1:nor/>
              <ns1:sty ns1:val="p"/>
            </ns1:rPr>
            <ns1:t>Exportación</ns1:t>
          </ns1:r>
          <ns1:r>
            <ns1:rPr>
              <ns1:sty ns1:val="p"/>
            </ns1:rPr>
            <ns1:t>→</ns1:t>
          </ns1:r>
          <ns1:r>
            <ns1:rPr>
              <ns1:nor/>
              <ns1:sty ns1:val="p"/>
            </ns1:rPr>
            <ns1:t>Perfilado</ns1:t>
          </ns1:r>
          <ns1:r>
            <ns1:rPr>
              <ns1:sty ns1:val="p"/>
            </ns1:rPr>
            <ns1:t>→</ns1:t>
          </ns1:r>
          <ns1:r>
            <ns1:rPr>
              <ns1:nor/>
              <ns1:sty ns1:val="p"/>
            </ns1:rPr>
            <ns1:t>Reporte</ns1:t>
          </ns1:r>
        </ns1:oMath>
      </ns1:oMathPara>
    </w:p>
    <w:p>
      <w:pPr>
        <w:pStyle w:val="FirstParagraph"/>
        <w:spacing w:line="360" w:lineRule="auto"/>
        <w:jc w:val="both"/>
      </w:pPr>
      <w:r>
        <w:t xml:space="preserve">La Tabla</w:t>
      </w:r>
      <w:r>
        <w:t xml:space="preserve"> </w:t>
      </w:r>
      <w:hyperlink w:anchor="tbl-fom7-gates">
        <w:r>
          <w:rPr>
            <w:rStyle w:val="Hipervnculo"/>
          </w:rPr>
          <w:t xml:space="preserve">Table 4.3</w:t>
        </w:r>
      </w:hyperlink>
      <w:r>
        <w:t xml:space="preserve"> </w:t>
      </w:r>
      <w:r>
        <w:t xml:space="preserve">resume la función de gobierno de cada puerta. La</w:t>
      </w:r>
      <w:r>
        <w:t xml:space="preserve"> </w:t>
      </w:r>
      <w:r>
        <w:t xml:space="preserve">tabla explicita qué entra, qué sale y qué modo de fallo queda controlado, de</w:t>
      </w:r>
      <w:r>
        <w:t xml:space="preserve"> </w:t>
      </w:r>
      <w:r>
        <w:t xml:space="preserve">modo que FOM-7 pueda auditarse como protocolo y no solo como narración</w:t>
      </w:r>
      <w:r>
        <w:t xml:space="preserve"> </w:t>
      </w:r>
      <w:r>
        <w:t xml:space="preserve">metodológica.</w:t>
      </w:r>
    </w:p>
    <w:tbl>
      <w:tblPr>
        <w:tblStyle w:val="Table"/>
        <w:tblW w:type="pct" w:w="5000"/>
        <w:tblLayout w:type="fixed"/>
        <w:tblLook w:firstRow="0" w:lastRow="0" w:firstColumn="0" w:lastColumn="0" w:noHBand="0" w:noVBand="0" w:val="0000"/>
      </w:tblPr>
      <w:tblGrid>
        <w:gridCol w:w="7920"/>
      </w:tblGrid>
      <w:tr>
        <w:tc>
          <w:tcPr/>
          <w:bookmarkStart w:id="81" w:name="tbl-fom7-gates"/>
          <w:p>
            <w:pPr>
              <w:jc w:val="both"/>
              <w:spacing w:line="360" w:lineRule="auto"/>
            </w:pPr>
            <w:pPr>
              <w:jc w:val="left"/>
              <w:spacing w:before="200"/>
              <w:pStyle w:val="ImageCaption"/>
            </w:pPr>
            <w:r>
              <w:t xml:space="preserve">Table 4.3: Puertas FOM-7, artefactos y modos de fallo controlados.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Puerta</w:t>
                  </w:r>
                </w:p>
              </w:tc>
              <w:tc>
                <w:tcPr/>
                <w:p>
                  <w:pPr>
                    <w:pStyle w:val="Compact"/>
                    <w:jc w:val="both"/>
                    <w:jc w:val="center"/>
                    <w:spacing w:line="360" w:lineRule="auto"/>
                  </w:pPr>
                  <w:r>
                    <w:t xml:space="preserve">Propósito</w:t>
                  </w:r>
                </w:p>
              </w:tc>
              <w:tc>
                <w:tcPr/>
                <w:p>
                  <w:pPr>
                    <w:pStyle w:val="Compact"/>
                    <w:jc w:val="both"/>
                    <w:jc w:val="center"/>
                    <w:spacing w:line="360" w:lineRule="auto"/>
                  </w:pPr>
                  <w:r>
                    <w:t xml:space="preserve">Artefacto de entrada</w:t>
                  </w:r>
                </w:p>
              </w:tc>
              <w:tc>
                <w:tcPr/>
                <w:p>
                  <w:pPr>
                    <w:pStyle w:val="Compact"/>
                    <w:jc w:val="both"/>
                    <w:jc w:val="center"/>
                    <w:spacing w:line="360" w:lineRule="auto"/>
                  </w:pPr>
                  <w:r>
                    <w:t xml:space="preserve">Artefacto de salida</w:t>
                  </w:r>
                </w:p>
              </w:tc>
              <w:tc>
                <w:tcPr/>
                <w:p>
                  <w:pPr>
                    <w:pStyle w:val="Compact"/>
                    <w:jc w:val="both"/>
                    <w:jc w:val="center"/>
                    <w:spacing w:line="360" w:lineRule="auto"/>
                  </w:pPr>
                  <w:r>
                    <w:t xml:space="preserve">Fallo controlado</w:t>
                  </w:r>
                </w:p>
              </w:tc>
              <w:tc>
                <w:tcPr/>
                <w:p>
                  <w:pPr>
                    <w:pStyle w:val="Compact"/>
                    <w:jc w:val="both"/>
                    <w:jc w:val="center"/>
                    <w:spacing w:line="360" w:lineRule="auto"/>
                  </w:pPr>
                  <w:r>
                    <w:t xml:space="preserve">Evidencia</w:t>
                  </w:r>
                </w:p>
              </w:tc>
            </w:tr>
            <w:tr>
              <w:tc>
                <w:tcPr/>
                <w:p>
                  <w:pPr>
                    <w:pStyle w:val="Compact"/>
                    <w:jc w:val="both"/>
                    <w:jc w:val="center"/>
                    <w:spacing w:line="360" w:lineRule="auto"/>
                  </w:pPr>
                  <w:r>
                    <w:t xml:space="preserve">1. Congelación</w:t>
                  </w:r>
                </w:p>
              </w:tc>
              <w:tc>
                <w:tcPr/>
                <w:p>
                  <w:pPr>
                    <w:pStyle w:val="Compact"/>
                    <w:jc w:val="both"/>
                    <w:jc w:val="center"/>
                    <w:spacing w:line="360" w:lineRule="auto"/>
                  </w:pPr>
                  <w:r>
                    <w:t xml:space="preserve">Fijar diseño, versiones y plan inferencial antes de EXP2</w:t>
                  </w:r>
                </w:p>
              </w:tc>
              <w:tc>
                <w:tcPr/>
                <w:p>
                  <w:pPr>
                    <w:pStyle w:val="Compact"/>
                    <w:jc w:val="both"/>
                    <w:jc w:val="center"/>
                    <w:spacing w:line="360" w:lineRule="auto"/>
                  </w:pPr>
                  <w:r>
                    <w:rPr>
                      <w:rStyle w:val="VerbatimChar"/>
                    </w:rPr>
                    <w:t xml:space="preserve">configs/experiments/exp2_scaled/manifest.yaml</w:t>
                  </w:r>
                  <w:r>
                    <w:t xml:space="preserve">, código versionado</w:t>
                  </w:r>
                </w:p>
              </w:tc>
              <w:tc>
                <w:tcPr/>
                <w:p>
                  <w:pPr>
                    <w:pStyle w:val="Compact"/>
                    <w:jc w:val="both"/>
                    <w:jc w:val="center"/>
                    <w:spacing w:line="360" w:lineRule="auto"/>
                  </w:pPr>
                  <w:r>
                    <w:t xml:space="preserve">Diseño factorial declarado</w:t>
                  </w:r>
                </w:p>
              </w:tc>
              <w:tc>
                <w:tcPr/>
                <w:p>
                  <w:pPr>
                    <w:pStyle w:val="Compact"/>
                    <w:jc w:val="both"/>
                    <w:jc w:val="center"/>
                    <w:spacing w:line="360" w:lineRule="auto"/>
                  </w:pPr>
                  <w:r>
                    <w:t xml:space="preserve">Deriva de protocolo, cambio post-hoc de hipótesis</w:t>
                  </w:r>
                </w:p>
              </w:tc>
              <w:tc>
                <w:tcPr/>
                <w:p>
                  <w:pPr>
                    <w:pStyle w:val="Compact"/>
                    <w:jc w:val="both"/>
                    <w:jc w:val="center"/>
                    <w:spacing w:line="360" w:lineRule="auto"/>
                  </w:pPr>
                  <w:r>
                    <w:rPr>
                      <w:rStyle w:val="VerbatimChar"/>
                    </w:rPr>
                    <w:t xml:space="preserve">manifest.yaml</w:t>
                  </w:r>
                  <w:r>
                    <w:t xml:space="preserve">, commit de tesis</w:t>
                  </w:r>
                </w:p>
              </w:tc>
            </w:tr>
            <w:tr>
              <w:tc>
                <w:tcPr/>
                <w:p>
                  <w:pPr>
                    <w:pStyle w:val="Compact"/>
                    <w:jc w:val="both"/>
                    <w:jc w:val="center"/>
                    <w:spacing w:line="360" w:lineRule="auto"/>
                  </w:pPr>
                  <w:r>
                    <w:t xml:space="preserve">2. Ejecución</w:t>
                  </w:r>
                </w:p>
              </w:tc>
              <w:tc>
                <w:tcPr/>
                <w:p>
                  <w:pPr>
                    <w:pStyle w:val="Compact"/>
                    <w:jc w:val="both"/>
                    <w:jc w:val="center"/>
                    <w:spacing w:line="360" w:lineRule="auto"/>
                  </w:pPr>
                  <w:r>
                    <w:t xml:space="preserve">Ejecutar celdas desde configuración declarativa</w:t>
                  </w:r>
                </w:p>
              </w:tc>
              <w:tc>
                <w:tcPr/>
                <w:p>
                  <w:pPr>
                    <w:pStyle w:val="Compact"/>
                    <w:jc w:val="both"/>
                    <w:jc w:val="center"/>
                    <w:spacing w:line="360" w:lineRule="auto"/>
                  </w:pPr>
                  <w:r>
                    <w:t xml:space="preserve">YAML por celda, modelos congelados</w:t>
                  </w:r>
                </w:p>
              </w:tc>
              <w:tc>
                <w:tcPr/>
                <w:p>
                  <w:pPr>
                    <w:pStyle w:val="Compact"/>
                    <w:jc w:val="both"/>
                    <w:jc w:val="center"/>
                    <w:spacing w:line="360" w:lineRule="auto"/>
                  </w:pPr>
                  <w:r>
                    <w:t xml:space="preserve">Árbol</w:t>
                  </w:r>
                  <w:r>
                    <w:t xml:space="preserve"> </w:t>
                  </w:r>
                  <w:r>
                    <w:rPr>
                      <w:rStyle w:val="VerbatimChar"/>
                    </w:rPr>
                    <w:t xml:space="preserve">experiments/exp2_scaled/results/</w:t>
                  </w:r>
                </w:p>
              </w:tc>
              <w:tc>
                <w:tcPr/>
                <w:p>
                  <w:pPr>
                    <w:pStyle w:val="Compact"/>
                    <w:jc w:val="both"/>
                    <w:jc w:val="center"/>
                    <w:spacing w:line="360" w:lineRule="auto"/>
                  </w:pPr>
                  <w:r>
                    <w:t xml:space="preserve">Ejecuciones ad-hoc, semillas no registradas</w:t>
                  </w:r>
                </w:p>
              </w:tc>
              <w:tc>
                <w:tcPr/>
                <w:p>
                  <w:pPr>
                    <w:pStyle w:val="Compact"/>
                    <w:jc w:val="both"/>
                    <w:jc w:val="center"/>
                    <w:spacing w:line="360" w:lineRule="auto"/>
                  </w:pPr>
                  <w:r>
                    <w:rPr>
                      <w:rStyle w:val="VerbatimChar"/>
                    </w:rPr>
                    <w:t xml:space="preserve">results.json</w:t>
                  </w:r>
                  <w:r>
                    <w:t xml:space="preserve"> </w:t>
                  </w:r>
                  <w:r>
                    <w:t xml:space="preserve">por celda</w:t>
                  </w:r>
                </w:p>
              </w:tc>
            </w:tr>
            <w:tr>
              <w:tc>
                <w:tcPr/>
                <w:p>
                  <w:pPr>
                    <w:pStyle w:val="Compact"/>
                    <w:jc w:val="both"/>
                    <w:jc w:val="center"/>
                    <w:spacing w:line="360" w:lineRule="auto"/>
                  </w:pPr>
                  <w:r>
                    <w:t xml:space="preserve">3. Auditoría</w:t>
                  </w:r>
                </w:p>
              </w:tc>
              <w:tc>
                <w:tcPr/>
                <w:p>
                  <w:pPr>
                    <w:pStyle w:val="Compact"/>
                    <w:jc w:val="both"/>
                    <w:jc w:val="center"/>
                    <w:spacing w:line="360" w:lineRule="auto"/>
                  </w:pPr>
                  <w:r>
                    <w:t xml:space="preserve">Calificar integridad de resultados</w:t>
                  </w:r>
                </w:p>
              </w:tc>
              <w:tc>
                <w:tcPr/>
                <w:p>
                  <w:pPr>
                    <w:pStyle w:val="Compact"/>
                    <w:jc w:val="both"/>
                    <w:jc w:val="center"/>
                    <w:spacing w:line="360" w:lineRule="auto"/>
                  </w:pPr>
                  <w:r>
                    <w:rPr>
                      <w:rStyle w:val="VerbatimChar"/>
                    </w:rPr>
                    <w:t xml:space="preserve">results.json</w:t>
                  </w:r>
                  <w:r>
                    <w:t xml:space="preserve"> </w:t>
                  </w:r>
                  <w:r>
                    <w:t xml:space="preserve">crudos</w:t>
                  </w:r>
                </w:p>
              </w:tc>
              <w:tc>
                <w:tcPr/>
                <w:p>
                  <w:pPr>
                    <w:pStyle w:val="Compact"/>
                    <w:jc w:val="both"/>
                    <w:jc w:val="center"/>
                    <w:spacing w:line="360" w:lineRule="auto"/>
                  </w:pPr>
                  <w:r>
                    <w:t xml:space="preserve">Inventario de celdas analizables</w:t>
                  </w:r>
                </w:p>
              </w:tc>
              <w:tc>
                <w:tcPr/>
                <w:p>
                  <w:pPr>
                    <w:pStyle w:val="Compact"/>
                    <w:jc w:val="both"/>
                    <w:jc w:val="center"/>
                    <w:spacing w:line="360" w:lineRule="auto"/>
                  </w:pPr>
                  <w:r>
                    <w:t xml:space="preserve">Archivos vacíos, esquemas incompatibles, valores inválidos</w:t>
                  </w:r>
                </w:p>
              </w:tc>
              <w:tc>
                <w:tcPr/>
                <w:p>
                  <w:pPr>
                    <w:pStyle w:val="Compact"/>
                    <w:jc w:val="both"/>
                    <w:jc w:val="center"/>
                    <w:spacing w:line="360" w:lineRule="auto"/>
                  </w:pPr>
                  <w:r>
                    <w:rPr>
                      <w:rStyle w:val="VerbatimChar"/>
                    </w:rPr>
                    <w:t xml:space="preserve">outputs/analysis/paper_a_exp2_stats/exp2_run_inventory.csv</w:t>
                  </w:r>
                </w:p>
              </w:tc>
            </w:tr>
            <w:tr>
              <w:tc>
                <w:tcPr/>
                <w:p>
                  <w:pPr>
                    <w:pStyle w:val="Compact"/>
                    <w:jc w:val="both"/>
                    <w:jc w:val="center"/>
                    <w:spacing w:line="360" w:lineRule="auto"/>
                  </w:pPr>
                  <w:r>
                    <w:t xml:space="preserve">4. Armonización</w:t>
                  </w:r>
                </w:p>
              </w:tc>
              <w:tc>
                <w:tcPr/>
                <w:p>
                  <w:pPr>
                    <w:pStyle w:val="Compact"/>
                    <w:jc w:val="both"/>
                    <w:jc w:val="center"/>
                    <w:spacing w:line="360" w:lineRule="auto"/>
                  </w:pPr>
                  <w:r>
                    <w:t xml:space="preserve">Convertir resultados heterogéneos en tablas de análisis</w:t>
                  </w:r>
                </w:p>
              </w:tc>
              <w:tc>
                <w:tcPr/>
                <w:p>
                  <w:pPr>
                    <w:pStyle w:val="Compact"/>
                    <w:jc w:val="both"/>
                    <w:jc w:val="center"/>
                    <w:spacing w:line="360" w:lineRule="auto"/>
                  </w:pPr>
                  <w:r>
                    <w:t xml:space="preserve">Artefactos calificados y</w:t>
                  </w:r>
                  <w:r>
                    <w:t xml:space="preserve"> </w:t>
                  </w:r>
                  <w:r>
                    <w:rPr>
                      <w:rStyle w:val="VerbatimChar"/>
                    </w:rPr>
                    <w:t xml:space="preserve">outputs/batch_results.csv</w:t>
                  </w:r>
                </w:p>
              </w:tc>
              <w:tc>
                <w:tcPr/>
                <w:p>
                  <w:pPr>
                    <w:pStyle w:val="Compact"/>
                    <w:jc w:val="both"/>
                    <w:jc w:val="center"/>
                    <w:spacing w:line="360" w:lineRule="auto"/>
                  </w:pPr>
                  <w:r>
                    <w:t xml:space="preserve">Métricas a nivel de ejecución y bloque</w:t>
                  </w:r>
                </w:p>
              </w:tc>
              <w:tc>
                <w:tcPr/>
                <w:p>
                  <w:pPr>
                    <w:pStyle w:val="Compact"/>
                    <w:jc w:val="both"/>
                    <w:jc w:val="center"/>
                    <w:spacing w:line="360" w:lineRule="auto"/>
                  </w:pPr>
                  <w:r>
                    <w:t xml:space="preserve">Campos no comparables, mezclas de esquema</w:t>
                  </w:r>
                </w:p>
              </w:tc>
              <w:tc>
                <w:tcPr/>
                <w:p>
                  <w:pPr>
                    <w:pStyle w:val="Compact"/>
                    <w:jc w:val="both"/>
                    <w:jc w:val="center"/>
                    <w:spacing w:line="360" w:lineRule="auto"/>
                  </w:pPr>
                  <w:r>
                    <w:rPr>
                      <w:rStyle w:val="VerbatimChar"/>
                    </w:rPr>
                    <w:t xml:space="preserve">exp2_run_level_metrics.csv</w:t>
                  </w:r>
                  <w:r>
                    <w:t xml:space="preserve">,</w:t>
                  </w:r>
                  <w:r>
                    <w:t xml:space="preserve"> </w:t>
                  </w:r>
                  <w:r>
                    <w:rPr>
                      <w:rStyle w:val="VerbatimChar"/>
                    </w:rPr>
                    <w:t xml:space="preserve">exp2_block_method_summary.csv</w:t>
                  </w:r>
                </w:p>
              </w:tc>
            </w:tr>
            <w:tr>
              <w:tc>
                <w:tcPr/>
                <w:p>
                  <w:pPr>
                    <w:pStyle w:val="Compact"/>
                    <w:jc w:val="both"/>
                    <w:jc w:val="center"/>
                    <w:spacing w:line="360" w:lineRule="auto"/>
                  </w:pPr>
                  <w:r>
                    <w:t xml:space="preserve">5. Exportación</w:t>
                  </w:r>
                </w:p>
              </w:tc>
              <w:tc>
                <w:tcPr/>
                <w:p>
                  <w:pPr>
                    <w:pStyle w:val="Compact"/>
                    <w:jc w:val="both"/>
                    <w:jc w:val="center"/>
                    <w:spacing w:line="360" w:lineRule="auto"/>
                  </w:pPr>
                  <w:r>
                    <w:t xml:space="preserve">Generar tablas inferenciales deterministas</w:t>
                  </w:r>
                </w:p>
              </w:tc>
              <w:tc>
                <w:tcPr/>
                <w:p>
                  <w:pPr>
                    <w:pStyle w:val="Compact"/>
                    <w:jc w:val="both"/>
                    <w:jc w:val="center"/>
                    <w:spacing w:line="360" w:lineRule="auto"/>
                  </w:pPr>
                  <w:r>
                    <w:t xml:space="preserve">Tablas armonizadas</w:t>
                  </w:r>
                </w:p>
              </w:tc>
              <w:tc>
                <w:tcPr/>
                <w:p>
                  <w:pPr>
                    <w:pStyle w:val="Compact"/>
                    <w:jc w:val="both"/>
                    <w:jc w:val="center"/>
                    <w:spacing w:line="360" w:lineRule="auto"/>
                  </w:pPr>
                  <w:r>
                    <w:t xml:space="preserve">Friedman, Nemenyi y Wilcoxon exportados</w:t>
                  </w:r>
                </w:p>
              </w:tc>
              <w:tc>
                <w:tcPr/>
                <w:p>
                  <w:pPr>
                    <w:pStyle w:val="Compact"/>
                    <w:jc w:val="both"/>
                    <w:jc w:val="center"/>
                    <w:spacing w:line="360" w:lineRule="auto"/>
                  </w:pPr>
                  <w:r>
                    <w:t xml:space="preserve">Cálculos manuales, doble conteo, pseudorreplicación</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nemenyi_*.csv</w:t>
                  </w:r>
                  <w:r>
                    <w:t xml:space="preserve">,</w:t>
                  </w:r>
                  <w:r>
                    <w:t xml:space="preserve"> </w:t>
                  </w:r>
                  <w:r>
                    <w:rPr>
                      <w:rStyle w:val="VerbatimChar"/>
                    </w:rPr>
                    <w:t xml:space="preserve">wilcoxon_*.csv</w:t>
                  </w:r>
                </w:p>
              </w:tc>
            </w:tr>
            <w:tr>
              <w:tc>
                <w:tcPr/>
                <w:p>
                  <w:pPr>
                    <w:pStyle w:val="Compact"/>
                    <w:jc w:val="both"/>
                    <w:jc w:val="center"/>
                    <w:spacing w:line="360" w:lineRule="auto"/>
                  </w:pPr>
                  <w:r>
                    <w:t xml:space="preserve">6. Perfilado</w:t>
                  </w:r>
                </w:p>
              </w:tc>
              <w:tc>
                <w:tcPr/>
                <w:p>
                  <w:pPr>
                    <w:pStyle w:val="Compact"/>
                    <w:jc w:val="both"/>
                    <w:jc w:val="center"/>
                    <w:spacing w:line="360" w:lineRule="auto"/>
                  </w:pPr>
                  <w:r>
                    <w:t xml:space="preserve">Cuantificar reproducibilidad bajo semillas</w:t>
                  </w:r>
                </w:p>
              </w:tc>
              <w:tc>
                <w:tcPr/>
                <w:p>
                  <w:pPr>
                    <w:pStyle w:val="Compact"/>
                    <w:jc w:val="both"/>
                    <w:jc w:val="center"/>
                    <w:spacing w:line="360" w:lineRule="auto"/>
                  </w:pPr>
                  <w:r>
                    <w:t xml:space="preserve">Réplicas EXP1 y métricas primarias</w:t>
                  </w:r>
                </w:p>
              </w:tc>
              <w:tc>
                <w:tcPr/>
                <w:p>
                  <w:pPr>
                    <w:pStyle w:val="Compact"/>
                    <w:jc w:val="both"/>
                    <w:jc w:val="center"/>
                    <w:spacing w:line="360" w:lineRule="auto"/>
                  </w:pPr>
                  <w:r>
                    <w:t xml:space="preserve">CV por método/métrica</w:t>
                  </w:r>
                </w:p>
              </w:tc>
              <w:tc>
                <w:tcPr/>
                <w:p>
                  <w:pPr>
                    <w:pStyle w:val="Compact"/>
                    <w:jc w:val="both"/>
                    <w:jc w:val="center"/>
                    <w:spacing w:line="360" w:lineRule="auto"/>
                  </w:pPr>
                  <w:r>
                    <w:t xml:space="preserve">Confundir variación de semilla con efecto de método</w:t>
                  </w:r>
                </w:p>
              </w:tc>
              <w:tc>
                <w:tcPr/>
                <w:p>
                  <w:pPr>
                    <w:pStyle w:val="Compact"/>
                    <w:jc w:val="both"/>
                    <w:jc w:val="center"/>
                    <w:spacing w:line="360" w:lineRule="auto"/>
                  </w:pPr>
                  <w:r>
                    <w:rPr>
                      <w:rStyle w:val="VerbatimChar"/>
                    </w:rPr>
                    <w:t xml:space="preserve">experiments/exp1_adult/reproducibility/reproducibility_report.csv</w:t>
                  </w:r>
                </w:p>
              </w:tc>
            </w:tr>
            <w:tr>
              <w:tc>
                <w:tcPr/>
                <w:p>
                  <w:pPr>
                    <w:pStyle w:val="Compact"/>
                    <w:jc w:val="both"/>
                    <w:jc w:val="center"/>
                    <w:spacing w:line="360" w:lineRule="auto"/>
                  </w:pPr>
                  <w:r>
                    <w:t xml:space="preserve">7. Reporte</w:t>
                  </w:r>
                </w:p>
              </w:tc>
              <w:tc>
                <w:tcPr/>
                <w:p>
                  <w:pPr>
                    <w:pStyle w:val="Compact"/>
                    <w:jc w:val="both"/>
                    <w:jc w:val="center"/>
                    <w:spacing w:line="360" w:lineRule="auto"/>
                  </w:pPr>
                  <w:r>
                    <w:t xml:space="preserve">Vincular cada claim con evidencia identificable</w:t>
                  </w:r>
                </w:p>
              </w:tc>
              <w:tc>
                <w:tcPr/>
                <w:p>
                  <w:pPr>
                    <w:pStyle w:val="Compact"/>
                    <w:jc w:val="both"/>
                    <w:jc w:val="center"/>
                    <w:spacing w:line="360" w:lineRule="auto"/>
                  </w:pPr>
                  <w:r>
                    <w:t xml:space="preserve">Resultados, tablas, scripts, limitaciones</w:t>
                  </w:r>
                </w:p>
              </w:tc>
              <w:tc>
                <w:tcPr/>
                <w:p>
                  <w:pPr>
                    <w:pStyle w:val="Compact"/>
                    <w:jc w:val="both"/>
                    <w:jc w:val="center"/>
                    <w:spacing w:line="360" w:lineRule="auto"/>
                  </w:pPr>
                  <w:r>
                    <w:t xml:space="preserve">Claims trazables en Capítulo 4</w:t>
                  </w:r>
                </w:p>
              </w:tc>
              <w:tc>
                <w:tcPr/>
                <w:p>
                  <w:pPr>
                    <w:pStyle w:val="Compact"/>
                    <w:jc w:val="both"/>
                    <w:jc w:val="center"/>
                    <w:spacing w:line="360" w:lineRule="auto"/>
                  </w:pPr>
                  <w:r>
                    <w:t xml:space="preserve">Sobreclaiming, afirmaciones no auditables</w:t>
                  </w:r>
                </w:p>
              </w:tc>
              <w:tc>
                <w:tcPr/>
                <w:p>
                  <w:pPr>
                    <w:pStyle w:val="Compact"/>
                    <w:jc w:val="both"/>
                    <w:jc w:val="center"/>
                    <w:spacing w:line="360" w:lineRule="auto"/>
                  </w:pPr>
                  <w:r>
                    <w:t xml:space="preserve">Tablas</w:t>
                  </w:r>
                  <w:r>
                    <w:t xml:space="preserve"> </w:t>
                  </w:r>
                  <w:hyperlink w:anchor="tbl-results-overview">
                    <w:r>
                      <w:rPr>
                        <w:rStyle w:val="Hipervnculo"/>
                      </w:rPr>
                      <w:t xml:space="preserve">Table 5.1</w:t>
                    </w:r>
                  </w:hyperlink>
                  <w:r>
                    <w:t xml:space="preserve"> </w:t>
                  </w:r>
                  <w:r>
                    <w:t xml:space="preserve">y</w:t>
                  </w:r>
                  <w:r>
                    <w:t xml:space="preserve"> </w:t>
                  </w:r>
                  <w:hyperlink w:anchor="tbl-claim-traceability">
                    <w:r>
                      <w:rPr>
                        <w:rStyle w:val="Hipervnculo"/>
                      </w:rPr>
                      <w:t xml:space="preserve">Table 5.7</w:t>
                    </w:r>
                  </w:hyperlink>
                </w:p>
              </w:tc>
            </w:tr>
          </w:tbl>
          <w:bookmarkEnd w:id="81"/>
          <w:p>
            <w:pPr>
              <w:spacing w:line="360" w:lineRule="auto"/>
              <w:jc w:val="both"/>
            </w:pPr>
          </w:p>
        </w:tc>
      </w:tr>
    </w:tbl>
    <w:bookmarkEnd w:id="82"/>
    <w:bookmarkStart w:id="87" w:name="X70736bc07e73377e919d2c60f119994d057bf14"/>
    <w:p>
      <w:pPr>
        <w:pStyle w:val="Ttulo2"/>
        <w:spacing w:line="360" w:lineRule="auto"/>
        <w:jc w:val="both"/>
      </w:pPr>
      <w:r>
        <w:t xml:space="preserve">Cobertura de artefactos y análisis del impacto de datos faltantes</w:t>
      </w:r>
    </w:p>
    <w:bookmarkStart w:id="85" w:name="inventario-de-cobertura"/>
    <w:p>
      <w:pPr>
        <w:pStyle w:val="Ttulo3"/>
        <w:spacing w:line="360" w:lineRule="auto"/>
        <w:jc w:val="both"/>
      </w:pPr>
      <w:r>
        <w:t xml:space="preserve">Inventario de cobertura</w:t>
      </w:r>
    </w:p>
    <w:p>
      <w:pPr>
        <w:pStyle w:val="FirstParagraph"/>
        <w:spacing w:line="360" w:lineRule="auto"/>
        <w:jc w:val="both"/>
      </w:pPr>
      <w:r>
        <w:t xml:space="preserve">El análisis de cobertura se realizó directamente sobre el árbol de resultados</w:t>
      </w:r>
      <w:r>
        <w:t xml:space="preserve"> </w:t>
      </w:r>
      <w:r>
        <w:t xml:space="preserve">comprometidos (</w:t>
      </w:r>
      <w:r>
        <w:rPr>
          <w:rStyle w:val="VerbatimChar"/>
        </w:rPr>
        <w:t xml:space="preserve">experiments/exp2_scaled/results/</w:t>
      </w:r>
      <w:r>
        <w:t xml:space="preserve">), verificando la presencia</w:t>
      </w:r>
      <w:r>
        <w:t xml:space="preserve"> </w:t>
      </w:r>
      <w:r>
        <w:t xml:space="preserve">y el tamaño no nulo de cada</w:t>
      </w:r>
      <w:r>
        <w:t xml:space="preserve"> </w:t>
      </w:r>
      <w:r>
        <w:rPr>
          <w:rStyle w:val="VerbatimChar"/>
        </w:rPr>
        <w:t xml:space="preserve">results.json</w:t>
      </w:r>
      <w:r>
        <w:t xml:space="preserve"> </w:t>
      </w:r>
      <w:r>
        <w:t xml:space="preserve">en las 300 celdas del diseño.</w:t>
      </w:r>
    </w:p>
    <w:tbl>
      <w:tblPr>
        <w:tblStyle w:val="Table"/>
        <w:tblW w:type="pct" w:w="5000"/>
        <w:tblLayout w:type="fixed"/>
        <w:tblLook w:firstRow="0" w:lastRow="0" w:firstColumn="0" w:lastColumn="0" w:noHBand="0" w:noVBand="0" w:val="0000"/>
      </w:tblPr>
      <w:tblGrid>
        <w:gridCol w:w="7920"/>
      </w:tblGrid>
      <w:tr>
        <w:tc>
          <w:tcPr/>
          <w:bookmarkStart w:id="83" w:name="tbl-coverage"/>
          <w:p>
            <w:pPr>
              <w:jc w:val="both"/>
              <w:spacing w:line="360" w:lineRule="auto"/>
            </w:pPr>
            <w:pPr>
              <w:jc w:val="left"/>
              <w:spacing w:before="200"/>
              <w:pStyle w:val="ImageCaption"/>
            </w:pPr>
            <w:r>
              <w:t xml:space="preserve">Table 4.4: Inventario de cobertura de artefactos. EXP2 incluye la superposición de</w:t>
            </w:r>
            <w:r>
              <w:t xml:space="preserve"> </w:t>
            </w:r>
            <w:r>
              <w:t xml:space="preserve">recuperación de 30 filas para celdas</w:t>
            </w:r>
            <w:r>
              <w:t xml:space="preserve"> </w:t>
            </w:r>
            <w:r>
              <w:rPr>
                <w:rStyle w:val="VerbatimChar"/>
              </w:rPr>
              <w:t xml:space="preserve">mlp_shap</w:t>
            </w:r>
            <w:r>
              <w:t xml:space="preserve">/</w:t>
            </w:r>
            <w:r>
              <w:rPr>
                <w:rStyle w:val="VerbatimChar"/>
              </w:rPr>
              <w:t xml:space="preserve">svm_shap</w:t>
            </w:r>
            <w:r>
              <w:t xml:space="preserve">.</w:t>
            </w:r>
            <w:r>
              <w:t xml:space="preserve">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Cohorte</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Presentes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EXP1 (calibración)</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66</w:t>
                  </w:r>
                </w:p>
              </w:tc>
              <w:tc>
                <w:tcPr/>
                <w:p>
                  <w:pPr>
                    <w:pStyle w:val="Compact"/>
                    <w:jc w:val="both"/>
                    <w:jc w:val="center"/>
                    <w:spacing w:line="360" w:lineRule="auto"/>
                  </w:pPr>
                  <w:r>
                    <w:t xml:space="preserve">88.0%</w:t>
                  </w:r>
                </w:p>
              </w:tc>
            </w:tr>
            <w:tr>
              <w:tc>
                <w:tcPr/>
                <w:p>
                  <w:pPr>
                    <w:pStyle w:val="Compact"/>
                    <w:jc w:val="both"/>
                    <w:jc w:val="center"/>
                    <w:spacing w:line="360" w:lineRule="auto"/>
                  </w:pPr>
                  <w:r>
                    <w:t xml:space="preserve">EXP2 (benchmark primario)</w:t>
                  </w:r>
                </w:p>
              </w:tc>
              <w:tc>
                <w:tcPr/>
                <w:p>
                  <w:pPr>
                    <w:pStyle w:val="Compact"/>
                    <w:jc w:val="both"/>
                    <w:jc w:val="center"/>
                    <w:spacing w:line="360" w:lineRule="auto"/>
                  </w:pPr>
                  <w:r>
                    <w:t xml:space="preserve">300</w:t>
                  </w:r>
                </w:p>
              </w:tc>
              <w:tc>
                <w:tcPr/>
                <w:p>
                  <w:pPr>
                    <w:pStyle w:val="Compact"/>
                    <w:jc w:val="both"/>
                    <w:jc w:val="center"/>
                    <w:spacing w:line="360" w:lineRule="auto"/>
                  </w:pPr>
                  <w:r>
                    <w:t xml:space="preserve">299</w:t>
                  </w:r>
                </w:p>
              </w:tc>
              <w:tc>
                <w:tcPr/>
                <w:p>
                  <w:pPr>
                    <w:pStyle w:val="Compact"/>
                    <w:jc w:val="both"/>
                    <w:jc w:val="center"/>
                    <w:spacing w:line="360" w:lineRule="auto"/>
                  </w:pPr>
                  <w:r>
                    <w:t xml:space="preserve">275</w:t>
                  </w:r>
                </w:p>
              </w:tc>
              <w:tc>
                <w:tcPr/>
                <w:p>
                  <w:pPr>
                    <w:pStyle w:val="Compact"/>
                    <w:jc w:val="both"/>
                    <w:jc w:val="center"/>
                    <w:spacing w:line="360" w:lineRule="auto"/>
                  </w:pPr>
                  <w:r>
                    <w:t xml:space="preserve">91.7%</w:t>
                  </w:r>
                </w:p>
              </w:tc>
            </w:tr>
          </w:tbl>
          <w:bookmarkEnd w:id="83"/>
          <w:p>
            <w:pPr>
              <w:spacing w:line="360" w:lineRule="auto"/>
              <w:jc w:val="both"/>
            </w:pPr>
          </w:p>
        </w:tc>
      </w:tr>
    </w:tbl>
    <w:p>
      <w:pPr>
        <w:pStyle w:val="Textoindependiente"/>
        <w:spacing w:line="360" w:lineRule="auto"/>
        <w:jc w:val="both"/>
      </w:pPr>
      <w:r>
        <w:t xml:space="preserve">La</w:t>
      </w:r>
      <w:r>
        <w:t xml:space="preserve"> </w:t>
      </w:r>
      <w:r>
        <w:rPr>
          <w:b/>
          <w:bCs/>
        </w:rPr>
        <w:t xml:space="preserve">única celda físicamente faltante</w:t>
      </w:r>
      <w:r>
        <w:t xml:space="preserve"> </w:t>
      </w:r>
      <w:r>
        <w:t xml:space="preserve">en EXP2 es</w:t>
      </w:r>
      <w:r>
        <w:t xml:space="preserve"> </w:t>
      </w:r>
      <w:r>
        <w:rPr>
          <w:rStyle w:val="VerbatimChar"/>
        </w:rPr>
        <w:t xml:space="preserve">svm_shap_s456_n200</w:t>
      </w:r>
      <w:r>
        <w:t xml:space="preserve"> </w:t>
      </w:r>
      <w:r>
        <w:t xml:space="preserve">(verificado por inspección directa del árbol de artefactos). Las 25 celdas</w:t>
      </w:r>
      <w:r>
        <w:t xml:space="preserve"> </w:t>
      </w:r>
      <w:r>
        <w:t xml:space="preserve">con cobertura analítica reducida presentan artefactos físicamente presentes</w:t>
      </w:r>
      <w:r>
        <w:t xml:space="preserve"> </w:t>
      </w:r>
      <w:r>
        <w:t xml:space="preserve">pero con diferencias de esquema; se concentran en Anchors (18 celdas) y DiCE</w:t>
      </w:r>
      <w:r>
        <w:t xml:space="preserve"> </w:t>
      </w:r>
      <w:r>
        <w:t xml:space="preserve">(7 celdas), con SHAP y LIME en cobertura completa (75/75 tras la</w:t>
      </w:r>
      <w:r>
        <w:t xml:space="preserve"> </w:t>
      </w:r>
      <w:r>
        <w:t xml:space="preserve">superposición de recuperación).</w:t>
      </w:r>
    </w:p>
    <w:tbl>
      <w:tblPr>
        <w:tblStyle w:val="Table"/>
        <w:tblW w:type="pct" w:w="5000"/>
        <w:tblLayout w:type="fixed"/>
        <w:tblLook w:firstRow="0" w:lastRow="0" w:firstColumn="0" w:lastColumn="0" w:noHBand="0" w:noVBand="0" w:val="0000"/>
      </w:tblPr>
      <w:tblGrid>
        <w:gridCol w:w="7920"/>
      </w:tblGrid>
      <w:tr>
        <w:tc>
          <w:tcPr/>
          <w:bookmarkStart w:id="84" w:name="tbl-coverage-method"/>
          <w:p>
            <w:pPr>
              <w:jc w:val="both"/>
              <w:spacing w:line="360" w:lineRule="auto"/>
            </w:pPr>
            <w:pPr>
              <w:jc w:val="left"/>
              <w:spacing w:before="200"/>
              <w:pStyle w:val="ImageCaption"/>
            </w:pPr>
            <w:r>
              <w:t xml:space="preserve">Table 4.5: Cobertura analítica por método. SHAP incluye la superposición de</w:t>
            </w:r>
            <w:r>
              <w:t xml:space="preserve"> </w:t>
            </w:r>
            <w:r>
              <w:t xml:space="preserve">recuperación.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Método</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SHAP</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LIME</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Anchors</w:t>
                  </w:r>
                </w:p>
              </w:tc>
              <w:tc>
                <w:tcPr/>
                <w:p>
                  <w:pPr>
                    <w:pStyle w:val="Compact"/>
                    <w:jc w:val="both"/>
                    <w:jc w:val="center"/>
                    <w:spacing w:line="360" w:lineRule="auto"/>
                  </w:pPr>
                  <w:r>
                    <w:t xml:space="preserve">75</w:t>
                  </w:r>
                </w:p>
              </w:tc>
              <w:tc>
                <w:tcPr/>
                <w:p>
                  <w:pPr>
                    <w:pStyle w:val="Compact"/>
                    <w:jc w:val="both"/>
                    <w:jc w:val="center"/>
                    <w:spacing w:line="360" w:lineRule="auto"/>
                  </w:pPr>
                  <w:r>
                    <w:t xml:space="preserve">57</w:t>
                  </w:r>
                </w:p>
              </w:tc>
              <w:tc>
                <w:tcPr/>
                <w:p>
                  <w:pPr>
                    <w:pStyle w:val="Compact"/>
                    <w:jc w:val="both"/>
                    <w:jc w:val="center"/>
                    <w:spacing w:line="360" w:lineRule="auto"/>
                  </w:pPr>
                  <w:r>
                    <w:t xml:space="preserve">76.0%</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75</w:t>
                  </w:r>
                </w:p>
              </w:tc>
              <w:tc>
                <w:tcPr/>
                <w:p>
                  <w:pPr>
                    <w:pStyle w:val="Compact"/>
                    <w:jc w:val="both"/>
                    <w:jc w:val="center"/>
                    <w:spacing w:line="360" w:lineRule="auto"/>
                  </w:pPr>
                  <w:r>
                    <w:t xml:space="preserve">68</w:t>
                  </w:r>
                </w:p>
              </w:tc>
              <w:tc>
                <w:tcPr/>
                <w:p>
                  <w:pPr>
                    <w:pStyle w:val="Compact"/>
                    <w:jc w:val="both"/>
                    <w:jc w:val="center"/>
                    <w:spacing w:line="360" w:lineRule="auto"/>
                  </w:pPr>
                  <w:r>
                    <w:t xml:space="preserve">90.7%</w:t>
                  </w:r>
                </w:p>
              </w:tc>
            </w:tr>
          </w:tbl>
          <w:bookmarkEnd w:id="84"/>
          <w:p>
            <w:pPr>
              <w:spacing w:line="360" w:lineRule="auto"/>
              <w:jc w:val="both"/>
            </w:pPr>
          </w:p>
        </w:tc>
      </w:tr>
    </w:tbl>
    <w:bookmarkEnd w:id="85"/>
    <w:bookmarkStart w:id="86" w:name="Xcb4396ffd8bf23e7b418105a9e8d3fef7075c0b"/>
    <w:p>
      <w:pPr>
        <w:pStyle w:val="Ttulo3"/>
        <w:spacing w:line="360" w:lineRule="auto"/>
        <w:jc w:val="both"/>
      </w:pPr>
      <w:r>
        <w:t xml:space="preserve">Evaluación cuantitativa del impacto estadístico</w:t>
      </w:r>
    </w:p>
    <w:p>
      <w:pPr>
        <w:pStyle w:val="FirstParagraph"/>
        <w:spacing w:line="360" w:lineRule="auto"/>
        <w:jc w:val="both"/>
      </w:pPr>
      <w:r>
        <w:t xml:space="preserve">El impacto de las 25 celdas ausentes se evalúa en tres dimensiones:</w:t>
      </w:r>
      <w:r>
        <w:t xml:space="preserve"> </w:t>
      </w:r>
      <w:r>
        <w:t xml:space="preserve">completitud de bloques de Friedman, precisión de medias globales de Anchors</w:t>
      </w:r>
      <w:r>
        <w:t xml:space="preserve"> </w:t>
      </w:r>
      <w:r>
        <w:t xml:space="preserve">y DiCE, e integridad del análisis pareado del Estudio B.</w:t>
      </w:r>
    </w:p>
    <w:p>
      <w:pPr>
        <w:pStyle w:val="Textoindependiente"/>
        <w:spacing w:line="360" w:lineRule="auto"/>
        <w:jc w:val="both"/>
      </w:pPr>
      <w:r>
        <w:rPr>
          <w:b/>
          <w:bCs/>
        </w:rPr>
        <w:t xml:space="preserve">Completitud de bloques de Friedman.</w:t>
      </w:r>
      <w:r>
        <w:t xml:space="preserve"> </w:t>
      </w:r>
      <w:r>
        <w:t xml:space="preserve">El test de Friedman opera sobre</w:t>
      </w:r>
      <w:r>
        <w:t xml:space="preserve"> </w:t>
      </w:r>
      <ns1:oMath>
        <ns1:r>
          <ns1:t>B</ns1:t>
        </ns1:r>
        <ns1:r>
          <ns1:rPr>
            <ns1:sty ns1:val="p"/>
          </ns1:rPr>
          <ns1:t>=</ns1:t>
        </ns1:r>
        <ns1:r>
          <ns1:t>15</ns1:t>
        </ns1:r>
      </ns1:oMath>
      <w:r>
        <w:t xml:space="preserve"> </w:t>
      </w:r>
      <w:r>
        <w:t xml:space="preserve">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completos: un bloque es completo si los cuatro métodos</w:t>
      </w:r>
      <w:r>
        <w:t xml:space="preserve"> </w:t>
      </w:r>
      <w:r>
        <w:t xml:space="preserve">tienen al menos una ejecución analizable. Verificación directa: los 15/15</w:t>
      </w:r>
      <w:r>
        <w:t xml:space="preserve"> </w:t>
      </w:r>
      <w:r>
        <w:t xml:space="preserve">bloques son completos para todos los métodos. La completitud de bloques</w:t>
      </w:r>
      <w:r>
        <w:t xml:space="preserve"> </w:t>
      </w:r>
      <w:r>
        <w:t xml:space="preserve">garantiza la ejecutabilidad y validez del test de Friedman</w:t>
      </w:r>
      <w:r>
        <w:t xml:space="preserve"> </w:t>
      </w:r>
      <w:r>
        <w:t xml:space="preserve">(Demšar 2006)</w:t>
      </w:r>
      <w:r>
        <w:t xml:space="preserve">.</w:t>
      </w:r>
    </w:p>
    <w:p>
      <w:pPr>
        <w:pStyle w:val="Textoindependiente"/>
        <w:spacing w:line="360" w:lineRule="auto"/>
        <w:jc w:val="both"/>
      </w:pPr>
      <w:r>
        <w:rPr>
          <w:b/>
          <w:bCs/>
        </w:rPr>
        <w:t xml:space="preserve">Impacto en la precisión de los estimados de Anchors.</w:t>
      </w:r>
      <w:r>
        <w:t xml:space="preserve"> </w:t>
      </w:r>
      <w:r>
        <w:t xml:space="preserve">Con 57/75 = 76.0%</w:t>
      </w:r>
      <w:r>
        <w:t xml:space="preserve"> </w:t>
      </w:r>
      <w:r>
        <w:t xml:space="preserve">de cobertura, algunos bloques de Anchors se estiman con</w:t>
      </w:r>
      <w:r>
        <w:t xml:space="preserve"> </w:t>
      </w:r>
      <ns1:oMath>
        <ns1:r>
          <ns1:t>r</ns1:t>
        </ns1:r>
        <ns1:r>
          <ns1:rPr>
            <ns1:sty ns1:val="p"/>
          </ns1:rPr>
          <ns1:t>&lt;</ns1:t>
        </ns1:r>
        <ns1:r>
          <ns1:t>5</ns1:t>
        </ns1:r>
      </ns1:oMath>
      <w:r>
        <w:t xml:space="preserve"> </w:t>
      </w:r>
      <w:r>
        <w:t xml:space="preserve">semillas. En</w:t>
      </w:r>
      <w:r>
        <w:t xml:space="preserve"> </w:t>
      </w:r>
      <w:r>
        <w:t xml:space="preserve">el caso más desfavorable (bloques</w:t>
      </w:r>
      <w:r>
        <w:t xml:space="preserve"> </w:t>
      </w:r>
      <w:r>
        <w:rPr>
          <w:rStyle w:val="VerbatimChar"/>
        </w:rPr>
        <w:t xml:space="preserve">logreg</w:t>
      </w:r>
      <w:r>
        <w:t xml:space="preserve">-Anchors y</w:t>
      </w:r>
      <w:r>
        <w:t xml:space="preserve"> </w:t>
      </w:r>
      <w:r>
        <w:rPr>
          <w:rStyle w:val="VerbatimChar"/>
        </w:rPr>
        <w:t xml:space="preserve">mlp</w:t>
      </w:r>
      <w:r>
        <w:t xml:space="preserve">-Anchors,</w:t>
      </w:r>
      <w:r>
        <w:t xml:space="preserve"> </w:t>
      </w:r>
      <ns1:oMath>
        <ns1:r>
          <ns1:t>r</ns1:t>
        </ns1:r>
        <ns1:r>
          <ns1:rPr>
            <ns1:sty ns1:val="p"/>
          </ns1:rPr>
          <ns1:t>≈</ns1:t>
        </ns1:r>
        <ns1:r>
          <ns1:t>2.3</ns1:t>
        </ns1:r>
      </ns1:oMath>
      <w:r>
        <w:t xml:space="preserve"> </w:t>
      </w:r>
      <w:r>
        <w:t xml:space="preserve">semillas por</w:t>
      </w:r>
      <w:r>
        <w:t xml:space="preserve"> </w:t>
      </w:r>
      <ns1:oMath>
        <ns1:r>
          <ns1:rPr>
            <ns1:sty ns1:val="p"/>
          </ns1:rPr>
          <ns1:t>(</ns1:t>
        </ns1:r>
        <ns1:r>
          <ns1:t>g</ns1:t>
        </ns1:r>
        <ns1:r>
          <ns1:rPr>
            <ns1:sty ns1:val="p"/>
          </ns1:rPr>
          <ns1:t>,</ns1:t>
        </ns1:r>
        <ns1:r>
          <ns1:t>n</ns1:t>
        </ns1:r>
        <ns1:r>
          <ns1:rPr>
            <ns1:sty ns1:val="p"/>
          </ns1:rPr>
          <ns1:t>)</ns1:t>
        </ns1:r>
      </ns1:oMath>
      <w:r>
        <w:t xml:space="preserve">), la varianza del estimador de bloque</w:t>
      </w:r>
      <w:r>
        <w:t xml:space="preserve"> </w:t>
      </w:r>
      <w:r>
        <w:t xml:space="preserve">se infla según:</w:t>
      </w:r>
    </w:p>
    <w:p>
      <w:pPr>
        <w:pStyle w:val="Textoindependiente"/>
        <w:spacing w:line="360" w:lineRule="auto"/>
        <w:jc w:val="both"/>
      </w:pPr>
      <ns1:oMathPara>
        <ns1:oMathParaPr>
          <ns1:jc ns1:val="center"/>
        </ns1:oMathParaPr>
        <ns1:oMath>
          <ns1:r>
            <ns1:rPr>
              <ns1:nor/>
              <ns1:sty ns1:val="p"/>
            </ns1:rPr>
            <ns1:t>Var</ns1:t>
          </ns1:r>
          <ns1:r>
            <ns1:t>​</ns1:t>
          </ns1:r>
          <ns1:d>
            <ns1:dPr>
              <ns1:begChr ns1:val="("/>
              <ns1:sepChr ns1:val=""/>
              <ns1:endChr ns1:val=")"/>
              <ns1:grow/>
            </ns1:dPr>
            <ns1:e>
              <ns1:sSub>
                <ns1:e>
                  <ns1:acc>
                    <ns1:accPr>
                      <ns1:chr ns1:val="̂"/>
                    </ns1:accPr>
                    <ns1:e>
                      <ns1:r>
                        <ns1:t>μ</ns1:t>
                      </ns1:r>
                    </ns1:e>
                  </ns1:acc>
                </ns1:e>
                <ns1:sub>
                  <ns1:r>
                    <ns1:t>g</ns1:t>
                  </ns1:r>
                  <ns1:r>
                    <ns1:rPr>
                      <ns1:sty ns1:val="p"/>
                    </ns1:rPr>
                    <ns1:t>,</ns1:t>
                  </ns1:r>
                  <ns1:r>
                    <ns1:t>k</ns1:t>
                  </ns1:r>
                  <ns1:r>
                    <ns1:rPr>
                      <ns1:sty ns1:val="p"/>
                    </ns1:rPr>
                    <ns1:t>,</ns1:t>
                  </ns1:r>
                  <ns1:r>
                    <ns1:t>n</ns1:t>
                  </ns1:r>
                </ns1:sub>
              </ns1:sSub>
            </ns1:e>
          </ns1:d>
          <ns1:r>
            <ns1:rPr>
              <ns1:sty ns1:val="p"/>
            </ns1:rPr>
            <ns1:t>=</ns1:t>
          </ns1:r>
          <ns1:f>
            <ns1:fPr>
              <ns1:type ns1:val="bar"/>
            </ns1:fPr>
            <ns1:num>
              <ns1:sSubSup>
                <ns1:e>
                  <ns1:r>
                    <ns1:t>σ</ns1:t>
                  </ns1:r>
                </ns1:e>
                <ns1:sub>
                  <ns1:r>
                    <ns1:t>g</ns1:t>
                  </ns1:r>
                  <ns1:r>
                    <ns1:rPr>
                      <ns1:sty ns1:val="p"/>
                    </ns1:rPr>
                    <ns1:t>,</ns1:t>
                  </ns1:r>
                  <ns1:r>
                    <ns1:t>k</ns1:t>
                  </ns1:r>
                  <ns1:r>
                    <ns1:rPr>
                      <ns1:sty ns1:val="p"/>
                    </ns1:rPr>
                    <ns1:t>,</ns1:t>
                  </ns1:r>
                  <ns1:r>
                    <ns1:t>n</ns1:t>
                  </ns1:r>
                </ns1:sub>
                <ns1:sup>
                  <ns1:r>
                    <ns1:t>2</ns1:t>
                  </ns1:r>
                </ns1:sup>
              </ns1:sSubSup>
            </ns1:num>
            <ns1:den>
              <ns1:r>
                <ns1:t>r</ns1:t>
              </ns1:r>
            </ns1:den>
          </ns1:f>
        </ns1:oMath>
      </ns1:oMathPara>
    </w:p>
    <w:p>
      <w:pPr>
        <w:pStyle w:val="FirstParagraph"/>
        <w:spacing w:line="360" w:lineRule="auto"/>
        <w:jc w:val="both"/>
      </w:pPr>
      <w:r>
        <w:t xml:space="preserve">Con</w:t>
      </w:r>
      <w:r>
        <w:t xml:space="preserve"> </w:t>
      </w:r>
      <ns1:oMath>
        <ns1:r>
          <ns1:t>r</ns1:t>
        </ns1:r>
        <ns1:r>
          <ns1:rPr>
            <ns1:sty ns1:val="p"/>
          </ns1:rPr>
          <ns1:t>=</ns1:t>
        </ns1:r>
        <ns1:r>
          <ns1:t>5</ns1:t>
        </ns1:r>
      </ns1:oMath>
      <w:r>
        <w:t xml:space="preserve"> </w:t>
      </w:r>
      <w:r>
        <w:t xml:space="preserve">planificados versus</w:t>
      </w:r>
      <w:r>
        <w:t xml:space="preserve"> </w:t>
      </w:r>
      <ns1:oMath>
        <ns1:r>
          <ns1:t>r</ns1:t>
        </ns1:r>
        <ns1:r>
          <ns1:rPr>
            <ns1:sty ns1:val="p"/>
          </ns1:rPr>
          <ns1:t>≈</ns1:t>
        </ns1:r>
        <ns1:r>
          <ns1:t>2.3</ns1:t>
        </ns1:r>
      </ns1:oMath>
      <w:r>
        <w:t xml:space="preserve"> </w:t>
      </w:r>
      <w:r>
        <w:t xml:space="preserve">observados, el error estándar</w:t>
      </w:r>
      <w:r>
        <w:t xml:space="preserve"> </w:t>
      </w:r>
      <w:r>
        <w:t xml:space="preserve">se infla por un factor de</w:t>
      </w:r>
      <w:r>
        <w:t xml:space="preserve"> </w:t>
      </w:r>
      <ns1:oMath>
        <ns1:rad>
          <ns1:radPr>
            <ns1:degHide ns1:val="on"/>
          </ns1:radPr>
          <ns1:deg/>
          <ns1:e>
            <ns1:r>
              <ns1:t>5</ns1:t>
            </ns1:r>
            <ns1:r>
              <ns1:rPr>
                <ns1:sty ns1:val="p"/>
              </ns1:rPr>
              <ns1:t>/</ns1:t>
            </ns1:r>
            <ns1:r>
              <ns1:t>2.3</ns1:t>
            </ns1:r>
          </ns1:e>
        </ns1:rad>
        <ns1:r>
          <ns1:rPr>
            <ns1:sty ns1:val="p"/>
          </ns1:rPr>
          <ns1:t>≈</ns1:t>
        </ns1:r>
        <ns1:r>
          <ns1:t>1.47</ns1:t>
        </ns1:r>
      </ns1:oMath>
      <w:r>
        <w:t xml:space="preserve"> </w:t>
      </w:r>
      <w:r>
        <w:t xml:space="preserve">(incremento del 47%).</w:t>
      </w:r>
      <w:r>
        <w:t xml:space="preserve"> </w:t>
      </w:r>
      <w:r>
        <w:t xml:space="preserve">Este incremento amplía los intervalos de confianza de las medias de Anchors</w:t>
      </w:r>
      <w:r>
        <w:t xml:space="preserve"> </w:t>
      </w:r>
      <w:r>
        <w:t xml:space="preserve">en esos bloques, pero no invalida el test de Friedman por tres razones: (i)</w:t>
      </w:r>
      <w:r>
        <w:t xml:space="preserve"> </w:t>
      </w:r>
      <w:r>
        <w:t xml:space="preserve">el test de Friedman es un procedimiento de rangos, robusto a la inflación de</w:t>
      </w:r>
      <w:r>
        <w:t xml:space="preserve"> </w:t>
      </w:r>
      <w:r>
        <w:t xml:space="preserve">varianza en bloques individuales; (ii) los estadísticos de Friedman del</w:t>
      </w:r>
      <w:r>
        <w:t xml:space="preserve"> </w:t>
      </w:r>
      <w:r>
        <w:t xml:space="preserve">Estudio A superan</w:t>
      </w:r>
      <w:r>
        <w:t xml:space="preserve"> </w:t>
      </w:r>
      <ns1:oMath>
        <ns1:sSup>
          <ns1:e>
            <ns1:r>
              <ns1:t>χ</ns1:t>
            </ns1:r>
          </ns1:e>
          <ns1:sup>
            <ns1:r>
              <ns1:t>2</ns1:t>
            </ns1:r>
          </ns1:sup>
        </ns1:sSup>
        <ns1:r>
          <ns1:rPr>
            <ns1:sty ns1:val="p"/>
          </ns1:rPr>
          <ns1:t>=</ns1:t>
        </ns1:r>
        <ns1:r>
          <ns1:t>30.44</ns1:t>
        </ns1:r>
      </ns1:oMath>
      <w:r>
        <w:t xml:space="preserve"> </w:t>
      </w:r>
      <w:r>
        <w:t xml:space="preserve">en todas las métricas, muy por encima del</w:t>
      </w:r>
      <w:r>
        <w:t xml:space="preserve"> </w:t>
      </w:r>
      <w:r>
        <w:t xml:space="preserve">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ns1:t>
        </ns1:r>
      </ns1:oMath>
      <w:r>
        <w:t xml:space="preserve">; (iii) el margen de seguridad para</w:t>
      </w:r>
      <w:r>
        <w:t xml:space="preserve"> </w:t>
      </w:r>
      <w:r>
        <w:t xml:space="preserve">la métrica con menor estadístico (Coste)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30.44</ns1:t>
              </ns1:r>
              <ns1:r>
                <ns1:rPr>
                  <ns1:sty ns1:val="p"/>
                </ns1:rPr>
                <ns1:t>−</ns1:t>
              </ns1:r>
              <ns1:r>
                <ns1:t>7.81</ns1:t>
              </ns1:r>
            </ns1:num>
            <ns1:den>
              <ns1:r>
                <ns1:t>7.81</ns1:t>
              </ns1:r>
            </ns1:den>
          </ns1:f>
          <ns1:r>
            <ns1:rPr>
              <ns1:sty ns1:val="p"/>
            </ns1:rPr>
            <ns1:t>×</ns1:t>
          </ns1:r>
          <ns1:r>
            <ns1:t>100</ns1:t>
          </ns1:r>
          <ns1:r>
            <ns1:rPr>
              <ns1:sty ns1:val="p"/>
            </ns1:rPr>
            <ns1:t>%</ns1:t>
          </ns1:r>
          <ns1:r>
            <ns1:rPr>
              <ns1:sty ns1:val="p"/>
            </ns1:rPr>
            <ns1:t>=</ns1:t>
          </ns1:r>
          <ns1:r>
            <ns1:t>290</ns1:t>
          </ns1:r>
          <ns1:r>
            <ns1:rPr>
              <ns1:sty ns1:val="p"/>
            </ns1:rPr>
            <ns1:t>%</ns1:t>
          </ns1:r>
        </ns1:oMath>
      </ns1:oMathPara>
    </w:p>
    <w:p>
      <w:pPr>
        <w:pStyle w:val="FirstParagraph"/>
        <w:spacing w:line="360" w:lineRule="auto"/>
        <w:jc w:val="both"/>
      </w:pPr>
      <w:r>
        <w:t xml:space="preserve">Para acotar el margen de forma explícita se aplica una prueba de esfuerzo</w:t>
      </w:r>
      <w:r>
        <w:t xml:space="preserve"> </w:t>
      </w:r>
      <w:r>
        <w:t xml:space="preserve">deliberadamente severa sobre la métrica menos favorable: se divide por dos el</w:t>
      </w:r>
      <w:r>
        <w:t xml:space="preserve"> </w:t>
      </w:r>
      <w:r>
        <w:t xml:space="preserve">estadístico observado de Coste, una degradación que excede con holgura la</w:t>
      </w:r>
      <w:r>
        <w:t xml:space="preserve"> </w:t>
      </w:r>
      <w:r>
        <w:t xml:space="preserve">inflación de varianza calculada de 1.47. El resultado sigue siendo significativo:</w:t>
      </w:r>
    </w:p>
    <w:p>
      <w:pPr>
        <w:pStyle w:val="Textoindependiente"/>
        <w:spacing w:line="360" w:lineRule="auto"/>
        <w:jc w:val="both"/>
      </w:pPr>
      <ns1:oMathPara>
        <ns1:oMathParaPr>
          <ns1:jc ns1:val="center"/>
        </ns1:oMathParaPr>
        <ns1:oMath>
          <ns1:sSubSup>
            <ns1:e>
              <ns1:r>
                <ns1:t>χ</ns1:t>
              </ns1:r>
            </ns1:e>
            <ns1:sub>
              <ns1:r>
                <ns1:rPr>
                  <ns1:nor/>
                  <ns1:sty ns1:val="p"/>
                </ns1:rPr>
                <ns1:t>estrés</ns1:t>
              </ns1:r>
            </ns1:sub>
            <ns1:sup>
              <ns1:r>
                <ns1:t>2</ns1:t>
              </ns1:r>
            </ns1:sup>
          </ns1:sSubSup>
          <ns1:r>
            <ns1:rPr>
              <ns1:sty ns1:val="p"/>
            </ns1:rPr>
            <ns1:t>=</ns1:t>
          </ns1:r>
          <ns1:f>
            <ns1:fPr>
              <ns1:type ns1:val="bar"/>
            </ns1:fPr>
            <ns1:num>
              <ns1:r>
                <ns1:t>30.44</ns1:t>
              </ns1:r>
            </ns1:num>
            <ns1:den>
              <ns1:r>
                <ns1:t>2</ns1:t>
              </ns1:r>
            </ns1:den>
          </ns1:f>
          <ns1:r>
            <ns1:rPr>
              <ns1:sty ns1:val="p"/>
            </ns1:rPr>
            <ns1:t>=</ns1:t>
          </ns1:r>
          <ns1:r>
            <ns1:t>15.22</ns1:t>
          </ns1:r>
          <ns1:r>
            <ns1:t> </ns1:t>
          </ns1:r>
          <ns1:r>
            <ns1:rPr>
              <ns1:sty ns1:val="p"/>
            </ns1:rPr>
            <ns1:t>⇒</ns1:t>
          </ns1:r>
          <ns1:r>
            <ns1:t> </ns1:t>
          </ns1:r>
          <ns1:r>
            <ns1:t>p</ns1:t>
          </ns1:r>
          <ns1:r>
            <ns1:rPr>
              <ns1:sty ns1:val="p"/>
            </ns1:rPr>
            <ns1:t>=</ns1:t>
          </ns1:r>
          <ns1:r>
            <ns1:t>P</ns1:t>
          </ns1:r>
          <ns1:r>
            <ns1:t>​</ns1:t>
          </ns1:r>
          <ns1:d>
            <ns1:dPr>
              <ns1:begChr ns1:val="("/>
              <ns1:sepChr ns1:val=""/>
              <ns1:endChr ns1:val=")"/>
              <ns1:grow/>
            </ns1:dPr>
            <ns1:e>
              <ns1:sSubSup>
                <ns1:e>
                  <ns1:r>
                    <ns1:t>χ</ns1:t>
                  </ns1:r>
                </ns1:e>
                <ns1:sub>
                  <ns1:r>
                    <ns1:t>3</ns1:t>
                  </ns1:r>
                </ns1:sub>
                <ns1:sup>
                  <ns1:r>
                    <ns1:t>2</ns1:t>
                  </ns1:r>
                </ns1:sup>
              </ns1:sSubSup>
              <ns1:r>
                <ns1:rPr>
                  <ns1:sty ns1:val="p"/>
                </ns1:rPr>
                <ns1:t>&gt;</ns1:t>
              </ns1:r>
              <ns1:r>
                <ns1:t>15.22</ns1:t>
              </ns1:r>
            </ns1:e>
          </ns1:d>
          <ns1:r>
            <ns1:rPr>
              <ns1:sty ns1:val="p"/>
            </ns1:rPr>
            <ns1:t>=</ns1:t>
          </ns1:r>
          <ns1:r>
            <ns1:t>0.0016</ns1:t>
          </ns1:r>
          <ns1:r>
            <ns1:rPr>
              <ns1:sty ns1:val="p"/>
            </ns1:rPr>
            <ns1:t>&lt;</ns1:t>
          </ns1:r>
          <ns1:r>
            <ns1:t>0.05</ns1:t>
          </ns1:r>
        </ns1:oMath>
      </ns1:oMathPara>
    </w:p>
    <w:p>
      <w:pPr>
        <w:pStyle w:val="FirstParagraph"/>
        <w:spacing w:line="360" w:lineRule="auto"/>
        <w:jc w:val="both"/>
      </w:pPr>
      <w:r>
        <w:t xml:space="preserve">Conviene precisar qué operación es esta y qué no es. Dividir el estadístico por</w:t>
      </w:r>
      <w:r>
        <w:t xml:space="preserve"> </w:t>
      </w:r>
      <w:r>
        <w:t xml:space="preserve">dos no equivale a una reducción del poder del 50%: es una degradación directa de</w:t>
      </w:r>
      <w:r>
        <w:t xml:space="preserve"> </w:t>
      </w:r>
      <w:r>
        <w:t xml:space="preserve">la evidencia observada, aplicada como cota inferior conservadora. Bajo la</w:t>
      </w:r>
      <w:r>
        <w:t xml:space="preserve"> </w:t>
      </w:r>
      <w:r>
        <w:t xml:space="preserve">interpretación alternativa —reducir a la mitad el parámetro de no centralidad</w:t>
      </w:r>
      <w:r>
        <w:t xml:space="preserve"> </w:t>
      </w:r>
      <ns1:oMath>
        <ns1:r>
          <ns1:t>λ</ns1:t>
        </ns1:r>
        <ns1:r>
          <ns1:rPr>
            <ns1:sty ns1:val="p"/>
          </ns1:rPr>
          <ns1:t>=</ns1:t>
        </ns1:r>
        <ns1:sSubSup>
          <ns1:e>
            <ns1:r>
              <ns1:t>χ</ns1:t>
            </ns1:r>
          </ns1:e>
          <ns1:sub>
            <ns1:r>
              <ns1:t>F</ns1:t>
            </ns1:r>
          </ns1:sub>
          <ns1:sup>
            <ns1:r>
              <ns1:t>2</ns1:t>
            </ns1:r>
          </ns1:sup>
        </ns1:sSubSup>
        <ns1:r>
          <ns1:rPr>
            <ns1:sty ns1:val="p"/>
          </ns1:rPr>
          <ns1:t>−</ns1:t>
        </ns1:r>
        <ns1:r>
          <ns1:t>g</ns1:t>
        </ns1:r>
        <ns1:r>
          <ns1:t>l</ns1:t>
        </ns1:r>
        <ns1:r>
          <ns1:rPr>
            <ns1:sty ns1:val="p"/>
          </ns1:rPr>
          <ns1:t>=</ns1:t>
        </ns1:r>
        <ns1:r>
          <ns1:t>27.44</ns1:t>
        </ns1:r>
      </ns1:oMath>
      <w:r>
        <w:t xml:space="preserve">, de modo que</w:t>
      </w:r>
      <w:r>
        <w:t xml:space="preserve"> </w:t>
      </w:r>
      <ns1:oMath>
        <ns1:r>
          <ns1:rPr>
            <ns1:scr ns1:val="double-struck"/>
            <ns1:sty ns1:val="p"/>
          </ns1:rPr>
          <ns1:t>E</ns1:t>
        </ns1:r>
        <ns1:r>
          <ns1:rPr>
            <ns1:sty ns1:val="p"/>
          </ns1:rPr>
          <ns1:t>[</ns1:t>
        </ns1:r>
        <ns1:sSup>
          <ns1:e>
            <ns1:r>
              <ns1:t>χ</ns1:t>
            </ns1:r>
          </ns1:e>
          <ns1:sup>
            <ns1:r>
              <ns1:t>2</ns1:t>
            </ns1:r>
          </ns1:sup>
        </ns1:sSup>
        <ns1:r>
          <ns1:rPr>
            <ns1:sty ns1:val="p"/>
          </ns1:rPr>
          <ns1:t>]</ns1:t>
        </ns1:r>
        <ns1:r>
          <ns1:rPr>
            <ns1:sty ns1:val="p"/>
          </ns1:rPr>
          <ns1:t>=</ns1:t>
        </ns1:r>
        <ns1:r>
          <ns1:t>g</ns1:t>
        </ns1:r>
        <ns1:r>
          <ns1:t>l</ns1:t>
        </ns1:r>
        <ns1:r>
          <ns1:rPr>
            <ns1:sty ns1:val="p"/>
          </ns1:rPr>
          <ns1:t>+</ns1:t>
        </ns1:r>
        <ns1:r>
          <ns1:t>λ</ns1:t>
        </ns1:r>
        <ns1:r>
          <ns1:rPr>
            <ns1:sty ns1:val="p"/>
          </ns1:rPr>
          <ns1:t>/</ns1:t>
        </ns1:r>
        <ns1:r>
          <ns1:t>2</ns1:t>
        </ns1:r>
        <ns1:r>
          <ns1:rPr>
            <ns1:sty ns1:val="p"/>
          </ns1:rPr>
          <ns1:t>=</ns1:t>
        </ns1:r>
        <ns1:r>
          <ns1:t>16.72</ns1:t>
        </ns1:r>
      </ns1:oMath>
      <w:r>
        <w:t xml:space="preserve">— la conclusión es todavía más holgada (</w:t>
      </w:r>
      <ns1:oMath>
        <ns1:r>
          <ns1:t>p</ns1:t>
        </ns1:r>
        <ns1:r>
          <ns1:rPr>
            <ns1:sty ns1:val="p"/>
          </ns1:rPr>
          <ns1:t>=</ns1:t>
        </ns1:r>
        <ns1:r>
          <ns1:t>0.0008</ns1:t>
        </ns1:r>
      </ns1:oMath>
      <w:r>
        <w:t xml:space="preserve">). Ambas</w:t>
      </w:r>
      <w:r>
        <w:t xml:space="preserve"> </w:t>
      </w:r>
      <w:r>
        <w:t xml:space="preserve">lecturas dejan el estadístico por 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7.815</ns1:t>
        </ns1:r>
      </ns1:oMath>
      <w:r>
        <w:t xml:space="preserve">, de modo que la significación de Coste no depende de</w:t>
      </w:r>
      <w:r>
        <w:t xml:space="preserve"> </w:t>
      </w:r>
      <w:r>
        <w:t xml:space="preserve">cuál de las dos se adopte.</w:t>
      </w:r>
    </w:p>
    <w:p>
      <w:pPr>
        <w:pStyle w:val="Textoindependiente"/>
        <w:spacing w:line="360" w:lineRule="auto"/>
        <w:jc w:val="both"/>
      </w:pPr>
      <w:r>
        <w:rPr>
          <w:b/>
          <w:bCs/>
        </w:rPr>
        <w:t xml:space="preserve">Integridad del análisis pareado del Estudio B.</w:t>
      </w:r>
      <w:r>
        <w:t xml:space="preserve"> </w:t>
      </w:r>
      <w:r>
        <w:t xml:space="preserve">Con cobertura completa de</w:t>
      </w:r>
      <w:r>
        <w:t xml:space="preserve"> </w:t>
      </w:r>
      <w:r>
        <w:t xml:space="preserve">SHAP (75/75) y LIME (75/75), la cobertura pareada del Estudio B es del 100%.</w:t>
      </w:r>
      <w:r>
        <w:t xml:space="preserve"> </w:t>
      </w:r>
      <w:r>
        <w:t xml:space="preserve">Los datos faltantes de Anchors y DiCE</w:t>
      </w:r>
      <w:r>
        <w:t xml:space="preserve"> </w:t>
      </w:r>
      <w:r>
        <w:rPr>
          <w:b/>
          <w:bCs/>
        </w:rPr>
        <w:t xml:space="preserve">no afectan</w:t>
      </w:r>
      <w:r>
        <w:t xml:space="preserve"> </w:t>
      </w:r>
      <w:r>
        <w:t xml:space="preserve">al Estudio B.</w:t>
      </w:r>
    </w:p>
    <w:p>
      <w:pPr>
        <w:pStyle w:val="Textoindependiente"/>
        <w:spacing w:line="360" w:lineRule="auto"/>
        <w:jc w:val="both"/>
      </w:pPr>
      <w:r>
        <w:rPr>
          <w:b/>
          <w:bCs/>
        </w:rPr>
        <w:t xml:space="preserve">Dirección del sesgo de selección en Anchors.</w:t>
      </w:r>
      <w:r>
        <w:t xml:space="preserve"> </w:t>
      </w:r>
      <w:r>
        <w:t xml:space="preserve">El análisis anterior cuantifica</w:t>
      </w:r>
      <w:r>
        <w:t xml:space="preserve"> </w:t>
      </w:r>
      <w:r>
        <w:t xml:space="preserve">el efecto de la cobertura reducida sobre la</w:t>
      </w:r>
      <w:r>
        <w:t xml:space="preserve"> </w:t>
      </w:r>
      <w:r>
        <w:rPr>
          <w:i/>
          <w:iCs/>
        </w:rPr>
        <w:t xml:space="preserve">varianza</w:t>
      </w:r>
      <w:r>
        <w:t xml:space="preserve"> </w:t>
      </w:r>
      <w:r>
        <w:t xml:space="preserve">de los estimadores, pero</w:t>
      </w:r>
      <w:r>
        <w:t xml:space="preserve"> </w:t>
      </w:r>
      <w:r>
        <w:t xml:space="preserve">la ausencia de datos en Anchors no es aleatoria y exige además una consideración</w:t>
      </w:r>
      <w:r>
        <w:t xml:space="preserve"> </w:t>
      </w:r>
      <w:r>
        <w:t xml:space="preserve">sobre el</w:t>
      </w:r>
      <w:r>
        <w:t xml:space="preserve"> </w:t>
      </w:r>
      <w:r>
        <w:rPr>
          <w:i/>
          <w:iCs/>
        </w:rPr>
        <w:t xml:space="preserve">sesgo</w:t>
      </w:r>
      <w:r>
        <w:t xml:space="preserve">. Las 18 celdas ausentes lo están porque el algoritmo no</w:t>
      </w:r>
      <w:r>
        <w:t xml:space="preserve"> </w:t>
      </w:r>
      <w:r>
        <w:t xml:space="preserve">convergió a una regla con precisión</w:t>
      </w:r>
      <w:r>
        <w:t xml:space="preserve"> </w:t>
      </w:r>
      <ns1:oMath>
        <ns1:r>
          <ns1:rPr>
            <ns1:sty ns1:val="p"/>
          </ns1:rPr>
          <ns1:t>≥</ns1:t>
        </ns1:r>
        <ns1:r>
          <ns1:t>τ</ns1:t>
        </ns1:r>
      </ns1:oMath>
      <w:r>
        <w:t xml:space="preserve"> </w:t>
      </w:r>
      <w:r>
        <w:t xml:space="preserve">dentro del límite de búsqueda:</w:t>
      </w:r>
      <w:r>
        <w:t xml:space="preserve"> </w:t>
      </w:r>
      <w:r>
        <w:t xml:space="preserve">la ausencia depende del resultado que se habría observado, es decir, es</w:t>
      </w:r>
      <w:r>
        <w:t xml:space="preserve"> </w:t>
      </w:r>
      <w:r>
        <w:rPr>
          <w:i/>
          <w:iCs/>
        </w:rPr>
        <w:t xml:space="preserve">missing not at random</w:t>
      </w:r>
      <w:r>
        <w:t xml:space="preserve"> </w:t>
      </w:r>
      <w:r>
        <w:t xml:space="preserve">(MNAR) y se concentra en los estratos de mayor</w:t>
      </w:r>
      <w:r>
        <w:t xml:space="preserve"> </w:t>
      </w:r>
      <w:r>
        <w:t xml:space="preserve">incertidumbre local, precisamente aquellos en los que Anchors habría obtenido</w:t>
      </w:r>
      <w:r>
        <w:t xml:space="preserve"> </w:t>
      </w:r>
      <w:r>
        <w:t xml:space="preserve">previsiblemente sus peores métricas. La consecuencia es direccional: las medias</w:t>
      </w:r>
      <w:r>
        <w:t xml:space="preserve"> </w:t>
      </w:r>
      <w:r>
        <w:t xml:space="preserve">de calidad reportadas para Anchors son, con toda probabilidad,</w:t>
      </w:r>
      <w:r>
        <w:t xml:space="preserve"> </w:t>
      </w:r>
      <w:r>
        <w:rPr>
          <w:b/>
          <w:bCs/>
        </w:rPr>
        <w:t xml:space="preserve">optimistas</w:t>
      </w:r>
      <w:r>
        <w:t xml:space="preserve"> </w:t>
      </w:r>
      <w:r>
        <w:t xml:space="preserve">respecto a su rendimiento sobre el conjunto completo de celdas intentadas.</w:t>
      </w:r>
    </w:p>
    <w:p>
      <w:pPr>
        <w:pStyle w:val="Textoindependiente"/>
        <w:spacing w:line="360" w:lineRule="auto"/>
        <w:jc w:val="both"/>
      </w:pPr>
      <w:r>
        <w:t xml:space="preserve">El análisis de sensibilidad al umbral (</w:t>
      </w:r>
      <w:hyperlink w:anchor="tbl-appendix-anchors-sensitivity">
        <w:r>
          <w:rPr>
            <w:rStyle w:val="Hipervnculo"/>
          </w:rPr>
          <w:t xml:space="preserve">Table 7.10</w:t>
        </w:r>
      </w:hyperlink>
      <w:r>
        <w:t xml:space="preserve">) ofrece</w:t>
      </w:r>
      <w:r>
        <w:t xml:space="preserve"> </w:t>
      </w:r>
      <w:r>
        <w:t xml:space="preserve">una estimación empírica de la magnitud de este efecto. Al relajar</w:t>
      </w:r>
      <w:r>
        <w:t xml:space="preserve"> </w:t>
      </w:r>
      <ns1:oMath>
        <ns1:r>
          <ns1:t>τ</ns1:t>
        </ns1:r>
      </ns1:oMath>
      <w:r>
        <w:t xml:space="preserve"> </w:t>
      </w:r>
      <w:r>
        <w:t xml:space="preserve">de 0.95</w:t>
      </w:r>
      <w:r>
        <w:t xml:space="preserve"> </w:t>
      </w:r>
      <w:r>
        <w:t xml:space="preserve">a 0.90, la cobertura asciende de 57/75 (76%) a 72/75 (96%) y la fidelidad media</w:t>
      </w:r>
      <w:r>
        <w:t xml:space="preserve"> </w:t>
      </w:r>
      <w:r>
        <w:rPr>
          <w:i/>
          <w:iCs/>
        </w:rPr>
        <w:t xml:space="preserve">aumenta</w:t>
      </w:r>
      <w:r>
        <w:t xml:space="preserve"> </w:t>
      </w:r>
      <w:r>
        <w:t xml:space="preserve">de 0.386 a 0.421 —no disminuye—, lo que confirma que las celdas</w:t>
      </w:r>
      <w:r>
        <w:t xml:space="preserve"> </w:t>
      </w:r>
      <w:r>
        <w:t xml:space="preserve">recuperadas al relajar el criterio no son las de peor calidad bajo la métrica de</w:t>
      </w:r>
      <w:r>
        <w:t xml:space="preserve"> </w:t>
      </w:r>
      <w:r>
        <w:t xml:space="preserve">correlación de importancias, sino que el umbral y la métrica de fidelidad no</w:t>
      </w:r>
      <w:r>
        <w:t xml:space="preserve"> </w:t>
      </w:r>
      <w:r>
        <w:t xml:space="preserve">están alineados. El sesgo existe, por tanto, pero su magnitud es moderada y su</w:t>
      </w:r>
      <w:r>
        <w:t xml:space="preserve"> </w:t>
      </w:r>
      <w:r>
        <w:t xml:space="preserve">dirección no invalida la posición de Anchors en el ordenamiento: el método ya</w:t>
      </w:r>
      <w:r>
        <w:t xml:space="preserve"> </w:t>
      </w:r>
      <w:r>
        <w:t xml:space="preserve">ocupa la tercera o cuarta posición incluso bajo esta estimación potencialmente</w:t>
      </w:r>
      <w:r>
        <w:t xml:space="preserve"> </w:t>
      </w:r>
      <w:r>
        <w:t xml:space="preserve">favorable. Esta consideración refuerza —no debilita— la cautela con la que el</w:t>
      </w:r>
      <w:r>
        <w:t xml:space="preserve"> </w:t>
      </w:r>
      <w:r>
        <w:t xml:space="preserve">Capítulo 6 recomienda el uso de Anchors.</w:t>
      </w:r>
    </w:p>
    <w:p>
      <w:pPr>
        <w:pStyle w:val="Textoindependiente"/>
        <w:spacing w:line="360" w:lineRule="auto"/>
        <w:jc w:val="both"/>
      </w:pPr>
      <w:r>
        <w:rPr>
          <w:b/>
          <w:bCs/>
        </w:rPr>
        <w:t xml:space="preserve">Conclusión.</w:t>
      </w:r>
      <w:r>
        <w:t xml:space="preserve"> </w:t>
      </w:r>
      <w:r>
        <w:t xml:space="preserve">El impacto estadístico de los 25 artefactos analíticamente</w:t>
      </w:r>
      <w:r>
        <w:t xml:space="preserve"> </w:t>
      </w:r>
      <w:r>
        <w:t xml:space="preserve">ausentes es mínimo: los tests de Friedman permanecen significativos con</w:t>
      </w:r>
      <w:r>
        <w:t xml:space="preserve"> </w:t>
      </w:r>
      <w:r>
        <w:t xml:space="preserve">márgenes de seguridad</w:t>
      </w:r>
      <w:r>
        <w:t xml:space="preserve"> </w:t>
      </w:r>
      <ns1:oMath>
        <ns1:r>
          <ns1:rPr>
            <ns1:sty ns1:val="p"/>
          </ns1:rPr>
          <ns1:t>≥</ns1:t>
        </ns1:r>
        <ns1:r>
          <ns1:t>290</ns1:t>
        </ns1:r>
        <ns1:r>
          <ns1:rPr>
            <ns1:sty ns1:val="p"/>
          </ns1:rPr>
          <ns1:t>%</ns1:t>
        </ns1:r>
      </ns1:oMath>
      <w:r>
        <w:t xml:space="preserve">, el análisis pareado del Estudio B tiene</w:t>
      </w:r>
      <w:r>
        <w:t xml:space="preserve"> </w:t>
      </w:r>
      <w:r>
        <w:t xml:space="preserve">cobertura completa, y la única limitación real son los intervalos de confianza</w:t>
      </w:r>
      <w:r>
        <w:t xml:space="preserve"> </w:t>
      </w:r>
      <w:r>
        <w:t xml:space="preserve">de Anchors en los bloques</w:t>
      </w:r>
      <w:r>
        <w:t xml:space="preserve"> </w:t>
      </w:r>
      <w:r>
        <w:rPr>
          <w:rStyle w:val="VerbatimChar"/>
        </w:rPr>
        <w:t xml:space="preserve">logreg</w:t>
      </w:r>
      <w:r>
        <w:t xml:space="preserve"> </w:t>
      </w:r>
      <w:r>
        <w:t xml:space="preserve">y</w:t>
      </w:r>
      <w:r>
        <w:t xml:space="preserve"> </w:t>
      </w:r>
      <w:r>
        <w:rPr>
          <w:rStyle w:val="VerbatimChar"/>
        </w:rPr>
        <w:t xml:space="preserve">mlp</w:t>
      </w:r>
      <w:r>
        <w:t xml:space="preserve">. Esta limitación se registra como</w:t>
      </w:r>
      <w:r>
        <w:t xml:space="preserve"> </w:t>
      </w:r>
      <w:r>
        <w:t xml:space="preserve">caveat explícito en la interpretación de los resultados del Capítulo 4.</w:t>
      </w:r>
    </w:p>
    <w:bookmarkEnd w:id="86"/>
    <w:bookmarkEnd w:id="87"/>
    <w:bookmarkStart w:id="95" w:name="plan-de-inferencia-estadística"/>
    <w:p>
      <w:pPr>
        <w:pStyle w:val="Ttulo2"/>
        <w:spacing w:line="360" w:lineRule="auto"/>
        <w:jc w:val="both"/>
      </w:pPr>
      <w:r>
        <w:t xml:space="preserve">Plan de inferencia estadística</w:t>
      </w:r>
    </w:p>
    <w:bookmarkStart w:id="88" w:name="estudio-a-test-omnibus-de-friedman"/>
    <w:p>
      <w:pPr>
        <w:pStyle w:val="Ttulo3"/>
        <w:spacing w:line="360" w:lineRule="auto"/>
        <w:jc w:val="both"/>
      </w:pPr>
      <w:r>
        <w:t xml:space="preserve">Estudio A: test omnibus de Friedman</w:t>
      </w:r>
    </w:p>
    <w:p>
      <w:pPr>
        <w:pStyle w:val="FirstParagraph"/>
        <w:spacing w:line="360" w:lineRule="auto"/>
        <w:jc w:val="both"/>
      </w:pPr>
      <w:r>
        <w:t xml:space="preserve">Para contrastar H1 y H2, se aplica el test de Friedman</w:t>
      </w:r>
      <w:r>
        <w:t xml:space="preserve"> </w:t>
      </w:r>
      <w:r>
        <w:t xml:space="preserve">(Friedman 1937)</w:t>
      </w:r>
      <w:r>
        <w:t xml:space="preserve"> </w:t>
      </w:r>
      <w:r>
        <w:t xml:space="preserve">sobre los</w:t>
      </w:r>
      <w:r>
        <w:t xml:space="preserve"> </w:t>
      </w:r>
      <ns1:oMath>
        <ns1:r>
          <ns1:t>B</ns1:t>
        </ns1:r>
        <ns1:r>
          <ns1:rPr>
            <ns1:sty ns1:val="p"/>
          </ns1:rPr>
          <ns1:t>=</ns1:t>
        </ns1:r>
        <ns1:r>
          <ns1:t>15</ns1:t>
        </ns1:r>
      </ns1:oMath>
      <w:r>
        <w:t xml:space="preserve"> </w:t>
      </w:r>
      <w:r>
        <w:t xml:space="preserve">bloques completos con</w:t>
      </w:r>
      <w:r>
        <w:t xml:space="preserve"> </w:t>
      </w:r>
      <ns1:oMath>
        <ns1:r>
          <ns1:t>k</ns1:t>
        </ns1:r>
        <ns1:r>
          <ns1:rPr>
            <ns1:sty ns1:val="p"/>
          </ns1:rPr>
          <ns1:t>=</ns1:t>
        </ns1:r>
        <ns1:r>
          <ns1:t>4</ns1:t>
        </ns1:r>
      </ns1:oMath>
      <w:r>
        <w:t xml:space="preserve"> </w:t>
      </w:r>
      <w:r>
        <w:t xml:space="preserve">tratamientos. El estadístico</w:t>
      </w:r>
      <w:r>
        <w:t xml:space="preserve"> </w:t>
      </w:r>
      <w:r>
        <w:t xml:space="preserve">se calcula sobre los rangos</w:t>
      </w:r>
      <w:r>
        <w:t xml:space="preserve"> </w:t>
      </w:r>
      <ns1:oMath>
        <ns1:sSub>
          <ns1:e>
            <ns1:r>
              <ns1:t>r</ns1:t>
            </ns1:r>
          </ns1:e>
          <ns1:sub>
            <ns1:r>
              <ns1:t>b</ns1:t>
            </ns1:r>
            <ns1:r>
              <ns1:t>j</ns1:t>
            </ns1:r>
          </ns1:sub>
        </ns1:sSub>
      </ns1:oMath>
      <w:r>
        <w:t xml:space="preserve"> </w:t>
      </w:r>
      <w:r>
        <w:t xml:space="preserve">de cada tratamiento</w:t>
      </w:r>
      <w:r>
        <w:t xml:space="preserve"> </w:t>
      </w:r>
      <ns1:oMath>
        <ns1:r>
          <ns1:t>j</ns1:t>
        </ns1:r>
      </ns1:oMath>
      <w:r>
        <w:t xml:space="preserve"> </w:t>
      </w:r>
      <w:r>
        <w:t xml:space="preserve">dentro de</w:t>
      </w:r>
      <w:r>
        <w:t xml:space="preserve"> </w:t>
      </w:r>
      <w:r>
        <w:t xml:space="preserve">cada bloque</w:t>
      </w:r>
      <w:r>
        <w:t xml:space="preserve"> </w:t>
      </w:r>
      <ns1:oMath>
        <ns1:r>
          <ns1:t>b</ns1:t>
        </ns1:r>
      </ns1:oMath>
      <w:r>
        <w:t xml:space="preserve">:</w:t>
      </w:r>
    </w:p>
    <w:p>
      <w:pPr>
        <w:pStyle w:val="Textoindependiente"/>
        <w:spacing w:line="360" w:lineRule="auto"/>
        <w:jc w:val="both"/>
      </w:pPr>
      <ns1:oMathPara>
        <ns1:oMathParaPr>
          <ns1:jc ns1:val="center"/>
        </ns1:oMathParaPr>
        <ns1:oMath>
          <ns1:sSubSup>
            <ns1:e>
              <ns1:r>
                <ns1:t>χ</ns1:t>
              </ns1:r>
            </ns1:e>
            <ns1:sub>
              <ns1:r>
                <ns1:t>F</ns1:t>
              </ns1:r>
            </ns1:sub>
            <ns1:sup>
              <ns1:r>
                <ns1:t>2</ns1:t>
              </ns1:r>
            </ns1:sup>
          </ns1:sSubSup>
          <ns1:r>
            <ns1:rPr>
              <ns1:sty ns1:val="p"/>
            </ns1:rPr>
            <ns1:t>=</ns1:t>
          </ns1:r>
          <ns1:f>
            <ns1:fPr>
              <ns1:type ns1:val="bar"/>
            </ns1:fPr>
            <ns1:num>
              <ns1:r>
                <ns1:t>12</ns1:t>
              </ns1:r>
              <ns1:r>
                <ns1:t>B</ns1:t>
              </ns1:r>
            </ns1:num>
            <ns1:den>
              <ns1:r>
                <ns1:t>k</ns1:t>
              </ns1:r>
              <ns1:r>
                <ns1:rPr>
                  <ns1:sty ns1:val="p"/>
                </ns1:rPr>
                <ns1:t>(</ns1:t>
              </ns1:r>
              <ns1:r>
                <ns1:t>k</ns1:t>
              </ns1:r>
              <ns1:r>
                <ns1:rPr>
                  <ns1:sty ns1:val="p"/>
                </ns1:rPr>
                <ns1:t>+</ns1:t>
              </ns1:r>
              <ns1:r>
                <ns1:t>1</ns1:t>
              </ns1:r>
              <ns1:r>
                <ns1:rPr>
                  <ns1:sty ns1:val="p"/>
                </ns1:rPr>
                <ns1:t>)</ns1:t>
              </ns1:r>
            </ns1:den>
          </ns1:f>
          <ns1:nary>
            <ns1:naryPr>
              <ns1:chr ns1:val="∑"/>
              <ns1:limLoc ns1:val="undOvr"/>
              <ns1:subHide ns1:val="off"/>
              <ns1:supHide ns1:val="off"/>
            </ns1:naryPr>
            <ns1:sub>
              <ns1:r>
                <ns1:t>j</ns1:t>
              </ns1:r>
              <ns1:r>
                <ns1:rPr>
                  <ns1:sty ns1:val="p"/>
                </ns1:rPr>
                <ns1:t>=</ns1:t>
              </ns1:r>
              <ns1:r>
                <ns1:t>1</ns1:t>
              </ns1:r>
            </ns1:sub>
            <ns1:sup>
              <ns1:r>
                <ns1:t>k</ns1:t>
              </ns1:r>
            </ns1:sup>
            <ns1:e>
              <ns1:sSup>
                <ns1:e>
                  <ns1:d>
                    <ns1:dPr>
                      <ns1:begChr ns1:val="("/>
                      <ns1:sepChr ns1:val=""/>
                      <ns1:endChr ns1:val=")"/>
                      <ns1:grow/>
                    </ns1:dPr>
                    <ns1:e>
                      <ns1:sSub>
                        <ns1:e>
                          <ns1:acc>
                            <ns1:accPr>
                              <ns1:chr ns1:val="‾"/>
                            </ns1:accPr>
                            <ns1:e>
                              <ns1:r>
                                <ns1:t>r</ns1:t>
                              </ns1:r>
                            </ns1:e>
                          </ns1:acc>
                        </ns1:e>
                        <ns1:sub>
                          <ns1:r>
                            <ns1:t>j</ns1:t>
                          </ns1:r>
                        </ns1:sub>
                      </ns1:sSub>
                      <ns1:r>
                        <ns1:rPr>
                          <ns1:sty ns1:val="p"/>
                        </ns1:rPr>
                        <ns1:t>−</ns1:t>
                      </ns1:r>
                      <ns1:f>
                        <ns1:fPr>
                          <ns1:type ns1:val="bar"/>
                        </ns1:fPr>
                        <ns1:num>
                          <ns1:r>
                            <ns1:t>k</ns1:t>
                          </ns1:r>
                          <ns1:r>
                            <ns1:rPr>
                              <ns1:sty ns1:val="p"/>
                            </ns1:rPr>
                            <ns1:t>+</ns1:t>
                          </ns1:r>
                          <ns1:r>
                            <ns1:t>1</ns1:t>
                          </ns1:r>
                        </ns1:num>
                        <ns1:den>
                          <ns1:r>
                            <ns1:t>2</ns1:t>
                          </ns1:r>
                        </ns1:den>
                      </ns1:f>
                    </ns1:e>
                  </ns1:d>
                </ns1:e>
                <ns1:sup>
                  <ns1:r>
                    <ns1:t>2</ns1:t>
                  </ns1:r>
                </ns1:sup>
              </ns1:sSup>
            </ns1:e>
          </ns1:nary>
        </ns1:oMath>
      </ns1:oMathPara>
    </w:p>
    <w:p>
      <w:pPr>
        <w:pStyle w:val="FirstParagraph"/>
        <w:spacing w:line="360" w:lineRule="auto"/>
        <w:jc w:val="both"/>
      </w:pPr>
      <w:r>
        <w:t xml:space="preserve">donde</w:t>
      </w:r>
      <w:r>
        <w:t xml:space="preserve"> </w:t>
      </w:r>
      <ns1:oMath>
        <ns1:sSub>
          <ns1:e>
            <ns1:acc>
              <ns1:accPr>
                <ns1:chr ns1:val="‾"/>
              </ns1:accPr>
              <ns1:e>
                <ns1:r>
                  <ns1:t>r</ns1:t>
                </ns1:r>
              </ns1:e>
            </ns1:acc>
          </ns1:e>
          <ns1:sub>
            <ns1:r>
              <ns1:t>j</ns1:t>
            </ns1:r>
          </ns1:sub>
        </ns1:sSub>
        <ns1:r>
          <ns1:rPr>
            <ns1:sty ns1:val="p"/>
          </ns1:rPr>
          <ns1:t>=</ns1:t>
        </ns1:r>
        <ns1:f>
          <ns1:fPr>
            <ns1:type ns1:val="bar"/>
          </ns1:fPr>
          <ns1:num>
            <ns1:r>
              <ns1:t>1</ns1:t>
            </ns1:r>
          </ns1:num>
          <ns1:den>
            <ns1:r>
              <ns1:t>B</ns1:t>
            </ns1:r>
          </ns1:den>
        </ns1:f>
        <ns1:nary>
          <ns1:naryPr>
            <ns1:chr ns1:val="∑"/>
            <ns1:limLoc ns1:val="undOvr"/>
            <ns1:subHide ns1:val="off"/>
            <ns1:supHide ns1:val="off"/>
          </ns1:naryPr>
          <ns1:sub>
            <ns1:r>
              <ns1:t>b</ns1:t>
            </ns1:r>
            <ns1:r>
              <ns1:rPr>
                <ns1:sty ns1:val="p"/>
              </ns1:rPr>
              <ns1:t>=</ns1:t>
            </ns1:r>
            <ns1:r>
              <ns1:t>1</ns1:t>
            </ns1:r>
          </ns1:sub>
          <ns1:sup>
            <ns1:r>
              <ns1:t>B</ns1:t>
            </ns1:r>
          </ns1:sup>
          <ns1:e>
            <ns1:sSub>
              <ns1:e>
                <ns1:r>
                  <ns1:t>r</ns1:t>
                </ns1:r>
              </ns1:e>
              <ns1:sub>
                <ns1:r>
                  <ns1:t>b</ns1:t>
                </ns1:r>
                <ns1:r>
                  <ns1:t>j</ns1:t>
                </ns1:r>
              </ns1:sub>
            </ns1:sSub>
          </ns1:e>
        </ns1:nary>
      </ns1:oMath>
      <w:r>
        <w:t xml:space="preserve">. Bajo</w:t>
      </w:r>
      <w:r>
        <w:t xml:space="preserve"> </w:t>
      </w:r>
      <ns1:oMath>
        <ns1:sSub>
          <ns1:e>
            <ns1:r>
              <ns1:t>H</ns1:t>
            </ns1:r>
          </ns1:e>
          <ns1:sub>
            <ns1:r>
              <ns1:t>0</ns1:t>
            </ns1:r>
          </ns1:sub>
        </ns1:sSub>
      </ns1:oMath>
      <w:r>
        <w:t xml:space="preserve">,</w:t>
      </w:r>
      <w:r>
        <w:t xml:space="preserve"> </w:t>
      </w:r>
      <ns1:oMath>
        <ns1:sSubSup>
          <ns1:e>
            <ns1:r>
              <ns1:t>χ</ns1:t>
            </ns1:r>
          </ns1:e>
          <ns1:sub>
            <ns1:r>
              <ns1:t>F</ns1:t>
            </ns1:r>
          </ns1:sub>
          <ns1:sup>
            <ns1:r>
              <ns1:t>2</ns1:t>
            </ns1:r>
          </ns1:sup>
        </ns1:sSubSup>
        <ns1:r>
          <ns1:rPr>
            <ns1:sty ns1:val="p"/>
          </ns1:rPr>
          <ns1:t>∼</ns1:t>
        </ns1:r>
        <ns1:sSubSup>
          <ns1:e>
            <ns1:r>
              <ns1:t>χ</ns1:t>
            </ns1:r>
          </ns1:e>
          <ns1:sub>
            <ns1:r>
              <ns1:t>k</ns1:t>
            </ns1:r>
            <ns1:r>
              <ns1:rPr>
                <ns1:sty ns1:val="p"/>
              </ns1:rPr>
              <ns1:t>−</ns1:t>
            </ns1:r>
            <ns1:r>
              <ns1:t>1</ns1:t>
            </ns1:r>
          </ns1:sub>
          <ns1:sup>
            <ns1:r>
              <ns1:t>2</ns1:t>
            </ns1:r>
          </ns1:sup>
        </ns1:sSubSup>
      </ns1:oMath>
      <w:r>
        <w:t xml:space="preserve"> </w:t>
      </w:r>
      <w:r>
        <w:t xml:space="preserve">asintóticamente para</w:t>
      </w:r>
      <w:r>
        <w:t xml:space="preserve"> </w:t>
      </w:r>
      <ns1:oMath>
        <ns1:r>
          <ns1:t>B</ns1:t>
        </ns1:r>
        <ns1:r>
          <ns1:rPr>
            <ns1:sty ns1:val="p"/>
          </ns1:rPr>
          <ns1:t>≥</ns1:t>
        </ns1:r>
        <ns1:r>
          <ns1:t>10</ns1:t>
        </ns1:r>
      </ns1:oMath>
      <w:r>
        <w:t xml:space="preserve"> </w:t>
      </w:r>
      <w:r>
        <w:t xml:space="preserve">(Demšar 2006)</w:t>
      </w:r>
      <w:r>
        <w:t xml:space="preserve">. El tamaño del efecto se reporta mediante la</w:t>
      </w:r>
      <w:r>
        <w:t xml:space="preserve"> </w:t>
      </w:r>
      <ns1:oMath>
        <ns1:r>
          <ns1:t>W</ns1:t>
        </ns1:r>
      </ns1:oMath>
      <w:r>
        <w:t xml:space="preserve"> </w:t>
      </w:r>
      <w:r>
        <w:t xml:space="preserve">de Kendall:</w:t>
      </w:r>
    </w:p>
    <w:p>
      <w:pPr>
        <w:pStyle w:val="Textoindependiente"/>
        <w:spacing w:line="360" w:lineRule="auto"/>
        <w:jc w:val="both"/>
      </w:pPr>
      <ns1:oMathPara>
        <ns1:oMathParaPr>
          <ns1:jc ns1:val="center"/>
        </ns1:oMathParaPr>
        <ns1:oMath>
          <ns1:r>
            <ns1:t>W</ns1:t>
          </ns1:r>
          <ns1:r>
            <ns1:rPr>
              <ns1:sty ns1:val="p"/>
            </ns1:rPr>
            <ns1:t>=</ns1:t>
          </ns1:r>
          <ns1:f>
            <ns1:fPr>
              <ns1:type ns1:val="bar"/>
            </ns1:fPr>
            <ns1:num>
              <ns1:sSubSup>
                <ns1:e>
                  <ns1:r>
                    <ns1:t>χ</ns1:t>
                  </ns1:r>
                </ns1:e>
                <ns1:sub>
                  <ns1:r>
                    <ns1:t>F</ns1:t>
                  </ns1:r>
                </ns1:sub>
                <ns1:sup>
                  <ns1:r>
                    <ns1:t>2</ns1:t>
                  </ns1:r>
                </ns1:sup>
              </ns1:sSubSup>
            </ns1:num>
            <ns1:den>
              <ns1:r>
                <ns1:t>B</ns1:t>
              </ns1:r>
              <ns1:r>
                <ns1:rPr>
                  <ns1:sty ns1:val="p"/>
                </ns1:rPr>
                <ns1:t>(</ns1:t>
              </ns1:r>
              <ns1:r>
                <ns1:t>k</ns1:t>
              </ns1:r>
              <ns1:r>
                <ns1:rPr>
                  <ns1:sty ns1:val="p"/>
                </ns1:rPr>
                <ns1:t>−</ns1:t>
              </ns1:r>
              <ns1:r>
                <ns1:t>1</ns1:t>
              </ns1:r>
              <ns1:r>
                <ns1:rPr>
                  <ns1:sty ns1:val="p"/>
                </ns1:rPr>
                <ns1:t>)</ns1:t>
              </ns1:r>
            </ns1:den>
          </ns1:f>
        </ns1:oMath>
      </ns1:oMathPara>
    </w:p>
    <w:p>
      <w:pPr>
        <w:pStyle w:val="FirstParagraph"/>
        <w:spacing w:line="360" w:lineRule="auto"/>
        <w:jc w:val="both"/>
      </w:pPr>
      <w:r>
        <w:t xml:space="preserve">donde</w:t>
      </w:r>
      <w:r>
        <w:t xml:space="preserve"> </w:t>
      </w:r>
      <ns1:oMath>
        <ns1:r>
          <ns1:t>W</ns1:t>
        </ns1:r>
        <ns1:r>
          <ns1:rPr>
            <ns1:sty ns1:val="p"/>
          </ns1:rPr>
          <ns1:t>=</ns1:t>
        </ns1:r>
        <ns1:r>
          <ns1:t>1</ns1:t>
        </ns1:r>
      </ns1:oMath>
      <w:r>
        <w:t xml:space="preserve"> </w:t>
      </w:r>
      <w:r>
        <w:t xml:space="preserve">indica concordancia perfecta entre bloques.</w:t>
      </w:r>
    </w:p>
    <w:bookmarkEnd w:id="88"/>
    <w:bookmarkStart w:id="89" w:name="localización-post-hoc-nemenyi"/>
    <w:p>
      <w:pPr>
        <w:pStyle w:val="Ttulo3"/>
        <w:spacing w:line="360" w:lineRule="auto"/>
        <w:jc w:val="both"/>
      </w:pPr>
      <w:r>
        <w:t xml:space="preserve">Localización post-hoc: Nemenyi</w:t>
      </w:r>
    </w:p>
    <w:p>
      <w:pPr>
        <w:pStyle w:val="FirstParagraph"/>
        <w:spacing w:line="360" w:lineRule="auto"/>
        <w:jc w:val="both"/>
      </w:pPr>
      <w:r>
        <w:t xml:space="preserve">Cuando Friedman rechaza</w:t>
      </w:r>
      <w:r>
        <w:t xml:space="preserve"> </w:t>
      </w:r>
      <ns1:oMath>
        <ns1:sSub>
          <ns1:e>
            <ns1:r>
              <ns1:t>H</ns1:t>
            </ns1:r>
          </ns1:e>
          <ns1:sub>
            <ns1:r>
              <ns1:t>0</ns1:t>
            </ns1:r>
          </ns1:sub>
        </ns1:sSub>
      </ns1:oMath>
      <w:r>
        <w:t xml:space="preserve">, se aplica la prueba post-hoc de Nemenyi</w:t>
      </w:r>
      <w:r>
        <w:t xml:space="preserve"> </w:t>
      </w:r>
      <w:r>
        <w:t xml:space="preserve">(Nemenyi 1963)</w:t>
      </w:r>
      <w:r>
        <w:t xml:space="preserve">. La diferencia crítica al nivel</w:t>
      </w:r>
      <w:r>
        <w:t xml:space="preserve"> </w:t>
      </w:r>
      <ns1:oMath>
        <ns1:r>
          <ns1:t>α</ns1:t>
        </ns1:r>
        <ns1:r>
          <ns1:rPr>
            <ns1:sty ns1:val="p"/>
          </ns1:rPr>
          <ns1:t>=</ns1:t>
        </ns1:r>
        <ns1:r>
          <ns1:t>0.05</ns1:t>
        </ns1:r>
      </ns1:oMath>
      <w:r>
        <w:t xml:space="preserve"> </w:t>
      </w:r>
      <w:r>
        <w:t xml:space="preserve">con</w:t>
      </w:r>
      <w:r>
        <w:t xml:space="preserve"> </w:t>
      </w:r>
      <ns1:oMath>
        <ns1:r>
          <ns1:t>k</ns1:t>
        </ns1:r>
        <ns1:r>
          <ns1:rPr>
            <ns1:sty ns1:val="p"/>
          </ns1:rPr>
          <ns1:t>=</ns1:t>
        </ns1:r>
        <ns1:r>
          <ns1:t>4</ns1:t>
        </ns1:r>
      </ns1:oMath>
      <w:r>
        <w:t xml:space="preserve"> </w:t>
      </w:r>
      <w:r>
        <w:t xml:space="preserve">y</w:t>
      </w:r>
      <w:r>
        <w:t xml:space="preserve"> </w:t>
      </w:r>
      <ns1:oMath>
        <ns1:r>
          <ns1:t>B</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rPr>
              <ns1:nor/>
              <ns1:sty ns1:val="p"/>
            </ns1:rPr>
            <ns1:t>CD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B</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1.211</ns1:t>
          </ns1:r>
          <ns1:r>
            <ns1:rPr>
              <ns1:nor/>
              <ns1:sty ns1:val="p"/>
            </ns1:rPr>
            <ns1:t> rangos</ns1:t>
          </ns1:r>
        </ns1:oMath>
      </ns1:oMathPara>
    </w:p>
    <w:p>
      <w:pPr>
        <w:pStyle w:val="FirstParagraph"/>
        <w:spacing w:line="360" w:lineRule="auto"/>
        <w:jc w:val="both"/>
      </w:pPr>
      <w:r>
        <w:t xml:space="preserve">Dos métodos se consideran significativamente distintos si</w:t>
      </w:r>
      <w:r>
        <w:t xml:space="preserve"> </w:t>
      </w:r>
      <ns1:oMath>
        <ns1:r>
          <ns1:rPr>
            <ns1:sty ns1:val="p"/>
          </ns1:rPr>
          <ns1:t>|</ns1:t>
        </ns1:r>
        <ns1:sSub>
          <ns1:e>
            <ns1:acc>
              <ns1:accPr>
                <ns1:chr ns1:val="‾"/>
              </ns1:accPr>
              <ns1:e>
                <ns1:r>
                  <ns1:t>r</ns1:t>
                </ns1:r>
              </ns1:e>
            </ns1:acc>
          </ns1:e>
          <ns1:sub>
            <ns1:r>
              <ns1:t>i</ns1:t>
            </ns1:r>
          </ns1:sub>
        </ns1:sSub>
        <ns1:r>
          <ns1:rPr>
            <ns1:sty ns1:val="p"/>
          </ns1:rPr>
          <ns1:t>−</ns1:t>
        </ns1:r>
        <ns1:sSub>
          <ns1:e>
            <ns1:acc>
              <ns1:accPr>
                <ns1:chr ns1:val="‾"/>
              </ns1:accPr>
              <ns1:e>
                <ns1:r>
                  <ns1:t>r</ns1:t>
                </ns1:r>
              </ns1:e>
            </ns1:acc>
          </ns1:e>
          <ns1:sub>
            <ns1:r>
              <ns1:t>j</ns1:t>
            </ns1:r>
          </ns1:sub>
        </ns1:sSub>
        <ns1:r>
          <ns1:rPr>
            <ns1:sty ns1:val="p"/>
          </ns1:rPr>
          <ns1:t>|</ns1:t>
        </ns1:r>
        <ns1:r>
          <ns1:rPr>
            <ns1:sty ns1:val="p"/>
          </ns1:rPr>
          <ns1:t>&gt;</ns1:t>
        </ns1:r>
        <ns1:r>
          <ns1:rPr>
            <ns1:nor/>
            <ns1:sty ns1:val="p"/>
          </ns1:rPr>
          <ns1:t>CD</ns1:t>
        </ns1:r>
      </ns1:oMath>
      <w:r>
        <w:t xml:space="preserve">.</w:t>
      </w:r>
    </w:p>
    <w:bookmarkEnd w:id="89"/>
    <w:bookmarkStart w:id="90" w:name="X82a710d830240cc18776e0ef609d9e71b3f53e7"/>
    <w:p>
      <w:pPr>
        <w:pStyle w:val="Ttulo3"/>
        <w:spacing w:line="360" w:lineRule="auto"/>
        <w:jc w:val="both"/>
      </w:pPr>
      <w:r>
        <w:t xml:space="preserve">Wilcoxon pareado: conjuntos de 45 y 75 celdas</w:t>
      </w:r>
    </w:p>
    <w:p>
      <w:pPr>
        <w:pStyle w:val="FirstParagraph"/>
        <w:spacing w:line="360" w:lineRule="auto"/>
        <w:jc w:val="both"/>
      </w:pPr>
      <w:r>
        <w:t xml:space="preserve">Para contrastar H3 se aplica el test de Wilcoxon con rangos con signo</w:t>
      </w:r>
      <w:r>
        <w:t xml:space="preserve"> </w:t>
      </w:r>
      <w:r>
        <w:t xml:space="preserve">bilateral</w:t>
      </w:r>
      <w:r>
        <w:t xml:space="preserve"> </w:t>
      </w:r>
      <w:r>
        <w:t xml:space="preserve">(Wilcoxon 1945)</w:t>
      </w:r>
      <w:r>
        <w:t xml:space="preserve"> </w:t>
      </w:r>
      <w:r>
        <w:t xml:space="preserve">sobre diferencias pareadas</w:t>
      </w:r>
      <w:r>
        <w:t xml:space="preserve"> </w:t>
      </w:r>
      <ns1:oMath>
        <ns1:sSub>
          <ns1:e>
            <ns1:r>
              <ns1:t>d</ns1:t>
            </ns1:r>
          </ns1:e>
          <ns1:sub>
            <ns1:r>
              <ns1:t>i</ns1:t>
            </ns1:r>
          </ns1:sub>
        </ns1:sSub>
        <ns1:r>
          <ns1:rPr>
            <ns1:sty ns1:val="p"/>
          </ns1:rPr>
          <ns1:t>=</ns1:t>
        </ns1:r>
        <ns1:sSub>
          <ns1:e>
            <ns1:r>
              <ns1:t>y</ns1:t>
            </ns1:r>
          </ns1:e>
          <ns1:sub>
            <ns1:r>
              <ns1:rPr>
                <ns1:nor/>
                <ns1:sty ns1:val="p"/>
              </ns1:rPr>
              <ns1:t>SHAP</ns1:t>
            </ns1:r>
            <ns1:r>
              <ns1:rPr>
                <ns1:sty ns1:val="p"/>
              </ns1:rPr>
              <ns1:t>,</ns1:t>
            </ns1:r>
            <ns1:r>
              <ns1:t>i</ns1:t>
            </ns1:r>
          </ns1:sub>
        </ns1:sSub>
        <ns1:r>
          <ns1:rPr>
            <ns1:sty ns1:val="p"/>
          </ns1:rPr>
          <ns1:t>−</ns1:t>
        </ns1:r>
        <ns1:sSub>
          <ns1:e>
            <ns1:r>
              <ns1:t>y</ns1:t>
            </ns1:r>
          </ns1:e>
          <ns1:sub>
            <ns1:r>
              <ns1:rPr>
                <ns1:nor/>
                <ns1:sty ns1:val="p"/>
              </ns1:rPr>
              <ns1:t>LIME</ns1:t>
            </ns1:r>
            <ns1:r>
              <ns1:rPr>
                <ns1:sty ns1:val="p"/>
              </ns1:rPr>
              <ns1:t>,</ns1:t>
            </ns1:r>
            <ns1:r>
              <ns1:t>i</ns1:t>
            </ns1:r>
          </ns1:sub>
        </ns1:sSub>
      </ns1:oMath>
      <w:r>
        <w:t xml:space="preserve"> </w:t>
      </w:r>
      <w:r>
        <w:t xml:space="preserve">en dos conjuntos:</w:t>
      </w:r>
    </w:p>
    <w:p>
      <w:pPr>
        <w:pStyle w:val="Compact"/>
        <w:numPr>
          <w:ilvl w:val="0"/>
          <w:numId w:val="1009"/>
        </w:numPr>
        <w:spacing w:line="360" w:lineRule="auto"/>
        <w:jc w:val="both"/>
      </w:pPr>
      <w:r>
        <w:rPr>
          <w:b/>
          <w:bCs/>
        </w:rPr>
        <w:t xml:space="preserve">Wilcoxon-45</w:t>
      </w:r>
      <w:r>
        <w:t xml:space="preserve">: 45 celdas con</w:t>
      </w:r>
      <w:r>
        <w:t xml:space="preserve"> </w:t>
      </w:r>
      <ns1:oMath>
        <ns1:r>
          <ns1:t>g</ns1:t>
        </ns1:r>
        <ns1:r>
          <ns1:rPr>
            <ns1:sty ns1:val="p"/>
          </ns1:rPr>
          <ns1:t>∈</ns1:t>
        </ns1:r>
        <ns1:r>
          <ns1:rPr>
            <ns1:sty ns1:val="p"/>
          </ns1:rPr>
          <ns1:t>{</ns1:t>
        </ns1:r>
      </ns1:oMath>
      <w:r>
        <w:t xml:space="preserve">logreg, rf, xgb</w:t>
      </w:r>
      <ns1:oMath>
        <ns1:r>
          <ns1:rPr>
            <ns1:sty ns1:val="p"/>
          </ns1:rPr>
          <ns1:t>}</ns1:t>
        </ns1:r>
      </ns1:oMath>
      <w:r>
        <w:t xml:space="preserve"> </w:t>
      </w:r>
      <w:r>
        <w:t xml:space="preserve">(conjunto</w:t>
      </w:r>
      <w:r>
        <w:t xml:space="preserve"> </w:t>
      </w:r>
      <w:r>
        <w:t xml:space="preserve">primario con TreeSHAP exacto).</w:t>
      </w:r>
    </w:p>
    <w:p>
      <w:pPr>
        <w:pStyle w:val="Compact"/>
        <w:numPr>
          <w:ilvl w:val="0"/>
          <w:numId w:val="1009"/>
        </w:numPr>
        <w:spacing w:line="360" w:lineRule="auto"/>
        <w:jc w:val="both"/>
      </w:pPr>
      <w:r>
        <w:rPr>
          <w:b/>
          <w:bCs/>
        </w:rPr>
        <w:t xml:space="preserve">Wilcoxon-75</w:t>
      </w:r>
      <w:r>
        <w:t xml:space="preserve">: 75 celdas completas (análisis de sensibilidad que incluye</w:t>
      </w:r>
      <w:r>
        <w:t xml:space="preserve"> </w:t>
      </w:r>
      <w:r>
        <w:t xml:space="preserve">SVM y MLP con KernelSHAP).</w:t>
      </w:r>
    </w:p>
    <w:p>
      <w:pPr>
        <w:pStyle w:val="FirstParagraph"/>
        <w:spacing w:line="360" w:lineRule="auto"/>
        <w:jc w:val="both"/>
      </w:pPr>
      <w:r>
        <w:t xml:space="preserve">El tamaño del efecto se reporta como</w:t>
      </w:r>
      <w:r>
        <w:t xml:space="preserve"> </w:t>
      </w:r>
      <ns1:oMath>
        <ns1:sSub>
          <ns1:e>
            <ns1:r>
              <ns1:t>d</ns1:t>
            </ns1:r>
          </ns1:e>
          <ns1:sub>
            <ns1:r>
              <ns1:t>z</ns1:t>
            </ns1:r>
          </ns1:sub>
        </ns1:sSub>
      </ns1:oMath>
      <w:r>
        <w:t xml:space="preserve"> </w:t>
      </w:r>
      <w:r>
        <w:t xml:space="preserve">de Cohen</w:t>
      </w:r>
      <w:r>
        <w:t xml:space="preserve"> </w:t>
      </w:r>
      <w:r>
        <w:t xml:space="preserve">(Lakens 2013)</w:t>
      </w:r>
      <w:r>
        <w:t xml:space="preserve">:</w:t>
      </w:r>
    </w:p>
    <w:p>
      <w:pPr>
        <w:pStyle w:val="Textoindependiente"/>
        <w:spacing w:line="360" w:lineRule="auto"/>
        <w:jc w:val="both"/>
      </w:pPr>
      <ns1:oMathPara>
        <ns1:oMathParaPr>
          <ns1:jc ns1:val="center"/>
        </ns1:oMathParaPr>
        <ns1:oMath>
          <ns1:sSub>
            <ns1:e>
              <ns1:r>
                <ns1:t>d</ns1:t>
              </ns1:r>
            </ns1:e>
            <ns1:sub>
              <ns1:r>
                <ns1:t>z</ns1:t>
              </ns1:r>
            </ns1:sub>
          </ns1:sSub>
          <ns1:r>
            <ns1:rPr>
              <ns1:sty ns1:val="p"/>
            </ns1:rPr>
            <ns1:t>=</ns1:t>
          </ns1:r>
          <ns1:f>
            <ns1:fPr>
              <ns1:type ns1:val="bar"/>
            </ns1:fPr>
            <ns1:num>
              <ns1:acc>
                <ns1:accPr>
                  <ns1:chr ns1:val="‾"/>
                </ns1:accPr>
                <ns1:e>
                  <ns1:r>
                    <ns1:t>d</ns1:t>
                  </ns1:r>
                </ns1:e>
              </ns1:acc>
            </ns1:num>
            <ns1:den>
              <ns1:sSub>
                <ns1:e>
                  <ns1:r>
                    <ns1:t>s</ns1:t>
                  </ns1:r>
                </ns1:e>
                <ns1:sub>
                  <ns1:r>
                    <ns1:t>d</ns1:t>
                  </ns1:r>
                </ns1:sub>
              </ns1:sSub>
            </ns1:den>
          </ns1:f>
        </ns1:oMath>
      </ns1:oMathPara>
    </w:p>
    <w:p>
      <w:pPr>
        <w:pStyle w:val="FirstParagraph"/>
        <w:spacing w:line="360" w:lineRule="auto"/>
        <w:jc w:val="both"/>
      </w:pPr>
      <w:r>
        <w:t xml:space="preserve">con interpretación convencional: pequeño (</w:t>
      </w:r>
      <ns1:oMath>
        <ns1:r>
          <ns1:t>0.2</ns1:t>
        </ns1:r>
        <ns1:r>
          <ns1:rPr>
            <ns1:sty ns1:val="p"/>
          </ns1:rPr>
          <ns1:t>≤</ns1:t>
        </ns1:r>
        <ns1:sSub>
          <ns1:e>
            <ns1:r>
              <ns1:t>d</ns1:t>
            </ns1:r>
          </ns1:e>
          <ns1:sub>
            <ns1:r>
              <ns1:t>z</ns1:t>
            </ns1:r>
          </ns1:sub>
        </ns1:sSub>
        <ns1:r>
          <ns1:rPr>
            <ns1:sty ns1:val="p"/>
          </ns1:rPr>
          <ns1:t>&lt;</ns1:t>
        </ns1:r>
        <ns1:r>
          <ns1:t>0.5</ns1:t>
        </ns1:r>
      </ns1:oMath>
      <w:r>
        <w:t xml:space="preserve">), mediano</w:t>
      </w:r>
      <w:r>
        <w:t xml:space="preserve"> </w:t>
      </w:r>
      <w:r>
        <w:t xml:space="preserve">(</w:t>
      </w:r>
      <ns1:oMath>
        <ns1:r>
          <ns1:t>0.5</ns1:t>
        </ns1:r>
        <ns1:r>
          <ns1:rPr>
            <ns1:sty ns1:val="p"/>
          </ns1:rPr>
          <ns1:t>≤</ns1:t>
        </ns1:r>
        <ns1:sSub>
          <ns1:e>
            <ns1:r>
              <ns1:t>d</ns1:t>
            </ns1:r>
          </ns1:e>
          <ns1:sub>
            <ns1:r>
              <ns1:t>z</ns1:t>
            </ns1:r>
          </ns1:sub>
        </ns1:sSub>
        <ns1:r>
          <ns1:rPr>
            <ns1:sty ns1:val="p"/>
          </ns1:rPr>
          <ns1:t>&lt;</ns1:t>
        </ns1:r>
        <ns1:r>
          <ns1:t>0.8</ns1:t>
        </ns1:r>
      </ns1:oMath>
      <w:r>
        <w:t xml:space="preserve">), grande (</w:t>
      </w:r>
      <ns1:oMath>
        <ns1:sSub>
          <ns1:e>
            <ns1:r>
              <ns1:t>d</ns1:t>
            </ns1:r>
          </ns1:e>
          <ns1:sub>
            <ns1:r>
              <ns1:t>z</ns1:t>
            </ns1:r>
          </ns1:sub>
        </ns1:sSub>
        <ns1:r>
          <ns1:rPr>
            <ns1:sty ns1:val="p"/>
          </ns1:rPr>
          <ns1:t>≥</ns1:t>
        </ns1:r>
        <ns1:r>
          <ns1:t>0.8</ns1:t>
        </ns1:r>
      </ns1:oMath>
      <w:r>
        <w:t xml:space="preserve">).</w:t>
      </w:r>
    </w:p>
    <w:bookmarkEnd w:id="90"/>
    <w:bookmarkStart w:id="92" w:name="control-de-multiplicidad"/>
    <w:p>
      <w:pPr>
        <w:pStyle w:val="Ttulo3"/>
        <w:spacing w:line="360" w:lineRule="auto"/>
        <w:jc w:val="both"/>
      </w:pPr>
      <w:r>
        <w:t xml:space="preserve">Control de multiplicidad</w:t>
      </w:r>
    </w:p>
    <w:p>
      <w:pPr>
        <w:pStyle w:val="FirstParagraph"/>
        <w:spacing w:line="360" w:lineRule="auto"/>
        <w:jc w:val="both"/>
      </w:pPr>
      <w:r>
        <w:t xml:space="preserve">Las pruebas se organizan en tres familias inferenciales independientes, con</w:t>
      </w:r>
      <w:r>
        <w:t xml:space="preserve"> </w:t>
      </w:r>
      <w:r>
        <w:t xml:space="preserve">corrección de Holm-Bonferroni dentro de cada familia:</w:t>
      </w:r>
    </w:p>
    <w:tbl>
      <w:tblPr>
        <w:tblStyle w:val="Table"/>
        <w:tblW w:type="pct" w:w="5000"/>
        <w:tblLayout w:type="fixed"/>
        <w:tblLook w:firstRow="0" w:lastRow="0" w:firstColumn="0" w:lastColumn="0" w:noHBand="0" w:noVBand="0" w:val="0000"/>
      </w:tblPr>
      <w:tblGrid>
        <w:gridCol w:w="7920"/>
      </w:tblGrid>
      <w:tr>
        <w:tc>
          <w:tcPr/>
          <w:bookmarkStart w:id="91" w:name="tbl-stat-plan"/>
          <w:p>
            <w:pPr>
              <w:jc w:val="both"/>
              <w:spacing w:line="360" w:lineRule="auto"/>
            </w:pPr>
            <w:pPr>
              <w:jc w:val="left"/>
              <w:spacing w:before="200"/>
              <w:pStyle w:val="ImageCaption"/>
            </w:pPr>
            <w:r>
              <w:t xml:space="preserve">Table 4.6: Familias inferenciales y control de multiplicidad. No se aplica corrección</w:t>
            </w:r>
            <w:r>
              <w:t xml:space="preserve"> </w:t>
            </w:r>
            <w:r>
              <w:t xml:space="preserve">conjunta entre familias; cada familia responde a una pregunta con unidades</w:t>
            </w:r>
            <w:r>
              <w:t xml:space="preserve"> </w:t>
            </w:r>
            <w:r>
              <w:t xml:space="preserve">de análisis distintas</w:t>
            </w:r>
            <w:r>
              <w:t xml:space="preserve"> </w:t>
            </w:r>
            <w:r>
              <w:t xml:space="preserve">(Demšar 2006)</w:t>
            </w:r>
            <w:r>
              <w:t xml:space="preserve">.</w:t>
            </w:r>
          </w:p>
          <w:tbl>
            <w:tblPr>
              <w:tblStyle w:val="Table"/>
              <w:tblW w:type="pct" w:w="5000"/>
              <w:tblLayout w:type="fixed"/>
              <w:tblLook w:firstRow="1" w:lastRow="0" w:firstColumn="0" w:lastColumn="0" w:noHBand="0" w:noVBand="0" w:val="0020"/>
            </w:tblPr>
            <w:tblGrid>
              <w:gridCol w:w="2160"/>
              <w:gridCol w:w="1680"/>
              <w:gridCol w:w="1200"/>
              <w:gridCol w:w="28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Tests</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Corrección</w:t>
                  </w:r>
                </w:p>
              </w:tc>
            </w:tr>
            <w:tr>
              <w:tc>
                <w:tcPr/>
                <w:p>
                  <w:pPr>
                    <w:pStyle w:val="Compact"/>
                    <w:jc w:val="both"/>
                    <w:jc w:val="center"/>
                    <w:spacing w:line="360" w:lineRule="auto"/>
                  </w:pPr>
                  <w:r>
                    <w:t xml:space="preserve">Friedman (Estudio A)</w:t>
                  </w:r>
                </w:p>
              </w:tc>
              <w:tc>
                <w:tcPr/>
                <w:p>
                  <w:pPr>
                    <w:pStyle w:val="Compact"/>
                    <w:jc w:val="both"/>
                    <w:jc w:val="center"/>
                    <w:spacing w:line="360" w:lineRule="auto"/>
                  </w:pPr>
                  <w:r>
                    <w:t xml:space="preserve">5 (uno por métrica)</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Wilcoxon-45 (Estudio A)</w:t>
                  </w:r>
                </w:p>
              </w:tc>
              <w:tc>
                <w:tcPr/>
                <w:p>
                  <w:pPr>
                    <w:pStyle w:val="Compact"/>
                    <w:jc w:val="both"/>
                    <w:jc w:val="center"/>
                    <w:spacing w:line="360" w:lineRule="auto"/>
                  </w:pPr>
                  <w:r>
                    <w:t xml:space="preserve">5</w:t>
                  </w:r>
                </w:p>
              </w:tc>
              <w:tc>
                <w:tcPr/>
                <w:p>
                  <w:pPr>
                    <w:pStyle w:val="Compact"/>
                    <w:jc w:val="both"/>
                    <w:jc w:val="center"/>
                    <w:spacing w:line="360" w:lineRule="auto"/>
                  </w:pPr>
                  <w:r>
                    <w:t xml:space="preserve">45 celdas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Wilcoxon-75 (Estudios A y B)</w:t>
                  </w:r>
                </w:p>
              </w:tc>
              <w:tc>
                <w:tcPr/>
                <w:p>
                  <w:pPr>
                    <w:pStyle w:val="Compact"/>
                    <w:jc w:val="both"/>
                    <w:jc w:val="center"/>
                    <w:spacing w:line="360" w:lineRule="auto"/>
                  </w:pPr>
                  <w:r>
                    <w:t xml:space="preserve">5</w:t>
                  </w:r>
                </w:p>
              </w:tc>
              <w:tc>
                <w:tcPr/>
                <w:p>
                  <w:pPr>
                    <w:pStyle w:val="Compact"/>
                    <w:jc w:val="both"/>
                    <w:jc w:val="center"/>
                    <w:spacing w:line="360" w:lineRule="auto"/>
                  </w:pPr>
                  <w:r>
                    <w:t xml:space="preserve">75 celdas</w:t>
                  </w:r>
                </w:p>
              </w:tc>
              <w:tc>
                <w:tcPr/>
                <w:p>
                  <w:pPr>
                    <w:pStyle w:val="Compact"/>
                    <w:jc w:val="both"/>
                    <w:jc w:val="center"/>
                    <w:spacing w:line="360" w:lineRule="auto"/>
                  </w:pPr>
                  <w:r>
                    <w:t xml:space="preserve">Holm-Bonferroni</w:t>
                  </w:r>
                </w:p>
              </w:tc>
            </w:tr>
          </w:tbl>
          <w:bookmarkEnd w:id="91"/>
          <w:p>
            <w:pPr>
              <w:spacing w:line="360" w:lineRule="auto"/>
              <w:jc w:val="both"/>
            </w:pPr>
          </w:p>
        </w:tc>
      </w:tr>
    </w:tbl>
    <w:bookmarkEnd w:id="92"/>
    <w:bookmarkStart w:id="94" w:name="X8d8a6fe44143f1c1b581a8bcb7389a6bd938df3"/>
    <w:p>
      <w:pPr>
        <w:pStyle w:val="Ttulo3"/>
        <w:spacing w:line="360" w:lineRule="auto"/>
        <w:jc w:val="both"/>
      </w:pPr>
      <w:r>
        <w:t xml:space="preserve">Resumen del plan estadístico por hipótesis</w:t>
      </w:r>
    </w:p>
    <w:tbl>
      <w:tblPr>
        <w:tblStyle w:val="Table"/>
        <w:tblW w:type="pct" w:w="5000"/>
        <w:tblLayout w:type="fixed"/>
        <w:tblLook w:firstRow="0" w:lastRow="0" w:firstColumn="0" w:lastColumn="0" w:noHBand="0" w:noVBand="0" w:val="0000"/>
      </w:tblPr>
      <w:tblGrid>
        <w:gridCol w:w="7920"/>
      </w:tblGrid>
      <w:tr>
        <w:tc>
          <w:tcPr/>
          <w:bookmarkStart w:id="93" w:name="tbl-hypo-plan"/>
          <w:p>
            <w:pPr>
              <w:jc w:val="both"/>
              <w:spacing w:line="360" w:lineRule="auto"/>
            </w:pPr>
            <w:pPr>
              <w:jc w:val="left"/>
              <w:spacing w:before="200"/>
              <w:pStyle w:val="ImageCaption"/>
            </w:pPr>
            <w:r>
              <w:t xml:space="preserve">Table 4.7: Plan de decisiones estadísticas por hipótesis.</w:t>
            </w:r>
          </w:p>
          <w:tbl>
            <w:tblPr>
              <w:tblStyle w:val="Table"/>
              <w:tblW w:type="pct" w:w="5000"/>
              <w:tblLayout w:type="fixed"/>
              <w:tblLook w:firstRow="1" w:lastRow="0" w:firstColumn="0" w:lastColumn="0" w:noHBand="0" w:noVBand="0" w:val="0020"/>
            </w:tblPr>
            <w:tblGrid>
              <w:gridCol w:w="2904"/>
              <w:gridCol w:w="1584"/>
              <w:gridCol w:w="1320"/>
              <w:gridCol w:w="2112"/>
            </w:tblGrid>
            <w:tr>
              <w:trPr>
                <w:tblHeader w:val="on"/>
              </w:trPr>
              <w:tc>
                <w:tcPr/>
                <w:p>
                  <w:pPr>
                    <w:pStyle w:val="Compact"/>
                    <w:jc w:val="both"/>
                    <w:jc w:val="center"/>
                    <w:spacing w:line="360" w:lineRule="auto"/>
                  </w:pPr>
                  <w:r>
                    <w:t xml:space="preserve">Hipótesis</w:t>
                  </w:r>
                </w:p>
              </w:tc>
              <w:tc>
                <w:tcPr/>
                <w:p>
                  <w:pPr>
                    <w:pStyle w:val="Compact"/>
                    <w:jc w:val="both"/>
                    <w:jc w:val="center"/>
                    <w:spacing w:line="360" w:lineRule="auto"/>
                  </w:pPr>
                  <w:r>
                    <w:t xml:space="preserve">Test</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Diseño</w:t>
                  </w:r>
                </w:p>
              </w:tc>
            </w:tr>
            <w:tr>
              <w:tc>
                <w:tcPr/>
                <w:p>
                  <w:pPr>
                    <w:pStyle w:val="Compact"/>
                    <w:jc w:val="both"/>
                    <w:jc w:val="center"/>
                    <w:spacing w:line="360" w:lineRule="auto"/>
                  </w:pPr>
                  <w:r>
                    <w:t xml:space="preserve">H1 (fidelidad)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H2 (estabilidad)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H3 (relación SHAP-LIME)</w:t>
                  </w:r>
                </w:p>
              </w:tc>
              <w:tc>
                <w:tcPr/>
                <w:p>
                  <w:pPr>
                    <w:pStyle w:val="Compact"/>
                    <w:jc w:val="both"/>
                    <w:jc w:val="center"/>
                    <w:spacing w:line="360" w:lineRule="auto"/>
                  </w:pPr>
                  <w:r>
                    <w:t xml:space="preserve">Wilcoxon bilateral</w:t>
                  </w:r>
                </w:p>
              </w:tc>
              <w:tc>
                <w:tcPr/>
                <w:p>
                  <w:pPr>
                    <w:pStyle w:val="Compact"/>
                    <w:jc w:val="both"/>
                    <w:jc w:val="center"/>
                    <w:spacing w:line="360" w:lineRule="auto"/>
                  </w:pPr>
                  <w:r>
                    <w:t xml:space="preserve">75 pares</w:t>
                  </w:r>
                </w:p>
              </w:tc>
              <w:tc>
                <w:tcPr/>
                <w:p>
                  <w:pPr>
                    <w:pStyle w:val="Compact"/>
                    <w:jc w:val="both"/>
                    <w:jc w:val="center"/>
                    <w:spacing w:line="360" w:lineRule="auto"/>
                  </w:pP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idénticos</w:t>
                  </w:r>
                </w:p>
              </w:tc>
            </w:tr>
            <w:tr>
              <w:tc>
                <w:tcPr/>
                <w:p>
                  <w:pPr>
                    <w:pStyle w:val="Compact"/>
                    <w:jc w:val="both"/>
                    <w:jc w:val="center"/>
                    <w:spacing w:line="360" w:lineRule="auto"/>
                  </w:pPr>
                  <w:r>
                    <w:t xml:space="preserve">P1 (reproducibilidad)</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w:t>
                  </w:r>
                </w:p>
              </w:tc>
              <w:tc>
                <w:tcPr/>
                <w:p>
                  <w:pPr>
                    <w:pStyle w:val="Compact"/>
                    <w:jc w:val="both"/>
                    <w:jc w:val="center"/>
                    <w:spacing w:line="360" w:lineRule="auto"/>
                  </w:pPr>
                  <w:r>
                    <w:t xml:space="preserve">Por método</w:t>
                  </w:r>
                </w:p>
              </w:tc>
            </w:tr>
          </w:tbl>
          <w:bookmarkEnd w:id="93"/>
          <w:p>
            <w:pPr>
              <w:spacing w:line="360" w:lineRule="auto"/>
              <w:jc w:val="both"/>
            </w:pPr>
          </w:p>
        </w:tc>
      </w:tr>
    </w:tbl>
    <w:bookmarkEnd w:id="94"/>
    <w:bookmarkEnd w:id="95"/>
    <w:bookmarkStart w:id="97" w:name="amenazas-a-la-validez"/>
    <w:p>
      <w:pPr>
        <w:pStyle w:val="Ttulo2"/>
        <w:spacing w:line="360" w:lineRule="auto"/>
        <w:jc w:val="both"/>
      </w:pPr>
      <w:r>
        <w:t xml:space="preserve">Amenazas a la validez</w:t>
      </w:r>
    </w:p>
    <w:p>
      <w:pPr>
        <w:pStyle w:val="FirstParagraph"/>
        <w:spacing w:line="360" w:lineRule="auto"/>
        <w:jc w:val="both"/>
      </w:pPr>
      <w:r>
        <w:t xml:space="preserve">La interpretación de los resultados se acota mediante cinco familias de amenazas.</w:t>
      </w:r>
      <w:r>
        <w:t xml:space="preserve"> </w:t>
      </w:r>
      <w:r>
        <w:t xml:space="preserve">Estas amenazas no invalidan el diseño, pero delimitan qué tipo de afirmación</w:t>
      </w:r>
      <w:r>
        <w:t xml:space="preserve"> </w:t>
      </w:r>
      <w:r>
        <w:t xml:space="preserve">puede sostenerse a partir del benchmark.</w:t>
      </w:r>
    </w:p>
    <w:tbl>
      <w:tblPr>
        <w:tblStyle w:val="Table"/>
        <w:tblW w:type="pct" w:w="5000"/>
        <w:tblLayout w:type="fixed"/>
        <w:tblLook w:firstRow="0" w:lastRow="0" w:firstColumn="0" w:lastColumn="0" w:noHBand="0" w:noVBand="0" w:val="0000"/>
      </w:tblPr>
      <w:tblGrid>
        <w:gridCol w:w="7920"/>
      </w:tblGrid>
      <w:tr>
        <w:tc>
          <w:tcPr/>
          <w:bookmarkStart w:id="96" w:name="tbl-validity-threats"/>
          <w:p>
            <w:pPr>
              <w:jc w:val="both"/>
              <w:spacing w:line="360" w:lineRule="auto"/>
            </w:pPr>
            <w:pPr>
              <w:jc w:val="left"/>
              <w:spacing w:before="200"/>
              <w:pStyle w:val="ImageCaption"/>
            </w:pPr>
            <w:r>
              <w:t xml:space="preserve">Table 4.8: Amenazas a la validez, controles y riesgo residual.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Amenaza principal</w:t>
                  </w:r>
                </w:p>
              </w:tc>
              <w:tc>
                <w:tcPr/>
                <w:p>
                  <w:pPr>
                    <w:pStyle w:val="Compact"/>
                    <w:jc w:val="both"/>
                    <w:jc w:val="center"/>
                    <w:spacing w:line="360" w:lineRule="auto"/>
                  </w:pPr>
                  <w:r>
                    <w:t xml:space="preserve">Control aplicado</w:t>
                  </w:r>
                </w:p>
              </w:tc>
              <w:tc>
                <w:tcPr/>
                <w:p>
                  <w:pPr>
                    <w:pStyle w:val="Compact"/>
                    <w:jc w:val="both"/>
                    <w:jc w:val="center"/>
                    <w:spacing w:line="360" w:lineRule="auto"/>
                  </w:pPr>
                  <w:r>
                    <w:t xml:space="preserve">Riesgo residual</w:t>
                  </w:r>
                </w:p>
              </w:tc>
            </w:tr>
            <w:tr>
              <w:tc>
                <w:tcPr/>
                <w:p>
                  <w:pPr>
                    <w:pStyle w:val="Compact"/>
                    <w:jc w:val="both"/>
                    <w:jc w:val="center"/>
                    <w:spacing w:line="360" w:lineRule="auto"/>
                  </w:pPr>
                  <w:r>
                    <w:t xml:space="preserve">Validez interna</w:t>
                  </w:r>
                </w:p>
              </w:tc>
              <w:tc>
                <w:tcPr/>
                <w:p>
                  <w:pPr>
                    <w:pStyle w:val="Compact"/>
                    <w:jc w:val="both"/>
                    <w:jc w:val="center"/>
                    <w:spacing w:line="360" w:lineRule="auto"/>
                  </w:pPr>
                  <w:r>
                    <w:t xml:space="preserve">Diferencias atribuibles al modelo o preprocesamiento, no al explicador</w:t>
                  </w:r>
                </w:p>
              </w:tc>
              <w:tc>
                <w:tcPr/>
                <w:p>
                  <w:pPr>
                    <w:pStyle w:val="Compact"/>
                    <w:jc w:val="both"/>
                    <w:jc w:val="center"/>
                    <w:spacing w:line="360" w:lineRule="auto"/>
                  </w:pPr>
                  <w:r>
                    <w:t xml:space="preserve">Modelos y preprocesador congelados; misma partición y mismas semillas por celda</w:t>
                  </w:r>
                </w:p>
              </w:tc>
              <w:tc>
                <w:tcPr/>
                <w:p>
                  <w:pPr>
                    <w:pStyle w:val="Compact"/>
                    <w:jc w:val="both"/>
                    <w:jc w:val="center"/>
                    <w:spacing w:line="360" w:lineRule="auto"/>
                  </w:pPr>
                  <w:r>
                    <w:t xml:space="preserve">Variación no observada por implementación interna de cada librería</w:t>
                  </w:r>
                </w:p>
              </w:tc>
            </w:tr>
            <w:tr>
              <w:tc>
                <w:tcPr/>
                <w:p>
                  <w:pPr>
                    <w:pStyle w:val="Compact"/>
                    <w:jc w:val="both"/>
                    <w:jc w:val="center"/>
                    <w:spacing w:line="360" w:lineRule="auto"/>
                  </w:pPr>
                  <w:r>
                    <w:t xml:space="preserve">Validez de constructo</w:t>
                  </w:r>
                </w:p>
              </w:tc>
              <w:tc>
                <w:tcPr/>
                <w:p>
                  <w:pPr>
                    <w:pStyle w:val="Compact"/>
                    <w:jc w:val="both"/>
                    <w:jc w:val="center"/>
                    <w:spacing w:line="360" w:lineRule="auto"/>
                  </w:pPr>
                  <w:r>
                    <w:t xml:space="preserve">Métricas automáticas que no capturan utilidad humana, plausibilidad o causalidad</w:t>
                  </w:r>
                </w:p>
              </w:tc>
              <w:tc>
                <w:tcPr/>
                <w:p>
                  <w:pPr>
                    <w:pStyle w:val="Compact"/>
                    <w:jc w:val="both"/>
                    <w:jc w:val="center"/>
                    <w:spacing w:line="360" w:lineRule="auto"/>
                  </w:pPr>
                  <w:r>
                    <w:t xml:space="preserve">Definición previa de fidelidad, estabilidad, parsimonia, brecha y coste como proxies functionally-grounded</w:t>
                  </w:r>
                </w:p>
              </w:tc>
              <w:tc>
                <w:tcPr/>
                <w:p>
                  <w:pPr>
                    <w:pStyle w:val="Compact"/>
                    <w:jc w:val="both"/>
                    <w:jc w:val="center"/>
                    <w:spacing w:line="360" w:lineRule="auto"/>
                  </w:pPr>
                  <w:r>
                    <w:t xml:space="preserve">No se infiere utilidad humana directa ni verdad causal</w:t>
                  </w:r>
                </w:p>
              </w:tc>
            </w:tr>
            <w:tr>
              <w:tc>
                <w:tcPr/>
                <w:p>
                  <w:pPr>
                    <w:pStyle w:val="Compact"/>
                    <w:jc w:val="both"/>
                    <w:jc w:val="center"/>
                    <w:spacing w:line="360" w:lineRule="auto"/>
                  </w:pPr>
                  <w:r>
                    <w:t xml:space="preserve">Validez externa</w:t>
                  </w:r>
                </w:p>
              </w:tc>
              <w:tc>
                <w:tcPr/>
                <w:p>
                  <w:pPr>
                    <w:pStyle w:val="Compact"/>
                    <w:jc w:val="both"/>
                    <w:jc w:val="center"/>
                    <w:spacing w:line="360" w:lineRule="auto"/>
                  </w:pPr>
                  <w:r>
                    <w:t xml:space="preserve">Generalización fuera de Adult Income y clasificación tabular binaria</w:t>
                  </w:r>
                </w:p>
              </w:tc>
              <w:tc>
                <w:tcPr/>
                <w:p>
                  <w:pPr>
                    <w:pStyle w:val="Compact"/>
                    <w:jc w:val="both"/>
                    <w:jc w:val="center"/>
                    <w:spacing w:line="360" w:lineRule="auto"/>
                  </w:pPr>
                  <w:r>
                    <w:t xml:space="preserve">Framing explícito como benchmark tabular Adult; comparación con literatura XAI tabular</w:t>
                  </w:r>
                </w:p>
              </w:tc>
              <w:tc>
                <w:tcPr/>
                <w:p>
                  <w:pPr>
                    <w:pStyle w:val="Compact"/>
                    <w:jc w:val="both"/>
                    <w:jc w:val="center"/>
                    <w:spacing w:line="360" w:lineRule="auto"/>
                  </w:pPr>
                  <w:r>
                    <w:t xml:space="preserve">No cubre imágenes, texto, series temporales ni dominios causales</w:t>
                  </w:r>
                </w:p>
              </w:tc>
            </w:tr>
            <w:tr>
              <w:tc>
                <w:tcPr/>
                <w:p>
                  <w:pPr>
                    <w:pStyle w:val="Compact"/>
                    <w:jc w:val="both"/>
                    <w:jc w:val="center"/>
                    <w:spacing w:line="360" w:lineRule="auto"/>
                  </w:pPr>
                  <w:r>
                    <w:t xml:space="preserve">Conclusión estadística</w:t>
                  </w:r>
                </w:p>
              </w:tc>
              <w:tc>
                <w:tcPr/>
                <w:p>
                  <w:pPr>
                    <w:pStyle w:val="Compact"/>
                    <w:jc w:val="both"/>
                    <w:jc w:val="center"/>
                    <w:spacing w:line="360" w:lineRule="auto"/>
                  </w:pPr>
                  <w:r>
                    <w:t xml:space="preserve">Pseudorreplicación, multiplicidad y datos faltantes</w:t>
                  </w:r>
                </w:p>
              </w:tc>
              <w:tc>
                <w:tcPr/>
                <w:p>
                  <w:pPr>
                    <w:pStyle w:val="Compact"/>
                    <w:jc w:val="both"/>
                    <w:jc w:val="center"/>
                    <w:spacing w:line="360" w:lineRule="auto"/>
                  </w:pPr>
                  <w:r>
                    <w:t xml:space="preserve">Unidad inferencial por bloque/celda; Friedman, Nemenyi, Wilcoxon y Holm-Bonferroni; análisis de cobertura</w:t>
                  </w:r>
                </w:p>
              </w:tc>
              <w:tc>
                <w:tcPr/>
                <w:p>
                  <w:pPr>
                    <w:pStyle w:val="Compact"/>
                    <w:jc w:val="both"/>
                    <w:jc w:val="center"/>
                    <w:spacing w:line="360" w:lineRule="auto"/>
                  </w:pPr>
                  <w:r>
                    <w:t xml:space="preserve">Menor precisión en Anchors para bloques con baja cobertura</w:t>
                  </w:r>
                </w:p>
              </w:tc>
            </w:tr>
            <w:tr>
              <w:tc>
                <w:tcPr/>
                <w:p>
                  <w:pPr>
                    <w:pStyle w:val="Compact"/>
                    <w:jc w:val="both"/>
                    <w:jc w:val="center"/>
                    <w:spacing w:line="360" w:lineRule="auto"/>
                  </w:pPr>
                  <w:r>
                    <w:t xml:space="preserve">Reproducibilidad</w:t>
                  </w:r>
                </w:p>
              </w:tc>
              <w:tc>
                <w:tcPr/>
                <w:p>
                  <w:pPr>
                    <w:pStyle w:val="Compact"/>
                    <w:jc w:val="both"/>
                    <w:jc w:val="center"/>
                    <w:spacing w:line="360" w:lineRule="auto"/>
                  </w:pPr>
                  <w:r>
                    <w:t xml:space="preserve">Dependencia de versiones, semillas, recursos y artefactos locales</w:t>
                  </w:r>
                </w:p>
              </w:tc>
              <w:tc>
                <w:tcPr/>
                <w:p>
                  <w:pPr>
                    <w:pStyle w:val="Compact"/>
                    <w:jc w:val="both"/>
                    <w:jc w:val="center"/>
                    <w:spacing w:line="360" w:lineRule="auto"/>
                  </w:pPr>
                  <w:r>
                    <w:t xml:space="preserve">Manifiestos YAML, artefactos versionados, scripts de análisis y DOI Zenodo</w:t>
                  </w:r>
                </w:p>
              </w:tc>
              <w:tc>
                <w:tcPr/>
                <w:p>
                  <w:pPr>
                    <w:pStyle w:val="Compact"/>
                    <w:jc w:val="both"/>
                    <w:jc w:val="center"/>
                    <w:spacing w:line="360" w:lineRule="auto"/>
                  </w:pPr>
                  <w:r>
                    <w:t xml:space="preserve">Reproducción completa requiere entorno compatible con Python 3.11 y dependencias fijadas</w:t>
                  </w:r>
                </w:p>
              </w:tc>
            </w:tr>
          </w:tbl>
          <w:bookmarkEnd w:id="96"/>
          <w:p>
            <w:pPr>
              <w:spacing w:line="360" w:lineRule="auto"/>
              <w:jc w:val="both"/>
            </w:pPr>
          </w:p>
        </w:tc>
      </w:tr>
    </w:tbl>
    <w:p>
      <w:pPr>
        <w:pStyle w:val="Textoindependiente"/>
        <w:spacing w:line="360" w:lineRule="auto"/>
        <w:jc w:val="both"/>
      </w:pPr>
      <w:r>
        <w:t xml:space="preserve">El límite más importante es de constructo: el estudio produce evidencia</w:t>
      </w:r>
      <w:r>
        <w:t xml:space="preserve"> </w:t>
      </w:r>
      <w:r>
        <w:t xml:space="preserve">computacional reproducible sobre artefactos explicativos, no una validación</w:t>
      </w:r>
      <w:r>
        <w:t xml:space="preserve"> </w:t>
      </w:r>
      <w:r>
        <w:t xml:space="preserve">psicológica o causal de la explicación. Esta delimitación es consistente con el</w:t>
      </w:r>
      <w:r>
        <w:t xml:space="preserve"> </w:t>
      </w:r>
      <w:r>
        <w:t xml:space="preserve">Capítulo 2 y protege la interpretación de los resultados del Capítulo 4.</w:t>
      </w:r>
    </w:p>
    <w:bookmarkEnd w:id="97"/>
    <w:bookmarkStart w:id="98" w:name="trazabilidad-y-reproducibilidad"/>
    <w:p>
      <w:pPr>
        <w:pStyle w:val="Ttulo2"/>
        <w:spacing w:line="360" w:lineRule="auto"/>
        <w:jc w:val="both"/>
      </w:pPr>
      <w:r>
        <w:t xml:space="preserve">Trazabilidad y reproducibilidad</w:t>
      </w:r>
    </w:p>
    <w:p>
      <w:pPr>
        <w:pStyle w:val="FirstParagraph"/>
        <w:spacing w:line="360" w:lineRule="auto"/>
        <w:jc w:val="both"/>
      </w:pPr>
      <w:r>
        <w:t xml:space="preserve">Todos los análisis del Capítulo 4 son reproducibles desde el repositorio</w:t>
      </w:r>
      <w:r>
        <w:t xml:space="preserve"> </w:t>
      </w:r>
      <w:r>
        <w:t xml:space="preserve">público</w:t>
      </w:r>
      <w:r>
        <w:t xml:space="preserve"> </w:t>
      </w:r>
      <w:r>
        <w:rPr>
          <w:rStyle w:val="VerbatimChar"/>
        </w:rPr>
        <w:t xml:space="preserve">https://github.com/jonnabio/xai-eval-framework</w:t>
      </w:r>
      <w:r>
        <w:t xml:space="preserve">, archivado con DOI</w:t>
      </w:r>
      <w:r>
        <w:t xml:space="preserve"> </w:t>
      </w:r>
      <w:r>
        <w:rPr>
          <w:rStyle w:val="VerbatimChar"/>
        </w:rPr>
        <w:t xml:space="preserve">10.5281/zenodo.21538180</w:t>
      </w:r>
      <w:r>
        <w:t xml:space="preserve"> </w:t>
      </w:r>
      <w:r>
        <w:t xml:space="preserve">(commit</w:t>
      </w:r>
      <w:r>
        <w:t xml:space="preserve"> </w:t>
      </w:r>
      <w:r>
        <w:rPr>
          <w:rStyle w:val="VerbatimChar"/>
        </w:rPr>
        <w:t xml:space="preserve">553f65d71b077ec181ad36da7bb6e7c9942fe116</w:t>
      </w:r>
      <w:r>
        <w:t xml:space="preserve">,</w:t>
      </w:r>
      <w:r>
        <w:t xml:space="preserve"> </w:t>
      </w:r>
      <w:r>
        <w:t xml:space="preserve">2026-07-24), que es el corte de evidencia efectivamente reportado en el</w:t>
      </w:r>
      <w:r>
        <w:t xml:space="preserve"> </w:t>
      </w:r>
      <w:r>
        <w:t xml:space="preserve">Capítulo 4: 299 artefactos comprometidos y 275 ejecuciones analizables tras la</w:t>
      </w:r>
      <w:r>
        <w:t xml:space="preserve"> </w:t>
      </w:r>
      <w:r>
        <w:t xml:space="preserve">superposición de recuperación. El DOI de concepto</w:t>
      </w:r>
      <w:r>
        <w:t xml:space="preserve"> </w:t>
      </w:r>
      <w:r>
        <w:rPr>
          <w:rStyle w:val="VerbatimChar"/>
        </w:rPr>
        <w:t xml:space="preserve">10.5281/zenodo.19297723</w:t>
      </w:r>
      <w:r>
        <w:t xml:space="preserve"> </w:t>
      </w:r>
      <w:r>
        <w:t xml:space="preserve">resuelve siempre a la versión más reciente. La</w:t>
      </w:r>
      <w:r>
        <w:t xml:space="preserve"> </w:t>
      </w:r>
      <w:r>
        <w:t xml:space="preserve">instantánea previa</w:t>
      </w:r>
      <w:r>
        <w:t xml:space="preserve"> </w:t>
      </w:r>
      <w:r>
        <w:rPr>
          <w:rStyle w:val="VerbatimChar"/>
        </w:rPr>
        <w:t xml:space="preserve">10.5281/zenodo.19297724</w:t>
      </w:r>
      <w:r>
        <w:t xml:space="preserve"> </w:t>
      </w:r>
      <w:r>
        <w:t xml:space="preserve">(abril de 2026) permanece</w:t>
      </w:r>
      <w:r>
        <w:t xml:space="preserve"> </w:t>
      </w:r>
      <w:r>
        <w:t xml:space="preserve">archivada por procedencia, pero es anterior a la superposición de recuperación</w:t>
      </w:r>
      <w:r>
        <w:t xml:space="preserve"> </w:t>
      </w:r>
      <w:r>
        <w:t xml:space="preserve">y no corresponde a las cifras reportadas aquí.</w:t>
      </w:r>
      <w:r>
        <w:t xml:space="preserve"> </w:t>
      </w:r>
      <w:r>
        <w:t xml:space="preserve">Los anclajes de reproducibilidad principales son:</w:t>
      </w:r>
    </w:p>
    <w:p>
      <w:pPr>
        <w:pStyle w:val="Compact"/>
        <w:numPr>
          <w:ilvl w:val="0"/>
          <w:numId w:val="1010"/>
        </w:numPr>
        <w:spacing w:line="360" w:lineRule="auto"/>
        <w:jc w:val="both"/>
      </w:pPr>
      <w:r>
        <w:rPr>
          <w:rStyle w:val="VerbatimChar"/>
        </w:rPr>
        <w:t xml:space="preserve">configs/experiments/exp2_scaled/manifest.yaml</w:t>
      </w:r>
      <w:r>
        <w:t xml:space="preserve"> </w:t>
      </w:r>
      <w:r>
        <w:t xml:space="preserve">— diseño factorial</w:t>
      </w:r>
      <w:r>
        <w:t xml:space="preserve"> </w:t>
      </w:r>
      <w:r>
        <w:t xml:space="preserve">declarado (300 celdas).</w:t>
      </w:r>
    </w:p>
    <w:p>
      <w:pPr>
        <w:pStyle w:val="Compact"/>
        <w:numPr>
          <w:ilvl w:val="0"/>
          <w:numId w:val="1010"/>
        </w:numPr>
        <w:spacing w:line="360" w:lineRule="auto"/>
        <w:jc w:val="both"/>
      </w:pPr>
      <w:r>
        <w:rPr>
          <w:rStyle w:val="VerbatimChar"/>
        </w:rPr>
        <w:t xml:space="preserve">experiments/exp2_scaled/results/</w:t>
      </w:r>
      <w:r>
        <w:t xml:space="preserve"> </w:t>
      </w:r>
      <w:r>
        <w:t xml:space="preserve">— árbol de artefactos por ejecución</w:t>
      </w:r>
      <w:r>
        <w:t xml:space="preserve"> </w:t>
      </w:r>
      <w:r>
        <w:t xml:space="preserve">(299 archivos</w:t>
      </w:r>
      <w:r>
        <w:t xml:space="preserve"> </w:t>
      </w:r>
      <w:r>
        <w:rPr>
          <w:rStyle w:val="VerbatimChar"/>
        </w:rPr>
        <w:t xml:space="preserve">results.json</w:t>
      </w:r>
      <w:r>
        <w:t xml:space="preserve"> </w:t>
      </w:r>
      <w:r>
        <w:t xml:space="preserve">no vacíos).</w:t>
      </w:r>
    </w:p>
    <w:p>
      <w:pPr>
        <w:pStyle w:val="Compact"/>
        <w:numPr>
          <w:ilvl w:val="0"/>
          <w:numId w:val="1010"/>
        </w:numPr>
        <w:spacing w:line="360" w:lineRule="auto"/>
        <w:jc w:val="both"/>
      </w:pPr>
      <w:r>
        <w:rPr>
          <w:rStyle w:val="VerbatimChar"/>
        </w:rPr>
        <w:t xml:space="preserve">outputs/batch_results.csv</w:t>
      </w:r>
      <w:r>
        <w:t xml:space="preserve"> </w:t>
      </w:r>
      <w:r>
        <w:t xml:space="preserve">— superposición de recuperación (30 filas).</w:t>
      </w:r>
    </w:p>
    <w:p>
      <w:pPr>
        <w:pStyle w:val="Compact"/>
        <w:numPr>
          <w:ilvl w:val="0"/>
          <w:numId w:val="1010"/>
        </w:numPr>
        <w:spacing w:line="360" w:lineRule="auto"/>
        <w:jc w:val="both"/>
      </w:pPr>
      <w:r>
        <w:rPr>
          <w:rStyle w:val="VerbatimChar"/>
        </w:rPr>
        <w:t xml:space="preserve">scripts/run_exp2_statistical_analysis.py</w:t>
      </w:r>
      <w:r>
        <w:t xml:space="preserve"> </w:t>
      </w:r>
      <w:r>
        <w:t xml:space="preserve">— generación determinista de</w:t>
      </w:r>
      <w:r>
        <w:t xml:space="preserve"> </w:t>
      </w:r>
      <w:r>
        <w:t xml:space="preserve">tablas inferenciales.</w:t>
      </w:r>
    </w:p>
    <w:p>
      <w:pPr>
        <w:pStyle w:val="Compact"/>
        <w:numPr>
          <w:ilvl w:val="0"/>
          <w:numId w:val="1010"/>
        </w:numPr>
        <w:spacing w:line="360" w:lineRule="auto"/>
        <w:jc w:val="both"/>
      </w:pPr>
      <w:r>
        <w:rPr>
          <w:rStyle w:val="VerbatimChar"/>
        </w:rPr>
        <w:t xml:space="preserve">outputs/analysis/paper_a_exp2_stats/</w:t>
      </w:r>
      <w:r>
        <w:t xml:space="preserve"> </w:t>
      </w:r>
      <w:r>
        <w:t xml:space="preserve">— exportaciones inferenciales de</w:t>
      </w:r>
      <w:r>
        <w:t xml:space="preserve"> </w:t>
      </w:r>
      <w:r>
        <w:t xml:space="preserve">referencia.</w:t>
      </w:r>
    </w:p>
    <w:p>
      <w:pPr>
        <w:pStyle w:val="FirstParagraph"/>
        <w:spacing w:line="360" w:lineRule="auto"/>
        <w:jc w:val="both"/>
      </w:pPr>
      <w:r>
        <w:t xml:space="preserve">Las especificaciones completas del entorno de ejecución, los parámetros de</w:t>
      </w:r>
      <w:r>
        <w:t xml:space="preserve"> </w:t>
      </w:r>
      <w:r>
        <w:t xml:space="preserve">restricción de recursos y las instrucciones de reproducción paso a paso</w:t>
      </w:r>
      <w:r>
        <w:t xml:space="preserve"> </w:t>
      </w:r>
      <w:r>
        <w:t xml:space="preserve">figuran en el Apéndice E.</w:t>
      </w:r>
    </w:p>
    <w:bookmarkEnd w:id="98"/>
    <w:bookmarkStart w:id="101" w:name="sec-estudios-complementarios"/>
    <w:p>
      <w:pPr>
        <w:pStyle w:val="Ttulo2"/>
        <w:spacing w:line="360" w:lineRule="auto"/>
        <w:jc w:val="both"/>
      </w:pPr>
      <w:r>
        <w:t xml:space="preserve">Estudios complementarios: EXP3 y EXP4</w:t>
      </w:r>
    </w:p>
    <w:p>
      <w:pPr>
        <w:pStyle w:val="FirstParagraph"/>
        <w:spacing w:line="360" w:lineRule="auto"/>
        <w:jc w:val="both"/>
      </w:pPr>
      <w:r>
        <w:t xml:space="preserve">El diseño experimental principal comprende las fases EXP1 y EXP2 descritas en</w:t>
      </w:r>
      <w:r>
        <w:t xml:space="preserve"> </w:t>
      </w:r>
      <w:r>
        <w:t xml:space="preserve">las secciones anteriores. Dos estudios complementarios amplían el alcance de la</w:t>
      </w:r>
      <w:r>
        <w:t xml:space="preserve"> </w:t>
      </w:r>
      <w:r>
        <w:t xml:space="preserve">evidencia sin alterar el protocolo confirmativo: EXP3 extiende la validación</w:t>
      </w:r>
      <w:r>
        <w:t xml:space="preserve"> </w:t>
      </w:r>
      <w:r>
        <w:t xml:space="preserve">de fidelidad a datasets adicionales y EXP4 cuantifica la fiabilidad de los</w:t>
      </w:r>
      <w:r>
        <w:t xml:space="preserve"> </w:t>
      </w:r>
      <w:r>
        <w:t xml:space="preserve">evaluadores semánticos LLM como instrumento de medición.</w:t>
      </w:r>
    </w:p>
    <w:bookmarkStart w:id="99" w:name="sec-exp3-diseno"/>
    <w:p>
      <w:pPr>
        <w:pStyle w:val="Ttulo3"/>
        <w:spacing w:line="360" w:lineRule="auto"/>
        <w:jc w:val="both"/>
      </w:pPr>
      <w:r>
        <w:t xml:space="preserve">EXP3: Validación cruzada de fidelidad en datasets adicionales</w:t>
      </w:r>
    </w:p>
    <w:p>
      <w:pPr>
        <w:pStyle w:val="FirstParagraph"/>
        <w:spacing w:line="360" w:lineRule="auto"/>
        <w:jc w:val="both"/>
      </w:pPr>
      <w:r>
        <w:t xml:space="preserve">EXP3 replica parcialmente los ordenamientos de fidelidad fuera del dataset</w:t>
      </w:r>
      <w:r>
        <w:t xml:space="preserve"> </w:t>
      </w:r>
      <w:r>
        <w:t xml:space="preserve">primario mediante dos datasets tabulares de clasificación binaria:</w:t>
      </w:r>
    </w:p>
    <w:p>
      <w:pPr>
        <w:pStyle w:val="Compact"/>
        <w:numPr>
          <w:ilvl w:val="0"/>
          <w:numId w:val="1011"/>
        </w:numPr>
        <w:spacing w:line="360" w:lineRule="auto"/>
        <w:jc w:val="both"/>
      </w:pPr>
      <w:r>
        <w:rPr>
          <w:b/>
          <w:bCs/>
        </w:rPr>
        <w:t xml:space="preserve">Breast Cancer Wisconsin</w:t>
      </w:r>
      <w:r>
        <w:t xml:space="preserve"> </w:t>
      </w:r>
      <w:r>
        <w:t xml:space="preserve">(Dua and Graff 2019)</w:t>
      </w:r>
      <w:r>
        <w:t xml:space="preserve">:</w:t>
      </w:r>
      <w:r>
        <w:t xml:space="preserve"> </w:t>
      </w:r>
      <ns1:oMath>
        <ns1:r>
          <ns1:t>n</ns1:t>
        </ns1:r>
        <ns1:r>
          <ns1:rPr>
            <ns1:sty ns1:val="p"/>
          </ns1:rPr>
          <ns1:t>=</ns1:t>
        </ns1:r>
        <ns1:r>
          <ns1:t>569</ns1:t>
        </ns1:r>
      </ns1:oMath>
      <w:r>
        <w:t xml:space="preserve"> </w:t>
      </w:r>
      <w:r>
        <w:t xml:space="preserve">instancias, 30</w:t>
      </w:r>
      <w:r>
        <w:t xml:space="preserve"> </w:t>
      </w:r>
      <w:r>
        <w:t xml:space="preserve">características numéricas continuas (sin categóricas), clasificación binaria</w:t>
      </w:r>
      <w:r>
        <w:t xml:space="preserve"> </w:t>
      </w:r>
      <w:r>
        <w:t xml:space="preserve">maligno/benigno.</w:t>
      </w:r>
    </w:p>
    <w:p>
      <w:pPr>
        <w:pStyle w:val="Compact"/>
        <w:numPr>
          <w:ilvl w:val="0"/>
          <w:numId w:val="1011"/>
        </w:numPr>
        <w:spacing w:line="360" w:lineRule="auto"/>
        <w:jc w:val="both"/>
      </w:pPr>
      <w:r>
        <w:rPr>
          <w:b/>
          <w:bCs/>
        </w:rPr>
        <w:t xml:space="preserve">German Credit</w:t>
      </w:r>
      <w:r>
        <w:t xml:space="preserve"> </w:t>
      </w:r>
      <w:r>
        <w:t xml:space="preserve">(Dua and Graff 2019)</w:t>
      </w:r>
      <w:r>
        <w:t xml:space="preserve">:</w:t>
      </w:r>
      <w:r>
        <w:t xml:space="preserve"> </w:t>
      </w:r>
      <ns1:oMath>
        <ns1:r>
          <ns1:t>n</ns1:t>
        </ns1:r>
        <ns1:r>
          <ns1:rPr>
            <ns1:sty ns1:val="p"/>
          </ns1:rPr>
          <ns1:t>=</ns1:t>
        </ns1:r>
        <ns1:r>
          <ns1:t>1</ns1:t>
        </ns1:r>
        <ns1:r>
          <ns1:rPr>
            <ns1:sty ns1:val="p"/>
          </ns1:rPr>
          <ns1:t>,</ns1:t>
        </ns1:r>
        <ns1:r>
          <ns1:t>000</ns1:t>
        </ns1:r>
      </ns1:oMath>
      <w:r>
        <w:t xml:space="preserve"> </w:t>
      </w:r>
      <w:r>
        <w:t xml:space="preserve">instancias, 20 características</w:t>
      </w:r>
      <w:r>
        <w:t xml:space="preserve"> </w:t>
      </w:r>
      <w:r>
        <w:t xml:space="preserve">(mixtas numéricas y codificadas), clasificación binaria crédito-bueno/malo.</w:t>
      </w:r>
    </w:p>
    <w:p>
      <w:pPr>
        <w:pStyle w:val="FirstParagraph"/>
        <w:spacing w:line="360" w:lineRule="auto"/>
        <w:jc w:val="both"/>
      </w:pPr>
      <w:r>
        <w:t xml:space="preserve">El diseño base de EXP3 cruza dos modelos (Random Forest y XGBoost), tres</w:t>
      </w:r>
      <w:r>
        <w:t xml:space="preserve"> </w:t>
      </w:r>
      <w:r>
        <w:t xml:space="preserve">semillas (</w:t>
      </w:r>
      <ns1:oMath>
        <ns1:r>
          <ns1:rPr>
            <ns1:sty ns1:val="p"/>
          </ns1:rPr>
          <ns1:t>{</ns1:t>
        </ns1:r>
        <ns1:r>
          <ns1:t>42</ns1:t>
        </ns1:r>
        <ns1:r>
          <ns1:rPr>
            <ns1:sty ns1:val="p"/>
          </ns1:rPr>
          <ns1:t>,</ns1:t>
        </ns1:r>
        <ns1:r>
          <ns1:t>123</ns1:t>
        </ns1:r>
        <ns1:r>
          <ns1:rPr>
            <ns1:sty ns1:val="p"/>
          </ns1:rPr>
          <ns1:t>,</ns1:t>
        </ns1:r>
        <ns1:r>
          <ns1:t>456</ns1:t>
        </ns1:r>
        <ns1:r>
          <ns1:rPr>
            <ns1:sty ns1:val="p"/>
          </ns1:rPr>
          <ns1:t>}</ns1:t>
        </ns1:r>
      </ns1:oMath>
      <w:r>
        <w:t xml:space="preserve">) y los dos datasets, produciendo</w:t>
      </w:r>
      <w:r>
        <w:t xml:space="preserve"> </w:t>
      </w:r>
      <ns1:oMath>
        <ns1:r>
          <ns1:t>2</ns1:t>
        </ns1:r>
        <ns1:r>
          <ns1:rPr>
            <ns1:sty ns1:val="p"/>
          </ns1:rPr>
          <ns1:t>×</ns1:t>
        </ns1:r>
        <ns1:r>
          <ns1:t>2</ns1:t>
        </ns1:r>
        <ns1:r>
          <ns1:rPr>
            <ns1:sty ns1:val="p"/>
          </ns1:rPr>
          <ns1:t>×</ns1:t>
        </ns1:r>
        <ns1:r>
          <ns1:t>3</ns1:t>
        </ns1:r>
        <ns1:r>
          <ns1:rPr>
            <ns1:sty ns1:val="p"/>
          </ns1:rPr>
          <ns1:t>=</ns1:t>
        </ns1:r>
        <ns1:r>
          <ns1:t>12</ns1:t>
        </ns1:r>
      </ns1:oMath>
      <w:r>
        <w:t xml:space="preserve"> </w:t>
      </w:r>
      <w:r>
        <w:t xml:space="preserve">comparaciones pareadas SHAP–Anchors. La métrica evaluada es</w:t>
      </w:r>
      <w:r>
        <w:t xml:space="preserve"> </w:t>
      </w:r>
      <w:r>
        <w:t xml:space="preserve">fidelidad con la misma operacionalización que EXP2</w:t>
      </w:r>
      <w:r>
        <w:t xml:space="preserve"> </w:t>
      </w:r>
      <w:r>
        <w:t xml:space="preserve">(correlación importancias–enmascaramiento). Una extensión posterior incorporó</w:t>
      </w:r>
      <w:r>
        <w:t xml:space="preserve"> </w:t>
      </w:r>
      <w:r>
        <w:t xml:space="preserve">LIME en los mismos datasets y modelos, reportando fidelidad y estabilidad de</w:t>
      </w:r>
      <w:r>
        <w:t xml:space="preserve"> </w:t>
      </w:r>
      <w:r>
        <w:t xml:space="preserve">LIME bajo el protocolo EXP2. Sin embargo, la estabilidad de SHAP no fue</w:t>
      </w:r>
      <w:r>
        <w:t xml:space="preserve"> </w:t>
      </w:r>
      <w:r>
        <w:t xml:space="preserve">instrumentada en esa extensión, por lo que EXP3 proporciona validación</w:t>
      </w:r>
      <w:r>
        <w:t xml:space="preserve"> </w:t>
      </w:r>
      <w:r>
        <w:t xml:space="preserve">cross-dataset parcial de los ordenamientos de fidelidad, pero no un contraste</w:t>
      </w:r>
      <w:r>
        <w:t xml:space="preserve"> </w:t>
      </w:r>
      <w:r>
        <w:t xml:space="preserve">pareado SHAP-LIME completo de estabilidad fuera de UCI Adult Income.</w:t>
      </w:r>
    </w:p>
    <w:bookmarkEnd w:id="99"/>
    <w:bookmarkStart w:id="100" w:name="sec-exp4-diseno"/>
    <w:p>
      <w:pPr>
        <w:pStyle w:val="Ttulo3"/>
        <w:spacing w:line="360" w:lineRule="auto"/>
        <w:jc w:val="both"/>
      </w:pPr>
      <w:r>
        <w:t xml:space="preserve">EXP4: Estudio de fiabilidad de jueces LLM para evaluación semántica</w:t>
      </w:r>
    </w:p>
    <w:p>
      <w:pPr>
        <w:pStyle w:val="FirstParagraph"/>
        <w:spacing w:line="360" w:lineRule="auto"/>
        <w:jc w:val="both"/>
      </w:pPr>
      <w:r>
        <w:t xml:space="preserve">EXP4 es un estudio de calibración empírica cuyo propósito es cuantificar la</w:t>
      </w:r>
      <w:r>
        <w:t xml:space="preserve"> </w:t>
      </w:r>
      <w:r>
        <w:t xml:space="preserve">convergencia inter-juez de evaluadores LLM sobre explicaciones del corpus</w:t>
      </w:r>
      <w:r>
        <w:t xml:space="preserve"> </w:t>
      </w:r>
      <w:r>
        <w:t xml:space="preserve">experimental de EXP2. Su función en la tesis es proporcionar evidencia</w:t>
      </w:r>
      <w:r>
        <w:t xml:space="preserve"> </w:t>
      </w:r>
      <w:r>
        <w:t xml:space="preserve">cuantitativa de la brecha de evaluación semántica identificada en la taxonomía</w:t>
      </w:r>
      <w:r>
        <w:t xml:space="preserve"> </w:t>
      </w:r>
      <w:r>
        <w:t xml:space="preserve">del Capítulo 5 (Brecha 3, §sec-taxonomia-brechas: la evaluación semántica crece más rápido que su base</w:t>
      </w:r>
      <w:r>
        <w:t xml:space="preserve"> </w:t>
      </w:r>
      <w:r>
        <w:t xml:space="preserve">de validación empírica).</w:t>
      </w:r>
    </w:p>
    <w:p>
      <w:pPr>
        <w:pStyle w:val="Textoindependiente"/>
        <w:spacing w:line="360" w:lineRule="auto"/>
        <w:jc w:val="both"/>
      </w:pPr>
      <w:r>
        <w:rPr>
          <w:b/>
          <w:bCs/>
        </w:rPr>
        <w:t xml:space="preserve">Muestra.</w:t>
      </w:r>
      <w:r>
        <w:t xml:space="preserve"> </w:t>
      </w:r>
      <w:r>
        <w:t xml:space="preserve">Se seleccionaron</w:t>
      </w:r>
      <w:r>
        <w:t xml:space="preserve"> </w:t>
      </w:r>
      <ns1:oMath>
        <ns1:r>
          <ns1:t>n</ns1:t>
        </ns1:r>
        <ns1:r>
          <ns1:rPr>
            <ns1:sty ns1:val="p"/>
          </ns1:rPr>
          <ns1:t>=</ns1:t>
        </ns1:r>
        <ns1:r>
          <ns1:t>147</ns1:t>
        </ns1:r>
      </ns1:oMath>
      <w:r>
        <w:t xml:space="preserve"> </w:t>
      </w:r>
      <w:r>
        <w:t xml:space="preserve">pares de salidas de explicación del</w:t>
      </w:r>
      <w:r>
        <w:t xml:space="preserve"> </w:t>
      </w:r>
      <w:r>
        <w:t xml:space="preserve">corpus EXP2, estratificados para representar los cinco modelos y los cuatro</w:t>
      </w:r>
      <w:r>
        <w:t xml:space="preserve"> </w:t>
      </w:r>
      <w:r>
        <w:t xml:space="preserve">métodos explicadores. Cada par contiene la salida de texto de dos explicaciones</w:t>
      </w:r>
      <w:r>
        <w:t xml:space="preserve"> </w:t>
      </w:r>
      <w:r>
        <w:t xml:space="preserve">sobre la misma instancia o configuración comparable.</w:t>
      </w:r>
    </w:p>
    <w:p>
      <w:pPr>
        <w:pStyle w:val="Textoindependiente"/>
        <w:spacing w:line="360" w:lineRule="auto"/>
        <w:jc w:val="both"/>
      </w:pPr>
      <w:r>
        <w:rPr>
          <w:b/>
          <w:bCs/>
        </w:rPr>
        <w:t xml:space="preserve">Jueces.</w:t>
      </w:r>
      <w:r>
        <w:t xml:space="preserve"> </w:t>
      </w:r>
      <w:r>
        <w:t xml:space="preserve">Tres jueces LLM independientes puntuaron cada par de forma</w:t>
      </w:r>
      <w:r>
        <w:t xml:space="preserve"> </w:t>
      </w:r>
      <w:r>
        <w:t xml:space="preserve">ciega (sin conocer la puntuación de los otros jueces) sobre siete dimensiones</w:t>
      </w:r>
      <w:r>
        <w:t xml:space="preserve"> </w:t>
      </w:r>
      <w:r>
        <w:t xml:space="preserve">semánticas estructuradas mediante una rúbrica de escala 1–5 por dimensión</w:t>
      </w:r>
      <w:r>
        <w:t xml:space="preserve"> </w:t>
      </w:r>
      <w:r>
        <w:t xml:space="preserve">(las siete dimensiones se enumeran en la Tabla</w:t>
      </w:r>
      <w:r>
        <w:t xml:space="preserve"> </w:t>
      </w:r>
      <w:hyperlink w:anchor="tbl-exp4-icc">
        <w:r>
          <w:rPr>
            <w:rStyle w:val="Hipervnculo"/>
          </w:rPr>
          <w:t xml:space="preserve">Table 6.3</w:t>
        </w:r>
      </w:hyperlink>
      <w:r>
        <w:t xml:space="preserve"> </w:t>
      </w:r>
      <w:r>
        <w:t xml:space="preserve">del Capítulo 5).</w:t>
      </w:r>
    </w:p>
    <w:p>
      <w:pPr>
        <w:pStyle w:val="Textoindependiente"/>
        <w:spacing w:line="360" w:lineRule="auto"/>
        <w:jc w:val="both"/>
      </w:pPr>
      <w:r>
        <w:rPr>
          <w:b/>
          <w:bCs/>
        </w:rPr>
        <w:t xml:space="preserve">Análisis.</w:t>
      </w:r>
      <w:r>
        <w:t xml:space="preserve"> </w:t>
      </w:r>
      <w:r>
        <w:t xml:space="preserve">La fiabilidad inter-juez se cuantifica mediante la correlación</w:t>
      </w:r>
      <w:r>
        <w:t xml:space="preserve"> </w:t>
      </w:r>
      <w:r>
        <w:t xml:space="preserve">intraclase ICC(1,1) —modelo de efectos aleatorios unidireccional, evaluador</w:t>
      </w:r>
      <w:r>
        <w:t xml:space="preserve"> </w:t>
      </w:r>
      <w:r>
        <w:t xml:space="preserve">único— y el</w:t>
      </w:r>
      <w:r>
        <w:t xml:space="preserve"> </w:t>
      </w:r>
      <ns1:oMath>
        <ns1:r>
          <ns1:t>α</ns1:t>
        </ns1:r>
      </ns1:oMath>
      <w:r>
        <w:t xml:space="preserve"> </w:t>
      </w:r>
      <w:r>
        <w:t xml:space="preserve">de Krippendorff. El umbral de fiabilidad aceptable es</w:t>
      </w:r>
      <w:r>
        <w:t xml:space="preserve"> </w:t>
      </w:r>
      <ns1:oMath>
        <ns1:r>
          <ns1:rPr>
            <ns1:sty ns1:val="p"/>
          </ns1:rPr>
          <ns1:t>≥</ns1:t>
        </ns1:r>
        <ns1:r>
          <ns1:t>0.75</ns1:t>
        </ns1:r>
      </ns1:oMath>
      <w:r>
        <w:t xml:space="preserve"> </w:t>
      </w:r>
      <w:r>
        <w:t xml:space="preserve">(Koo and Li 2016)</w:t>
      </w:r>
      <w:r>
        <w:t xml:space="preserve">, que corresponde a la categoría</w:t>
      </w:r>
      <w:r>
        <w:t xml:space="preserve"> </w:t>
      </w:r>
      <w:r>
        <w:rPr>
          <w:i/>
          <w:iCs/>
        </w:rPr>
        <w:t xml:space="preserve">good</w:t>
      </w:r>
      <w:r>
        <w:t xml:space="preserve"> </w:t>
      </w:r>
      <w:r>
        <w:t xml:space="preserve">o superior según</w:t>
      </w:r>
      <w:r>
        <w:t xml:space="preserve"> </w:t>
      </w:r>
      <w:r>
        <w:t xml:space="preserve">los criterios de</w:t>
      </w:r>
      <w:r>
        <w:t xml:space="preserve"> </w:t>
      </w:r>
      <w:r>
        <w:t xml:space="preserve">Koo and Li (2016)</w:t>
      </w:r>
      <w:r>
        <w:t xml:space="preserve">.</w:t>
      </w:r>
    </w:p>
    <w:p>
      <w:pPr>
        <w:pStyle w:val="Textoindependiente"/>
        <w:spacing w:line="360" w:lineRule="auto"/>
        <w:jc w:val="both"/>
      </w:pPr>
      <w:r>
        <w:rPr>
          <w:b/>
          <w:bCs/>
        </w:rPr>
        <w:t xml:space="preserve">Alcance.</w:t>
      </w:r>
      <w:r>
        <w:t xml:space="preserve"> </w:t>
      </w:r>
      <w:r>
        <w:t xml:space="preserve">EXP4 evalúa la fiabilidad del instrumento de medición semántico,</w:t>
      </w:r>
      <w:r>
        <w:t xml:space="preserve"> </w:t>
      </w:r>
      <w:r>
        <w:t xml:space="preserve">no la calidad de los métodos explicadores. Sus resultados no modifican las</w:t>
      </w:r>
      <w:r>
        <w:t xml:space="preserve"> </w:t>
      </w:r>
      <w:r>
        <w:t xml:space="preserve">conclusiones confirmativas de H1–H3; aportan evidencia sobre el diseño de</w:t>
      </w:r>
      <w:r>
        <w:t xml:space="preserve"> </w:t>
      </w:r>
      <w:r>
        <w:t xml:space="preserve">rúbricas para evaluación semántica futura. EXP4 tiene carácter exploratorio y</w:t>
      </w:r>
      <w:r>
        <w:t xml:space="preserve"> </w:t>
      </w:r>
      <w:r>
        <w:t xml:space="preserve">no genera hipótesis confirmativas propias; su resultado se clasifica como</w:t>
      </w:r>
      <w:r>
        <w:t xml:space="preserve"> </w:t>
      </w:r>
      <w:r>
        <w:t xml:space="preserve">proposición de calibración P2, declarada con su estatuto epistémico diferenciado</w:t>
      </w:r>
      <w:r>
        <w:t xml:space="preserve"> </w:t>
      </w:r>
      <w:r>
        <w:t xml:space="preserve">en el Capítulo 1 y reportada en los Capítulos 5 y 6.</w:t>
      </w:r>
    </w:p>
    <w:p>
      <w:pPr>
        <w:pStyle w:val="Textoindependiente"/>
        <w:spacing w:line="360" w:lineRule="auto"/>
        <w:jc w:val="both"/>
      </w:pPr>
      <w:r>
        <w:t xml:space="preserve">Este capítulo ha operacionalizado el protocolo FOM-7 y ha establecido las</w:t>
      </w:r>
      <w:r>
        <w:t xml:space="preserve"> </w:t>
      </w:r>
      <w:r>
        <w:t xml:space="preserve">condiciones bajo las cuales los resultados del Capítulo 4 son estadísticamente</w:t>
      </w:r>
      <w:r>
        <w:t xml:space="preserve"> </w:t>
      </w:r>
      <w:r>
        <w:t xml:space="preserve">admisibles: 275 artefactos calificados de 300 planificados, con separación</w:t>
      </w:r>
      <w:r>
        <w:t xml:space="preserve"> </w:t>
      </w:r>
      <w:r>
        <w:t xml:space="preserve">EXP1/EXP2, semillas declarativas, auditoría de integridad y plan inferencial</w:t>
      </w:r>
      <w:r>
        <w:t xml:space="preserve"> </w:t>
      </w:r>
      <w:r>
        <w:t xml:space="preserve">fijado antes de la ejecución confirmativa. Los estudios complementarios EXP3 y</w:t>
      </w:r>
      <w:r>
        <w:t xml:space="preserve"> </w:t>
      </w:r>
      <w:r>
        <w:t xml:space="preserve">EXP4 amplían la evidencia disponible sin alterar el protocolo confirmativo</w:t>
      </w:r>
      <w:r>
        <w:t xml:space="preserve"> </w:t>
      </w:r>
      <w:r>
        <w:t xml:space="preserve">central. El Capítulo 4 presenta los resultados de H1, H2, H3 y P1; el Capítulo 5</w:t>
      </w:r>
      <w:r>
        <w:t xml:space="preserve"> </w:t>
      </w:r>
      <w:r>
        <w:t xml:space="preserve">incorpora los resultados de EXP4 como componente empírico de la taxonomía.</w:t>
      </w:r>
    </w:p>
    <w:bookmarkEnd w:id="100"/>
    <w:bookmarkEnd w:id="101"/>
    <w:bookmarkEnd w:id="102"/>
    <w:bookmarkStart w:id="160" w:name="resultados-y-discusión"/>
    <w:p>
      <w:pPr>
        <w:pStyle w:val="Ttulo1"/>
        <w:spacing w:line="360" w:lineRule="auto"/>
        <w:jc w:val="both"/>
      </w:pPr>
      <w:r>
        <w:t xml:space="preserve">Resultados y discusión</w:t>
      </w:r>
    </w:p>
    <w:p>
      <w:pPr>
        <w:pStyle w:val="FirstParagraph"/>
        <w:spacing w:line="360" w:lineRule="auto"/>
        <w:jc w:val="both"/>
      </w:pPr>
      <w:r>
        <w:t xml:space="preserve">Este capítulo presenta los resultados empíricos de los Estudios A y B del</w:t>
      </w:r>
      <w:r>
        <w:t xml:space="preserve"> </w:t>
      </w:r>
      <w:r>
        <w:t xml:space="preserve">benchmark XAI, organizados conforme a las hipótesis y proposición de trabajo</w:t>
      </w:r>
      <w:r>
        <w:t xml:space="preserve"> </w:t>
      </w:r>
      <w:r>
        <w:t xml:space="preserve">establecidas en el Capítulo 1. La exposición sigue la secuencia lógica del</w:t>
      </w:r>
      <w:r>
        <w:t xml:space="preserve"> </w:t>
      </w:r>
      <w:r>
        <w:t xml:space="preserve">protocolo FOM-7: primero se documentan los resultados del análisis omnibus</w:t>
      </w:r>
      <w:r>
        <w:t xml:space="preserve"> </w:t>
      </w:r>
      <w:r>
        <w:t xml:space="preserve">(Estudio A), luego el análisis pareado SHAP-LIME (Estudio B), y finalmente</w:t>
      </w:r>
      <w:r>
        <w:t xml:space="preserve"> </w:t>
      </w:r>
      <w:r>
        <w:t xml:space="preserve">la verificación de la proposición de reproducibilidad (P1). La discusión</w:t>
      </w:r>
      <w:r>
        <w:t xml:space="preserve"> </w:t>
      </w:r>
      <w:r>
        <w:t xml:space="preserve">integradora al final del capítulo articula los hallazgos con la literatura y</w:t>
      </w:r>
      <w:r>
        <w:t xml:space="preserve"> </w:t>
      </w:r>
      <w:r>
        <w:t xml:space="preserve">deriva criterios operativos de selección de métodos.</w:t>
      </w:r>
    </w:p>
    <w:p>
      <w:pPr>
        <w:pStyle w:val="Textoindependiente"/>
        <w:spacing w:line="360" w:lineRule="auto"/>
        <w:jc w:val="both"/>
      </w:pPr>
      <w:r>
        <w:t xml:space="preserve">Todos los valores reportados en este capítulo se calcularon a partir de los</w:t>
      </w:r>
      <w:r>
        <w:t xml:space="preserve"> </w:t>
      </w:r>
      <w:r>
        <w:t xml:space="preserve">artefactos de la etapa de benchmark primario de robustez (EXP2), compuesta</w:t>
      </w:r>
      <w:r>
        <w:t xml:space="preserve"> </w:t>
      </w:r>
      <w:r>
        <w:t xml:space="preserve">por 275 celdas calificadas del diseño factorial</w:t>
      </w:r>
      <w:r>
        <w:t xml:space="preserve"> </w:t>
      </w:r>
      <ns1:oMath>
        <ns1:r>
          <ns1:t>5</ns1:t>
        </ns1:r>
        <ns1:r>
          <ns1:rPr>
            <ns1:sty ns1:val="p"/>
          </ns1:rPr>
          <ns1:t>×</ns1:t>
        </ns1:r>
        <ns1:r>
          <ns1:t>4</ns1:t>
        </ns1:r>
        <ns1:r>
          <ns1:rPr>
            <ns1:sty ns1:val="p"/>
          </ns1:rPr>
          <ns1:t>×</ns1:t>
        </ns1:r>
        <ns1:r>
          <ns1:t>5</ns1:t>
        </ns1:r>
        <ns1:r>
          <ns1:rPr>
            <ns1:sty ns1:val="p"/>
          </ns1:rPr>
          <ns1:t>×</ns1:t>
        </ns1:r>
        <ns1:r>
          <ns1:t>3</ns1:t>
        </ns1:r>
      </ns1:oMath>
      <w:r>
        <w:t xml:space="preserve">.</w:t>
      </w:r>
      <w:r>
        <w:t xml:space="preserve"> </w:t>
      </w:r>
      <w:r>
        <w:t xml:space="preserve">Las 25 celdas faltantes (todas ellas del tipo Anchors o DiCE) fueron excluidas</w:t>
      </w:r>
      <w:r>
        <w:t xml:space="preserve"> </w:t>
      </w:r>
      <w:r>
        <w:t xml:space="preserve">por la puerta 3 del protocolo y no afectan las pruebas confirmativas (véase</w:t>
      </w:r>
      <w:r>
        <w:t xml:space="preserve"> </w:t>
      </w:r>
      <w:r>
        <w:t xml:space="preserve">Capítulo 3, sección de cobertura y calificación).</w:t>
      </w:r>
    </w:p>
    <w:bookmarkStart w:id="104" w:name="X265f56e886428ba30debc49e85dcc5a7469d3ae"/>
    <w:p>
      <w:pPr>
        <w:pStyle w:val="Ttulo2"/>
        <w:spacing w:line="360" w:lineRule="auto"/>
        <w:jc w:val="both"/>
      </w:pPr>
      <w:r>
        <w:t xml:space="preserve">Descripción general de la cobertura analítica</w:t>
      </w:r>
    </w:p>
    <w:p>
      <w:pPr>
        <w:pStyle w:val="FirstParagraph"/>
        <w:spacing w:line="360" w:lineRule="auto"/>
        <w:jc w:val="both"/>
      </w:pPr>
      <w:r>
        <w:t xml:space="preserve">Antes de presentar las pruebas confirmativas, conviene establecer la</w:t>
      </w:r>
      <w:r>
        <w:t xml:space="preserve"> </w:t>
      </w:r>
      <w:r>
        <w:t xml:space="preserve">distribución real de los datos. De las 300 celdas planificadas en EXP2</w:t>
      </w:r>
      <w:r>
        <w:t xml:space="preserve"> </w:t>
      </w:r>
      <w:r>
        <w:t xml:space="preserve">(</w:t>
      </w:r>
      <ns1:oMath>
        <ns1: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oMath>
      <w:r>
        <w:t xml:space="preserve">), se</w:t>
      </w:r>
      <w:r>
        <w:t xml:space="preserve"> </w:t>
      </w:r>
      <w:r>
        <w:t xml:space="preserve">obtuvieron artefactos calificados en 275, distribuidos como sigue:</w:t>
      </w:r>
    </w:p>
    <w:p>
      <w:pPr>
        <w:numPr>
          <w:ilvl w:val="0"/>
          <w:numId w:val="1012"/>
        </w:numPr>
        <w:spacing w:line="360" w:lineRule="auto"/>
        <w:jc w:val="both"/>
      </w:pPr>
      <w:r>
        <w:rPr>
          <w:b/>
          <w:bCs/>
        </w:rPr>
        <w:t xml:space="preserve">SHAP</w:t>
      </w:r>
      <w:r>
        <w:t xml:space="preserve">: 75 de 75 celdas (100%). La superposición de recuperación</w:t>
      </w:r>
      <w:r>
        <w:t xml:space="preserve"> </w:t>
      </w:r>
      <w:r>
        <w:t xml:space="preserve">(</w:t>
      </w:r>
      <w:r>
        <w:rPr>
          <w:rStyle w:val="VerbatimChar"/>
        </w:rPr>
        <w:t xml:space="preserve">outputs/batch_results.csv</w:t>
      </w:r>
      <w:r>
        <w:t xml:space="preserve">) completa la única celda físicamente faltante</w:t>
      </w:r>
      <w:r>
        <w:t xml:space="preserve"> </w:t>
      </w:r>
      <w:r>
        <w:t xml:space="preserve">del árbol</w:t>
      </w:r>
      <w:r>
        <w:t xml:space="preserve"> </w:t>
      </w:r>
      <w:r>
        <w:rPr>
          <w:rStyle w:val="VerbatimChar"/>
        </w:rPr>
        <w:t xml:space="preserve">exp2_scaled</w:t>
      </w:r>
      <w:r>
        <w:t xml:space="preserve"> </w:t>
      </w:r>
      <w:r>
        <w:t xml:space="preserve">(</w:t>
      </w:r>
      <w:r>
        <w:rPr>
          <w:rStyle w:val="VerbatimChar"/>
        </w:rPr>
        <w:t xml:space="preserve">svm_shap_s456_n200</w:t>
      </w:r>
      <w:r>
        <w:t xml:space="preserve">) y sustituye las ejecuciones</w:t>
      </w:r>
      <w:r>
        <w:t xml:space="preserve"> </w:t>
      </w:r>
      <w:r>
        <w:t xml:space="preserve">SHAP de</w:t>
      </w:r>
      <w:r>
        <w:t xml:space="preserve"> </w:t>
      </w:r>
      <w:r>
        <w:rPr>
          <w:rStyle w:val="VerbatimChar"/>
        </w:rPr>
        <w:t xml:space="preserve">mlp</w:t>
      </w:r>
      <w:r>
        <w:t xml:space="preserve">/</w:t>
      </w:r>
      <w:r>
        <w:rPr>
          <w:rStyle w:val="VerbatimChar"/>
        </w:rPr>
        <w:t xml:space="preserve">svm</w:t>
      </w:r>
      <w:r>
        <w:t xml:space="preserve"> </w:t>
      </w:r>
      <w:r>
        <w:t xml:space="preserve">para evitar sesgos por truncamiento de tiempo.</w:t>
      </w:r>
    </w:p>
    <w:p>
      <w:pPr>
        <w:numPr>
          <w:ilvl w:val="0"/>
          <w:numId w:val="1012"/>
        </w:numPr>
        <w:spacing w:line="360" w:lineRule="auto"/>
        <w:jc w:val="both"/>
      </w:pPr>
      <w:r>
        <w:rPr>
          <w:b/>
          <w:bCs/>
        </w:rPr>
        <w:t xml:space="preserve">LIME</w:t>
      </w:r>
      <w:r>
        <w:t xml:space="preserve">: 75 de 75 celdas (100%). Cobertura completa.</w:t>
      </w:r>
    </w:p>
    <w:p>
      <w:pPr>
        <w:numPr>
          <w:ilvl w:val="0"/>
          <w:numId w:val="1012"/>
        </w:numPr>
        <w:spacing w:line="360" w:lineRule="auto"/>
        <w:jc w:val="both"/>
      </w:pPr>
      <w:r>
        <w:rPr>
          <w:b/>
          <w:bCs/>
        </w:rPr>
        <w:t xml:space="preserve">DiCE</w:t>
      </w:r>
      <w:r>
        <w:t xml:space="preserve">: 68 de 75 celdas (90.7%). Las 7 celdas faltantes se distribuyen</w:t>
      </w:r>
      <w:r>
        <w:t xml:space="preserve"> </w:t>
      </w:r>
      <w:r>
        <w:t xml:space="preserve">entre varias combinaciones con semillas específicas (2 en</w:t>
      </w:r>
      <w:r>
        <w:t xml:space="preserve"> </w:t>
      </w:r>
      <w:r>
        <w:rPr>
          <w:rStyle w:val="VerbatimChar"/>
        </w:rPr>
        <w:t xml:space="preserve">logreg_dice</w:t>
      </w:r>
      <w:r>
        <w:t xml:space="preserve">, 2 en</w:t>
      </w:r>
      <w:r>
        <w:t xml:space="preserve"> </w:t>
      </w:r>
      <w:r>
        <w:rPr>
          <w:rStyle w:val="VerbatimChar"/>
        </w:rPr>
        <w:t xml:space="preserve">mlp_dice</w:t>
      </w:r>
      <w:r>
        <w:t xml:space="preserve">, 2 en</w:t>
      </w:r>
      <w:r>
        <w:t xml:space="preserve"> </w:t>
      </w:r>
      <w:r>
        <w:rPr>
          <w:rStyle w:val="VerbatimChar"/>
        </w:rPr>
        <w:t xml:space="preserve">svm_dice</w:t>
      </w:r>
      <w:r>
        <w:t xml:space="preserve"> </w:t>
      </w:r>
      <w:r>
        <w:t xml:space="preserve">y 1 en</w:t>
      </w:r>
      <w:r>
        <w:t xml:space="preserve"> </w:t>
      </w:r>
      <w:r>
        <w:rPr>
          <w:rStyle w:val="VerbatimChar"/>
        </w:rPr>
        <w:t xml:space="preserve">xgb_dice</w:t>
      </w:r>
      <w:r>
        <w:t xml:space="preserve">).</w:t>
      </w:r>
    </w:p>
    <w:p>
      <w:pPr>
        <w:numPr>
          <w:ilvl w:val="0"/>
          <w:numId w:val="1012"/>
        </w:numPr>
        <w:spacing w:line="360" w:lineRule="auto"/>
        <w:jc w:val="both"/>
      </w:pPr>
      <w:r>
        <w:rPr>
          <w:b/>
          <w:bCs/>
        </w:rPr>
        <w:t xml:space="preserve">Anchors</w:t>
      </w:r>
      <w:r>
        <w:t xml:space="preserve">: 57 de 75 celdas (76.0%). Las 18 celdas faltantes se concentran</w:t>
      </w:r>
      <w:r>
        <w:t xml:space="preserve"> </w:t>
      </w:r>
      <w:r>
        <w:t xml:space="preserve">en</w:t>
      </w:r>
      <w:r>
        <w:t xml:space="preserve"> </w:t>
      </w:r>
      <w:r>
        <w:rPr>
          <w:rStyle w:val="VerbatimChar"/>
        </w:rPr>
        <w:t xml:space="preserve">logreg_anchors</w:t>
      </w:r>
      <w:r>
        <w:t xml:space="preserve"> </w:t>
      </w:r>
      <w:r>
        <w:t xml:space="preserve">y</w:t>
      </w:r>
      <w:r>
        <w:t xml:space="preserve"> </w:t>
      </w:r>
      <w:r>
        <w:rPr>
          <w:rStyle w:val="VerbatimChar"/>
        </w:rPr>
        <w:t xml:space="preserve">mlp_anchors</w:t>
      </w:r>
      <w:r>
        <w:t xml:space="preserve"> </w:t>
      </w:r>
      <w:r>
        <w:t xml:space="preserve">(con 2 celdas adicionales en</w:t>
      </w:r>
      <w:r>
        <w:t xml:space="preserve"> </w:t>
      </w:r>
      <w:r>
        <w:rPr>
          <w:rStyle w:val="VerbatimChar"/>
        </w:rPr>
        <w:t xml:space="preserve">xgb_anchors</w:t>
      </w:r>
      <w:r>
        <w:t xml:space="preserve">) y reflejan la falta de convergencia del algoritmo a una regla</w:t>
      </w:r>
      <w:r>
        <w:t xml:space="preserve"> </w:t>
      </w:r>
      <w:r>
        <w:t xml:space="preserve">con precisión ≥ 0.95 dentro del límite de búsqueda.</w:t>
      </w:r>
    </w:p>
    <w:p>
      <w:pPr>
        <w:pStyle w:val="FirstParagraph"/>
        <w:spacing w:line="360" w:lineRule="auto"/>
        <w:jc w:val="both"/>
      </w:pPr>
      <w:r>
        <w:t xml:space="preserve">Para el análisis Friedman (H1 y H2), se utilizan los 15 bloques completos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w:t>
      </w:r>
      <w:r>
        <w:rPr>
          <w:i/>
          <w:iCs/>
        </w:rPr>
        <w:t xml:space="preserve">model-size blocks</w:t>
      </w:r>
      <w:r>
        <w:t xml:space="preserve">) para los cuales los cuatro métodos disponen de</w:t>
      </w:r>
      <w:r>
        <w:t xml:space="preserve"> </w:t>
      </w:r>
      <w:r>
        <w:t xml:space="preserve">al menos una ejecución calificada (véase Capítulo 3). Para el análisis pareado</w:t>
      </w:r>
      <w:r>
        <w:t xml:space="preserve"> </w:t>
      </w:r>
      <w:r>
        <w:t xml:space="preserve">SHAP-LIME (H3), se utilizan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coincidentes en las que</w:t>
      </w:r>
      <w:r>
        <w:t xml:space="preserve"> </w:t>
      </w:r>
      <w:r>
        <w:t xml:space="preserve">ambos métodos producen resultados calificados.</w:t>
      </w:r>
    </w:p>
    <w:p>
      <w:pPr>
        <w:pStyle w:val="Textoindependiente"/>
        <w:spacing w:line="360" w:lineRule="auto"/>
        <w:jc w:val="both"/>
      </w:pPr>
      <w:r>
        <w:t xml:space="preserve">La Tabla</w:t>
      </w:r>
      <w:r>
        <w:t xml:space="preserve"> </w:t>
      </w:r>
      <w:hyperlink w:anchor="tbl-results-overview">
        <w:r>
          <w:rPr>
            <w:rStyle w:val="Hipervnculo"/>
          </w:rPr>
          <w:t xml:space="preserve">Table 5.1</w:t>
        </w:r>
      </w:hyperlink>
      <w:r>
        <w:t xml:space="preserve"> </w:t>
      </w:r>
      <w:r>
        <w:t xml:space="preserve">resume las decisiones inferenciales principales</w:t>
      </w:r>
      <w:r>
        <w:t xml:space="preserve"> </w:t>
      </w:r>
      <w:r>
        <w:t xml:space="preserve">antes de desarrollar cada resultado. Su función es separar la evidencia</w:t>
      </w:r>
      <w:r>
        <w:t xml:space="preserve"> </w:t>
      </w:r>
      <w:r>
        <w:t xml:space="preserve">estadística de la interpretación sustantiva y hacer explícita la unidad de</w:t>
      </w:r>
      <w:r>
        <w:t xml:space="preserve"> </w:t>
      </w:r>
      <w:r>
        <w:t xml:space="preserve">análisis de cada claim.</w:t>
      </w:r>
    </w:p>
    <w:tbl>
      <w:tblPr>
        <w:tblStyle w:val="Table"/>
        <w:tblW w:type="pct" w:w="5000"/>
        <w:tblLayout w:type="fixed"/>
        <w:tblLook w:firstRow="0" w:lastRow="0" w:firstColumn="0" w:lastColumn="0" w:noHBand="0" w:noVBand="0" w:val="0000"/>
      </w:tblPr>
      <w:tblGrid>
        <w:gridCol w:w="7920"/>
      </w:tblGrid>
      <w:tr>
        <w:tc>
          <w:tcPr/>
          <w:bookmarkStart w:id="103" w:name="tbl-results-overview"/>
          <w:p>
            <w:pPr>
              <w:jc w:val="both"/>
              <w:spacing w:line="360" w:lineRule="auto"/>
            </w:pPr>
            <w:pPr>
              <w:jc w:val="left"/>
              <w:spacing w:before="200"/>
              <w:pStyle w:val="ImageCaption"/>
            </w:pPr>
            <w:r>
              <w:t xml:space="preserve">Table 5.1: Resumen auditable de hipótesis, pruebas y decisiones.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Test</w:t>
                  </w:r>
                </w:p>
              </w:tc>
              <w:tc>
                <w:tcPr/>
                <w:p>
                  <w:pPr>
                    <w:pStyle w:val="Compact"/>
                    <w:jc w:val="both"/>
                    <w:jc w:val="center"/>
                    <w:spacing w:line="360" w:lineRule="auto"/>
                  </w:pPr>
                  <w:r>
                    <w:t xml:space="preserve">Unidad /</w:t>
                  </w:r>
                  <w:r>
                    <w:t xml:space="preserve"> </w:t>
                  </w:r>
                  <ns1:oMath>
                    <ns1:r>
                      <ns1:t>n</ns1:t>
                    </ns1:r>
                  </ns1:oMath>
                </w:p>
              </w:tc>
              <w:tc>
                <w:tcPr/>
                <w:p>
                  <w:pPr>
                    <w:pStyle w:val="Compact"/>
                    <w:jc w:val="both"/>
                    <w:jc w:val="center"/>
                    <w:spacing w:line="360" w:lineRule="auto"/>
                  </w:pPr>
                  <w:r>
                    <w:t xml:space="preserve">Estadístico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Efecto</w:t>
                  </w:r>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H1: existen diferencias de fidelidad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42.12</ns1:t>
                    </ns1:r>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0.936</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r>
                    <w:t xml:space="preserve">; SHAP supera a Anchors/DiCE y LIME supera a DiCE</w:t>
                  </w:r>
                </w:p>
              </w:tc>
            </w:tr>
            <w:tr>
              <w:tc>
                <w:tcPr/>
                <w:p>
                  <w:pPr>
                    <w:pStyle w:val="Compact"/>
                    <w:jc w:val="both"/>
                    <w:jc w:val="center"/>
                    <w:spacing w:line="360" w:lineRule="auto"/>
                  </w:pPr>
                  <w:r>
                    <w:t xml:space="preserve">H2: existen diferencias de estabilidad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40.68</ns1:t>
                    </ns1:r>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0.904</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r>
                    <w:t xml:space="preserve">; SHAP/DiCE forman el grupo más estable</w:t>
                  </w:r>
                </w:p>
              </w:tc>
            </w:tr>
            <w:tr>
              <w:tc>
                <w:tcPr/>
                <w:p>
                  <w:pPr>
                    <w:pStyle w:val="Compact"/>
                    <w:jc w:val="both"/>
                    <w:jc w:val="center"/>
                    <w:spacing w:line="360" w:lineRule="auto"/>
                  </w:pPr>
                  <w:r>
                    <w:t xml:space="preserve">H3: SHAP y LIME difieren en calidad-coste</w:t>
                  </w:r>
                </w:p>
              </w:tc>
              <w:tc>
                <w:tcPr/>
                <w:p>
                  <w:pPr>
                    <w:pStyle w:val="Compact"/>
                    <w:jc w:val="both"/>
                    <w:jc w:val="center"/>
                    <w:spacing w:line="360" w:lineRule="auto"/>
                  </w:pPr>
                  <w:r>
                    <w:t xml:space="preserve">Wilcoxon pareado bilateral</w:t>
                  </w:r>
                </w:p>
              </w:tc>
              <w:tc>
                <w:tcPr/>
                <w:p>
                  <w:pPr>
                    <w:pStyle w:val="Compact"/>
                    <w:jc w:val="both"/>
                    <w:jc w:val="center"/>
                    <w:spacing w:line="360" w:lineRule="auto"/>
                  </w:pPr>
                  <w:r>
                    <w:t xml:space="preserve">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p>
              </w:tc>
              <w:tc>
                <w:tcPr/>
                <w:p>
                  <w:pPr>
                    <w:pStyle w:val="Compact"/>
                    <w:jc w:val="both"/>
                    <w:jc w:val="center"/>
                    <w:spacing w:line="360" w:lineRule="auto"/>
                  </w:pPr>
                  <ns1:oMath>
                    <ns1:r>
                      <ns1:t>W</ns1:t>
                    </ns1:r>
                    <ns1:r>
                      <ns1:rPr>
                        <ns1:sty ns1:val="p"/>
                      </ns1:rPr>
                      <ns1:t>=</ns1:t>
                    </ns1:r>
                    <ns1:r>
                      <ns1:t>0</ns1:t>
                    </ns1:r>
                  </ns1:oMath>
                  <w:r>
                    <w:t xml:space="preserve"> </w:t>
                  </w:r>
                  <w:r>
                    <w:t xml:space="preserve">a</w:t>
                  </w:r>
                  <w:r>
                    <w:t xml:space="preserve"> </w:t>
                  </w:r>
                  <ns1:oMath>
                    <ns1:r>
                      <ns1:t>205</ns1:t>
                    </ns1:r>
                  </ns1:oMath>
                </w:p>
              </w:tc>
              <w:tc>
                <w:tcPr/>
                <w:p>
                  <w:pPr>
                    <w:pStyle w:val="Compact"/>
                    <w:jc w:val="both"/>
                    <w:jc w:val="center"/>
                    <w:spacing w:line="360" w:lineRule="auto"/>
                  </w:pPr>
                  <ns1:oMath>
                    <ns1:r>
                      <ns1:rPr>
                        <ns1:sty ns1:val="p"/>
                      </ns1:rPr>
                      <ns1:t>≤</ns1:t>
                    </ns1:r>
                    <ns1:r>
                      <ns1:t>2.64</ns1:t>
                    </ns1:r>
                    <ns1:r>
                      <ns1:rPr>
                        <ns1:sty ns1:val="p"/>
                      </ns1:rPr>
                      <ns1:t>×</ns1:t>
                    </ns1:r>
                    <ns1:sSup>
                      <ns1:e>
                        <ns1:r>
                          <ns1:t>10</ns1:t>
                        </ns1:r>
                      </ns1:e>
                      <ns1:sup>
                        <ns1:r>
                          <ns1:rPr>
                            <ns1:sty ns1:val="p"/>
                          </ns1:rPr>
                          <ns1:t>−</ns1:t>
                        </ns1:r>
                        <ns1:r>
                          <ns1:t>13</ns1:t>
                        </ns1:r>
                      </ns1:sup>
                    </ns1:sSup>
                  </ns1:oMath>
                  <w:r>
                    <w:t xml:space="preserve"> </w:t>
                  </w:r>
                  <w:r>
                    <w:t xml:space="preserve">para calidad;</w:t>
                  </w:r>
                  <w:r>
                    <w:t xml:space="preserve"> </w:t>
                  </w:r>
                  <ns1:oMath>
                    <ns1:r>
                      <ns1:t>1.18</ns1:t>
                    </ns1:r>
                    <ns1:r>
                      <ns1:rPr>
                        <ns1:sty ns1:val="p"/>
                      </ns1:rPr>
                      <ns1:t>×</ns1:t>
                    </ns1:r>
                    <ns1:sSup>
                      <ns1:e>
                        <ns1:r>
                          <ns1:t>10</ns1:t>
                        </ns1:r>
                      </ns1:e>
                      <ns1:sup>
                        <ns1:r>
                          <ns1:rPr>
                            <ns1:sty ns1:val="p"/>
                          </ns1:rPr>
                          <ns1:t>−</ns1:t>
                        </ns1:r>
                        <ns1:r>
                          <ns1:t>10</ns1:t>
                        </ns1:r>
                      </ns1:sup>
                    </ns1:sSup>
                  </ns1:oMath>
                  <w:r>
                    <w:t xml:space="preserve"> </w:t>
                  </w:r>
                  <w:r>
                    <w:t xml:space="preserve">para coste</w:t>
                  </w:r>
                </w:p>
              </w:tc>
              <w:tc>
                <w:tcPr/>
                <w:p>
                  <w:pPr>
                    <w:pStyle w:val="Compact"/>
                    <w:jc w:val="both"/>
                    <w:jc w:val="center"/>
                    <w:spacing w:line="360" w:lineRule="auto"/>
                  </w:pPr>
                  <ns1:oMath>
                    <ns1:sSub>
                      <ns1:e>
                        <ns1:r>
                          <ns1:t>d</ns1:t>
                        </ns1:r>
                      </ns1:e>
                      <ns1:sub>
                        <ns1:r>
                          <ns1:t>z</ns1:t>
                        </ns1:r>
                      </ns1:sub>
                    </ns1:sSub>
                    <ns1:r>
                      <ns1:rPr>
                        <ns1:sty ns1:val="p"/>
                      </ns1:rPr>
                      <ns1:t>=</ns1:t>
                    </ns1:r>
                    <ns1:r>
                      <ns1:t>0.451</ns1:t>
                    </ns1:r>
                  </ns1:oMath>
                  <w:r>
                    <w:t xml:space="preserve"> </w:t>
                  </w:r>
                  <w:r>
                    <w:t xml:space="preserve">a</w:t>
                  </w:r>
                  <w:r>
                    <w:t xml:space="preserve"> </w:t>
                  </w:r>
                  <ns1:oMath>
                    <ns1:r>
                      <ns1:t>4.820</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3</ns1:t>
                        </ns1:r>
                      </ns1:sub>
                    </ns1:sSub>
                  </ns1:oMath>
                  <w:r>
                    <w:t xml:space="preserve">; SHAP mejora calidad y aumenta coste medio</w:t>
                  </w:r>
                </w:p>
              </w:tc>
            </w:tr>
            <w:tr>
              <w:tc>
                <w:tcPr/>
                <w:p>
                  <w:pPr>
                    <w:pStyle w:val="Compact"/>
                    <w:jc w:val="both"/>
                    <w:jc w:val="center"/>
                    <w:spacing w:line="360" w:lineRule="auto"/>
                  </w:pPr>
                  <w:r>
                    <w:t xml:space="preserve">P1: el protocolo es reproducible bajo semillas</w:t>
                  </w:r>
                </w:p>
              </w:tc>
              <w:tc>
                <w:tcPr/>
                <w:p>
                  <w:pPr>
                    <w:pStyle w:val="Compact"/>
                    <w:jc w:val="both"/>
                    <w:jc w:val="center"/>
                    <w:spacing w:line="360" w:lineRule="auto"/>
                  </w:pPr>
                  <w:r>
                    <w:t xml:space="preserve">CV sobre el estrato replicado</w:t>
                  </w:r>
                </w:p>
              </w:tc>
              <w:tc>
                <w:tcPr/>
                <w:p>
                  <w:pPr>
                    <w:pStyle w:val="Compact"/>
                    <w:jc w:val="both"/>
                    <w:jc w:val="center"/>
                    <w:spacing w:line="360" w:lineRule="auto"/>
                  </w:pPr>
                  <w:r>
                    <w:t xml:space="preserve">5 semillas RF,</w:t>
                  </w:r>
                  <w:r>
                    <w:t xml:space="preserve"> </w:t>
                  </w:r>
                  <ns1:oMath>
                    <ns1:r>
                      <ns1:t>N</ns1:t>
                    </ns1:r>
                    <ns1:r>
                      <ns1:rPr>
                        <ns1:sty ns1:val="p"/>
                      </ns1:rPr>
                      <ns1:t>=</ns1:t>
                    </ns1:r>
                    <ns1:r>
                      <ns1:t>100</ns1:t>
                    </ns1:r>
                  </ns1:oMath>
                </w:p>
              </w:tc>
              <w:tc>
                <w:tcPr/>
                <w:p>
                  <w:pPr>
                    <w:pStyle w:val="Compact"/>
                    <w:jc w:val="both"/>
                    <w:jc w:val="center"/>
                    <w:spacing w:line="360" w:lineRule="auto"/>
                  </w:pPr>
                  <w:r>
                    <w:t xml:space="preserve">CV por métrica</w:t>
                  </w:r>
                </w:p>
              </w:tc>
              <w:tc>
                <w:tcPr/>
                <w:p>
                  <w:pPr>
                    <w:pStyle w:val="Compact"/>
                    <w:jc w:val="both"/>
                    <w:jc w:val="center"/>
                    <w:spacing w:line="360" w:lineRule="auto"/>
                  </w:pPr>
                  <w:r>
                    <w:t xml:space="preserve">No aplica</w:t>
                  </w:r>
                </w:p>
              </w:tc>
              <w:tc>
                <w:tcPr/>
                <w:p>
                  <w:pPr>
                    <w:pStyle w:val="Compact"/>
                    <w:jc w:val="both"/>
                    <w:jc w:val="center"/>
                    <w:spacing w:line="360" w:lineRule="auto"/>
                  </w:pPr>
                  <w:r>
                    <w:t xml:space="preserve">CV &lt; 3% en señales principales</w:t>
                  </w:r>
                </w:p>
              </w:tc>
              <w:tc>
                <w:tcPr/>
                <w:p>
                  <w:pPr>
                    <w:pStyle w:val="Compact"/>
                    <w:jc w:val="both"/>
                    <w:jc w:val="center"/>
                    <w:spacing w:line="360" w:lineRule="auto"/>
                  </w:pPr>
                  <w:r>
                    <w:t xml:space="preserve">Confirmación parcial; LIME-estabilidad queda fuera por media cercana a cero</w:t>
                  </w:r>
                </w:p>
              </w:tc>
            </w:tr>
          </w:tbl>
          <w:bookmarkEnd w:id="103"/>
          <w:p>
            <w:pPr>
              <w:spacing w:line="360" w:lineRule="auto"/>
              <w:jc w:val="both"/>
            </w:pPr>
          </w:p>
        </w:tc>
      </w:tr>
    </w:tbl>
    <w:bookmarkEnd w:id="104"/>
    <w:bookmarkStart w:id="110" w:name="sec-estudio-a"/>
    <w:p>
      <w:pPr>
        <w:pStyle w:val="Ttulo2"/>
        <w:spacing w:line="360" w:lineRule="auto"/>
        <w:jc w:val="both"/>
      </w:pPr>
      <w:r>
        <w:t xml:space="preserve">Estudio A: Análisis omnibus multimétrico (H1 y H2)</w:t>
      </w:r>
    </w:p>
    <w:bookmarkStart w:id="107" w:name="X41be5df394949178755daa825e68dc45d5470c0"/>
    <w:p>
      <w:pPr>
        <w:pStyle w:val="Ttulo3"/>
        <w:spacing w:line="360" w:lineRule="auto"/>
        <w:jc w:val="both"/>
      </w:pPr>
      <w:r>
        <w:t xml:space="preserve">H1: Diferencias entre métodos en fidelidad</w:t>
      </w:r>
    </w:p>
    <w:p>
      <w:pPr>
        <w:pStyle w:val="FirstParagraph"/>
        <w:spacing w:line="360" w:lineRule="auto"/>
        <w:jc w:val="both"/>
      </w:pPr>
      <w:r>
        <w:t xml:space="preserve">La prueba de Friedman para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sobre la métrica de fidelidad</w:t>
      </w:r>
      <w:r>
        <w:t xml:space="preserve"> </w:t>
      </w:r>
      <w:r>
        <w:t xml:space="preserve">arrojó una estadística</w:t>
      </w:r>
      <w:r>
        <w:t xml:space="preserve"> </w:t>
      </w:r>
      <ns1:oMath>
        <ns1:sSubSup>
          <ns1:e>
            <ns1:r>
              <ns1:t>χ</ns1:t>
            </ns1:r>
          </ns1:e>
          <ns1:sub>
            <ns1:r>
              <ns1:t>F</ns1:t>
            </ns1:r>
          </ns1:sub>
          <ns1:sup>
            <ns1:r>
              <ns1:t>2</ns1:t>
            </ns1:r>
          </ns1:sup>
        </ns1:sSubSup>
        <ns1:r>
          <ns1:rPr>
            <ns1:sty ns1:val="p"/>
          </ns1:rPr>
          <ns1:t>=</ns1:t>
        </ns1:r>
        <ns1:r>
          <ns1:t>42.12</ns1:t>
        </ns1:r>
      </ns1:oMath>
      <w:r>
        <w:t xml:space="preserve"> </w:t>
      </w:r>
      <w:r>
        <w:t xml:space="preserve">con</w:t>
      </w:r>
      <w:r>
        <w:t xml:space="preserve"> </w:t>
      </w:r>
      <ns1:oMath>
        <ns1:r>
          <ns1:t>k</ns1:t>
        </ns1:r>
        <ns1:r>
          <ns1:rPr>
            <ns1:sty ns1:val="p"/>
          </ns1:rPr>
          <ns1:t>−</ns1:t>
        </ns1:r>
        <ns1:r>
          <ns1:t>1</ns1:t>
        </ns1:r>
        <ns1:r>
          <ns1:rPr>
            <ns1:sty ns1:val="p"/>
          </ns1:rPr>
          <ns1:t>=</ns1:t>
        </ns1:r>
        <ns1:r>
          <ns1:t>3</ns1:t>
        </ns1:r>
      </ns1:oMath>
      <w:r>
        <w:t xml:space="preserve"> </w:t>
      </w:r>
      <w:r>
        <w:t xml:space="preserve">grados de libertad</w:t>
      </w:r>
      <w:r>
        <w:t xml:space="preserve"> </w:t>
      </w:r>
      <w:r>
        <w:t xml:space="preserve">sobre</w:t>
      </w:r>
      <w:r>
        <w:t xml:space="preserve"> </w:t>
      </w:r>
      <ns1:oMath>
        <ns1:r>
          <ns1:t>n</ns1:t>
        </ns1:r>
        <ns1:r>
          <ns1:rPr>
            <ns1:sty ns1:val="p"/>
          </ns1:rPr>
          <ns1:t>=</ns1:t>
        </ns1:r>
        <ns1:r>
          <ns1:t>15</ns1:t>
        </ns1:r>
      </ns1:oMath>
      <w:r>
        <w:t xml:space="preserve"> </w:t>
      </w:r>
      <w:r>
        <w:t xml:space="preserve">bloques completos. El valor crítico para</w:t>
      </w:r>
      <w:r>
        <w:t xml:space="preserve"> </w:t>
      </w:r>
      <ns1:oMath>
        <ns1:r>
          <ns1:t>α</ns1:t>
        </ns1:r>
        <ns1:r>
          <ns1:rPr>
            <ns1:sty ns1:val="p"/>
          </ns1:rPr>
          <ns1:t>=</ns1:t>
        </ns1:r>
        <ns1:r>
          <ns1:t>0.05</ns1:t>
        </ns1:r>
      </ns1:oMath>
      <w:r>
        <w:t xml:space="preserve"> </w:t>
      </w:r>
      <w:r>
        <w:t xml:space="preserve">es</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de modo que el margen de seguridad inferencial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sSubSup>
                <ns1:e>
                  <ns1:r>
                    <ns1:t>χ</ns1:t>
                  </ns1:r>
                </ns1:e>
                <ns1:sub>
                  <ns1:r>
                    <ns1:t>F</ns1:t>
                  </ns1:r>
                </ns1:sub>
                <ns1:sup>
                  <ns1:r>
                    <ns1:t>2</ns1:t>
                  </ns1:r>
                </ns1:sup>
              </ns1:sSubSup>
              <ns1:r>
                <ns1:rPr>
                  <ns1:sty ns1:val="p"/>
                </ns1:rPr>
                <ns1:t>−</ns1:t>
              </ns1:r>
              <ns1:sSubSup>
                <ns1:e>
                  <ns1:r>
                    <ns1:t>χ</ns1:t>
                  </ns1:r>
                </ns1:e>
                <ns1:sub>
                  <ns1:r>
                    <ns1:t>c</ns1:t>
                  </ns1:r>
                  <ns1:r>
                    <ns1:t>r</ns1:t>
                  </ns1:r>
                  <ns1:r>
                    <ns1:t>i</ns1:t>
                  </ns1:r>
                  <ns1:r>
                    <ns1:t>t</ns1:t>
                  </ns1:r>
                </ns1:sub>
                <ns1:sup>
                  <ns1:r>
                    <ns1:t>2</ns1:t>
                  </ns1:r>
                </ns1:sup>
              </ns1:sSubSup>
            </ns1:num>
            <ns1:den>
              <ns1:sSubSup>
                <ns1:e>
                  <ns1:r>
                    <ns1:t>χ</ns1:t>
                  </ns1:r>
                </ns1:e>
                <ns1:sub>
                  <ns1:r>
                    <ns1:t>c</ns1:t>
                  </ns1:r>
                  <ns1:r>
                    <ns1:t>r</ns1:t>
                  </ns1:r>
                  <ns1:r>
                    <ns1:t>i</ns1:t>
                  </ns1:r>
                  <ns1:r>
                    <ns1:t>t</ns1:t>
                  </ns1:r>
                </ns1:sub>
                <ns1:sup>
                  <ns1:r>
                    <ns1:t>2</ns1:t>
                  </ns1:r>
                </ns1:sup>
              </ns1:sSubSup>
            </ns1:den>
          </ns1:f>
          <ns1:r>
            <ns1:rPr>
              <ns1:sty ns1:val="p"/>
            </ns1:rPr>
            <ns1:t>×</ns1:t>
          </ns1:r>
          <ns1:r>
            <ns1:t>100</ns1:t>
          </ns1:r>
          <ns1:r>
            <ns1:rPr>
              <ns1:sty ns1:val="p"/>
            </ns1:rPr>
            <ns1:t>=</ns1:t>
          </ns1:r>
          <ns1:f>
            <ns1:fPr>
              <ns1:type ns1:val="bar"/>
            </ns1:fPr>
            <ns1:num>
              <ns1:r>
                <ns1:t>42.12</ns1:t>
              </ns1:r>
              <ns1:r>
                <ns1:rPr>
                  <ns1:sty ns1:val="p"/>
                </ns1:rPr>
                <ns1:t>−</ns1:t>
              </ns1:r>
              <ns1:r>
                <ns1:t>7.815</ns1:t>
              </ns1:r>
            </ns1:num>
            <ns1:den>
              <ns1:r>
                <ns1:t>7.815</ns1:t>
              </ns1:r>
            </ns1:den>
          </ns1:f>
          <ns1:r>
            <ns1:rPr>
              <ns1:sty ns1:val="p"/>
            </ns1:rPr>
            <ns1:t>×</ns1:t>
          </ns1:r>
          <ns1:r>
            <ns1:t>100</ns1:t>
          </ns1:r>
          <ns1:r>
            <ns1:rPr>
              <ns1:sty ns1:val="p"/>
            </ns1:rPr>
            <ns1:t>=</ns1:t>
          </ns1:r>
          <ns1:r>
            <ns1:t>439</ns1:t>
          </ns1:r>
          <ns1:r>
            <ns1:rPr>
              <ns1:sty ns1:val="p"/>
            </ns1:rPr>
            <ns1:t>%</ns1:t>
          </ns1:r>
        </ns1:oMath>
      </ns1:oMathPara>
    </w:p>
    <w:p>
      <w:pPr>
        <w:pStyle w:val="FirstParagraph"/>
        <w:spacing w:line="360" w:lineRule="auto"/>
        <w:jc w:val="both"/>
      </w:pPr>
      <w:r>
        <w:t xml:space="preserve">Este resultado rechaza</w:t>
      </w:r>
      <w:r>
        <w:t xml:space="preserve"> </w:t>
      </w:r>
      <ns1:oMath>
        <ns1:sSub>
          <ns1:e>
            <ns1:r>
              <ns1:t>H</ns1:t>
            </ns1:r>
          </ns1:e>
          <ns1:sub>
            <ns1:r>
              <ns1:t>0</ns1:t>
            </ns1:r>
            <ns1:r>
              <ns1:rPr>
                <ns1:sty ns1:val="p"/>
              </ns1:rPr>
              <ns1:t>,</ns1:t>
            </ns1:r>
            <ns1:r>
              <ns1:t>1</ns1:t>
            </ns1:r>
          </ns1:sub>
        </ns1:sSub>
      </ns1:oMath>
      <w:r>
        <w:t xml:space="preserve"> </w:t>
      </w:r>
      <w:r>
        <w:t xml:space="preserve">con una holgura de más de cinco veces el</w:t>
      </w:r>
      <w:r>
        <w:t xml:space="preserve"> </w:t>
      </w:r>
      <w:r>
        <w:t xml:space="preserve">umbral crítico, lo que ofrece evidencia fuerte de diferencias sistemáticas</w:t>
      </w:r>
      <w:r>
        <w:t xml:space="preserve"> </w:t>
      </w:r>
      <w:r>
        <w:t xml:space="preserve">entre métodos bajo las condiciones del benchmark. La distribución empírica de</w:t>
      </w:r>
      <w:r>
        <w:t xml:space="preserve"> </w:t>
      </w:r>
      <w:r>
        <w:t xml:space="preserve">los rangos muestra a SHAP en la primera posición en los 15 bloques, con LIME</w:t>
      </w:r>
      <w:r>
        <w:t xml:space="preserve"> </w:t>
      </w:r>
      <w:r>
        <w:t xml:space="preserve">como segundo en los 15 bloques y alternancia Anchors–DiCE en las posiciones</w:t>
      </w:r>
      <w:r>
        <w:t xml:space="preserve"> </w:t>
      </w:r>
      <w:r>
        <w:t xml:space="preserve">3–4:</w:t>
      </w:r>
    </w:p>
    <w:tbl>
      <w:tblPr>
        <w:tblStyle w:val="Table"/>
        <w:tblW w:type="pct" w:w="5000"/>
        <w:tblLayout w:type="fixed"/>
        <w:tblLook w:firstRow="0" w:lastRow="0" w:firstColumn="0" w:lastColumn="0" w:noHBand="0" w:noVBand="0" w:val="0000"/>
      </w:tblPr>
      <w:tblGrid>
        <w:gridCol w:w="7920"/>
      </w:tblGrid>
      <w:tr>
        <w:tc>
          <w:tcPr/>
          <w:bookmarkStart w:id="105" w:name="tbl-friedman-fidelity"/>
          <w:p>
            <w:pPr>
              <w:jc w:val="both"/>
              <w:spacing w:line="360" w:lineRule="auto"/>
            </w:pPr>
            <w:pPr>
              <w:jc w:val="left"/>
              <w:spacing w:before="200"/>
              <w:pStyle w:val="ImageCaption"/>
            </w:pPr>
            <w:r>
              <w:t xml:space="preserve">Table 5.2: Suma y media de rangos de fidelidad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Posición</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1.ª</w:t>
                  </w:r>
                </w:p>
              </w:tc>
            </w:tr>
            <w:tr>
              <w:tc>
                <w:tcPr/>
                <w:p>
                  <w:pPr>
                    <w:pStyle w:val="Compact"/>
                    <w:jc w:val="both"/>
                    <w:spacing w:line="360" w:lineRule="auto"/>
                  </w:pPr>
                  <w:r>
                    <w:t xml:space="preserve">LIME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2.ª</w:t>
                  </w:r>
                </w:p>
              </w:tc>
            </w:tr>
            <w:tr>
              <w:tc>
                <w:tcPr/>
                <w:p>
                  <w:pPr>
                    <w:pStyle w:val="Compact"/>
                    <w:jc w:val="both"/>
                    <w:spacing w:line="360" w:lineRule="auto"/>
                  </w:pPr>
                  <w:r>
                    <w:t xml:space="preserve">Anchors</w:t>
                  </w:r>
                </w:p>
              </w:tc>
              <w:tc>
                <w:tcPr/>
                <w:p>
                  <w:pPr>
                    <w:pStyle w:val="Compact"/>
                    <w:jc w:val="both"/>
                    <w:spacing w:line="360" w:lineRule="auto"/>
                  </w:pPr>
                  <w:r>
                    <w:t xml:space="preserve">48</w:t>
                  </w:r>
                </w:p>
              </w:tc>
              <w:tc>
                <w:tcPr/>
                <w:p>
                  <w:pPr>
                    <w:pStyle w:val="Compact"/>
                    <w:jc w:val="both"/>
                    <w:spacing w:line="360" w:lineRule="auto"/>
                  </w:pPr>
                  <w:r>
                    <w:t xml:space="preserve">3.200</w:t>
                  </w:r>
                </w:p>
              </w:tc>
              <w:tc>
                <w:tcPr/>
                <w:p>
                  <w:pPr>
                    <w:pStyle w:val="Compact"/>
                    <w:jc w:val="both"/>
                    <w:spacing w:line="360" w:lineRule="auto"/>
                  </w:pPr>
                  <w:r>
                    <w:t xml:space="preserve">3.ª</w:t>
                  </w:r>
                </w:p>
              </w:tc>
            </w:tr>
            <w:tr>
              <w:tc>
                <w:tcPr/>
                <w:p>
                  <w:pPr>
                    <w:pStyle w:val="Compact"/>
                    <w:jc w:val="both"/>
                    <w:spacing w:line="360" w:lineRule="auto"/>
                  </w:pPr>
                  <w:r>
                    <w:t xml:space="preserve">DiCE</w:t>
                  </w:r>
                </w:p>
              </w:tc>
              <w:tc>
                <w:tcPr/>
                <w:p>
                  <w:pPr>
                    <w:pStyle w:val="Compact"/>
                    <w:jc w:val="both"/>
                    <w:spacing w:line="360" w:lineRule="auto"/>
                  </w:pPr>
                  <w:r>
                    <w:t xml:space="preserve">57</w:t>
                  </w:r>
                </w:p>
              </w:tc>
              <w:tc>
                <w:tcPr/>
                <w:p>
                  <w:pPr>
                    <w:pStyle w:val="Compact"/>
                    <w:jc w:val="both"/>
                    <w:spacing w:line="360" w:lineRule="auto"/>
                  </w:pPr>
                  <w:r>
                    <w:t xml:space="preserve">3.800</w:t>
                  </w:r>
                </w:p>
              </w:tc>
              <w:tc>
                <w:tcPr/>
                <w:p>
                  <w:pPr>
                    <w:pStyle w:val="Compact"/>
                    <w:jc w:val="both"/>
                    <w:spacing w:line="360" w:lineRule="auto"/>
                  </w:pPr>
                  <w:r>
                    <w:t xml:space="preserve">4.ª</w:t>
                  </w:r>
                </w:p>
              </w:tc>
            </w:tr>
          </w:tbl>
          <w:bookmarkEnd w:id="105"/>
          <w:p>
            <w:pPr>
              <w:spacing w:line="360" w:lineRule="auto"/>
              <w:jc w:val="both"/>
            </w:pPr>
          </w:p>
        </w:tc>
      </w:tr>
    </w:tbl>
    <w:p>
      <w:pPr>
        <w:pStyle w:val="Textoindependiente"/>
        <w:spacing w:line="360" w:lineRule="auto"/>
        <w:jc w:val="both"/>
      </w:pPr>
      <w:r>
        <w:t xml:space="preserve">El hecho de que SHAP obtenga rango 1 en la totalidad de los 15 bloques</w:t>
      </w:r>
      <w:r>
        <w:t xml:space="preserve"> </w:t>
      </w:r>
      <w:r>
        <w:t xml:space="preserve">(suma = 15, media = 1.000) implica que en ningún contexto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ningún otro método superó a SHAP en fidelidad. Las medias brutas (promedio</w:t>
      </w:r>
      <w:r>
        <w:t xml:space="preserve"> </w:t>
      </w:r>
      <ns1:oMath>
        <ns1:r>
          <ns1:rPr>
            <ns1:sty ns1:val="p"/>
          </ns1:rPr>
          <ns1:t>±</ns1:t>
        </ns1:r>
      </ns1:oMath>
      <w:r>
        <w:t xml:space="preserve"> </w:t>
      </w:r>
      <w:r>
        <w:t xml:space="preserve">desviación estándar entre bloques) son: SHAP = 0.808</w:t>
      </w:r>
      <w:r>
        <w:t xml:space="preserve"> </w:t>
      </w:r>
      <ns1:oMath>
        <ns1:r>
          <ns1:rPr>
            <ns1:sty ns1:val="p"/>
          </ns1:rPr>
          <ns1:t>±</ns1:t>
        </ns1:r>
      </ns1:oMath>
      <w:r>
        <w:t xml:space="preserve"> </w:t>
      </w:r>
      <w:r>
        <w:t xml:space="preserve">0.093, LIME = 0.560</w:t>
      </w:r>
      <w:r>
        <w:t xml:space="preserve"> </w:t>
      </w:r>
      <ns1:oMath>
        <ns1:r>
          <ns1:rPr>
            <ns1:sty ns1:val="p"/>
          </ns1:rPr>
          <ns1:t>±</ns1:t>
        </ns1:r>
      </ns1:oMath>
      <w:r>
        <w:t xml:space="preserve"> </w:t>
      </w:r>
      <w:r>
        <w:t xml:space="preserve">0.068, Anchors = 0.389</w:t>
      </w:r>
      <w:r>
        <w:t xml:space="preserve"> </w:t>
      </w:r>
      <ns1:oMath>
        <ns1:r>
          <ns1:rPr>
            <ns1:sty ns1:val="p"/>
          </ns1:rPr>
          <ns1:t>±</ns1:t>
        </ns1:r>
      </ns1:oMath>
      <w:r>
        <w:t xml:space="preserve"> </w:t>
      </w:r>
      <w:r>
        <w:t xml:space="preserve">0.100, DiCE = 0.170</w:t>
      </w:r>
      <w:r>
        <w:t xml:space="preserve"> </w:t>
      </w:r>
      <ns1:oMath>
        <ns1:r>
          <ns1:rPr>
            <ns1:sty ns1:val="p"/>
          </ns1:rPr>
          <ns1:t>±</ns1:t>
        </ns1:r>
      </ns1:oMath>
      <w:r>
        <w:t xml:space="preserve"> </w:t>
      </w:r>
      <w:r>
        <w:t xml:space="preserve">0.103.</w:t>
      </w:r>
    </w:p>
    <w:p>
      <w:pPr>
        <w:pStyle w:val="Textoindependiente"/>
        <w:spacing w:line="360" w:lineRule="auto"/>
        <w:jc w:val="both"/>
      </w:pPr>
      <w:r>
        <w:t xml:space="preserve">La escala de fidelidad es acotada en</w:t>
      </w:r>
      <w:r>
        <w:t xml:space="preserve"> </w:t>
      </w:r>
      <ns1:oMath>
        <ns1:r>
          <ns1:rPr>
            <ns1:sty ns1:val="p"/>
          </ns1:rPr>
          <ns1:t>[</ns1:t>
        </ns1:r>
        <ns1:r>
          <ns1:t>0</ns1:t>
        </ns1:r>
        <ns1:r>
          <ns1:rPr>
            <ns1:sty ns1:val="p"/>
          </ns1:rPr>
          <ns1:t>,</ns1:t>
        </ns1:r>
        <ns1:r>
          <ns1:t>1</ns1:t>
        </ns1:r>
        <ns1:r>
          <ns1:rPr>
            <ns1:sty ns1:val="p"/>
          </ns1:rPr>
          <ns1:t>]</ns1:t>
        </ns1:r>
      </ns1:oMath>
      <w:r>
        <w:t xml:space="preserve"> </w:t>
      </w:r>
      <w:r>
        <w:t xml:space="preserve">(correlación entre importancias</w:t>
      </w:r>
      <w:r>
        <w:t xml:space="preserve"> </w:t>
      </w:r>
      <w:r>
        <w:t xml:space="preserve">y efecto de enmascaramiento): valores superiores a 0.80 señalan explicaciones</w:t>
      </w:r>
      <w:r>
        <w:t xml:space="preserve"> </w:t>
      </w:r>
      <w:r>
        <w:t xml:space="preserve">que capturan fielmente el comportamiento local del modelo; valores inferiores</w:t>
      </w:r>
      <w:r>
        <w:t xml:space="preserve"> </w:t>
      </w:r>
      <w:r>
        <w:t xml:space="preserve">a 0.40 indican explicaciones poco representativas. Bajo estos criterios, SHAP</w:t>
      </w:r>
      <w:r>
        <w:t xml:space="preserve"> </w:t>
      </w:r>
      <w:r>
        <w:t xml:space="preserve">opera consistentemente en zona alta de fidelidad, LIME en zona media, y tanto</w:t>
      </w:r>
      <w:r>
        <w:t xml:space="preserve"> </w:t>
      </w:r>
      <w:r>
        <w:t xml:space="preserve">Anchors como DiCE en zona baja-media. La fidelidad baja de DiCE no es</w:t>
      </w:r>
      <w:r>
        <w:t xml:space="preserve"> </w:t>
      </w:r>
      <w:r>
        <w:t xml:space="preserve">sorprendente: como método contrafactual, DiCE no optimiza la correlación de</w:t>
      </w:r>
      <w:r>
        <w:t xml:space="preserve"> </w:t>
      </w:r>
      <w:r>
        <w:t xml:space="preserve">importancias, sino la generación de ejemplos alternativos, de modo que la</w:t>
      </w:r>
      <w:r>
        <w:t xml:space="preserve"> </w:t>
      </w:r>
      <w:r>
        <w:t xml:space="preserve">métrica de fidelidad captura una dimensión de calidad que no es el objetivo de</w:t>
      </w:r>
      <w:r>
        <w:t xml:space="preserve"> </w:t>
      </w:r>
      <w:r>
        <w:t xml:space="preserve">diseño primario de este método.</w:t>
      </w:r>
    </w:p>
    <w:p>
      <w:pPr>
        <w:pStyle w:val="Textoindependiente"/>
        <w:spacing w:line="360" w:lineRule="auto"/>
        <w:jc w:val="both"/>
      </w:pPr>
      <w:r>
        <w:rPr>
          <w:b/>
          <w:bCs/>
        </w:rPr>
        <w:t xml:space="preserve">Localización post-hoc (Nemenyi):</w:t>
      </w:r>
      <w:r>
        <w:t xml:space="preserve"> </w:t>
      </w:r>
      <w:r>
        <w:t xml:space="preserve">La diferencia crítica para comparaciones</w:t>
      </w:r>
      <w:r>
        <w:t xml:space="preserve"> </w:t>
      </w:r>
      <w:r>
        <w:t xml:space="preserve">pareadas con</w:t>
      </w:r>
      <w:r>
        <w:t xml:space="preserve"> </w:t>
      </w:r>
      <ns1:oMath>
        <ns1:r>
          <ns1:t>α</ns1:t>
        </ns1:r>
        <ns1:r>
          <ns1:rPr>
            <ns1:sty ns1:val="p"/>
          </ns1:rPr>
          <ns1:t>=</ns1:t>
        </ns1:r>
        <ns1:r>
          <ns1:t>0.05</ns1:t>
        </ns1:r>
      </ns1:oMath>
      <w:r>
        <w:t xml:space="preserve">,</w:t>
      </w:r>
      <w:r>
        <w:t xml:space="preserve"> </w:t>
      </w:r>
      <ns1:oMath>
        <ns1:r>
          <ns1:t>k</ns1:t>
        </ns1:r>
        <ns1:r>
          <ns1:rPr>
            <ns1:sty ns1:val="p"/>
          </ns1:rPr>
          <ns1:t>=</ns1:t>
        </ns1:r>
        <ns1:r>
          <ns1:t>4</ns1:t>
        </ns1:r>
      </ns1:oMath>
      <w:r>
        <w:t xml:space="preserve"> </w:t>
      </w:r>
      <w:r>
        <w:t xml:space="preserve">y</w:t>
      </w:r>
      <w:r>
        <w:t xml:space="preserve"> </w:t>
      </w:r>
      <ns1:oMath>
        <ns1:r>
          <ns1:t>n</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t>C</ns1:t>
          </ns1:r>
          <ns1:r>
            <ns1:t>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n</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2.569</ns1:t>
          </ns1:r>
          <ns1:r>
            <ns1:rPr>
              <ns1:sty ns1:val="p"/>
            </ns1:rPr>
            <ns1:t>×</ns1:t>
          </ns1:r>
          <ns1:r>
            <ns1:t>0.4714</ns1:t>
          </ns1:r>
          <ns1:r>
            <ns1:rPr>
              <ns1:sty ns1:val="p"/>
            </ns1:rPr>
            <ns1:t>=</ns1:t>
          </ns1:r>
          <ns1:r>
            <ns1:t>1.211</ns1:t>
          </ns1:r>
        </ns1:oMath>
      </ns1:oMathPara>
    </w:p>
    <w:p>
      <w:pPr>
        <w:pStyle w:val="FirstParagraph"/>
        <w:spacing w:line="360" w:lineRule="auto"/>
        <w:jc w:val="both"/>
      </w:pPr>
      <w:r>
        <w:t xml:space="preserve">Donde</w:t>
      </w:r>
      <w:r>
        <w:t xml:space="preserve"> </w:t>
      </w:r>
      <ns1:oMath>
        <ns1:sSub>
          <ns1:e>
            <ns1:r>
              <ns1:t>q</ns1:t>
            </ns1:r>
          </ns1:e>
          <ns1:sub>
            <ns1:r>
              <ns1:t>α</ns1:t>
            </ns1:r>
          </ns1:sub>
        </ns1:sSub>
        <ns1:r>
          <ns1:rPr>
            <ns1:sty ns1:val="p"/>
          </ns1:rPr>
          <ns1:t>=</ns1:t>
        </ns1:r>
        <ns1:r>
          <ns1:t>2.569</ns1:t>
        </ns1:r>
      </ns1:oMath>
      <w:r>
        <w:t xml:space="preserve"> </w:t>
      </w:r>
      <w:r>
        <w:t xml:space="preserve">es el valor crítico de la distribución de Nemenyi para</w:t>
      </w:r>
      <w:r>
        <w:t xml:space="preserve"> </w:t>
      </w:r>
      <ns1:oMath>
        <ns1:r>
          <ns1:t>k</ns1:t>
        </ns1:r>
        <ns1:r>
          <ns1:rPr>
            <ns1:sty ns1:val="p"/>
          </ns1:rPr>
          <ns1:t>=</ns1:t>
        </ns1:r>
        <ns1:r>
          <ns1:t>4</ns1:t>
        </ns1:r>
      </ns1:oMath>
      <w:r>
        <w:t xml:space="preserve"> </w:t>
      </w:r>
      <w:r>
        <w:t xml:space="preserve">con</w:t>
      </w:r>
      <w:r>
        <w:t xml:space="preserve"> </w:t>
      </w:r>
      <ns1:oMath>
        <ns1:r>
          <ns1:t>α</ns1:t>
        </ns1:r>
        <ns1:r>
          <ns1:rPr>
            <ns1:sty ns1:val="p"/>
          </ns1:rPr>
          <ns1:t>=</ns1:t>
        </ns1:r>
        <ns1:r>
          <ns1:t>0.05</ns1:t>
        </ns1:r>
      </ns1:oMath>
      <w:r>
        <w:t xml:space="preserve"> </w:t>
      </w:r>
      <w:r>
        <w:t xml:space="preserve">(Demšar 2006)</w:t>
      </w:r>
      <w:r>
        <w:t xml:space="preserve">. Las diferencias en rangos medios entre</w:t>
      </w:r>
      <w:r>
        <w:t xml:space="preserve"> </w:t>
      </w:r>
      <w:r>
        <w:t xml:space="preserve">todos los pares de métodos superan ampliamente esta diferencia crítica:</w:t>
      </w:r>
    </w:p>
    <w:tbl>
      <w:tblPr>
        <w:tblStyle w:val="Table"/>
        <w:tblW w:type="pct" w:w="5000"/>
        <w:tblLayout w:type="fixed"/>
        <w:tblLook w:firstRow="0" w:lastRow="0" w:firstColumn="0" w:lastColumn="0" w:noHBand="0" w:noVBand="0" w:val="0000"/>
      </w:tblPr>
      <w:tblGrid>
        <w:gridCol w:w="7920"/>
      </w:tblGrid>
      <w:tr>
        <w:tc>
          <w:tcPr/>
          <w:bookmarkStart w:id="106" w:name="tbl-nemenyi-fidelity"/>
          <w:p>
            <w:pPr>
              <w:jc w:val="both"/>
              <w:spacing w:line="360" w:lineRule="auto"/>
            </w:pPr>
            <w:pPr>
              <w:jc w:val="left"/>
              <w:spacing w:before="200"/>
              <w:pStyle w:val="ImageCaption"/>
            </w:pPr>
            <w:r>
              <w:t xml:space="preserve">Table 5.3: Comparaciones post-hoc de Nemenyi para fidelidad.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Par</w:t>
                  </w:r>
                </w:p>
              </w:tc>
              <w:tc>
                <w:tcPr/>
                <w:p>
                  <w:pPr>
                    <w:pStyle w:val="Compact"/>
                    <w:jc w:val="both"/>
                    <w:spacing w:line="360" w:lineRule="auto"/>
                  </w:pPr>
                  <ns1:oMath>
                    <ns1:r>
                      <ns1:rPr>
                        <ns1:sty ns1:val="p"/>
                      </ns1:rPr>
                      <ns1:t>|</ns1:t>
                    </ns1:r>
                    <ns1:sSub>
                      <ns1:e>
                        <ns1:r>
                          <ns1:t>R</ns1:t>
                        </ns1:r>
                      </ns1:e>
                      <ns1:sub>
                        <ns1:r>
                          <ns1:t>i</ns1:t>
                        </ns1:r>
                      </ns1:sub>
                    </ns1:sSub>
                    <ns1:r>
                      <ns1:rPr>
                        <ns1:sty ns1:val="p"/>
                      </ns1:rPr>
                      <ns1:t>−</ns1:t>
                    </ns1:r>
                    <ns1:sSub>
                      <ns1:e>
                        <ns1:r>
                          <ns1:t>R</ns1:t>
                        </ns1:r>
                      </ns1:e>
                      <ns1:sub>
                        <ns1:r>
                          <ns1:t>j</ns1:t>
                        </ns1:r>
                      </ns1:sub>
                    </ns1:sSub>
                    <ns1:r>
                      <ns1:rPr>
                        <ns1:sty ns1:val="p"/>
                      </ns1:rPr>
                      <ns1:t>|</ns1:t>
                    </ns1:r>
                  </ns1:oMath>
                </w:p>
              </w:tc>
              <w:tc>
                <w:tcPr/>
                <w:p>
                  <w:pPr>
                    <w:pStyle w:val="Compact"/>
                    <w:jc w:val="both"/>
                    <w:spacing w:line="360" w:lineRule="auto"/>
                  </w:pPr>
                  <w:r>
                    <w:t xml:space="preserve">CD</w:t>
                  </w:r>
                </w:p>
              </w:tc>
              <w:tc>
                <w:tcPr/>
                <w:p>
                  <w:pPr>
                    <w:pStyle w:val="Compact"/>
                    <w:jc w:val="both"/>
                    <w:spacing w:line="360" w:lineRule="auto"/>
                  </w:pPr>
                  <w:r>
                    <w:t xml:space="preserve">Significativo</w:t>
                  </w:r>
                </w:p>
              </w:tc>
            </w:tr>
            <w:tr>
              <w:tc>
                <w:tcPr/>
                <w:p>
                  <w:pPr>
                    <w:pStyle w:val="Compact"/>
                    <w:jc w:val="both"/>
                    <w:spacing w:line="360" w:lineRule="auto"/>
                  </w:pPr>
                  <w:r>
                    <w:t xml:space="preserve">SHAP vs. LIME</w:t>
                  </w:r>
                </w:p>
              </w:tc>
              <w:tc>
                <w:tcPr/>
                <w:p>
                  <w:pPr>
                    <w:pStyle w:val="Compact"/>
                    <w:jc w:val="both"/>
                    <w:spacing w:line="360" w:lineRule="auto"/>
                  </w:pPr>
                  <w:r>
                    <w:t xml:space="preserve">1.000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SHAP vs. Anchors</w:t>
                  </w:r>
                </w:p>
              </w:tc>
              <w:tc>
                <w:tcPr/>
                <w:p>
                  <w:pPr>
                    <w:pStyle w:val="Compact"/>
                    <w:jc w:val="both"/>
                    <w:spacing w:line="360" w:lineRule="auto"/>
                  </w:pPr>
                  <w:r>
                    <w:t xml:space="preserve">2.200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SHAP vs. DiCE</w:t>
                  </w:r>
                </w:p>
              </w:tc>
              <w:tc>
                <w:tcPr/>
                <w:p>
                  <w:pPr>
                    <w:pStyle w:val="Compact"/>
                    <w:jc w:val="both"/>
                    <w:spacing w:line="360" w:lineRule="auto"/>
                  </w:pPr>
                  <w:r>
                    <w:t xml:space="preserve">2.800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LIME vs. Anchors</w:t>
                  </w:r>
                </w:p>
              </w:tc>
              <w:tc>
                <w:tcPr/>
                <w:p>
                  <w:pPr>
                    <w:pStyle w:val="Compact"/>
                    <w:jc w:val="both"/>
                    <w:spacing w:line="360" w:lineRule="auto"/>
                  </w:pPr>
                  <w:r>
                    <w:t xml:space="preserve">1.200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LIME vs. DiCE</w:t>
                  </w:r>
                </w:p>
              </w:tc>
              <w:tc>
                <w:tcPr/>
                <w:p>
                  <w:pPr>
                    <w:pStyle w:val="Compact"/>
                    <w:jc w:val="both"/>
                    <w:spacing w:line="360" w:lineRule="auto"/>
                  </w:pPr>
                  <w:r>
                    <w:t xml:space="preserve">1.800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Anchors vs. DiCE</w:t>
                  </w:r>
                </w:p>
              </w:tc>
              <w:tc>
                <w:tcPr/>
                <w:p>
                  <w:pPr>
                    <w:pStyle w:val="Compact"/>
                    <w:jc w:val="both"/>
                    <w:spacing w:line="360" w:lineRule="auto"/>
                  </w:pPr>
                  <w:r>
                    <w:t xml:space="preserve">0.600</w:t>
                  </w:r>
                </w:p>
              </w:tc>
              <w:tc>
                <w:tcPr/>
                <w:p>
                  <w:pPr>
                    <w:pStyle w:val="Compact"/>
                    <w:jc w:val="both"/>
                    <w:spacing w:line="360" w:lineRule="auto"/>
                  </w:pPr>
                  <w:r>
                    <w:t xml:space="preserve">1.211</w:t>
                  </w:r>
                </w:p>
              </w:tc>
              <w:tc>
                <w:tcPr/>
                <w:p>
                  <w:pPr>
                    <w:pStyle w:val="Compact"/>
                    <w:jc w:val="both"/>
                    <w:spacing w:line="360" w:lineRule="auto"/>
                  </w:pPr>
                  <w:r>
                    <w:t xml:space="preserve">No</w:t>
                  </w:r>
                </w:p>
              </w:tc>
            </w:tr>
          </w:tbl>
          <w:bookmarkEnd w:id="106"/>
          <w:p>
            <w:pPr>
              <w:spacing w:line="360" w:lineRule="auto"/>
              <w:jc w:val="both"/>
            </w:pPr>
          </w:p>
        </w:tc>
      </w:tr>
    </w:tbl>
    <w:p>
      <w:pPr>
        <w:pStyle w:val="Textoindependiente"/>
        <w:spacing w:line="360" w:lineRule="auto"/>
        <w:jc w:val="both"/>
      </w:pPr>
      <w:r>
        <w:t xml:space="preserve">La localización Nemenyi es conservadora cuando</w:t>
      </w:r>
      <w:r>
        <w:t xml:space="preserve"> </w:t>
      </w:r>
      <ns1:oMath>
        <ns1:r>
          <ns1:t>n</ns1:t>
        </ns1:r>
      </ns1:oMath>
      <w:r>
        <w:t xml:space="preserve"> </w:t>
      </w:r>
      <w:r>
        <w:t xml:space="preserve">es pequeño. En fidelidad,</w:t>
      </w:r>
      <w:r>
        <w:t xml:space="preserve"> </w:t>
      </w:r>
      <w:r>
        <w:t xml:space="preserve">se distinguen de forma robusta SHAP frente a Anchors/DiCE y LIME frente a DiCE;</w:t>
      </w:r>
      <w:r>
        <w:t xml:space="preserve"> </w:t>
      </w:r>
      <w:r>
        <w:t xml:space="preserve">las diferencias SHAP–LIME y LIME–Anchors no superan el umbral crítico bajo este</w:t>
      </w:r>
      <w:r>
        <w:t xml:space="preserve"> </w:t>
      </w:r>
      <w:r>
        <w:t xml:space="preserve">procedimiento. Este resultado no contradice la dominancia observada de SHAP</w:t>
      </w:r>
      <w:r>
        <w:t xml:space="preserve"> </w:t>
      </w:r>
      <w:r>
        <w:t xml:space="preserve">en rangos, y motiva complementar el análisis global con el contraste pareado</w:t>
      </w:r>
      <w:r>
        <w:t xml:space="preserve"> </w:t>
      </w:r>
      <w:r>
        <w:t xml:space="preserve">SHAP–LIME del Estudio B.</w:t>
      </w:r>
    </w:p>
    <w:bookmarkEnd w:id="107"/>
    <w:bookmarkStart w:id="109" w:name="X117d71016dd8839ee57c9e60cc09d0400ac5f3d"/>
    <w:p>
      <w:pPr>
        <w:pStyle w:val="Ttulo3"/>
        <w:spacing w:line="360" w:lineRule="auto"/>
        <w:jc w:val="both"/>
      </w:pPr>
      <w:r>
        <w:t xml:space="preserve">H2: Diferencias entre métodos en estabilidad</w:t>
      </w:r>
    </w:p>
    <w:p>
      <w:pPr>
        <w:pStyle w:val="FirstParagraph"/>
        <w:spacing w:line="360" w:lineRule="auto"/>
        <w:jc w:val="both"/>
      </w:pPr>
      <w:r>
        <w:t xml:space="preserve">La prueba de Friedman para estabilidad arrojó</w:t>
      </w:r>
      <w:r>
        <w:t xml:space="preserve"> </w:t>
      </w:r>
      <ns1:oMath>
        <ns1:sSubSup>
          <ns1:e>
            <ns1:r>
              <ns1:t>χ</ns1:t>
            </ns1:r>
          </ns1:e>
          <ns1:sub>
            <ns1:r>
              <ns1:t>F</ns1:t>
            </ns1:r>
          </ns1:sub>
          <ns1:sup>
            <ns1:r>
              <ns1:t>2</ns1:t>
            </ns1:r>
          </ns1:sup>
        </ns1:sSubSup>
        <ns1:r>
          <ns1:rPr>
            <ns1:sty ns1:val="p"/>
          </ns1:rPr>
          <ns1:t>=</ns1:t>
        </ns1:r>
        <ns1:r>
          <ns1:t>40.68</ns1:t>
        </ns1:r>
      </ns1:oMath>
      <w:r>
        <w:t xml:space="preserve"> </w:t>
      </w:r>
      <w:r>
        <w:t xml:space="preserve">con</w:t>
      </w:r>
      <w:r>
        <w:t xml:space="preserve"> </w:t>
      </w:r>
      <ns1:oMath>
        <ns1:r>
          <ns1:t>n</ns1:t>
        </ns1:r>
        <ns1:r>
          <ns1:rPr>
            <ns1:sty ns1:val="p"/>
          </ns1:rPr>
          <ns1:t>=</ns1:t>
        </ns1:r>
        <ns1:r>
          <ns1:t>15</ns1:t>
        </ns1:r>
      </ns1:oMath>
      <w:r>
        <w:t xml:space="preserve"> </w:t>
      </w:r>
      <w:r>
        <w:t xml:space="preserve">bloques completos, lo que implica un margen de seguridad de:</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40.68</ns1:t>
              </ns1:r>
              <ns1:r>
                <ns1:rPr>
                  <ns1:sty ns1:val="p"/>
                </ns1:rPr>
                <ns1:t>−</ns1:t>
              </ns1:r>
              <ns1:r>
                <ns1:t>7.815</ns1:t>
              </ns1:r>
            </ns1:num>
            <ns1:den>
              <ns1:r>
                <ns1:t>7.815</ns1:t>
              </ns1:r>
            </ns1:den>
          </ns1:f>
          <ns1:r>
            <ns1:rPr>
              <ns1:sty ns1:val="p"/>
            </ns1:rPr>
            <ns1:t>×</ns1:t>
          </ns1:r>
          <ns1:r>
            <ns1:t>100</ns1:t>
          </ns1:r>
          <ns1:r>
            <ns1:rPr>
              <ns1:sty ns1:val="p"/>
            </ns1:rPr>
            <ns1:t>=</ns1:t>
          </ns1:r>
          <ns1:r>
            <ns1:t>421</ns1:t>
          </ns1:r>
          <ns1:r>
            <ns1:rPr>
              <ns1:sty ns1:val="p"/>
            </ns1:rPr>
            <ns1:t>%</ns1:t>
          </ns1:r>
        </ns1:oMath>
      </ns1:oMathPara>
    </w:p>
    <w:p>
      <w:pPr>
        <w:pStyle w:val="FirstParagraph"/>
        <w:spacing w:line="360" w:lineRule="auto"/>
        <w:jc w:val="both"/>
      </w:pPr>
      <ns1:oMath>
        <ns1:sSub>
          <ns1:e>
            <ns1:r>
              <ns1:t>H</ns1:t>
            </ns1:r>
          </ns1:e>
          <ns1:sub>
            <ns1:r>
              <ns1:t>0</ns1:t>
            </ns1:r>
            <ns1:r>
              <ns1:rPr>
                <ns1:sty ns1:val="p"/>
              </ns1:rPr>
              <ns1:t>,</ns1:t>
            </ns1:r>
            <ns1:r>
              <ns1:t>2</ns1:t>
            </ns1:r>
          </ns1:sub>
        </ns1:sSub>
      </ns1:oMath>
      <w:r>
        <w:t xml:space="preserve"> </w:t>
      </w:r>
      <w:r>
        <w:t xml:space="preserve">se rechaza con la misma holgura que</w:t>
      </w:r>
      <w:r>
        <w:t xml:space="preserve"> </w:t>
      </w:r>
      <ns1:oMath>
        <ns1:sSub>
          <ns1:e>
            <ns1:r>
              <ns1:t>H</ns1:t>
            </ns1:r>
          </ns1:e>
          <ns1:sub>
            <ns1:r>
              <ns1:t>0</ns1:t>
            </ns1:r>
            <ns1:r>
              <ns1:rPr>
                <ns1:sty ns1:val="p"/>
              </ns1:rPr>
              <ns1:t>,</ns1:t>
            </ns1:r>
            <ns1:r>
              <ns1:t>1</ns1:t>
            </ns1:r>
          </ns1:sub>
        </ns1:sSub>
      </ns1:oMath>
      <w:r>
        <w:t xml:space="preserve">. Sin embargo, el</w:t>
      </w:r>
      <w:r>
        <w:t xml:space="preserve"> </w:t>
      </w:r>
      <w:r>
        <w:t xml:space="preserve">ordenamiento de los métodos en estabilidad difiere sustancialmente del</w:t>
      </w:r>
      <w:r>
        <w:t xml:space="preserve"> </w:t>
      </w:r>
      <w:r>
        <w:t xml:space="preserve">observado en fidelidad, lo que constituye en sí mismo un hallazgo teórico</w:t>
      </w:r>
      <w:r>
        <w:t xml:space="preserve"> </w:t>
      </w:r>
      <w:r>
        <w:t xml:space="preserve">relevante: las dimensiones de calidad no están correlacionadas monótonamente.</w:t>
      </w:r>
    </w:p>
    <w:tbl>
      <w:tblPr>
        <w:tblStyle w:val="Table"/>
        <w:tblW w:type="pct" w:w="5000"/>
        <w:tblLayout w:type="fixed"/>
        <w:tblLook w:firstRow="0" w:lastRow="0" w:firstColumn="0" w:lastColumn="0" w:noHBand="0" w:noVBand="0" w:val="0000"/>
      </w:tblPr>
      <w:tblGrid>
        <w:gridCol w:w="7920"/>
      </w:tblGrid>
      <w:tr>
        <w:tc>
          <w:tcPr/>
          <w:bookmarkStart w:id="108" w:name="tbl-friedman-stability"/>
          <w:p>
            <w:pPr>
              <w:jc w:val="both"/>
              <w:spacing w:line="360" w:lineRule="auto"/>
            </w:pPr>
            <w:pPr>
              <w:jc w:val="left"/>
              <w:spacing w:before="200"/>
              <w:pStyle w:val="ImageCaption"/>
            </w:pPr>
            <w:r>
              <w:t xml:space="preserve">Table 5.4: Suma y media de rangos de estabilidad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Media bruta</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0.732</w:t>
                  </w:r>
                </w:p>
              </w:tc>
            </w:tr>
            <w:tr>
              <w:tc>
                <w:tcPr/>
                <w:p>
                  <w:pPr>
                    <w:pStyle w:val="Compact"/>
                    <w:jc w:val="both"/>
                    <w:spacing w:line="360" w:lineRule="auto"/>
                  </w:pPr>
                  <w:r>
                    <w:t xml:space="preserve">DiCE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0.361</w:t>
                  </w:r>
                </w:p>
              </w:tc>
            </w:tr>
            <w:tr>
              <w:tc>
                <w:tcPr/>
                <w:p>
                  <w:pPr>
                    <w:pStyle w:val="Compact"/>
                    <w:jc w:val="both"/>
                    <w:spacing w:line="360" w:lineRule="auto"/>
                  </w:pPr>
                  <w:r>
                    <w:t xml:space="preserve">LIME</w:t>
                  </w:r>
                </w:p>
              </w:tc>
              <w:tc>
                <w:tcPr/>
                <w:p>
                  <w:pPr>
                    <w:pStyle w:val="Compact"/>
                    <w:jc w:val="both"/>
                    <w:spacing w:line="360" w:lineRule="auto"/>
                  </w:pPr>
                  <w:r>
                    <w:t xml:space="preserve">51</w:t>
                  </w:r>
                </w:p>
              </w:tc>
              <w:tc>
                <w:tcPr/>
                <w:p>
                  <w:pPr>
                    <w:pStyle w:val="Compact"/>
                    <w:jc w:val="both"/>
                    <w:spacing w:line="360" w:lineRule="auto"/>
                  </w:pPr>
                  <w:r>
                    <w:t xml:space="preserve">3.400</w:t>
                  </w:r>
                </w:p>
              </w:tc>
              <w:tc>
                <w:tcPr/>
                <w:p>
                  <w:pPr>
                    <w:pStyle w:val="Compact"/>
                    <w:jc w:val="both"/>
                    <w:spacing w:line="360" w:lineRule="auto"/>
                  </w:pPr>
                  <w:r>
                    <w:t xml:space="preserve">0.014</w:t>
                  </w:r>
                </w:p>
              </w:tc>
            </w:tr>
            <w:tr>
              <w:tc>
                <w:tcPr/>
                <w:p>
                  <w:pPr>
                    <w:pStyle w:val="Compact"/>
                    <w:jc w:val="both"/>
                    <w:spacing w:line="360" w:lineRule="auto"/>
                  </w:pPr>
                  <w:r>
                    <w:t xml:space="preserve">Anchors</w:t>
                  </w:r>
                </w:p>
              </w:tc>
              <w:tc>
                <w:tcPr/>
                <w:p>
                  <w:pPr>
                    <w:pStyle w:val="Compact"/>
                    <w:jc w:val="both"/>
                    <w:spacing w:line="360" w:lineRule="auto"/>
                  </w:pPr>
                  <w:r>
                    <w:t xml:space="preserve">54</w:t>
                  </w:r>
                </w:p>
              </w:tc>
              <w:tc>
                <w:tcPr/>
                <w:p>
                  <w:pPr>
                    <w:pStyle w:val="Compact"/>
                    <w:jc w:val="both"/>
                    <w:spacing w:line="360" w:lineRule="auto"/>
                  </w:pPr>
                  <w:r>
                    <w:t xml:space="preserve">3.600</w:t>
                  </w:r>
                </w:p>
              </w:tc>
              <w:tc>
                <w:tcPr/>
                <w:p>
                  <w:pPr>
                    <w:pStyle w:val="Compact"/>
                    <w:jc w:val="both"/>
                    <w:spacing w:line="360" w:lineRule="auto"/>
                  </w:pPr>
                  <w:r>
                    <w:t xml:space="preserve">0.043</w:t>
                  </w:r>
                </w:p>
              </w:tc>
            </w:tr>
          </w:tbl>
          <w:bookmarkEnd w:id="108"/>
          <w:p>
            <w:pPr>
              <w:spacing w:line="360" w:lineRule="auto"/>
              <w:jc w:val="both"/>
            </w:pPr>
          </w:p>
        </w:tc>
      </w:tr>
    </w:tbl>
    <w:p>
      <w:pPr>
        <w:pStyle w:val="Textoindependiente"/>
        <w:spacing w:line="360" w:lineRule="auto"/>
        <w:jc w:val="both"/>
      </w:pPr>
      <w:r>
        <w:t xml:space="preserve">SHAP mantiene la primera posición en estabilidad (rango medio = 1.000), lo</w:t>
      </w:r>
      <w:r>
        <w:t xml:space="preserve"> </w:t>
      </w:r>
      <w:r>
        <w:t xml:space="preserve">que implica que ocupa el primer rango también en esta dimensión. DiCE, que ocupa el</w:t>
      </w:r>
      <w:r>
        <w:t xml:space="preserve"> </w:t>
      </w:r>
      <w:r>
        <w:t xml:space="preserve">último lugar en fidelidad, asciende a la segunda posición en estabilidad</w:t>
      </w:r>
      <w:r>
        <w:t xml:space="preserve"> </w:t>
      </w:r>
      <w:r>
        <w:t xml:space="preserve">(rango medio = 2.000; media bruta = 0.361), lo que refleja que las</w:t>
      </w:r>
      <w:r>
        <w:t xml:space="preserve"> </w:t>
      </w:r>
      <w:r>
        <w:t xml:space="preserve">explicaciones contrafactuales de DiCE tienen cierta coherencia estructural</w:t>
      </w:r>
      <w:r>
        <w:t xml:space="preserve"> </w:t>
      </w:r>
      <w:r>
        <w:t xml:space="preserve">aunque su correlación con la función del modelo sea baja. El resultado más</w:t>
      </w:r>
      <w:r>
        <w:t xml:space="preserve"> </w:t>
      </w:r>
      <w:r>
        <w:t xml:space="preserve">llamativo es la casi-nula estabilidad de LIME: su media bruta de 0.014</w:t>
      </w:r>
      <w:r>
        <w:t xml:space="preserve"> </w:t>
      </w:r>
      <w:r>
        <w:t xml:space="preserve">(similitud coseno en</w:t>
      </w:r>
      <w:r>
        <w:t xml:space="preserve"> </w:t>
      </w:r>
      <ns1:oMath>
        <ns1:r>
          <ns1:rPr>
            <ns1:sty ns1:val="p"/>
          </ns1:rPr>
          <ns1:t>[</ns1:t>
        </ns1:r>
        <ns1:r>
          <ns1:t>0</ns1:t>
        </ns1:r>
        <ns1:r>
          <ns1:rPr>
            <ns1:sty ns1:val="p"/>
          </ns1:rPr>
          <ns1:t>,</ns1:t>
        </ns1:r>
        <ns1:r>
          <ns1:t>1</ns1:t>
        </ns1:r>
        <ns1:r>
          <ns1:rPr>
            <ns1:sty ns1:val="p"/>
          </ns1:rPr>
          <ns1:t>]</ns1:t>
        </ns1:r>
      </ns1:oMath>
      <w:r>
        <w:t xml:space="preserve">) indica que explicaciones generadas sobre</w:t>
      </w:r>
      <w:r>
        <w:t xml:space="preserve"> </w:t>
      </w:r>
      <w:r>
        <w:t xml:space="preserve">instancias ligeramente perturbadas son prácticamente ortogonales entre sí.</w:t>
      </w:r>
      <w:r>
        <w:t xml:space="preserve"> </w:t>
      </w:r>
      <w:r>
        <w:t xml:space="preserve">Este es un rasgo conocido del diseño por muestreo local de LIME</w:t>
      </w:r>
      <w:r>
        <w:t xml:space="preserve"> </w:t>
      </w:r>
      <w:r>
        <w:t xml:space="preserve">(Ribeiro 2016)</w:t>
      </w:r>
      <w:r>
        <w:t xml:space="preserve">,</w:t>
      </w:r>
      <w:r>
        <w:t xml:space="preserve"> </w:t>
      </w:r>
      <w:r>
        <w:t xml:space="preserve">pero la cuantificación en este benchmark evidencia que la inestabilidad no es</w:t>
      </w:r>
      <w:r>
        <w:t xml:space="preserve"> </w:t>
      </w:r>
      <w:r>
        <w:t xml:space="preserve">marginal, sino estructural.</w:t>
      </w:r>
    </w:p>
    <w:p>
      <w:pPr>
        <w:pStyle w:val="Textoindependiente"/>
        <w:spacing w:line="360" w:lineRule="auto"/>
        <w:jc w:val="both"/>
      </w:pPr>
      <w:r>
        <w:t xml:space="preserve">La diferencia crítica Nemenyi para estabilidad es idéntica a la calculada para</w:t>
      </w:r>
      <w:r>
        <w:t xml:space="preserve"> </w:t>
      </w:r>
      <w:r>
        <w:t xml:space="preserve">fidelidad (</w:t>
      </w:r>
      <ns1:oMath>
        <ns1:r>
          <ns1:t>C</ns1:t>
        </ns1:r>
        <ns1:r>
          <ns1:t>D</ns1:t>
        </ns1:r>
        <ns1:r>
          <ns1:rPr>
            <ns1:sty ns1:val="p"/>
          </ns1:rPr>
          <ns1:t>=</ns1:t>
        </ns1:r>
        <ns1:r>
          <ns1:t>1.211</ns1:t>
        </ns1:r>
      </ns1:oMath>
      <w:r>
        <w:t xml:space="preserve">) dado el mismo</w:t>
      </w:r>
      <w:r>
        <w:t xml:space="preserve"> </w:t>
      </w:r>
      <ns1:oMath>
        <ns1:r>
          <ns1:t>n</ns1:t>
        </ns1:r>
      </ns1:oMath>
      <w:r>
        <w:t xml:space="preserve"> </w:t>
      </w:r>
      <w:r>
        <w:t xml:space="preserve">y</w:t>
      </w:r>
      <w:r>
        <w:t xml:space="preserve"> </w:t>
      </w:r>
      <ns1:oMath>
        <ns1:r>
          <ns1:t>k</ns1:t>
        </ns1:r>
      </ns1:oMath>
      <w:r>
        <w:t xml:space="preserve">. Las diferencias en rangos</w:t>
      </w:r>
      <w:r>
        <w:t xml:space="preserve"> </w:t>
      </w:r>
      <w:r>
        <w:t xml:space="preserve">medios confirmadas como significativas son:</w:t>
      </w:r>
    </w:p>
    <w:p>
      <w:pPr>
        <w:pStyle w:val="Compact"/>
        <w:numPr>
          <w:ilvl w:val="0"/>
          <w:numId w:val="1013"/>
        </w:numPr>
        <w:spacing w:line="360" w:lineRule="auto"/>
        <w:jc w:val="both"/>
      </w:pPr>
      <w:r>
        <w:t xml:space="preserve">SHAP vs. LIME:</w:t>
      </w:r>
      <w:r>
        <w:t xml:space="preserve"> </w:t>
      </w:r>
      <ns1:oMath>
        <ns1:r>
          <ns1:rPr>
            <ns1:sty ns1:val="p"/>
          </ns1:rPr>
          <ns1:t>|</ns1:t>
        </ns1:r>
        <ns1:r>
          <ns1:t>1.000</ns1:t>
        </ns1:r>
        <ns1:r>
          <ns1:rPr>
            <ns1:sty ns1:val="p"/>
          </ns1:rPr>
          <ns1:t>−</ns1:t>
        </ns1:r>
        <ns1:r>
          <ns1:t>3.400</ns1:t>
        </ns1:r>
        <ns1:r>
          <ns1:rPr>
            <ns1:sty ns1:val="p"/>
          </ns1:rPr>
          <ns1:t>|</ns1:t>
        </ns1:r>
        <ns1:r>
          <ns1:rPr>
            <ns1:sty ns1:val="p"/>
          </ns1:rPr>
          <ns1:t>=</ns1:t>
        </ns1:r>
        <ns1:r>
          <ns1:t>2.400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SHAP vs. Anchors:</w:t>
      </w:r>
      <w:r>
        <w:t xml:space="preserve"> </w:t>
      </w:r>
      <ns1:oMath>
        <ns1:r>
          <ns1:rPr>
            <ns1:sty ns1:val="p"/>
          </ns1:rPr>
          <ns1:t>|</ns1:t>
        </ns1:r>
        <ns1:r>
          <ns1:t>1.000</ns1:t>
        </ns1:r>
        <ns1:r>
          <ns1:rPr>
            <ns1:sty ns1:val="p"/>
          </ns1:rPr>
          <ns1:t>−</ns1:t>
        </ns1:r>
        <ns1:r>
          <ns1:t>3.600</ns1:t>
        </ns1:r>
        <ns1:r>
          <ns1:rPr>
            <ns1:sty ns1:val="p"/>
          </ns1:rPr>
          <ns1:t>|</ns1:t>
        </ns1:r>
        <ns1:r>
          <ns1:rPr>
            <ns1:sty ns1:val="p"/>
          </ns1:rPr>
          <ns1:t>=</ns1:t>
        </ns1:r>
        <ns1:r>
          <ns1:t>2.600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LIME:</w:t>
      </w:r>
      <w:r>
        <w:t xml:space="preserve"> </w:t>
      </w:r>
      <ns1:oMath>
        <ns1:r>
          <ns1:rPr>
            <ns1:sty ns1:val="p"/>
          </ns1:rPr>
          <ns1:t>|</ns1:t>
        </ns1:r>
        <ns1:r>
          <ns1:t>2.000</ns1:t>
        </ns1:r>
        <ns1:r>
          <ns1:rPr>
            <ns1:sty ns1:val="p"/>
          </ns1:rPr>
          <ns1:t>−</ns1:t>
        </ns1:r>
        <ns1:r>
          <ns1:t>3.400</ns1:t>
        </ns1:r>
        <ns1:r>
          <ns1:rPr>
            <ns1:sty ns1:val="p"/>
          </ns1:rPr>
          <ns1:t>|</ns1:t>
        </ns1:r>
        <ns1:r>
          <ns1:rPr>
            <ns1:sty ns1:val="p"/>
          </ns1:rPr>
          <ns1:t>=</ns1:t>
        </ns1:r>
        <ns1:r>
          <ns1:t>1.400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Anchors:</w:t>
      </w:r>
      <w:r>
        <w:t xml:space="preserve"> </w:t>
      </w:r>
      <ns1:oMath>
        <ns1:r>
          <ns1:rPr>
            <ns1:sty ns1:val="p"/>
          </ns1:rPr>
          <ns1:t>|</ns1:t>
        </ns1:r>
        <ns1:r>
          <ns1:t>2.000</ns1:t>
        </ns1:r>
        <ns1:r>
          <ns1:rPr>
            <ns1:sty ns1:val="p"/>
          </ns1:rPr>
          <ns1:t>−</ns1:t>
        </ns1:r>
        <ns1:r>
          <ns1:t>3.600</ns1:t>
        </ns1:r>
        <ns1:r>
          <ns1:rPr>
            <ns1:sty ns1:val="p"/>
          </ns1:rPr>
          <ns1:t>|</ns1:t>
        </ns1:r>
        <ns1:r>
          <ns1:rPr>
            <ns1:sty ns1:val="p"/>
          </ns1:rPr>
          <ns1:t>=</ns1:t>
        </ns1:r>
        <ns1:r>
          <ns1:t>1.600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LIME vs. Anchors:</w:t>
      </w:r>
      <w:r>
        <w:t xml:space="preserve"> </w:t>
      </w:r>
      <ns1:oMath>
        <ns1:r>
          <ns1:rPr>
            <ns1:sty ns1:val="p"/>
          </ns1:rPr>
          <ns1:t>|</ns1:t>
        </ns1:r>
        <ns1:r>
          <ns1:t>3.400</ns1:t>
        </ns1:r>
        <ns1:r>
          <ns1:rPr>
            <ns1:sty ns1:val="p"/>
          </ns1:rPr>
          <ns1:t>−</ns1:t>
        </ns1:r>
        <ns1:r>
          <ns1:t>3.600</ns1:t>
        </ns1:r>
        <ns1:r>
          <ns1:rPr>
            <ns1:sty ns1:val="p"/>
          </ns1:rPr>
          <ns1:t>|</ns1:t>
        </ns1:r>
        <ns1:r>
          <ns1:rPr>
            <ns1:sty ns1:val="p"/>
          </ns1:rPr>
          <ns1:t>=</ns1:t>
        </ns1:r>
        <ns1:r>
          <ns1:t>0.200</ns1:t>
        </ns1:r>
        <ns1:r>
          <ns1:rPr>
            <ns1:sty ns1:val="p"/>
          </ns1:rPr>
          <ns1:t>&lt;</ns1:t>
        </ns1:r>
        <ns1:r>
          <ns1:t>1.211</ns1:t>
        </ns1:r>
      </ns1:oMath>
      <w:r>
        <w:t xml:space="preserve"> </w:t>
      </w:r>
      <w:r>
        <w:t xml:space="preserve">(No)</w:t>
      </w:r>
    </w:p>
    <w:p>
      <w:pPr>
        <w:pStyle w:val="Compact"/>
        <w:numPr>
          <w:ilvl w:val="0"/>
          <w:numId w:val="1013"/>
        </w:numPr>
        <w:spacing w:line="360" w:lineRule="auto"/>
        <w:jc w:val="both"/>
      </w:pPr>
      <w:r>
        <w:t xml:space="preserve">SHAP vs. DiCE:</w:t>
      </w:r>
      <w:r>
        <w:t xml:space="preserve"> </w:t>
      </w:r>
      <ns1:oMath>
        <ns1:r>
          <ns1:rPr>
            <ns1:sty ns1:val="p"/>
          </ns1:rPr>
          <ns1:t>|</ns1:t>
        </ns1:r>
        <ns1:r>
          <ns1:t>1.000</ns1:t>
        </ns1:r>
        <ns1:r>
          <ns1:rPr>
            <ns1:sty ns1:val="p"/>
          </ns1:rPr>
          <ns1:t>−</ns1:t>
        </ns1:r>
        <ns1:r>
          <ns1:t>2.000</ns1:t>
        </ns1:r>
        <ns1:r>
          <ns1:rPr>
            <ns1:sty ns1:val="p"/>
          </ns1:rPr>
          <ns1:t>|</ns1:t>
        </ns1:r>
        <ns1:r>
          <ns1:rPr>
            <ns1:sty ns1:val="p"/>
          </ns1:rPr>
          <ns1:t>=</ns1:t>
        </ns1:r>
        <ns1:r>
          <ns1:t>1.000</ns1:t>
        </ns1:r>
        <ns1:r>
          <ns1:rPr>
            <ns1:sty ns1:val="p"/>
          </ns1:rPr>
          <ns1:t>&lt;</ns1:t>
        </ns1:r>
        <ns1:r>
          <ns1:t>1.211</ns1:t>
        </ns1:r>
      </ns1:oMath>
      <w:r>
        <w:t xml:space="preserve"> </w:t>
      </w:r>
      <w:r>
        <w:t xml:space="preserve">(No)</w:t>
      </w:r>
    </w:p>
    <w:p>
      <w:pPr>
        <w:pStyle w:val="FirstParagraph"/>
        <w:spacing w:line="360" w:lineRule="auto"/>
        <w:jc w:val="both"/>
      </w:pPr>
      <w:r>
        <w:t xml:space="preserve">LIME y Anchors forman un grupo indistinguible en estabilidad (ambos con valores</w:t>
      </w:r>
      <w:r>
        <w:t xml:space="preserve"> </w:t>
      </w:r>
      <w:r>
        <w:t xml:space="preserve">cercanos a cero), mientras que SHAP y DiCE conforman el grupo estable. La</w:t>
      </w:r>
      <w:r>
        <w:t xml:space="preserve"> </w:t>
      </w:r>
      <w:r>
        <w:t xml:space="preserve">interpretación práctica debe acotarse al criterio evaluado: en despliegues que</w:t>
      </w:r>
      <w:r>
        <w:t xml:space="preserve"> </w:t>
      </w:r>
      <w:r>
        <w:t xml:space="preserve">requieren consistencia explicativa ante pequeñas variaciones de entrada, SHAP</w:t>
      </w:r>
      <w:r>
        <w:t xml:space="preserve"> </w:t>
      </w:r>
      <w:r>
        <w:t xml:space="preserve">ofrece el perfil más sólido en este benchmark y DiCE ofrece estabilidad</w:t>
      </w:r>
      <w:r>
        <w:t xml:space="preserve"> </w:t>
      </w:r>
      <w:r>
        <w:t xml:space="preserve">intermedia; LIME y Anchors requieren cautela si la estabilidad local es un</w:t>
      </w:r>
      <w:r>
        <w:t xml:space="preserve"> </w:t>
      </w:r>
      <w:r>
        <w:t xml:space="preserve">criterio de selección.</w:t>
      </w:r>
    </w:p>
    <w:bookmarkEnd w:id="109"/>
    <w:bookmarkEnd w:id="110"/>
    <w:bookmarkStart w:id="114" w:name="sec-estudio-b"/>
    <w:p>
      <w:pPr>
        <w:pStyle w:val="Ttulo2"/>
        <w:spacing w:line="360" w:lineRule="auto"/>
        <w:jc w:val="both"/>
      </w:pPr>
      <w:r>
        <w:t xml:space="preserve">Estudio B: Análisis pareado SHAP-LIME y relación calidad-coste (H3)</w:t>
      </w:r>
    </w:p>
    <w:p>
      <w:pPr>
        <w:pStyle w:val="FirstParagraph"/>
        <w:spacing w:line="360" w:lineRule="auto"/>
        <w:jc w:val="both"/>
      </w:pPr>
      <w:r>
        <w:t xml:space="preserve">El análisis pareado opera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para las cuales ambos</w:t>
      </w:r>
      <w:r>
        <w:t xml:space="preserve"> </w:t>
      </w:r>
      <w:r>
        <w:t xml:space="preserve">métodos disponen de artefactos calificados. La superposición de recuperación</w:t>
      </w:r>
      <w:r>
        <w:t xml:space="preserve"> </w:t>
      </w:r>
      <w:r>
        <w:t xml:space="preserve">documentada en el Capítulo 3 garantiza cobertura completa de SHAP y LIME en el</w:t>
      </w:r>
      <w:r>
        <w:t xml:space="preserve"> </w:t>
      </w:r>
      <w:r>
        <w:t xml:space="preserve">conjunto pareado (75/75).</w:t>
      </w:r>
    </w:p>
    <w:bookmarkStart w:id="112" w:name="diferencias-en-métricas-de-calidad"/>
    <w:p>
      <w:pPr>
        <w:pStyle w:val="Ttulo3"/>
        <w:spacing w:line="360" w:lineRule="auto"/>
        <w:jc w:val="both"/>
      </w:pPr>
      <w:r>
        <w:t xml:space="preserve">Diferencias en métricas de calidad</w:t>
      </w:r>
    </w:p>
    <w:p>
      <w:pPr>
        <w:pStyle w:val="FirstParagraph"/>
        <w:spacing w:line="360" w:lineRule="auto"/>
        <w:jc w:val="both"/>
      </w:pPr>
      <w:r>
        <w:t xml:space="preserve">Para cada métrica se calcula la diferencia pareada</w:t>
      </w:r>
      <w:r>
        <w:t xml:space="preserve"> </w:t>
      </w:r>
      <ns1:oMath>
        <ns1:sSub>
          <ns1:e>
            <ns1:r>
              <ns1:t>d</ns1:t>
            </ns1:r>
          </ns1:e>
          <ns1:sub>
            <ns1:r>
              <ns1:t>i</ns1:t>
            </ns1:r>
          </ns1:sub>
        </ns1:sSub>
        <ns1:r>
          <ns1:rPr>
            <ns1:sty ns1:val="p"/>
          </ns1:rPr>
          <ns1:t>=</ns1:t>
        </ns1:r>
        <ns1:sSubSup>
          <ns1:e>
            <ns1:r>
              <ns1:t>x</ns1:t>
            </ns1:r>
          </ns1:e>
          <ns1:sub>
            <ns1:r>
              <ns1:t>i</ns1:t>
            </ns1:r>
          </ns1:sub>
          <ns1:sup>
            <ns1:r>
              <ns1:t>S</ns1:t>
            </ns1:r>
            <ns1:r>
              <ns1:t>H</ns1:t>
            </ns1:r>
            <ns1:r>
              <ns1:t>A</ns1:t>
            </ns1:r>
            <ns1:r>
              <ns1:t>P</ns1:t>
            </ns1:r>
          </ns1:sup>
        </ns1:sSubSup>
        <ns1:r>
          <ns1:rPr>
            <ns1:sty ns1:val="p"/>
          </ns1:rPr>
          <ns1:t>−</ns1:t>
        </ns1:r>
        <ns1:sSubSup>
          <ns1:e>
            <ns1:r>
              <ns1:t>x</ns1:t>
            </ns1:r>
          </ns1:e>
          <ns1:sub>
            <ns1:r>
              <ns1:t>i</ns1:t>
            </ns1:r>
          </ns1:sub>
          <ns1:sup>
            <ns1:r>
              <ns1:t>L</ns1:t>
            </ns1:r>
            <ns1:r>
              <ns1:t>I</ns1:t>
            </ns1:r>
            <ns1:r>
              <ns1:t>M</ns1:t>
            </ns1:r>
            <ns1:r>
              <ns1:t>E</ns1:t>
            </ns1:r>
          </ns1:sup>
        </ns1:sSubSup>
      </ns1:oMath>
      <w:r>
        <w:t xml:space="preserve">,</w:t>
      </w:r>
      <w:r>
        <w:t xml:space="preserve"> </w:t>
      </w:r>
      <w:r>
        <w:t xml:space="preserve">donde un valor positivo indica ventaja de SHAP. El estadístico de efecto de</w:t>
      </w:r>
      <w:r>
        <w:t xml:space="preserve"> </w:t>
      </w:r>
      <w:r>
        <w:t xml:space="preserve">Cohen es</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 donde</w:t>
      </w:r>
      <w:r>
        <w:t xml:space="preserve"> </w:t>
      </w:r>
      <ns1:oMath>
        <ns1:sSub>
          <ns1:e>
            <ns1:r>
              <ns1:t>s</ns1:t>
            </ns1:r>
          </ns1:e>
          <ns1:sub>
            <ns1:r>
              <ns1:t>d</ns1:t>
            </ns1:r>
          </ns1:sub>
        </ns1:sSub>
      </ns1:oMath>
      <w:r>
        <w:t xml:space="preserve"> </w:t>
      </w:r>
      <w:r>
        <w:t xml:space="preserve">es la desviación estándar de las</w:t>
      </w:r>
      <w:r>
        <w:t xml:space="preserve"> </w:t>
      </w:r>
      <w:r>
        <w:t xml:space="preserve">diferencias.</w:t>
      </w:r>
    </w:p>
    <w:tbl>
      <w:tblPr>
        <w:tblStyle w:val="Table"/>
        <w:tblW w:type="pct" w:w="5000"/>
        <w:tblLayout w:type="fixed"/>
        <w:tblLook w:firstRow="0" w:lastRow="0" w:firstColumn="0" w:lastColumn="0" w:noHBand="0" w:noVBand="0" w:val="0000"/>
      </w:tblPr>
      <w:tblGrid>
        <w:gridCol w:w="7920"/>
      </w:tblGrid>
      <w:tr>
        <w:tc>
          <w:tcPr/>
          <w:bookmarkStart w:id="111" w:name="tbl-paired-shap-lime"/>
          <w:p>
            <w:pPr>
              <w:jc w:val="both"/>
              <w:spacing w:line="360" w:lineRule="auto"/>
            </w:pPr>
            <w:pPr>
              <w:jc w:val="left"/>
              <w:spacing w:before="200"/>
              <w:pStyle w:val="ImageCaption"/>
            </w:pPr>
            <w:r>
              <w:t xml:space="preserve">Table 5.5: Diferencias pareadas SHAP − LIME (</w:t>
            </w:r>
            <ns1:oMath>
              <ns1:r>
                <ns1:t>n</ns1:t>
              </ns1:r>
              <ns1:r>
                <ns1:rPr>
                  <ns1:sty ns1:val="p"/>
                </ns1:rPr>
                <ns1:t>=</ns1:t>
              </ns1:r>
              <ns1:r>
                <ns1:t>75</ns1:t>
              </ns1:r>
            </ns1:oMath>
            <w:r>
              <w:t xml:space="preserve"> </w:t>
            </w:r>
            <w:r>
              <w:t xml:space="preserve">celdas). Se reporta</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para fidelidad/estabilidad/brecha,</w:t>
            </w:r>
            <w:r>
              <w:t xml:space="preserve"> </w:t>
            </w:r>
            <ns1:oMath>
              <ns1:r>
                <ns1:t>d</ns1:t>
              </ns1:r>
              <ns1:r>
                <ns1:rPr>
                  <ns1:sty ns1:val="p"/>
                </ns1:rPr>
                <ns1:t>&gt;</ns1:t>
              </ns1:r>
              <ns1:r>
                <ns1:t>0</ns1:t>
              </ns1:r>
            </ns1:oMath>
            <w:r>
              <w:t xml:space="preserve"> </w:t>
            </w:r>
            <w:r>
              <w:t xml:space="preserve">favorece SHAP; para parsimonia y coste,</w:t>
            </w:r>
            <w:r>
              <w:t xml:space="preserve"> </w:t>
            </w:r>
            <ns1:oMath>
              <ns1:r>
                <ns1:t>d</ns1:t>
              </ns1:r>
              <ns1:r>
                <ns1:rPr>
                  <ns1:sty ns1:val="p"/>
                </ns1:rPr>
                <ns1:t>&gt;</ns1:t>
              </ns1:r>
              <ns1:r>
                <ns1:t>0</ns1:t>
              </ns1:r>
            </ns1:oMath>
            <w:r>
              <w:t xml:space="preserve"> </w:t>
            </w:r>
            <w:r>
              <w:t xml:space="preserve">indica explicaciones más densas y/o mayor coste de SHAP.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spacing w:line="360" w:lineRule="auto"/>
                  </w:pPr>
                  <w:r>
                    <w:t xml:space="preserve">Métrica</w:t>
                  </w:r>
                </w:p>
              </w:tc>
              <w:tc>
                <w:tcPr/>
                <w:p>
                  <w:pPr>
                    <w:pStyle w:val="Compact"/>
                    <w:jc w:val="both"/>
                    <w:spacing w:line="360" w:lineRule="auto"/>
                  </w:pPr>
                  <ns1:oMath>
                    <ns1:acc>
                      <ns1:accPr>
                        <ns1:chr ns1:val="‾"/>
                      </ns1:accPr>
                      <ns1:e>
                        <ns1:r>
                          <ns1:t>d</ns1:t>
                        </ns1:r>
                      </ns1:e>
                    </ns1:acc>
                  </ns1:oMath>
                </w:p>
              </w:tc>
              <w:tc>
                <w:tcPr/>
                <w:p>
                  <w:pPr>
                    <w:pStyle w:val="Compact"/>
                    <w:jc w:val="both"/>
                    <w:spacing w:line="360" w:lineRule="auto"/>
                  </w:pPr>
                  <ns1:oMath>
                    <ns1:sSub>
                      <ns1:e>
                        <ns1:r>
                          <ns1:t>s</ns1:t>
                        </ns1:r>
                      </ns1:e>
                      <ns1:sub>
                        <ns1:r>
                          <ns1:t>d</ns1:t>
                        </ns1:r>
                      </ns1:sub>
                    </ns1:sSub>
                  </ns1:oMath>
                </w:p>
              </w:tc>
              <w:tc>
                <w:tcPr/>
                <w:p>
                  <w:pPr>
                    <w:pStyle w:val="Compact"/>
                    <w:jc w:val="both"/>
                    <w:spacing w:line="360" w:lineRule="auto"/>
                  </w:pPr>
                  <ns1:oMath>
                    <ns1:sSub>
                      <ns1:e>
                        <ns1:r>
                          <ns1:t>d</ns1:t>
                        </ns1:r>
                      </ns1:e>
                      <ns1:sub>
                        <ns1:r>
                          <ns1:t>z</ns1:t>
                        </ns1:r>
                      </ns1:sub>
                    </ns1:sSub>
                  </ns1:oMath>
                </w:p>
              </w:tc>
              <w:tc>
                <w:tcPr/>
                <w:p>
                  <w:pPr>
                    <w:pStyle w:val="Compact"/>
                    <w:jc w:val="both"/>
                    <w:spacing w:line="360" w:lineRule="auto"/>
                  </w:pPr>
                  <w:r>
                    <w:t xml:space="preserve">Pos.</w:t>
                  </w:r>
                </w:p>
              </w:tc>
              <w:tc>
                <w:tcPr/>
                <w:p>
                  <w:pPr>
                    <w:pStyle w:val="Compact"/>
                    <w:jc w:val="both"/>
                    <w:spacing w:line="360" w:lineRule="auto"/>
                  </w:pPr>
                  <w:r>
                    <w:t xml:space="preserve">Neg.</w:t>
                  </w:r>
                </w:p>
              </w:tc>
              <w:tc>
                <w:tcPr/>
                <w:p>
                  <w:pPr>
                    <w:pStyle w:val="Compact"/>
                    <w:jc w:val="both"/>
                    <w:spacing w:line="360" w:lineRule="auto"/>
                  </w:pPr>
                  <ns1:oMath>
                    <ns1:r>
                      <ns1:t>n</ns1:t>
                    </ns1:r>
                  </ns1:oMath>
                </w:p>
              </w:tc>
            </w:tr>
            <w:tr>
              <w:tc>
                <w:tcPr/>
                <w:p>
                  <w:pPr>
                    <w:pStyle w:val="Compact"/>
                    <w:jc w:val="both"/>
                    <w:spacing w:line="360" w:lineRule="auto"/>
                  </w:pPr>
                  <w:r>
                    <w:t xml:space="preserve">Fidelidad</w:t>
                  </w:r>
                </w:p>
              </w:tc>
              <w:tc>
                <w:tcPr/>
                <w:p>
                  <w:pPr>
                    <w:pStyle w:val="Compact"/>
                    <w:jc w:val="both"/>
                    <w:spacing w:line="360" w:lineRule="auto"/>
                  </w:pPr>
                  <w:r>
                    <w:t xml:space="preserve">+0.2479</w:t>
                  </w:r>
                </w:p>
              </w:tc>
              <w:tc>
                <w:tcPr/>
                <w:p>
                  <w:pPr>
                    <w:pStyle w:val="Compact"/>
                    <w:jc w:val="both"/>
                    <w:spacing w:line="360" w:lineRule="auto"/>
                  </w:pPr>
                  <w:r>
                    <w:t xml:space="preserve">0.0514</w:t>
                  </w:r>
                </w:p>
              </w:tc>
              <w:tc>
                <w:tcPr/>
                <w:p>
                  <w:pPr>
                    <w:pStyle w:val="Compact"/>
                    <w:jc w:val="both"/>
                    <w:spacing w:line="360" w:lineRule="auto"/>
                  </w:pPr>
                  <w:r>
                    <w:t xml:space="preserve">+4.820</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Estabilidad</w:t>
                  </w:r>
                </w:p>
              </w:tc>
              <w:tc>
                <w:tcPr/>
                <w:p>
                  <w:pPr>
                    <w:pStyle w:val="Compact"/>
                    <w:jc w:val="both"/>
                    <w:spacing w:line="360" w:lineRule="auto"/>
                  </w:pPr>
                  <w:r>
                    <w:t xml:space="preserve">+0.7176</w:t>
                  </w:r>
                </w:p>
              </w:tc>
              <w:tc>
                <w:tcPr/>
                <w:p>
                  <w:pPr>
                    <w:pStyle w:val="Compact"/>
                    <w:jc w:val="both"/>
                    <w:spacing w:line="360" w:lineRule="auto"/>
                  </w:pPr>
                  <w:r>
                    <w:t xml:space="preserve">0.2390</w:t>
                  </w:r>
                </w:p>
              </w:tc>
              <w:tc>
                <w:tcPr/>
                <w:p>
                  <w:pPr>
                    <w:pStyle w:val="Compact"/>
                    <w:jc w:val="both"/>
                    <w:spacing w:line="360" w:lineRule="auto"/>
                  </w:pPr>
                  <w:r>
                    <w:t xml:space="preserve">+3.002</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Parsimonia</w:t>
                  </w:r>
                </w:p>
              </w:tc>
              <w:tc>
                <w:tcPr/>
                <w:p>
                  <w:pPr>
                    <w:pStyle w:val="Compact"/>
                    <w:jc w:val="both"/>
                    <w:spacing w:line="360" w:lineRule="auto"/>
                  </w:pPr>
                  <w:r>
                    <w:t xml:space="preserve">+0.1418</w:t>
                  </w:r>
                </w:p>
              </w:tc>
              <w:tc>
                <w:tcPr/>
                <w:p>
                  <w:pPr>
                    <w:pStyle w:val="Compact"/>
                    <w:jc w:val="both"/>
                    <w:spacing w:line="360" w:lineRule="auto"/>
                  </w:pPr>
                  <w:r>
                    <w:t xml:space="preserve">0.1690</w:t>
                  </w:r>
                </w:p>
              </w:tc>
              <w:tc>
                <w:tcPr/>
                <w:p>
                  <w:pPr>
                    <w:pStyle w:val="Compact"/>
                    <w:jc w:val="both"/>
                    <w:spacing w:line="360" w:lineRule="auto"/>
                  </w:pPr>
                  <w:r>
                    <w:t xml:space="preserve">+0.839</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Brecha fidelidad</w:t>
                  </w:r>
                </w:p>
              </w:tc>
              <w:tc>
                <w:tcPr/>
                <w:p>
                  <w:pPr>
                    <w:pStyle w:val="Compact"/>
                    <w:jc w:val="both"/>
                    <w:spacing w:line="360" w:lineRule="auto"/>
                  </w:pPr>
                  <w:r>
                    <w:t xml:space="preserve">+0.0453</w:t>
                  </w:r>
                </w:p>
              </w:tc>
              <w:tc>
                <w:tcPr/>
                <w:p>
                  <w:pPr>
                    <w:pStyle w:val="Compact"/>
                    <w:jc w:val="both"/>
                    <w:spacing w:line="360" w:lineRule="auto"/>
                  </w:pPr>
                  <w:r>
                    <w:t xml:space="preserve">0.0173</w:t>
                  </w:r>
                </w:p>
              </w:tc>
              <w:tc>
                <w:tcPr/>
                <w:p>
                  <w:pPr>
                    <w:pStyle w:val="Compact"/>
                    <w:jc w:val="both"/>
                    <w:spacing w:line="360" w:lineRule="auto"/>
                  </w:pPr>
                  <w:r>
                    <w:t xml:space="preserve">+2.626</w:t>
                  </w:r>
                </w:p>
              </w:tc>
              <w:tc>
                <w:tcPr/>
                <w:p>
                  <w:pPr>
                    <w:pStyle w:val="Compact"/>
                    <w:jc w:val="both"/>
                    <w:spacing w:line="360" w:lineRule="auto"/>
                  </w:pPr>
                  <w:r>
                    <w:t xml:space="preserve">74</w:t>
                  </w:r>
                </w:p>
              </w:tc>
              <w:tc>
                <w:tcPr/>
                <w:p>
                  <w:pPr>
                    <w:pStyle w:val="Compact"/>
                    <w:jc w:val="both"/>
                    <w:spacing w:line="360" w:lineRule="auto"/>
                  </w:pPr>
                  <w:r>
                    <w:t xml:space="preserve">1</w:t>
                  </w:r>
                </w:p>
              </w:tc>
              <w:tc>
                <w:tcPr/>
                <w:p>
                  <w:pPr>
                    <w:pStyle w:val="Compact"/>
                    <w:jc w:val="both"/>
                    <w:spacing w:line="360" w:lineRule="auto"/>
                  </w:pPr>
                  <w:r>
                    <w:t xml:space="preserve">75</w:t>
                  </w:r>
                </w:p>
              </w:tc>
            </w:tr>
            <w:tr>
              <w:tc>
                <w:tcPr/>
                <w:p>
                  <w:pPr>
                    <w:pStyle w:val="Compact"/>
                    <w:jc w:val="both"/>
                    <w:spacing w:line="360" w:lineRule="auto"/>
                  </w:pPr>
                  <w:r>
                    <w:t xml:space="preserve">Coste (ms)</w:t>
                  </w:r>
                </w:p>
              </w:tc>
              <w:tc>
                <w:tcPr/>
                <w:p>
                  <w:pPr>
                    <w:pStyle w:val="Compact"/>
                    <w:jc w:val="both"/>
                    <w:spacing w:line="360" w:lineRule="auto"/>
                  </w:pPr>
                  <w:r>
                    <w:t xml:space="preserve">+8047.6</w:t>
                  </w:r>
                </w:p>
              </w:tc>
              <w:tc>
                <w:tcPr/>
                <w:p>
                  <w:pPr>
                    <w:pStyle w:val="Compact"/>
                    <w:jc w:val="both"/>
                    <w:spacing w:line="360" w:lineRule="auto"/>
                  </w:pPr>
                  <w:r>
                    <w:t xml:space="preserve">17856.6</w:t>
                  </w:r>
                </w:p>
              </w:tc>
              <w:tc>
                <w:tcPr/>
                <w:p>
                  <w:pPr>
                    <w:pStyle w:val="Compact"/>
                    <w:jc w:val="both"/>
                    <w:spacing w:line="360" w:lineRule="auto"/>
                  </w:pPr>
                  <w:r>
                    <w:t xml:space="preserve">+0.451</w:t>
                  </w:r>
                </w:p>
              </w:tc>
              <w:tc>
                <w:tcPr/>
                <w:p>
                  <w:pPr>
                    <w:pStyle w:val="Compact"/>
                    <w:jc w:val="both"/>
                    <w:spacing w:line="360" w:lineRule="auto"/>
                  </w:pPr>
                  <w:r>
                    <w:t xml:space="preserve">59</w:t>
                  </w:r>
                </w:p>
              </w:tc>
              <w:tc>
                <w:tcPr/>
                <w:p>
                  <w:pPr>
                    <w:pStyle w:val="Compact"/>
                    <w:jc w:val="both"/>
                    <w:spacing w:line="360" w:lineRule="auto"/>
                  </w:pPr>
                  <w:r>
                    <w:t xml:space="preserve">16</w:t>
                  </w:r>
                </w:p>
              </w:tc>
              <w:tc>
                <w:tcPr/>
                <w:p>
                  <w:pPr>
                    <w:pStyle w:val="Compact"/>
                    <w:jc w:val="both"/>
                    <w:spacing w:line="360" w:lineRule="auto"/>
                  </w:pPr>
                  <w:r>
                    <w:t xml:space="preserve">75</w:t>
                  </w:r>
                </w:p>
              </w:tc>
            </w:tr>
          </w:tbl>
          <w:bookmarkEnd w:id="111"/>
          <w:p>
            <w:pPr>
              <w:spacing w:line="360" w:lineRule="auto"/>
              <w:jc w:val="both"/>
            </w:pPr>
          </w:p>
        </w:tc>
      </w:tr>
    </w:tbl>
    <w:p>
      <w:pPr>
        <w:pStyle w:val="Textoindependiente"/>
        <w:spacing w:line="360" w:lineRule="auto"/>
        <w:jc w:val="both"/>
      </w:pPr>
      <w:r>
        <w:t xml:space="preserve">Los resultados ofrecen evidencia consistente para</w:t>
      </w:r>
      <w:r>
        <w:t xml:space="preserve"> </w:t>
      </w:r>
      <ns1:oMath>
        <ns1:sSub>
          <ns1:e>
            <ns1:r>
              <ns1:t>H</ns1:t>
            </ns1:r>
          </ns1:e>
          <ns1:sub>
            <ns1:r>
              <ns1:t>1</ns1:t>
            </ns1:r>
            <ns1:r>
              <ns1:rPr>
                <ns1:sty ns1:val="p"/>
              </ns1:rPr>
              <ns1:t>,</ns1:t>
            </ns1:r>
            <ns1:r>
              <ns1:t>3</ns1:t>
            </ns1:r>
          </ns1:sub>
        </ns1:sSub>
      </ns1:oMath>
      <w:r>
        <w:t xml:space="preserve"> </w:t>
      </w:r>
      <w:r>
        <w:t xml:space="preserve">bajo las condiciones del diseño pareado:</w:t>
      </w:r>
    </w:p>
    <w:p>
      <w:pPr>
        <w:pStyle w:val="Textoindependiente"/>
        <w:spacing w:line="360" w:lineRule="auto"/>
        <w:jc w:val="both"/>
      </w:pPr>
      <w:r>
        <w:rPr>
          <w:b/>
          <w:bCs/>
        </w:rPr>
        <w:t xml:space="preserve">Fidelidad:</w:t>
      </w:r>
      <w:r>
        <w:t xml:space="preserve"> </w:t>
      </w:r>
      <w:r>
        <w:t xml:space="preserve">SHAP supera a LIME en el 100% de las 75 celdas pareadas (75/75</w:t>
      </w:r>
      <w:r>
        <w:t xml:space="preserve"> </w:t>
      </w:r>
      <w:r>
        <w:t xml:space="preserve">diferencias positivas) con un tamaño del efecto de magnitud muy grande</w:t>
      </w:r>
      <w:r>
        <w:t xml:space="preserve"> </w:t>
      </w:r>
      <w:r>
        <w:t xml:space="preserve">(</w:t>
      </w:r>
      <ns1:oMath>
        <ns1:sSub>
          <ns1:e>
            <ns1:r>
              <ns1:t>d</ns1:t>
            </ns1:r>
          </ns1:e>
          <ns1:sub>
            <ns1:r>
              <ns1:t>z</ns1:t>
            </ns1:r>
          </ns1:sub>
        </ns1:sSub>
        <ns1:r>
          <ns1:rPr>
            <ns1:sty ns1:val="p"/>
          </ns1:rPr>
          <ns1:t>=</ns1:t>
        </ns1:r>
        <ns1:r>
          <ns1:rPr>
            <ns1:sty ns1:val="p"/>
          </ns1:rPr>
          <ns1:t>+</ns1:t>
        </ns1:r>
        <ns1:r>
          <ns1:t>4.820</ns1:t>
        </ns1:r>
      </ns1:oMath>
      <w:r>
        <w:t xml:space="preserve">). Bajo el criterio de Lakens</w:t>
      </w:r>
      <w:r>
        <w:t xml:space="preserve"> </w:t>
      </w:r>
      <w:r>
        <w:t xml:space="preserve">(2013)</w:t>
      </w:r>
      <w:r>
        <w:t xml:space="preserve">,</w:t>
      </w:r>
      <w:r>
        <w:t xml:space="preserve"> </w:t>
      </w:r>
      <ns1:oMath>
        <ns1:sSub>
          <ns1:e>
            <ns1:r>
              <ns1:t>d</ns1:t>
            </ns1:r>
          </ns1:e>
          <ns1:sub>
            <ns1:r>
              <ns1:t>z</ns1:t>
            </ns1:r>
          </ns1:sub>
        </ns1:sSub>
        <ns1:r>
          <ns1:rPr>
            <ns1:sty ns1:val="p"/>
          </ns1:rPr>
          <ns1:t>&gt;</ns1:t>
        </ns1:r>
        <ns1:r>
          <ns1:t>0.8</ns1:t>
        </ns1:r>
      </ns1:oMath>
      <w:r>
        <w:t xml:space="preserve"> </w:t>
      </w:r>
      <w:r>
        <w:t xml:space="preserve">constituye efecto grande;</w:t>
      </w:r>
      <w:r>
        <w:t xml:space="preserve"> </w:t>
      </w:r>
      <ns1:oMath>
        <ns1:sSub>
          <ns1:e>
            <ns1:r>
              <ns1:t>d</ns1:t>
            </ns1:r>
          </ns1:e>
          <ns1:sub>
            <ns1:r>
              <ns1:t>z</ns1:t>
            </ns1:r>
          </ns1:sub>
        </ns1:sSub>
        <ns1:r>
          <ns1:rPr>
            <ns1:sty ns1:val="p"/>
          </ns1:rPr>
          <ns1:t>&gt;</ns1:t>
        </ns1:r>
        <ns1:r>
          <ns1:t>2.0</ns1:t>
        </ns1:r>
      </ns1:oMath>
      <w:r>
        <w:t xml:space="preserve"> </w:t>
      </w:r>
      <w:r>
        <w:t xml:space="preserve">se clasifica comúnmente como efecto muy</w:t>
      </w:r>
      <w:r>
        <w:t xml:space="preserve"> </w:t>
      </w:r>
      <w:r>
        <w:t xml:space="preserve">grande. La diferencia media de +0.248 unidades de fidelidad representa</w:t>
      </w:r>
      <w:r>
        <w:t xml:space="preserve"> </w:t>
      </w:r>
      <w:r>
        <w:t xml:space="preserve">una ventaja sustancial en términos de representatividad de las atribuciones</w:t>
      </w:r>
      <w:r>
        <w:t xml:space="preserve"> </w:t>
      </w:r>
      <w:r>
        <w:t xml:space="preserve">de importancia.</w:t>
      </w:r>
    </w:p>
    <w:p>
      <w:pPr>
        <w:pStyle w:val="Textoindependiente"/>
        <w:spacing w:line="360" w:lineRule="auto"/>
        <w:jc w:val="both"/>
      </w:pPr>
      <w:r>
        <w:rPr>
          <w:b/>
          <w:bCs/>
        </w:rPr>
        <w:t xml:space="preserve">Estabilidad:</w:t>
      </w:r>
      <w:r>
        <w:t xml:space="preserve"> </w:t>
      </w:r>
      <w:r>
        <w:t xml:space="preserve">La ventaja de SHAP es aún más pronunciada en estabilidad</w:t>
      </w:r>
      <w:r>
        <w:t xml:space="preserve"> </w:t>
      </w:r>
      <w:r>
        <w:t xml:space="preserve">(</w:t>
      </w:r>
      <ns1:oMath>
        <ns1:sSub>
          <ns1:e>
            <ns1:r>
              <ns1:t>d</ns1:t>
            </ns1:r>
          </ns1:e>
          <ns1:sub>
            <ns1:r>
              <ns1:t>z</ns1:t>
            </ns1:r>
          </ns1:sub>
        </ns1:sSub>
        <ns1:r>
          <ns1:rPr>
            <ns1:sty ns1:val="p"/>
          </ns1:rPr>
          <ns1:t>=</ns1:t>
        </ns1:r>
        <ns1:r>
          <ns1:rPr>
            <ns1:sty ns1:val="p"/>
          </ns1:rPr>
          <ns1:t>+</ns1:t>
        </ns1:r>
        <ns1:r>
          <ns1:t>3.002</ns1:t>
        </ns1:r>
      </ns1:oMath>
      <w:r>
        <w:t xml:space="preserve">, 75/75 positivas). La diferencia media de +0.718 en similitud</w:t>
      </w:r>
      <w:r>
        <w:t xml:space="preserve"> </w:t>
      </w:r>
      <w:r>
        <w:t xml:space="preserve">coseno es prácticamente equivalente a la diferencia entre explicaciones</w:t>
      </w:r>
      <w:r>
        <w:t xml:space="preserve"> </w:t>
      </w:r>
      <w:r>
        <w:t xml:space="preserve">completamente incoherentes (LIME, media ≈ 0.014) y casi perfectamente estables</w:t>
      </w:r>
      <w:r>
        <w:t xml:space="preserve"> </w:t>
      </w:r>
      <w:r>
        <w:t xml:space="preserve">(SHAP, media ≈ 0.732). Este resultado refleja que la inestabilidad de LIME no</w:t>
      </w:r>
      <w:r>
        <w:t xml:space="preserve"> </w:t>
      </w:r>
      <w:r>
        <w:t xml:space="preserve">es un artefacto de escenarios extremos sino una propiedad sistemática del método.</w:t>
      </w:r>
    </w:p>
    <w:p>
      <w:pPr>
        <w:pStyle w:val="Textoindependiente"/>
        <w:spacing w:line="360" w:lineRule="auto"/>
        <w:jc w:val="both"/>
      </w:pPr>
      <w:r>
        <w:rPr>
          <w:b/>
          <w:bCs/>
        </w:rPr>
        <w:t xml:space="preserve">Parsimonia y brecha de fidelidad:</w:t>
      </w:r>
      <w:r>
        <w:t xml:space="preserve"> </w:t>
      </w:r>
      <w:r>
        <w:t xml:space="preserve">Ambas métricas presentan efectos</w:t>
      </w:r>
      <w:r>
        <w:t xml:space="preserve"> </w:t>
      </w:r>
      <w:r>
        <w:t xml:space="preserve">sustantivos. En parsimonia (ratio activo), SHAP es consistentemente más denso</w:t>
      </w:r>
      <w:r>
        <w:t xml:space="preserve"> </w:t>
      </w:r>
      <w:r>
        <w:t xml:space="preserve">que LIME (+0.142, 75/75 positivas;</w:t>
      </w:r>
      <w:r>
        <w:t xml:space="preserve"> </w:t>
      </w:r>
      <ns1:oMath>
        <ns1:sSub>
          <ns1:e>
            <ns1:r>
              <ns1:t>d</ns1:t>
            </ns1:r>
          </ns1:e>
          <ns1:sub>
            <ns1:r>
              <ns1:t>z</ns1:t>
            </ns1:r>
          </ns1:sub>
        </ns1:sSub>
        <ns1:r>
          <ns1:rPr>
            <ns1:sty ns1:val="p"/>
          </ns1:rPr>
          <ns1:t>=</ns1:t>
        </ns1:r>
        <ns1:r>
          <ns1:rPr>
            <ns1:sty ns1:val="p"/>
          </ns1:rPr>
          <ns1:t>+</ns1:t>
        </ns1:r>
        <ns1:r>
          <ns1:t>0.839</ns1:t>
        </ns1:r>
      </ns1:oMath>
      <w:r>
        <w:t xml:space="preserve">), por lo que LIME es el método</w:t>
      </w:r>
      <w:r>
        <w:t xml:space="preserve"> </w:t>
      </w:r>
      <w:r>
        <w:t xml:space="preserve">más parsimonioso en este benchmark. En brecha de fidelidad, SHAP supera a LIME</w:t>
      </w:r>
      <w:r>
        <w:t xml:space="preserve"> </w:t>
      </w:r>
      <w:r>
        <w:t xml:space="preserve">en 74 de 75 celdas (+0.045;</w:t>
      </w:r>
      <w:r>
        <w:t xml:space="preserve"> </w:t>
      </w:r>
      <ns1:oMath>
        <ns1:sSub>
          <ns1:e>
            <ns1:r>
              <ns1:t>d</ns1:t>
            </ns1:r>
          </ns1:e>
          <ns1:sub>
            <ns1:r>
              <ns1:t>z</ns1:t>
            </ns1:r>
          </ns1:sub>
        </ns1:sSub>
        <ns1:r>
          <ns1:rPr>
            <ns1:sty ns1:val="p"/>
          </ns1:rPr>
          <ns1:t>=</ns1:t>
        </ns1:r>
        <ns1:r>
          <ns1:rPr>
            <ns1:sty ns1:val="p"/>
          </ns1:rPr>
          <ns1:t>+</ns1:t>
        </ns1:r>
        <ns1:r>
          <ns1:t>2.626</ns1:t>
        </ns1:r>
      </ns1:oMath>
      <w:r>
        <w:t xml:space="preserve">), lo que confirma que las</w:t>
      </w:r>
      <w:r>
        <w:t xml:space="preserve"> </w:t>
      </w:r>
      <w:r>
        <w:t xml:space="preserve">características que SHAP identifica</w:t>
      </w:r>
      <w:r>
        <w:t xml:space="preserve"> </w:t>
      </w:r>
      <w:r>
        <w:t xml:space="preserve">como relevantes tienen un efecto mayor cuando se enmascaran, lo que es</w:t>
      </w:r>
      <w:r>
        <w:t xml:space="preserve"> </w:t>
      </w:r>
      <w:r>
        <w:t xml:space="preserve">coherente con la superioridad en fidelidad.</w:t>
      </w:r>
    </w:p>
    <w:p>
      <w:pPr>
        <w:pStyle w:val="Textoindependiente"/>
        <w:spacing w:line="360" w:lineRule="auto"/>
        <w:jc w:val="both"/>
      </w:pPr>
      <w:r>
        <w:rPr>
          <w:b/>
          <w:bCs/>
        </w:rPr>
        <w:t xml:space="preserve">Coste computacional:</w:t>
      </w:r>
      <w:r>
        <w:t xml:space="preserve"> </w:t>
      </w:r>
      <w:r>
        <w:t xml:space="preserve">El patrón se invierte para el coste. SHAP es en</w:t>
      </w:r>
      <w:r>
        <w:t xml:space="preserve"> </w:t>
      </w:r>
      <w:r>
        <w:t xml:space="preserve">promedio más costoso (+8,048 ms), pero con varianza alta (</w:t>
      </w:r>
      <ns1:oMath>
        <ns1:sSub>
          <ns1:e>
            <ns1:r>
              <ns1:t>s</ns1:t>
            </ns1:r>
          </ns1:e>
          <ns1:sub>
            <ns1:r>
              <ns1:t>d</ns1:t>
            </ns1:r>
          </ns1:sub>
        </ns1:sSub>
        <ns1:r>
          <ns1:rPr>
            <ns1:sty ns1:val="p"/>
          </ns1:rPr>
          <ns1:t>=</ns1:t>
        </ns1:r>
        <ns1:r>
          <ns1:t>17</ns1:t>
        </ns1:r>
        <ns1:r>
          <ns1:rPr>
            <ns1:sty ns1:val="p"/>
          </ns1:rPr>
          <ns1:t>,</ns1:t>
        </ns1:r>
        <ns1:r>
          <ns1:t>857</ns1:t>
        </ns1:r>
      </ns1:oMath>
      <w:r>
        <w:t xml:space="preserve"> </w:t>
      </w:r>
      <w:r>
        <w:t xml:space="preserve">ms) por</w:t>
      </w:r>
      <w:r>
        <w:t xml:space="preserve"> </w:t>
      </w:r>
      <w:r>
        <w:t xml:space="preserve">colas pesadas asociadas a KernelSHAP. El signo de las diferencias no es</w:t>
      </w:r>
      <w:r>
        <w:t xml:space="preserve"> </w:t>
      </w:r>
      <w:r>
        <w:t xml:space="preserve">unánime: SHAP resulta más costoso en 59 de 75 celdas, pero en 16 celdas</w:t>
      </w:r>
      <w:r>
        <w:t xml:space="preserve"> </w:t>
      </w:r>
      <w:r>
        <w:t xml:space="preserve">(principalmente XGBoost) LIME es más lento. El efecto moderado (</w:t>
      </w:r>
      <ns1:oMath>
        <ns1:sSub>
          <ns1:e>
            <ns1:r>
              <ns1:t>d</ns1:t>
            </ns1:r>
          </ns1:e>
          <ns1:sub>
            <ns1:r>
              <ns1:t>z</ns1:t>
            </ns1:r>
          </ns1:sub>
        </ns1:sSub>
        <ns1:r>
          <ns1:rPr>
            <ns1:sty ns1:val="p"/>
          </ns1:rPr>
          <ns1:t>=</ns1:t>
        </ns1:r>
        <ns1:r>
          <ns1:rPr>
            <ns1:sty ns1:val="p"/>
          </ns1:rPr>
          <ns1:t>+</ns1:t>
        </ns1:r>
        <ns1:r>
          <ns1:t>0.451</ns1:t>
        </ns1:r>
      </ns1:oMath>
      <w:r>
        <w:t xml:space="preserve">)</w:t>
      </w:r>
      <w:r>
        <w:t xml:space="preserve"> </w:t>
      </w:r>
      <w:r>
        <w:t xml:space="preserve">confirma que la superioridad en calidad de SHAP se acompaña de una penalización</w:t>
      </w:r>
      <w:r>
        <w:t xml:space="preserve"> </w:t>
      </w:r>
      <w:r>
        <w:t xml:space="preserve">de coste en la mayoría de los contextos, pero no en todos.</w:t>
      </w:r>
    </w:p>
    <w:bookmarkEnd w:id="112"/>
    <w:bookmarkStart w:id="113" w:name="X2c15e0a178907c68bf437d0d85cae845d1c590b"/>
    <w:p>
      <w:pPr>
        <w:pStyle w:val="Ttulo3"/>
        <w:spacing w:line="360" w:lineRule="auto"/>
        <w:jc w:val="both"/>
      </w:pPr>
      <w:r>
        <w:t xml:space="preserve">Verificación del requisito de multiplicidad</w:t>
      </w:r>
    </w:p>
    <w:p>
      <w:pPr>
        <w:pStyle w:val="FirstParagraph"/>
        <w:spacing w:line="360" w:lineRule="auto"/>
        <w:jc w:val="both"/>
      </w:pPr>
      <w:r>
        <w:t xml:space="preserve">La hipótesis H3 involucra cinco comparaciones pareadas simultáneas. Aplicando</w:t>
      </w:r>
      <w:r>
        <w:t xml:space="preserve"> </w:t>
      </w:r>
      <w:r>
        <w:t xml:space="preserve">la corrección de Holm-Bonferroni sobre los cinco test de Wilcoxon, los umbrales</w:t>
      </w:r>
      <w:r>
        <w:t xml:space="preserve"> </w:t>
      </w:r>
      <w:r>
        <w:t xml:space="preserve">de rechazo ajustados para las estadísticas ordenadas son</w:t>
      </w:r>
      <w:r>
        <w:t xml:space="preserve"> </w:t>
      </w:r>
      <ns1:oMath>
        <ns1:r>
          <ns1:t>α</ns1:t>
        </ns1:r>
        <ns1:r>
          <ns1:rPr>
            <ns1:sty ns1:val="p"/>
          </ns1:rPr>
          <ns1:t>/</ns1:t>
        </ns1:r>
        <ns1:r>
          <ns1:rPr>
            <ns1:sty ns1:val="p"/>
          </ns1:rPr>
          <ns1:t>(</ns1:t>
        </ns1:r>
        <ns1:r>
          <ns1:t>5</ns1:t>
        </ns1:r>
        <ns1:r>
          <ns1:rPr>
            <ns1:sty ns1:val="p"/>
          </ns1:rPr>
          <ns1:t>)</ns1:t>
        </ns1:r>
        <ns1:r>
          <ns1:rPr>
            <ns1:sty ns1:val="p"/>
          </ns1:rPr>
          <ns1:t>=</ns1:t>
        </ns1:r>
        <ns1:r>
          <ns1:t>0.01</ns1:t>
        </ns1:r>
      </ns1:oMath>
      <w:r>
        <w:t xml:space="preserve">,</w:t>
      </w:r>
      <w:r>
        <w:t xml:space="preserve"> </w:t>
      </w:r>
      <ns1:oMath>
        <ns1:r>
          <ns1:t>α</ns1:t>
        </ns1:r>
        <ns1:r>
          <ns1:rPr>
            <ns1:sty ns1:val="p"/>
          </ns1:rPr>
          <ns1:t>/</ns1:t>
        </ns1:r>
        <ns1:r>
          <ns1:rPr>
            <ns1:sty ns1:val="p"/>
          </ns1:rPr>
          <ns1:t>(</ns1:t>
        </ns1:r>
        <ns1:r>
          <ns1:t>4</ns1:t>
        </ns1:r>
        <ns1:r>
          <ns1:rPr>
            <ns1:sty ns1:val="p"/>
          </ns1:rPr>
          <ns1:t>)</ns1:t>
        </ns1:r>
        <ns1:r>
          <ns1:rPr>
            <ns1:sty ns1:val="p"/>
          </ns1:rPr>
          <ns1:t>=</ns1:t>
        </ns1:r>
        <ns1:r>
          <ns1:t>0.0125</ns1:t>
        </ns1:r>
      </ns1:oMath>
      <w:r>
        <w:t xml:space="preserve">,</w:t>
      </w:r>
      <w:r>
        <w:t xml:space="preserve"> </w:t>
      </w:r>
      <ns1:oMath>
        <ns1:r>
          <ns1:t>α</ns1:t>
        </ns1:r>
        <ns1:r>
          <ns1:rPr>
            <ns1:sty ns1:val="p"/>
          </ns1:rPr>
          <ns1:t>/</ns1:t>
        </ns1:r>
        <ns1:r>
          <ns1:rPr>
            <ns1:sty ns1:val="p"/>
          </ns1:rPr>
          <ns1:t>(</ns1:t>
        </ns1:r>
        <ns1:r>
          <ns1:t>3</ns1:t>
        </ns1:r>
        <ns1:r>
          <ns1:rPr>
            <ns1:sty ns1:val="p"/>
          </ns1:rPr>
          <ns1:t>)</ns1:t>
        </ns1:r>
        <ns1:r>
          <ns1:rPr>
            <ns1:sty ns1:val="p"/>
          </ns1:rPr>
          <ns1:t>=</ns1:t>
        </ns1:r>
        <ns1:r>
          <ns1:t>0.0167</ns1:t>
        </ns1:r>
      </ns1:oMath>
      <w:r>
        <w:t xml:space="preserve">,</w:t>
      </w:r>
      <w:r>
        <w:t xml:space="preserve"> </w:t>
      </w:r>
      <ns1:oMath>
        <ns1:r>
          <ns1:t>α</ns1:t>
        </ns1:r>
        <ns1:r>
          <ns1:rPr>
            <ns1:sty ns1:val="p"/>
          </ns1:rPr>
          <ns1:t>/</ns1:t>
        </ns1:r>
        <ns1:r>
          <ns1:rPr>
            <ns1:sty ns1:val="p"/>
          </ns1:rPr>
          <ns1:t>(</ns1:t>
        </ns1:r>
        <ns1:r>
          <ns1:t>2</ns1:t>
        </ns1:r>
        <ns1:r>
          <ns1:rPr>
            <ns1:sty ns1:val="p"/>
          </ns1:rPr>
          <ns1:t>)</ns1:t>
        </ns1:r>
        <ns1:r>
          <ns1:rPr>
            <ns1:sty ns1:val="p"/>
          </ns1:rPr>
          <ns1:t>=</ns1:t>
        </ns1:r>
        <ns1:r>
          <ns1:t>0.025</ns1:t>
        </ns1:r>
      </ns1:oMath>
      <w:r>
        <w:t xml:space="preserve">,</w:t>
      </w:r>
      <w:r>
        <w:t xml:space="preserve"> </w:t>
      </w:r>
      <ns1:oMath>
        <ns1:r>
          <ns1:t>α</ns1:t>
        </ns1:r>
        <ns1:r>
          <ns1:rPr>
            <ns1:sty ns1:val="p"/>
          </ns1:rPr>
          <ns1:t>/</ns1:t>
        </ns1:r>
        <ns1:r>
          <ns1:rPr>
            <ns1:sty ns1:val="p"/>
          </ns1:rPr>
          <ns1:t>(</ns1:t>
        </ns1:r>
        <ns1:r>
          <ns1:t>1</ns1:t>
        </ns1:r>
        <ns1:r>
          <ns1:rPr>
            <ns1:sty ns1:val="p"/>
          </ns1:rPr>
          <ns1:t>)</ns1:t>
        </ns1:r>
        <ns1:r>
          <ns1:rPr>
            <ns1:sty ns1:val="p"/>
          </ns1:rPr>
          <ns1:t>=</ns1:t>
        </ns1:r>
        <ns1:r>
          <ns1:t>0.05</ns1:t>
        </ns1:r>
      </ns1:oMath>
      <w:r>
        <w:t xml:space="preserve">. Dado que las diferencias en fidelidad y estabilidad presentan</w:t>
      </w:r>
      <w:r>
        <w:t xml:space="preserve"> </w:t>
      </w:r>
      <ns1:oMath>
        <ns1:sSub>
          <ns1:e>
            <ns1:r>
              <ns1:t>d</ns1:t>
            </ns1:r>
          </ns1:e>
          <ns1:sub>
            <ns1:r>
              <ns1:t>z</ns1:t>
            </ns1:r>
          </ns1:sub>
        </ns1:sSub>
        <ns1:r>
          <ns1:rPr>
            <ns1:sty ns1:val="p"/>
          </ns1:rPr>
          <ns1:t>&gt;</ns1:t>
        </ns1:r>
        <ns1:r>
          <ns1:t>2.6</ns1:t>
        </ns1:r>
      </ns1:oMath>
      <w:r>
        <w:t xml:space="preserve"> </w:t>
      </w:r>
      <w:r>
        <w:t xml:space="preserve">con</w:t>
      </w:r>
      <w:r>
        <w:t xml:space="preserve"> </w:t>
      </w:r>
      <ns1:oMath>
        <ns1:r>
          <ns1:t>n</ns1:t>
        </ns1:r>
        <ns1:r>
          <ns1:rPr>
            <ns1:sty ns1:val="p"/>
          </ns1:rPr>
          <ns1:t>=</ns1:t>
        </ns1:r>
        <ns1:r>
          <ns1:t>75</ns1:t>
        </ns1:r>
      </ns1:oMath>
      <w:r>
        <w:t xml:space="preserve"> </w:t>
      </w:r>
      <w:r>
        <w:t xml:space="preserve">y consistencia direccional casi perfecta, los p-valores</w:t>
      </w:r>
      <w:r>
        <w:t xml:space="preserve"> </w:t>
      </w:r>
      <w:r>
        <w:t xml:space="preserve">bilaterales permanecen muy por debajo de los umbrales ajustados. En particular,</w:t>
      </w:r>
      <w:r>
        <w:t xml:space="preserve"> </w:t>
      </w:r>
      <w:r>
        <w:t xml:space="preserve">las métricas de calidad conservan significancia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w:t>
      </w:r>
      <w:r>
        <w:t xml:space="preserve"> </w:t>
      </w:r>
      <w:r>
        <w:t xml:space="preserve">orden de</w:t>
      </w:r>
      <w:r>
        <w:t xml:space="preserve"> </w:t>
      </w:r>
      <ns1:oMath>
        <ns1:sSup>
          <ns1:e>
            <ns1:r>
              <ns1:t>10</ns1:t>
            </ns1:r>
          </ns1:e>
          <ns1:sup>
            <ns1:r>
              <ns1:rPr>
                <ns1:sty ns1:val="p"/>
              </ns1:rPr>
              <ns1:t>−</ns1:t>
            </ns1:r>
            <ns1:r>
              <ns1:t>13</ns1:t>
            </ns1:r>
          </ns1:sup>
        </ns1:sSup>
      </ns1:oMath>
      <w:r>
        <w:t xml:space="preserve">, y el coste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 orden de</w:t>
      </w:r>
      <w:r>
        <w:t xml:space="preserve"> </w:t>
      </w:r>
      <ns1:oMath>
        <ns1:sSup>
          <ns1:e>
            <ns1:r>
              <ns1:t>10</ns1:t>
            </ns1:r>
          </ns1:e>
          <ns1:sup>
            <ns1:r>
              <ns1:rPr>
                <ns1:sty ns1:val="p"/>
              </ns1:rPr>
              <ns1:t>−</ns1:t>
            </ns1:r>
            <ns1:r>
              <ns1:t>10</ns1:t>
            </ns1:r>
          </ns1:sup>
        </ns1:sSup>
      </ns1:oMath>
      <w:r>
        <w:t xml:space="preserve">. Por tanto,</w:t>
      </w:r>
      <w:r>
        <w:t xml:space="preserve"> </w:t>
      </w:r>
      <ns1:oMath>
        <ns1:sSub>
          <ns1:e>
            <ns1:r>
              <ns1:t>H</ns1:t>
            </ns1:r>
          </ns1:e>
          <ns1:sub>
            <ns1:r>
              <ns1:t>1</ns1:t>
            </ns1:r>
            <ns1:r>
              <ns1:rPr>
                <ns1:sty ns1:val="p"/>
              </ns1:rPr>
              <ns1:t>,</ns1:t>
            </ns1:r>
            <ns1:r>
              <ns1:t>3</ns1:t>
            </ns1:r>
          </ns1:sub>
        </ns1:sSub>
      </ns1:oMath>
      <w:r>
        <w:t xml:space="preserve"> </w:t>
      </w:r>
      <w:r>
        <w:t xml:space="preserve">se acepta para las cinco métricas bajo control</w:t>
      </w:r>
      <w:r>
        <w:t xml:space="preserve"> </w:t>
      </w:r>
      <w:r>
        <w:t xml:space="preserve">de multiplicidad.</w:t>
      </w:r>
    </w:p>
    <w:bookmarkEnd w:id="113"/>
    <w:bookmarkEnd w:id="114"/>
    <w:bookmarkStart w:id="116" w:name="sec-p1"/>
    <w:p>
      <w:pPr>
        <w:pStyle w:val="Ttulo2"/>
        <w:spacing w:line="360" w:lineRule="auto"/>
        <w:jc w:val="both"/>
      </w:pPr>
      <w:r>
        <w:t xml:space="preserve">Proposición P1: Reproducibilidad del protocolo FOM-7</w:t>
      </w:r>
    </w:p>
    <w:p>
      <w:pPr>
        <w:pStyle w:val="FirstParagraph"/>
        <w:spacing w:line="360" w:lineRule="auto"/>
        <w:jc w:val="both"/>
      </w:pPr>
      <w:r>
        <w:t xml:space="preserve">La proposición P1 establece que el protocolo FOM-7 debe producir un coeficiente</w:t>
      </w:r>
      <w:r>
        <w:t xml:space="preserve"> </w:t>
      </w:r>
      <w:r>
        <w:t xml:space="preserve">de variación (CV) inferior al 15% en las métricas primarias bajo ejecuciones</w:t>
      </w:r>
      <w:r>
        <w:t xml:space="preserve"> </w:t>
      </w:r>
      <w:r>
        <w:t xml:space="preserve">repetidas con semillas distintas en condiciones de configuración idéntica.</w:t>
      </w:r>
    </w:p>
    <w:p>
      <w:pPr>
        <w:pStyle w:val="Textoindependiente"/>
        <w:spacing w:line="360" w:lineRule="auto"/>
        <w:jc w:val="both"/>
      </w:pPr>
      <w:r>
        <w:t xml:space="preserve">Para su evaluación se calculó el CV de cada métrica primaria para SHAP y LIME</w:t>
      </w:r>
      <w:r>
        <w:t xml:space="preserve"> </w:t>
      </w:r>
      <w:r>
        <w:t xml:space="preserve">sobre el subconjunto del modelo RF con</w:t>
      </w:r>
      <w:r>
        <w:t xml:space="preserve"> </w:t>
      </w:r>
      <ns1:oMath>
        <ns1:r>
          <ns1:t>N</ns1:t>
        </ns1:r>
        <ns1:r>
          <ns1:rPr>
            <ns1:sty ns1:val="p"/>
          </ns1:rPr>
          <ns1:t>=</ns1:t>
        </ns1:r>
        <ns1:r>
          <ns1:t>100</ns1:t>
        </ns1:r>
      </ns1:oMath>
      <w:r>
        <w:t xml:space="preserve">, tomando las cinco semillas</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w:t>
      </w:r>
      <w:r>
        <w:t xml:space="preserve">como réplicas independientes:</w:t>
      </w:r>
    </w:p>
    <w:tbl>
      <w:tblPr>
        <w:tblStyle w:val="Table"/>
        <w:tblW w:type="pct" w:w="5000"/>
        <w:tblLayout w:type="fixed"/>
        <w:tblLook w:firstRow="0" w:lastRow="0" w:firstColumn="0" w:lastColumn="0" w:noHBand="0" w:noVBand="0" w:val="0000"/>
      </w:tblPr>
      <w:tblGrid>
        <w:gridCol w:w="7920"/>
      </w:tblGrid>
      <w:tr>
        <w:tc>
          <w:tcPr/>
          <w:bookmarkStart w:id="115" w:name="tbl-cv-p1"/>
          <w:p>
            <w:pPr>
              <w:jc w:val="both"/>
              <w:spacing w:line="360" w:lineRule="auto"/>
            </w:pPr>
            <w:pPr>
              <w:jc w:val="left"/>
              <w:spacing w:before="200"/>
              <w:pStyle w:val="ImageCaption"/>
            </w:pPr>
            <w:r>
              <w:t xml:space="preserve">Table 5.6: Coeficiente de variación de métricas primarias bajo 5 semillas distintas (RF,</w:t>
            </w:r>
            <w:r>
              <w:t xml:space="preserve"> </w:t>
            </w:r>
            <ns1:oMath>
              <ns1:r>
                <ns1:t>N</ns1:t>
              </ns1:r>
              <ns1:r>
                <ns1:rPr>
                  <ns1:sty ns1:val="p"/>
                </ns1:rPr>
                <ns1:t>=</ns1:t>
              </ns1:r>
              <ns1:r>
                <ns1:t>100</ns1:t>
              </ns1:r>
            </ns1:oMath>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Métrica</w:t>
                  </w:r>
                </w:p>
              </w:tc>
              <w:tc>
                <w:tcPr/>
                <w:p>
                  <w:pPr>
                    <w:pStyle w:val="Compact"/>
                    <w:jc w:val="both"/>
                    <w:spacing w:line="360" w:lineRule="auto"/>
                  </w:pPr>
                  <w:r>
                    <w:t xml:space="preserve">Media</w:t>
                  </w:r>
                </w:p>
              </w:tc>
              <w:tc>
                <w:tcPr/>
                <w:p>
                  <w:pPr>
                    <w:pStyle w:val="Compact"/>
                    <w:jc w:val="both"/>
                    <w:spacing w:line="360" w:lineRule="auto"/>
                  </w:pPr>
                  <w:r>
                    <w:t xml:space="preserve">Desv. típica</w:t>
                  </w:r>
                </w:p>
              </w:tc>
              <w:tc>
                <w:tcPr/>
                <w:p>
                  <w:pPr>
                    <w:pStyle w:val="Compact"/>
                    <w:jc w:val="both"/>
                    <w:spacing w:line="360" w:lineRule="auto"/>
                  </w:pPr>
                  <w:r>
                    <w:t xml:space="preserve">CV (%)</w:t>
                  </w:r>
                </w:p>
              </w:tc>
              <w:tc>
                <w:tcPr/>
                <w:p>
                  <w:pPr>
                    <w:pStyle w:val="Compact"/>
                    <w:jc w:val="both"/>
                    <w:spacing w:line="360" w:lineRule="auto"/>
                  </w:pPr>
                  <w:r>
                    <w:t xml:space="preserve">Criterio P1</w:t>
                  </w:r>
                </w:p>
              </w:tc>
            </w:tr>
            <w:tr>
              <w:tc>
                <w:tcPr/>
                <w:p>
                  <w:pPr>
                    <w:pStyle w:val="Compact"/>
                    <w:jc w:val="both"/>
                    <w:spacing w:line="360" w:lineRule="auto"/>
                  </w:pPr>
                  <w:r>
                    <w:t xml:space="preserve">SHAP</w:t>
                  </w:r>
                </w:p>
              </w:tc>
              <w:tc>
                <w:tcPr/>
                <w:p>
                  <w:pPr>
                    <w:pStyle w:val="Compact"/>
                    <w:jc w:val="both"/>
                    <w:spacing w:line="360" w:lineRule="auto"/>
                  </w:pPr>
                  <w:r>
                    <w:t xml:space="preserve">Fidelidad</w:t>
                  </w:r>
                </w:p>
              </w:tc>
              <w:tc>
                <w:tcPr/>
                <w:p>
                  <w:pPr>
                    <w:pStyle w:val="Compact"/>
                    <w:jc w:val="both"/>
                    <w:spacing w:line="360" w:lineRule="auto"/>
                  </w:pPr>
                  <w:r>
                    <w:t xml:space="preserve">0.732</w:t>
                  </w:r>
                </w:p>
              </w:tc>
              <w:tc>
                <w:tcPr/>
                <w:p>
                  <w:pPr>
                    <w:pStyle w:val="Compact"/>
                    <w:jc w:val="both"/>
                    <w:spacing w:line="360" w:lineRule="auto"/>
                  </w:pPr>
                  <w:r>
                    <w:t xml:space="preserve">0.006</w:t>
                  </w:r>
                </w:p>
              </w:tc>
              <w:tc>
                <w:tcPr/>
                <w:p>
                  <w:pPr>
                    <w:pStyle w:val="Compact"/>
                    <w:jc w:val="both"/>
                    <w:spacing w:line="360" w:lineRule="auto"/>
                  </w:pPr>
                  <w:r>
                    <w:rPr>
                      <w:b/>
                      <w:bCs/>
                    </w:rPr>
                    <w:t xml:space="preserve">0.8</w:t>
                  </w:r>
                </w:p>
              </w:tc>
              <w:tc>
                <w:tcPr/>
                <w:p>
                  <w:pPr>
                    <w:pStyle w:val="Compact"/>
                    <w:jc w:val="both"/>
                    <w:spacing w:line="360" w:lineRule="auto"/>
                  </w:pPr>
                  <w:r>
                    <w:t xml:space="preserve">✓ Cumple</w:t>
                  </w:r>
                </w:p>
              </w:tc>
            </w:tr>
            <w:tr>
              <w:tc>
                <w:tcPr/>
                <w:p>
                  <w:pPr>
                    <w:pStyle w:val="Compact"/>
                    <w:jc w:val="both"/>
                    <w:spacing w:line="360" w:lineRule="auto"/>
                  </w:pPr>
                  <w:r>
                    <w:t xml:space="preserve">SHAP</w:t>
                  </w:r>
                </w:p>
              </w:tc>
              <w:tc>
                <w:tcPr/>
                <w:p>
                  <w:pPr>
                    <w:pStyle w:val="Compact"/>
                    <w:jc w:val="both"/>
                    <w:spacing w:line="360" w:lineRule="auto"/>
                  </w:pPr>
                  <w:r>
                    <w:t xml:space="preserve">Estabilidad</w:t>
                  </w:r>
                </w:p>
              </w:tc>
              <w:tc>
                <w:tcPr/>
                <w:p>
                  <w:pPr>
                    <w:pStyle w:val="Compact"/>
                    <w:jc w:val="both"/>
                    <w:spacing w:line="360" w:lineRule="auto"/>
                  </w:pPr>
                  <w:r>
                    <w:t xml:space="preserve">0.948</w:t>
                  </w:r>
                </w:p>
              </w:tc>
              <w:tc>
                <w:tcPr/>
                <w:p>
                  <w:pPr>
                    <w:pStyle w:val="Compact"/>
                    <w:jc w:val="both"/>
                    <w:spacing w:line="360" w:lineRule="auto"/>
                  </w:pPr>
                  <w:r>
                    <w:t xml:space="preserve">0.007</w:t>
                  </w:r>
                </w:p>
              </w:tc>
              <w:tc>
                <w:tcPr/>
                <w:p>
                  <w:pPr>
                    <w:pStyle w:val="Compact"/>
                    <w:jc w:val="both"/>
                    <w:spacing w:line="360" w:lineRule="auto"/>
                  </w:pPr>
                  <w:r>
                    <w:rPr>
                      <w:b/>
                      <w:bCs/>
                    </w:rPr>
                    <w:t xml:space="preserve">0.7</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Fidelidad</w:t>
                  </w:r>
                </w:p>
              </w:tc>
              <w:tc>
                <w:tcPr/>
                <w:p>
                  <w:pPr>
                    <w:pStyle w:val="Compact"/>
                    <w:jc w:val="both"/>
                    <w:spacing w:line="360" w:lineRule="auto"/>
                  </w:pPr>
                  <w:r>
                    <w:t xml:space="preserve">0.461</w:t>
                  </w:r>
                </w:p>
              </w:tc>
              <w:tc>
                <w:tcPr/>
                <w:p>
                  <w:pPr>
                    <w:pStyle w:val="Compact"/>
                    <w:jc w:val="both"/>
                    <w:spacing w:line="360" w:lineRule="auto"/>
                  </w:pPr>
                  <w:r>
                    <w:t xml:space="preserve">0.012</w:t>
                  </w:r>
                </w:p>
              </w:tc>
              <w:tc>
                <w:tcPr/>
                <w:p>
                  <w:pPr>
                    <w:pStyle w:val="Compact"/>
                    <w:jc w:val="both"/>
                    <w:spacing w:line="360" w:lineRule="auto"/>
                  </w:pPr>
                  <w:r>
                    <w:rPr>
                      <w:b/>
                      <w:bCs/>
                    </w:rPr>
                    <w:t xml:space="preserve">2.6</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Estabilidad</w:t>
                  </w:r>
                </w:p>
              </w:tc>
              <w:tc>
                <w:tcPr/>
                <w:p>
                  <w:pPr>
                    <w:pStyle w:val="Compact"/>
                    <w:jc w:val="both"/>
                    <w:spacing w:line="360" w:lineRule="auto"/>
                  </w:pPr>
                  <w:r>
                    <w:t xml:space="preserve">0.018</w:t>
                  </w:r>
                </w:p>
              </w:tc>
              <w:tc>
                <w:tcPr/>
                <w:p>
                  <w:pPr>
                    <w:pStyle w:val="Compact"/>
                    <w:jc w:val="both"/>
                    <w:spacing w:line="360" w:lineRule="auto"/>
                  </w:pPr>
                  <w:r>
                    <w:t xml:space="preserve">0.015</w:t>
                  </w:r>
                </w:p>
              </w:tc>
              <w:tc>
                <w:tcPr/>
                <w:p>
                  <w:pPr>
                    <w:pStyle w:val="Compact"/>
                    <w:jc w:val="both"/>
                    <w:spacing w:line="360" w:lineRule="auto"/>
                  </w:pPr>
                  <w:r>
                    <w:rPr>
                      <w:b/>
                      <w:bCs/>
                    </w:rPr>
                    <w:t xml:space="preserve">86.2</w:t>
                  </w:r>
                </w:p>
              </w:tc>
              <w:tc>
                <w:tcPr/>
                <w:p>
                  <w:pPr>
                    <w:pStyle w:val="Compact"/>
                    <w:jc w:val="both"/>
                    <w:spacing w:line="360" w:lineRule="auto"/>
                  </w:pPr>
                  <w:r>
                    <w:t xml:space="preserve">✗ No cumple</w:t>
                  </w:r>
                </w:p>
              </w:tc>
            </w:tr>
          </w:tbl>
          <w:bookmarkEnd w:id="115"/>
          <w:p>
            <w:pPr>
              <w:spacing w:line="360" w:lineRule="auto"/>
              <w:jc w:val="both"/>
            </w:pPr>
          </w:p>
        </w:tc>
      </w:tr>
    </w:tbl>
    <w:p>
      <w:pPr>
        <w:pStyle w:val="Textoindependiente"/>
        <w:spacing w:line="360" w:lineRule="auto"/>
        <w:jc w:val="both"/>
      </w:pPr>
      <w:r>
        <w:rPr>
          <w:i/>
          <w:iCs/>
        </w:rPr>
        <w:t xml:space="preserve">Nota de alcance:</w:t>
      </w:r>
      <w:r>
        <w:t xml:space="preserve"> </w:t>
      </w:r>
      <w:r>
        <w:t xml:space="preserve">El valor de estabilidad de SHAP (0.948) corresponde exclusivamente al subgrupo RF/</w:t>
      </w:r>
      <ns1:oMath>
        <ns1:r>
          <ns1:t>N</ns1:t>
        </ns1:r>
        <ns1:r>
          <ns1:rPr>
            <ns1:sty ns1:val="p"/>
          </ns1:rPr>
          <ns1:t>=</ns1:t>
        </ns1:r>
        <ns1:r>
          <ns1:t>100</ns1:t>
        </ns1:r>
      </ns1:oMath>
      <w:r>
        <w:t xml:space="preserve"> </w:t>
      </w:r>
      <w:r>
        <w:t xml:space="preserve">del perfilado P1. La media EXP2 de estabilidad SHAP sobre los cinco modelos y los tres tamaños de muestra es 0.732; la diferencia refleja que KernelSHAP aplicado a SVM y MLP produce estabilidades marcadamente menores que TreeSHAP aplicado a RF, lo que reduce la media global respecto al valor observado aquí.</w:t>
      </w:r>
    </w:p>
    <w:p>
      <w:pPr>
        <w:pStyle w:val="Textoindependiente"/>
        <w:spacing w:line="360" w:lineRule="auto"/>
        <w:jc w:val="both"/>
      </w:pPr>
      <w:r>
        <w:t xml:space="preserve">Los resultados confirman P1 parcialmente. Para las métricas en las que el</w:t>
      </w:r>
      <w:r>
        <w:t xml:space="preserve"> </w:t>
      </w:r>
      <w:r>
        <w:t xml:space="preserve">método produce señales de magnitud apreciable, el CV es inferior al 15%:</w:t>
      </w:r>
      <w:r>
        <w:t xml:space="preserve"> </w:t>
      </w:r>
      <w:r>
        <w:t xml:space="preserve">SHAP-fidelidad (0.8%), SHAP-estabilidad (0.7%) y LIME-fidelidad (2.6%) cumplen</w:t>
      </w:r>
      <w:r>
        <w:t xml:space="preserve"> </w:t>
      </w:r>
      <w:r>
        <w:t xml:space="preserve">ampliamente el criterio. La excepción es LIME-estabilidad, con CV = 86.2%, que</w:t>
      </w:r>
      <w:r>
        <w:t xml:space="preserve"> </w:t>
      </w:r>
      <w:r>
        <w:t xml:space="preserve">viola el umbral del 15%.</w:t>
      </w:r>
    </w:p>
    <w:p>
      <w:pPr>
        <w:pStyle w:val="Textoindependiente"/>
        <w:spacing w:line="360" w:lineRule="auto"/>
        <w:jc w:val="both"/>
      </w:pPr>
      <w:r>
        <w:t xml:space="preserve">Sin embargo, este incumplimiento es interpretable como un hallazgo sustantivo</w:t>
      </w:r>
      <w:r>
        <w:t xml:space="preserve"> </w:t>
      </w:r>
      <w:r>
        <w:t xml:space="preserve">más que como un defecto del protocolo. LIME-estabilidad tiene media 0.018, es</w:t>
      </w:r>
      <w:r>
        <w:t xml:space="preserve"> </w:t>
      </w:r>
      <w:r>
        <w:t xml:space="preserve">decir, la similitud coseno entre explicaciones replicadas es casi nula. En este</w:t>
      </w:r>
      <w:r>
        <w:t xml:space="preserve"> </w:t>
      </w:r>
      <w:r>
        <w:t xml:space="preserve">régimen, la desviación absoluta entre réplicas (~0.015) es numéricamente pequeña</w:t>
      </w:r>
      <w:r>
        <w:t xml:space="preserve"> </w:t>
      </w:r>
      <w:r>
        <w:t xml:space="preserve">pero el CV es elevado precisamente porque el denominador es cercano a cero. Un</w:t>
      </w:r>
      <w:r>
        <w:t xml:space="preserve"> </w:t>
      </w:r>
      <w:r>
        <w:t xml:space="preserve">CV del 86% sobre una media de 0.018 equivale a una incertidumbre absoluta de</w:t>
      </w:r>
      <w:r>
        <w:t xml:space="preserve"> </w:t>
      </w:r>
      <ns1:oMath>
        <ns1:r>
          <ns1:rPr>
            <ns1:sty ns1:val="p"/>
          </ns1:rPr>
          <ns1:t>±</ns1:t>
        </ns1:r>
        <ns1:r>
          <ns1:t>0.015</ns1:t>
        </ns1:r>
      </ns1:oMath>
      <w:r>
        <w:t xml:space="preserve">, que en la escala de similitud coseno es trivial. La proposición P1</w:t>
      </w:r>
      <w:r>
        <w:t xml:space="preserve"> </w:t>
      </w:r>
      <w:r>
        <w:t xml:space="preserve">se satisface para las métricas con señal sustantiva; la excepción de LIME-</w:t>
      </w:r>
      <w:r>
        <w:t xml:space="preserve"> </w:t>
      </w:r>
      <w:r>
        <w:t xml:space="preserve">estabilidad es una consecuencia de la inestabilidad del método bajo esta</w:t>
      </w:r>
      <w:r>
        <w:t xml:space="preserve"> </w:t>
      </w:r>
      <w:r>
        <w:t xml:space="preserve">configuración, no de la irreproducibilidad del protocolo.</w:t>
      </w:r>
    </w:p>
    <w:p>
      <w:pPr>
        <w:pStyle w:val="Textoindependiente"/>
        <w:spacing w:line="360" w:lineRule="auto"/>
        <w:jc w:val="both"/>
      </w:pPr>
      <w:r>
        <w:t xml:space="preserve">Para la generalización global, el CV en fidelidad agrupando todas las</w:t>
      </w:r>
      <w:r>
        <w:t xml:space="preserve"> </w:t>
      </w:r>
      <w:r>
        <w:t xml:space="preserve">ejecuciones calificadas de cada método es de 11.4% (SHAP) y 12.0% (LIME) —es</w:t>
      </w:r>
      <w:r>
        <w:t xml:space="preserve"> </w:t>
      </w:r>
      <w:r>
        <w:t xml:space="preserve">decir, SHAP es además el más reproducible de los dos, no el más disperso—,</w:t>
      </w:r>
      <w:r>
        <w:t xml:space="preserve"> </w:t>
      </w:r>
      <w:r>
        <w:t xml:space="preserve">confirmando que la variabilidad métrica debida a la aleatoriedad de la semilla</w:t>
      </w:r>
      <w:r>
        <w:t xml:space="preserve"> </w:t>
      </w:r>
      <w:r>
        <w:t xml:space="preserve">es controlada y uniforme, y que ambos valores quedan por debajo del umbral del</w:t>
      </w:r>
      <w:r>
        <w:t xml:space="preserve"> </w:t>
      </w:r>
      <w:r>
        <w:t xml:space="preserve">15% fijado en P1. Los CVs de coste y estabilidad, que son inherentemente más variables</w:t>
      </w:r>
      <w:r>
        <w:t xml:space="preserve"> </w:t>
      </w:r>
      <w:r>
        <w:t xml:space="preserve">por la dependencia de las instancias específicas seleccionadas, se esperan en</w:t>
      </w:r>
      <w:r>
        <w:t xml:space="preserve"> </w:t>
      </w:r>
      <w:r>
        <w:t xml:space="preserve">rangos superiores y no forman parte del criterio primario de P1.</w:t>
      </w:r>
    </w:p>
    <w:bookmarkEnd w:id="116"/>
    <w:bookmarkStart w:id="121" w:name="sec-perfiles"/>
    <w:p>
      <w:pPr>
        <w:pStyle w:val="Ttulo2"/>
        <w:spacing w:line="360" w:lineRule="auto"/>
        <w:jc w:val="both"/>
      </w:pPr>
      <w:r>
        <w:t xml:space="preserve">Perfil multidimensional por método</w:t>
      </w:r>
    </w:p>
    <w:p>
      <w:pPr>
        <w:pStyle w:val="FirstParagraph"/>
        <w:spacing w:line="360" w:lineRule="auto"/>
        <w:jc w:val="both"/>
      </w:pPr>
      <w:r>
        <w:t xml:space="preserve">El análisis omnibus y pareado establece las diferencias confirmativas; esta</w:t>
      </w:r>
      <w:r>
        <w:t xml:space="preserve"> </w:t>
      </w:r>
      <w:r>
        <w:t xml:space="preserve">sección describe el perfil multidimensional completo de cada método, integrando</w:t>
      </w:r>
      <w:r>
        <w:t xml:space="preserve"> </w:t>
      </w:r>
      <w:r>
        <w:t xml:space="preserve">las cinco métricas y el comportamiento específico por modelo.</w:t>
      </w:r>
    </w:p>
    <w:bookmarkStart w:id="117" w:name="shap"/>
    <w:p>
      <w:pPr>
        <w:pStyle w:val="Ttulo3"/>
        <w:spacing w:line="360" w:lineRule="auto"/>
        <w:jc w:val="both"/>
      </w:pPr>
      <w:r>
        <w:t xml:space="preserve">SHAP</w:t>
      </w:r>
    </w:p>
    <w:p>
      <w:pPr>
        <w:pStyle w:val="FirstParagraph"/>
        <w:spacing w:line="360" w:lineRule="auto"/>
        <w:jc w:val="both"/>
      </w:pPr>
      <w:r>
        <w:t xml:space="preserve">SHAP presenta el perfil más equilibrado y favorable de los cuatro métodos.</w:t>
      </w:r>
      <w:r>
        <w:t xml:space="preserve"> </w:t>
      </w:r>
      <w:r>
        <w:t xml:space="preserve">Sus medias consolidadas sobre las 75 ejecuciones calificadas son:</w:t>
      </w:r>
      <w:r>
        <w:t xml:space="preserve"> </w:t>
      </w:r>
      <w:r>
        <w:t xml:space="preserve">fidelidad = 0.808, estabilidad = 0.732, parsimonia = 0.226, brecha de</w:t>
      </w:r>
      <w:r>
        <w:t xml:space="preserve"> </w:t>
      </w:r>
      <w:r>
        <w:t xml:space="preserve">fidelidad = 0.380, coste = 11,708 ms. El ratio activo más alto de todos los</w:t>
      </w:r>
      <w:r>
        <w:t xml:space="preserve"> </w:t>
      </w:r>
      <w:r>
        <w:t xml:space="preserve">métodos (0.226 frente a 0.085 de LIME) refleja que SHAP puede distribuir</w:t>
      </w:r>
      <w:r>
        <w:t xml:space="preserve"> </w:t>
      </w:r>
      <w:r>
        <w:t xml:space="preserve">importancias entre un mayor número de características cuando el modelo así lo</w:t>
      </w:r>
      <w:r>
        <w:t xml:space="preserve"> </w:t>
      </w:r>
      <w:r>
        <w:t xml:space="preserve">requiere, lo que es un reflejo adecuado de la complejidad real del modelo; por</w:t>
      </w:r>
      <w:r>
        <w:t xml:space="preserve"> </w:t>
      </w:r>
      <w:r>
        <w:t xml:space="preserve">la dirección de la métrica (§sec-metricas), esto significa que SHAP es el</w:t>
      </w:r>
      <w:r>
        <w:t xml:space="preserve"> </w:t>
      </w:r>
      <w:r>
        <w:t xml:space="preserve">método</w:t>
      </w:r>
      <w:r>
        <w:t xml:space="preserve"> </w:t>
      </w:r>
      <w:r>
        <w:rPr>
          <w:i/>
          <w:iCs/>
        </w:rPr>
        <w:t xml:space="preserve">menos</w:t>
      </w:r>
      <w:r>
        <w:t xml:space="preserve"> </w:t>
      </w:r>
      <w:r>
        <w:t xml:space="preserve">parsimonioso del benchmark.</w:t>
      </w:r>
    </w:p>
    <w:p>
      <w:pPr>
        <w:pStyle w:val="Textoindependiente"/>
        <w:spacing w:line="360" w:lineRule="auto"/>
        <w:jc w:val="both"/>
      </w:pPr>
      <w:r>
        <w:t xml:space="preserve">El coste es la dimensión adversa de SHAP. Todas las cifras de coste de esta</w:t>
      </w:r>
      <w:r>
        <w:t xml:space="preserve"> </w:t>
      </w:r>
      <w:r>
        <w:t xml:space="preserve">sección son medias por instancia agregadas a nivel de ejecución</w:t>
      </w:r>
      <w:r>
        <w:t xml:space="preserve"> </w:t>
      </w:r>
      <w:r>
        <w:t xml:space="preserve">(instancia → ejecución), la misma unidad usada en los contrastes pareados. La</w:t>
      </w:r>
      <w:r>
        <w:t xml:space="preserve"> </w:t>
      </w:r>
      <w:r>
        <w:t xml:space="preserve">media de 11,708 ms esconde una distribución fuertemente asimétrica: la mediana</w:t>
      </w:r>
      <w:r>
        <w:t xml:space="preserve"> </w:t>
      </w:r>
      <w:r>
        <w:t xml:space="preserve">por ejecución es de solo 684 ms, y la heterogeneidad entre familias de modelos</w:t>
      </w:r>
      <w:r>
        <w:t xml:space="preserve"> </w:t>
      </w:r>
      <w:r>
        <w:t xml:space="preserve">alcanza tres órdenes de magnitud —para XGBoost, TreeSHAP opera en ~21 ms de</w:t>
      </w:r>
      <w:r>
        <w:t xml:space="preserve"> </w:t>
      </w:r>
      <w:r>
        <w:t xml:space="preserve">media (mediana 18 ms), mientras que KernelSHAP sobre SVM requiere ~54,231 ms.</w:t>
      </w:r>
      <w:r>
        <w:t xml:space="preserve"> </w:t>
      </w:r>
      <w:r>
        <w:t xml:space="preserve">Esta disparidad tiene implicaciones prácticas directas: el despliegue de SHAP</w:t>
      </w:r>
      <w:r>
        <w:t xml:space="preserve"> </w:t>
      </w:r>
      <w:r>
        <w:t xml:space="preserve">sobre modelos de núcleo o redes neuronales en entornos de baja latencia puede</w:t>
      </w:r>
      <w:r>
        <w:t xml:space="preserve"> </w:t>
      </w:r>
      <w:r>
        <w:t xml:space="preserve">ser inviable sin aproximaciones adicionales.</w:t>
      </w:r>
    </w:p>
    <w:p>
      <w:pPr>
        <w:pStyle w:val="Textoindependiente"/>
        <w:spacing w:line="360" w:lineRule="auto"/>
        <w:jc w:val="both"/>
      </w:pPr>
      <w:r>
        <w:t xml:space="preserve">Por modelo, los picos de fidelidad se observan en logreg (0.946) y SVM (0.882),</w:t>
      </w:r>
      <w:r>
        <w:t xml:space="preserve"> </w:t>
      </w:r>
      <w:r>
        <w:t xml:space="preserve">donde la linealidad o la estructura de margen del modelo facilita la aproximación</w:t>
      </w:r>
      <w:r>
        <w:t xml:space="preserve"> </w:t>
      </w:r>
      <w:r>
        <w:t xml:space="preserve">local por valores de Shapley. Las fidelidades más bajas se registran en MLP</w:t>
      </w:r>
      <w:r>
        <w:t xml:space="preserve"> </w:t>
      </w:r>
      <w:r>
        <w:t xml:space="preserve">(0.725) y RF (0.729), coherente con la complejidad de sus superficies de</w:t>
      </w:r>
      <w:r>
        <w:t xml:space="preserve"> </w:t>
      </w:r>
      <w:r>
        <w:t xml:space="preserve">decisión. XGBoost presenta el balance óptimo calidad-coste: fidelidad 0.759 con</w:t>
      </w:r>
      <w:r>
        <w:t xml:space="preserve"> </w:t>
      </w:r>
      <w:r>
        <w:t xml:space="preserve">un coste medio de 21 ms.</w:t>
      </w:r>
    </w:p>
    <w:bookmarkEnd w:id="117"/>
    <w:bookmarkStart w:id="118" w:name="lime"/>
    <w:p>
      <w:pPr>
        <w:pStyle w:val="Ttulo3"/>
        <w:spacing w:line="360" w:lineRule="auto"/>
        <w:jc w:val="both"/>
      </w:pPr>
      <w:r>
        <w:t xml:space="preserve">LIME</w:t>
      </w:r>
    </w:p>
    <w:p>
      <w:pPr>
        <w:pStyle w:val="FirstParagraph"/>
        <w:spacing w:line="360" w:lineRule="auto"/>
        <w:jc w:val="both"/>
      </w:pPr>
      <w:r>
        <w:t xml:space="preserve">LIME es el método más económico en coste (media 3,661 ms, mediana por ejecución</w:t>
      </w:r>
      <w:r>
        <w:t xml:space="preserve"> </w:t>
      </w:r>
      <w:r>
        <w:t xml:space="preserve">65.7 ms, con medias por familia de modelo de 52 ms en MLP a 17,620 ms en SVM),</w:t>
      </w:r>
      <w:r>
        <w:t xml:space="preserve"> </w:t>
      </w:r>
      <w:r>
        <w:t xml:space="preserve">con una fidelidad media moderada (0.560) y ratio activo bajo y consistente</w:t>
      </w:r>
      <w:r>
        <w:t xml:space="preserve"> </w:t>
      </w:r>
      <w:r>
        <w:t xml:space="preserve">(0.085 en todos los modelos, por diseño), es decir, el método más parsimonioso</w:t>
      </w:r>
      <w:r>
        <w:t xml:space="preserve"> </w:t>
      </w:r>
      <w:r>
        <w:t xml:space="preserve">del benchmark. Su fortaleza operativa es la velocidad</w:t>
      </w:r>
      <w:r>
        <w:t xml:space="preserve"> </w:t>
      </w:r>
      <w:r>
        <w:t xml:space="preserve">y la parsimonia de sus explicaciones, que facilitan la interpretación por parte</w:t>
      </w:r>
      <w:r>
        <w:t xml:space="preserve"> </w:t>
      </w:r>
      <w:r>
        <w:t xml:space="preserve">de usuarios no técnicos.</w:t>
      </w:r>
    </w:p>
    <w:p>
      <w:pPr>
        <w:pStyle w:val="Textoindependiente"/>
        <w:spacing w:line="360" w:lineRule="auto"/>
        <w:jc w:val="both"/>
      </w:pPr>
      <w:r>
        <w:t xml:space="preserve">La limitación principal de LIME en este benchmark es su estabilidad casi nula</w:t>
      </w:r>
      <w:r>
        <w:t xml:space="preserve"> </w:t>
      </w:r>
      <w:r>
        <w:t xml:space="preserve">(0.014) bajo la configuración de referencia. La</w:t>
      </w:r>
      <w:r>
        <w:t xml:space="preserve"> </w:t>
      </w:r>
      <w:r>
        <w:t xml:space="preserve">hipótesis explicativa es conocida en la literatura: la perturbación por</w:t>
      </w:r>
      <w:r>
        <w:t xml:space="preserve"> </w:t>
      </w:r>
      <w:r>
        <w:t xml:space="preserve">muestreo local genera distribuciones que difieren sustancialmente de instancia</w:t>
      </w:r>
      <w:r>
        <w:t xml:space="preserve"> </w:t>
      </w:r>
      <w:r>
        <w:t xml:space="preserve">a instancia, haciendo que los coeficientes del modelo lineal local sean</w:t>
      </w:r>
      <w:r>
        <w:t xml:space="preserve"> </w:t>
      </w:r>
      <w:r>
        <w:t xml:space="preserve">altamente sensibles al conjunto de puntos de la vecindad</w:t>
      </w:r>
      <w:r>
        <w:t xml:space="preserve"> </w:t>
      </w:r>
      <w:r>
        <w:t xml:space="preserve">(Ribeiro 2016; Bhattacharya and Verbert 2024)</w:t>
      </w:r>
      <w:r>
        <w:t xml:space="preserve">. En los datos de este benchmark, esta inestabilidad se</w:t>
      </w:r>
      <w:r>
        <w:t xml:space="preserve"> </w:t>
      </w:r>
      <w:r>
        <w:t xml:space="preserve">documentó cuantitativamente: el CV de estabilidad bajo semillas distintas es</w:t>
      </w:r>
      <w:r>
        <w:t xml:space="preserve"> </w:t>
      </w:r>
      <w:r>
        <w:t xml:space="preserve">del 86.2%, y la similitud coseno media de 0.014 implica que dos explicaciones</w:t>
      </w:r>
      <w:r>
        <w:t xml:space="preserve"> </w:t>
      </w:r>
      <w:r>
        <w:t xml:space="preserve">de la misma instancia con semillas distintas son casi ortogonales. Este hallazgo</w:t>
      </w:r>
      <w:r>
        <w:t xml:space="preserve"> </w:t>
      </w:r>
      <w:r>
        <w:t xml:space="preserve">limita el uso de LIME como método de referencia en contextos donde se requiere</w:t>
      </w:r>
      <w:r>
        <w:t xml:space="preserve"> </w:t>
      </w:r>
      <w:r>
        <w:t xml:space="preserve">consistencia explicativa, como auditoría, decisiones de alto riesgo o</w:t>
      </w:r>
      <w:r>
        <w:t xml:space="preserve"> </w:t>
      </w:r>
      <w:r>
        <w:t xml:space="preserve">comparación entre instancias.</w:t>
      </w:r>
    </w:p>
    <w:bookmarkEnd w:id="118"/>
    <w:bookmarkStart w:id="119" w:name="anchors"/>
    <w:p>
      <w:pPr>
        <w:pStyle w:val="Ttulo3"/>
        <w:spacing w:line="360" w:lineRule="auto"/>
        <w:jc w:val="both"/>
      </w:pPr>
      <w:r>
        <w:t xml:space="preserve">Anchors</w:t>
      </w:r>
    </w:p>
    <w:p>
      <w:pPr>
        <w:pStyle w:val="FirstParagraph"/>
        <w:spacing w:line="360" w:lineRule="auto"/>
        <w:jc w:val="both"/>
      </w:pPr>
      <w:r>
        <w:t xml:space="preserve">Anchors tiene una cobertura de solo 57 celdas calificadas (76.0%), lo que</w:t>
      </w:r>
      <w:r>
        <w:t xml:space="preserve"> </w:t>
      </w:r>
      <w:r>
        <w:t xml:space="preserve">refleja que en los estratos de mayor incertidumbre el algoritmo de búsqueda de</w:t>
      </w:r>
      <w:r>
        <w:t xml:space="preserve"> </w:t>
      </w:r>
      <w:r>
        <w:t xml:space="preserve">reglas no converge a una regla con la precisión mínima exigida. Sobre las 57</w:t>
      </w:r>
      <w:r>
        <w:t xml:space="preserve"> </w:t>
      </w:r>
      <w:r>
        <w:t xml:space="preserve">ejecuciones calificadas, la fidelidad media es 0.388 y la estabilidad 0.052,</w:t>
      </w:r>
      <w:r>
        <w:t xml:space="preserve"> </w:t>
      </w:r>
      <w:r>
        <w:t xml:space="preserve">ambas inferiores a las de SHAP y LIME. Estos valores son medias a nivel de</w:t>
      </w:r>
      <w:r>
        <w:t xml:space="preserve"> </w:t>
      </w:r>
      <w:r>
        <w:t xml:space="preserve">ejecución; las medias a nivel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que alimentan el test de</w:t>
      </w:r>
      <w:r>
        <w:t xml:space="preserve"> </w:t>
      </w:r>
      <w:r>
        <w:t xml:space="preserve">Friedman son 0.389 y 0.043 (</w:t>
      </w:r>
      <w:hyperlink w:anchor="tbl-friedman-fidelity">
        <w:r>
          <w:rPr>
            <w:rStyle w:val="Hipervnculo"/>
          </w:rPr>
          <w:t xml:space="preserve">Table 5.2</w:t>
        </w:r>
      </w:hyperlink>
      <w:r>
        <w:t xml:space="preserve">,</w:t>
      </w:r>
      <w:r>
        <w:t xml:space="preserve"> </w:t>
      </w:r>
      <w:hyperlink w:anchor="tbl-friedman-stability">
        <w:r>
          <w:rPr>
            <w:rStyle w:val="Hipervnculo"/>
          </w:rPr>
          <w:t xml:space="preserve">Table 5.4</w:t>
        </w:r>
      </w:hyperlink>
      <w:r>
        <w:t xml:space="preserve">). La</w:t>
      </w:r>
      <w:r>
        <w:t xml:space="preserve"> </w:t>
      </w:r>
      <w:r>
        <w:t xml:space="preserve">discrepancia en estabilidad —0.052 frente a 0.043— es específica de Anchors y</w:t>
      </w:r>
      <w:r>
        <w:t xml:space="preserve"> </w:t>
      </w:r>
      <w:r>
        <w:t xml:space="preserve">refleja que su cobertura se distribuye de forma desigual entre bloques, de modo</w:t>
      </w:r>
      <w:r>
        <w:t xml:space="preserve"> </w:t>
      </w:r>
      <w:r>
        <w:t xml:space="preserve">que promediar ejecuciones y promediar bloques no son operaciones equivalentes;</w:t>
      </w:r>
      <w:r>
        <w:t xml:space="preserve"> </w:t>
      </w:r>
      <w:r>
        <w:t xml:space="preserve">para SHAP y LIME, con cobertura completa, ambas agregaciones coinciden. El coste es el más elevado del benchmark y muy</w:t>
      </w:r>
      <w:r>
        <w:t xml:space="preserve"> </w:t>
      </w:r>
      <w:r>
        <w:t xml:space="preserve">variable: media global de 38,159 ms, con medias por familia de modelo desde</w:t>
      </w:r>
      <w:r>
        <w:t xml:space="preserve"> </w:t>
      </w:r>
      <w:r>
        <w:t xml:space="preserve">2,918 ms para logreg hasta 48,955 ms para RF y 57,705 ms para XGBoost. El comportamiento</w:t>
      </w:r>
      <w:r>
        <w:t xml:space="preserve"> </w:t>
      </w:r>
      <w:r>
        <w:t xml:space="preserve">de Anchors refleja la dificultad intrínseca de encontrar reglas locales</w:t>
      </w:r>
      <w:r>
        <w:t xml:space="preserve"> </w:t>
      </w:r>
      <w:r>
        <w:t xml:space="preserve">de alta precisión en modelos no lineales: en logreg, la estructura lineal</w:t>
      </w:r>
      <w:r>
        <w:t xml:space="preserve"> </w:t>
      </w:r>
      <w:r>
        <w:t xml:space="preserve">facilita la búsqueda; en RF y SVM, el espacio de decisión es fragmentado y el</w:t>
      </w:r>
      <w:r>
        <w:t xml:space="preserve"> </w:t>
      </w:r>
      <w:r>
        <w:t xml:space="preserve">algoritmo de búsqueda incurre en costes de exploración elevados.</w:t>
      </w:r>
    </w:p>
    <w:p>
      <w:pPr>
        <w:pStyle w:val="Textoindependiente"/>
        <w:spacing w:line="360" w:lineRule="auto"/>
        <w:jc w:val="both"/>
      </w:pPr>
      <w:r>
        <w:t xml:space="preserve">La parsimonia de Anchors es comparable a la de LIME (0.085), pero con mayor</w:t>
      </w:r>
      <w:r>
        <w:t xml:space="preserve"> </w:t>
      </w:r>
      <w:r>
        <w:t xml:space="preserve">variabilidad (0.059 de desviación típica). Las reglas IF-THEN que Anchors</w:t>
      </w:r>
      <w:r>
        <w:t xml:space="preserve"> </w:t>
      </w:r>
      <w:r>
        <w:t xml:space="preserve">produce tienen un valor explicativo cualitativo distinto al de los pesos de</w:t>
      </w:r>
      <w:r>
        <w:t xml:space="preserve"> </w:t>
      </w:r>
      <w:r>
        <w:t xml:space="preserve">importancia numérica: son más comprensibles para usuarios finales, pero no</w:t>
      </w:r>
      <w:r>
        <w:t xml:space="preserve"> </w:t>
      </w:r>
      <w:r>
        <w:t xml:space="preserve">permiten comparación cuantitativa directa con las métricas de importancia por</w:t>
      </w:r>
      <w:r>
        <w:t xml:space="preserve"> </w:t>
      </w:r>
      <w:r>
        <w:t xml:space="preserve">las que SHAP y LIME son evaluados. Esta limitación conceptual —no un defecto de</w:t>
      </w:r>
      <w:r>
        <w:t xml:space="preserve"> </w:t>
      </w:r>
      <w:r>
        <w:t xml:space="preserve">implementación— sugiere que la fidelidad y estabilidad métricas de Anchors deben</w:t>
      </w:r>
      <w:r>
        <w:t xml:space="preserve"> </w:t>
      </w:r>
      <w:r>
        <w:t xml:space="preserve">interpretarse con cautela.</w:t>
      </w:r>
    </w:p>
    <w:bookmarkEnd w:id="119"/>
    <w:bookmarkStart w:id="120" w:name="dice"/>
    <w:p>
      <w:pPr>
        <w:pStyle w:val="Ttulo3"/>
        <w:spacing w:line="360" w:lineRule="auto"/>
        <w:jc w:val="both"/>
      </w:pPr>
      <w:r>
        <w:t xml:space="preserve">DiCE</w:t>
      </w:r>
    </w:p>
    <w:p>
      <w:pPr>
        <w:pStyle w:val="FirstParagraph"/>
        <w:spacing w:line="360" w:lineRule="auto"/>
        <w:jc w:val="both"/>
      </w:pPr>
      <w:r>
        <w:t xml:space="preserve">DiCE ocupa el último lugar en fidelidad (0.172) y una posición intermedia en</w:t>
      </w:r>
      <w:r>
        <w:t xml:space="preserve"> </w:t>
      </w:r>
      <w:r>
        <w:t xml:space="preserve">estabilidad (0.366). Esta combinación es coherente con su paradigma de</w:t>
      </w:r>
      <w:r>
        <w:t xml:space="preserve"> </w:t>
      </w:r>
      <w:r>
        <w:t xml:space="preserve">diseño: como método contrafactual, DiCE genera instancias alternativas que</w:t>
      </w:r>
      <w:r>
        <w:t xml:space="preserve"> </w:t>
      </w:r>
      <w:r>
        <w:t xml:space="preserve">cambian la predicción, no pesos de importancia que explican la predicción</w:t>
      </w:r>
      <w:r>
        <w:t xml:space="preserve"> </w:t>
      </w:r>
      <w:r>
        <w:t xml:space="preserve">actual. La baja fidelidad refleja que las características más modificadas en</w:t>
      </w:r>
      <w:r>
        <w:t xml:space="preserve"> </w:t>
      </w:r>
      <w:r>
        <w:t xml:space="preserve">los contrafactuales no son necesariamente las que más influyen en la</w:t>
      </w:r>
      <w:r>
        <w:t xml:space="preserve"> </w:t>
      </w:r>
      <w:r>
        <w:t xml:space="preserve">predicción local, lo que no es un fallo sino una consecuencia de su objetivo</w:t>
      </w:r>
      <w:r>
        <w:t xml:space="preserve"> </w:t>
      </w:r>
      <w:r>
        <w:t xml:space="preserve">optimizado.</w:t>
      </w:r>
    </w:p>
    <w:p>
      <w:pPr>
        <w:pStyle w:val="Textoindependiente"/>
        <w:spacing w:line="360" w:lineRule="auto"/>
        <w:jc w:val="both"/>
      </w:pPr>
      <w:r>
        <w:t xml:space="preserve">La estabilidad moderada de DiCE (0.366) es coherente: los contrafactuales</w:t>
      </w:r>
      <w:r>
        <w:t xml:space="preserve"> </w:t>
      </w:r>
      <w:r>
        <w:t xml:space="preserve">generados para instancias perturbadas similarmente tienden a explorar regiones</w:t>
      </w:r>
      <w:r>
        <w:t xml:space="preserve"> </w:t>
      </w:r>
      <w:r>
        <w:t xml:space="preserve">similares del espacio de decisión. La parsimonia es la más baja de todos los</w:t>
      </w:r>
      <w:r>
        <w:t xml:space="preserve"> </w:t>
      </w:r>
      <w:r>
        <w:t xml:space="preserve">métodos (0.017), reflejando que los contrafactuales de DiCE modifican pocas</w:t>
      </w:r>
      <w:r>
        <w:t xml:space="preserve"> </w:t>
      </w:r>
      <w:r>
        <w:t xml:space="preserve">características por construcción (objetivo de proximidad). Su coste medio</w:t>
      </w:r>
      <w:r>
        <w:t xml:space="preserve"> </w:t>
      </w:r>
      <w:r>
        <w:t xml:space="preserve">(28,209 ms; mediana por ejecución 11,880 ms) lo sitúa por debajo de Anchors</w:t>
      </w:r>
      <w:r>
        <w:t xml:space="preserve"> </w:t>
      </w:r>
      <w:r>
        <w:t xml:space="preserve">(38,159 ms) pero muy por encima de SHAP y LIME.</w:t>
      </w:r>
    </w:p>
    <w:bookmarkEnd w:id="120"/>
    <w:bookmarkEnd w:id="121"/>
    <w:bookmarkStart w:id="124" w:name="sec-transversal"/>
    <w:p>
      <w:pPr>
        <w:pStyle w:val="Ttulo2"/>
        <w:spacing w:line="360" w:lineRule="auto"/>
        <w:jc w:val="both"/>
      </w:pPr>
      <w:r>
        <w:t xml:space="preserve">Análisis transversal: efecto del modelo base y del tamaño de muestra</w:t>
      </w:r>
    </w:p>
    <w:bookmarkStart w:id="122" w:name="Xd0dc4cebb30e80d859f681a41b6366a7a2cd5a6"/>
    <w:p>
      <w:pPr>
        <w:pStyle w:val="Ttulo3"/>
        <w:spacing w:line="360" w:lineRule="auto"/>
        <w:jc w:val="both"/>
      </w:pPr>
      <w:r>
        <w:t xml:space="preserve">Efecto del modelo base sobre las métricas</w:t>
      </w:r>
    </w:p>
    <w:p>
      <w:pPr>
        <w:pStyle w:val="FirstParagraph"/>
        <w:spacing w:line="360" w:lineRule="auto"/>
        <w:jc w:val="both"/>
      </w:pPr>
      <w:r>
        <w:t xml:space="preserve">El modelo base influye significativamente sobre los valores absolutos de las</w:t>
      </w:r>
      <w:r>
        <w:t xml:space="preserve"> </w:t>
      </w:r>
      <w:r>
        <w:t xml:space="preserve">métricas, aunque el ordenamiento entre métodos se mantiene constante. Todas las</w:t>
      </w:r>
      <w:r>
        <w:t xml:space="preserve"> </w:t>
      </w:r>
      <w:r>
        <w:t xml:space="preserve">cifras de este apartado son medias por familia de modelo sobre las ejecuciones</w:t>
      </w:r>
      <w:r>
        <w:t xml:space="preserve"> </w:t>
      </w:r>
      <w:r>
        <w:t xml:space="preserve">calificadas (semillas y tamaños de muestra agregados); los valores de celda</w:t>
      </w:r>
      <w:r>
        <w:t xml:space="preserve"> </w:t>
      </w:r>
      <w:r>
        <w:t xml:space="preserve">única correspondientes a los estudios de sensibilidad se reportan por separado</w:t>
      </w:r>
      <w:r>
        <w:t xml:space="preserve"> </w:t>
      </w:r>
      <w:r>
        <w:t xml:space="preserve">en el Apéndice C y no deben leerse como resúmenes por modelo. Las diferencias</w:t>
      </w:r>
      <w:r>
        <w:t xml:space="preserve"> </w:t>
      </w:r>
      <w:r>
        <w:t xml:space="preserve">más notables son:</w:t>
      </w:r>
    </w:p>
    <w:p>
      <w:pPr>
        <w:pStyle w:val="Textoindependiente"/>
        <w:spacing w:line="360" w:lineRule="auto"/>
        <w:jc w:val="both"/>
      </w:pPr>
      <w:r>
        <w:rPr>
          <w:b/>
          <w:bCs/>
        </w:rPr>
        <w:t xml:space="preserve">XGBoost</w:t>
      </w:r>
      <w:r>
        <w:t xml:space="preserve"> </w:t>
      </w:r>
      <w:r>
        <w:t xml:space="preserve">presenta el perfil calidad-coste más favorable para SHAP: fidelidad</w:t>
      </w:r>
      <w:r>
        <w:t xml:space="preserve"> </w:t>
      </w:r>
      <w:r>
        <w:t xml:space="preserve">0.759 con un coste medio de 21 ms (mediana 18 ms). Esto se debe al uso de</w:t>
      </w:r>
      <w:r>
        <w:t xml:space="preserve"> </w:t>
      </w:r>
      <w:r>
        <w:t xml:space="preserve">TreeSHAP</w:t>
      </w:r>
      <w:r>
        <w:t xml:space="preserve"> </w:t>
      </w:r>
      <w:r>
        <w:t xml:space="preserve">(Lundberg 2017)</w:t>
      </w:r>
      <w:r>
        <w:t xml:space="preserve">, que calcula valores exactos de Shapley aprovechando la</w:t>
      </w:r>
      <w:r>
        <w:t xml:space="preserve"> </w:t>
      </w:r>
      <w:r>
        <w:t xml:space="preserve">estructura de árbol y no requiere muestreo ni perturbación. Es la única familia</w:t>
      </w:r>
      <w:r>
        <w:t xml:space="preserve"> </w:t>
      </w:r>
      <w:r>
        <w:t xml:space="preserve">de modelo donde SHAP tiene un coste computacional inferior al de LIME</w:t>
      </w:r>
      <w:r>
        <w:t xml:space="preserve"> </w:t>
      </w:r>
      <w:r>
        <w:t xml:space="preserve">(122 ms de media, mediana 62 ms).</w:t>
      </w:r>
    </w:p>
    <w:p>
      <w:pPr>
        <w:pStyle w:val="Textoindependiente"/>
        <w:spacing w:line="360" w:lineRule="auto"/>
        <w:jc w:val="both"/>
      </w:pPr>
      <w:r>
        <w:rPr>
          <w:b/>
          <w:bCs/>
        </w:rPr>
        <w:t xml:space="preserve">SVM</w:t>
      </w:r>
      <w:r>
        <w:t xml:space="preserve"> </w:t>
      </w:r>
      <w:r>
        <w:t xml:space="preserve">es el modelo con el coste SHAP más elevado (54,231 ms de media).</w:t>
      </w:r>
      <w:r>
        <w:t xml:space="preserve"> </w:t>
      </w:r>
      <w:r>
        <w:t xml:space="preserve">KernelSHAP requiere resolver un problema de optimización cuadrática por</w:t>
      </w:r>
      <w:r>
        <w:t xml:space="preserve"> </w:t>
      </w:r>
      <w:r>
        <w:t xml:space="preserve">instancia, que escala con el número de muestras de referencia; el Apéndice C</w:t>
      </w:r>
      <w:r>
        <w:t xml:space="preserve"> </w:t>
      </w:r>
      <w:r>
        <w:t xml:space="preserve">(</w:t>
      </w:r>
      <w:hyperlink w:anchor="tbl-appendix-shap-sensitivity">
        <w:r>
          <w:rPr>
            <w:rStyle w:val="Hipervnculo"/>
          </w:rPr>
          <w:t xml:space="preserve">Table 7.9</w:t>
        </w:r>
      </w:hyperlink>
      <w:r>
        <w:t xml:space="preserve">) cuantifica ese escalado en una celda concreta</w:t>
      </w:r>
      <w:r>
        <w:t xml:space="preserve"> </w:t>
      </w:r>
      <w:r>
        <w:t xml:space="preserve">(SVM, semilla 42,</w:t>
      </w:r>
      <w:r>
        <w:t xml:space="preserve"> </w:t>
      </w:r>
      <ns1:oMath>
        <ns1:r>
          <ns1:t>N</ns1:t>
        </ns1:r>
        <ns1:r>
          <ns1:rPr>
            <ns1:sty ns1:val="p"/>
          </ns1:rPr>
          <ns1:t>=</ns1:t>
        </ns1:r>
        <ns1:r>
          <ns1:t>100</ns1:t>
        </ns1:r>
      </ns1:oMath>
      <w:r>
        <w:t xml:space="preserve">), donde el coste pasa de 41,233 ms con</w:t>
      </w:r>
      <w:r>
        <w:t xml:space="preserve"> </w:t>
      </w:r>
      <ns1:oMath>
        <ns1:r>
          <ns1:t>k</ns1:t>
        </ns1:r>
        <ns1:r>
          <ns1:rPr>
            <ns1:sty ns1:val="p"/>
          </ns1:rPr>
          <ns1:t>=</ns1:t>
        </ns1:r>
        <ns1:r>
          <ns1:t>25</ns1:t>
        </ns1:r>
      </ns1:oMath>
      <w:r>
        <w:t xml:space="preserve"> </w:t>
      </w:r>
      <w:r>
        <w:t xml:space="preserve">a</w:t>
      </w:r>
      <w:r>
        <w:t xml:space="preserve"> </w:t>
      </w:r>
      <w:r>
        <w:t xml:space="preserve">614,820 ms con</w:t>
      </w:r>
      <w:r>
        <w:t xml:space="preserve"> </w:t>
      </w:r>
      <ns1:oMath>
        <ns1:r>
          <ns1:t>k</ns1:t>
        </ns1:r>
        <ns1:r>
          <ns1:rPr>
            <ns1:sty ns1:val="p"/>
          </ns1:rPr>
          <ns1:t>=</ns1:t>
        </ns1:r>
        <ns1:r>
          <ns1:t>100</ns1:t>
        </ns1:r>
      </ns1:oMath>
      <w:r>
        <w:t xml:space="preserve">. La fidelidad media de SHAP sobre SVM (0.882) es la</w:t>
      </w:r>
      <w:r>
        <w:t xml:space="preserve"> </w:t>
      </w:r>
      <w:r>
        <w:t xml:space="preserve">segunda más alta del benchmark. Para SVM, Anchors también es costoso</w:t>
      </w:r>
      <w:r>
        <w:t xml:space="preserve"> </w:t>
      </w:r>
      <w:r>
        <w:t xml:space="preserve">(37,415 ms de media) debido al espacio de búsqueda fragmentado.</w:t>
      </w:r>
    </w:p>
    <w:p>
      <w:pPr>
        <w:pStyle w:val="Textoindependiente"/>
        <w:spacing w:line="360" w:lineRule="auto"/>
        <w:jc w:val="both"/>
      </w:pPr>
      <w:r>
        <w:rPr>
          <w:b/>
          <w:bCs/>
        </w:rPr>
        <w:t xml:space="preserve">Regresión logística (logreg)</w:t>
      </w:r>
      <w:r>
        <w:t xml:space="preserve"> </w:t>
      </w:r>
      <w:r>
        <w:t xml:space="preserve">produce la fidelidad SHAP más alta (0.946) y,</w:t>
      </w:r>
      <w:r>
        <w:t xml:space="preserve"> </w:t>
      </w:r>
      <w:r>
        <w:t xml:space="preserve">entre los modelos no basados en árboles, un coste SHAP bajo (936 ms de media).</w:t>
      </w:r>
      <w:r>
        <w:t xml:space="preserve"> </w:t>
      </w:r>
      <w:r>
        <w:t xml:space="preserve">La linealidad de logreg garantiza que las aproximaciones locales de Shapley son</w:t>
      </w:r>
      <w:r>
        <w:t xml:space="preserve"> </w:t>
      </w:r>
      <w:r>
        <w:t xml:space="preserve">globalmente coherentes.</w:t>
      </w:r>
    </w:p>
    <w:p>
      <w:pPr>
        <w:pStyle w:val="Textoindependiente"/>
        <w:spacing w:line="360" w:lineRule="auto"/>
        <w:jc w:val="both"/>
      </w:pPr>
      <w:r>
        <w:rPr>
          <w:b/>
          <w:bCs/>
        </w:rPr>
        <w:t xml:space="preserve">MLP</w:t>
      </w:r>
      <w:r>
        <w:t xml:space="preserve"> </w:t>
      </w:r>
      <w:r>
        <w:t xml:space="preserve">es el modelo con fidelidades más bajas en todos los métodos: SHAP=0.725,</w:t>
      </w:r>
      <w:r>
        <w:t xml:space="preserve"> </w:t>
      </w:r>
      <w:r>
        <w:t xml:space="preserve">LIME=0.541, Anchors=0.299, DiCE=0.026. La complejidad del espacio de gradientes</w:t>
      </w:r>
      <w:r>
        <w:t xml:space="preserve"> </w:t>
      </w:r>
      <w:r>
        <w:t xml:space="preserve">de redes profundas dificulta la aproximación local de cualquier explicador</w:t>
      </w:r>
      <w:r>
        <w:t xml:space="preserve"> </w:t>
      </w:r>
      <w:r>
        <w:t xml:space="preserve">post-hoc. El coste de Anchors sobre MLP (15,564 ms de media) es intermedio</w:t>
      </w:r>
      <w:r>
        <w:t xml:space="preserve"> </w:t>
      </w:r>
      <w:r>
        <w:t xml:space="preserve">dentro de ese método, pero la baja fidelidad restringe su uso como evidencia</w:t>
      </w:r>
      <w:r>
        <w:t xml:space="preserve"> </w:t>
      </w:r>
      <w:r>
        <w:t xml:space="preserve">primaria en auditoría.</w:t>
      </w:r>
    </w:p>
    <w:bookmarkEnd w:id="122"/>
    <w:bookmarkStart w:id="123" w:name="X4b1cce5291d3b83ee4e2fe33ac88be27315f5a8"/>
    <w:p>
      <w:pPr>
        <w:pStyle w:val="Ttulo3"/>
        <w:spacing w:line="360" w:lineRule="auto"/>
        <w:jc w:val="both"/>
      </w:pPr>
      <w:r>
        <w:t xml:space="preserve">Efecto del tamaño de muestra estratificado</w:t>
      </w:r>
    </w:p>
    <w:p>
      <w:pPr>
        <w:pStyle w:val="FirstParagraph"/>
        <w:spacing w:line="360" w:lineRule="auto"/>
        <w:jc w:val="both"/>
      </w:pPr>
      <w:r>
        <w:t xml:space="preserve">El análisis del efecto de</w:t>
      </w:r>
      <w:r>
        <w:t xml:space="preserve"> </w:t>
      </w:r>
      <ns1:oMath>
        <ns1:r>
          <ns1:t>N</ns1:t>
        </ns1:r>
      </ns1:oMath>
      <w:r>
        <w:t xml:space="preserve"> </w:t>
      </w:r>
      <w:r>
        <w:t xml:space="preserve">(50, 100, 200 instancias por estrato) sobre las</w:t>
      </w:r>
      <w:r>
        <w:t xml:space="preserve"> </w:t>
      </w:r>
      <w:r>
        <w:t xml:space="preserve">métricas primarias revela una estabilidad notable. Para SHAP, las medias de</w:t>
      </w:r>
      <w:r>
        <w:t xml:space="preserve"> </w:t>
      </w:r>
      <w:r>
        <w:t xml:space="preserve">fidelidad según</w:t>
      </w:r>
      <w:r>
        <w:t xml:space="preserve"> </w:t>
      </w:r>
      <ns1:oMath>
        <ns1:r>
          <ns1:t>N</ns1:t>
        </ns1:r>
      </ns1:oMath>
      <w:r>
        <w:t xml:space="preserve"> </w:t>
      </w:r>
      <w:r>
        <w:t xml:space="preserve">son:</w:t>
      </w:r>
      <w:r>
        <w:t xml:space="preserve"> </w:t>
      </w:r>
      <ns1:oMath>
        <ns1:r>
          <ns1:t>N</ns1:t>
        </ns1:r>
        <ns1:r>
          <ns1:rPr>
            <ns1:sty ns1:val="p"/>
          </ns1:rPr>
          <ns1:t>=</ns1:t>
        </ns1:r>
        <ns1:r>
          <ns1:t>50</ns1:t>
        </ns1:r>
      </ns1:oMath>
      <w:r>
        <w:t xml:space="preserve">: 0.809,</w:t>
      </w:r>
      <w:r>
        <w:t xml:space="preserve"> </w:t>
      </w:r>
      <ns1:oMath>
        <ns1:r>
          <ns1:t>N</ns1:t>
        </ns1:r>
        <ns1:r>
          <ns1:rPr>
            <ns1:sty ns1:val="p"/>
          </ns1:rPr>
          <ns1:t>=</ns1:t>
        </ns1:r>
        <ns1:r>
          <ns1:t>100</ns1:t>
        </ns1:r>
      </ns1:oMath>
      <w:r>
        <w:t xml:space="preserve">: 0.809,</w:t>
      </w:r>
      <w:r>
        <w:t xml:space="preserve"> </w:t>
      </w:r>
      <ns1:oMath>
        <ns1:r>
          <ns1:t>N</ns1:t>
        </ns1:r>
        <ns1:r>
          <ns1:rPr>
            <ns1:sty ns1:val="p"/>
          </ns1:rPr>
          <ns1:t>=</ns1:t>
        </ns1:r>
        <ns1:r>
          <ns1:t>200</ns1:t>
        </ns1:r>
      </ns1:oMath>
      <w:r>
        <w:t xml:space="preserve">: 0.807,</w:t>
      </w:r>
      <w:r>
        <w:t xml:space="preserve"> </w:t>
      </w:r>
      <w:r>
        <w:t xml:space="preserve">con diferencias absolutas inferiores a 0.002. Para LIME:</w:t>
      </w:r>
      <w:r>
        <w:t xml:space="preserve"> </w:t>
      </w:r>
      <ns1:oMath>
        <ns1:r>
          <ns1:t>N</ns1:t>
        </ns1:r>
        <ns1:r>
          <ns1:rPr>
            <ns1:sty ns1:val="p"/>
          </ns1:rPr>
          <ns1:t>=</ns1:t>
        </ns1:r>
        <ns1:r>
          <ns1:t>50</ns1:t>
        </ns1:r>
      </ns1:oMath>
      <w:r>
        <w:t xml:space="preserve">: 0.559,</w:t>
      </w:r>
      <w:r>
        <w:t xml:space="preserve"> </w:t>
      </w:r>
      <ns1:oMath>
        <ns1:r>
          <ns1:t>N</ns1:t>
        </ns1:r>
        <ns1:r>
          <ns1:rPr>
            <ns1:sty ns1:val="p"/>
          </ns1:rPr>
          <ns1:t>=</ns1:t>
        </ns1:r>
        <ns1:r>
          <ns1:t>100</ns1:t>
        </ns1:r>
      </ns1:oMath>
      <w:r>
        <w:t xml:space="preserve">: 0.561,</w:t>
      </w:r>
      <w:r>
        <w:t xml:space="preserve"> </w:t>
      </w:r>
      <ns1:oMath>
        <ns1:r>
          <ns1:t>N</ns1:t>
        </ns1:r>
        <ns1:r>
          <ns1:rPr>
            <ns1:sty ns1:val="p"/>
          </ns1:rPr>
          <ns1:t>=</ns1:t>
        </ns1:r>
        <ns1:r>
          <ns1:t>200</ns1:t>
        </ns1:r>
      </ns1:oMath>
      <w:r>
        <w:t xml:space="preserve">: 0.562. Estas diferencias son inferiores a un punto</w:t>
      </w:r>
      <w:r>
        <w:t xml:space="preserve"> </w:t>
      </w:r>
      <w:r>
        <w:t xml:space="preserve">porcentual y no muestran tendencia monótona.</w:t>
      </w:r>
    </w:p>
    <w:p>
      <w:pPr>
        <w:pStyle w:val="Textoindependiente"/>
        <w:spacing w:line="360" w:lineRule="auto"/>
        <w:jc w:val="both"/>
      </w:pPr>
      <w:r>
        <w:t xml:space="preserve">La invarianza de las métricas ante el tamaño de muestra tiene dos implicaciones:</w:t>
      </w:r>
      <w:r>
        <w:t xml:space="preserve"> </w:t>
      </w:r>
      <w:r>
        <w:t xml:space="preserve">(1) la estimación por estrato converge rápidamente, de modo que</w:t>
      </w:r>
      <w:r>
        <w:t xml:space="preserve"> </w:t>
      </w:r>
      <ns1:oMath>
        <ns1:r>
          <ns1:t>N</ns1:t>
        </ns1:r>
        <ns1:r>
          <ns1:rPr>
            <ns1:sty ns1:val="p"/>
          </ns1:rPr>
          <ns1:t>=</ns1:t>
        </ns1:r>
        <ns1:r>
          <ns1:t>50</ns1:t>
        </ns1:r>
      </ns1:oMath>
      <w:r>
        <w:t xml:space="preserve"> </w:t>
      </w:r>
      <w:r>
        <w:t xml:space="preserve">es</w:t>
      </w:r>
      <w:r>
        <w:t xml:space="preserve"> </w:t>
      </w:r>
      <w:r>
        <w:t xml:space="preserve">suficiente para obtener medias representativas; (2) el diseño con tres tamaños</w:t>
      </w:r>
      <w:r>
        <w:t xml:space="preserve"> </w:t>
      </w:r>
      <w:r>
        <w:t xml:space="preserve">de muestra aporta replicación estadística útil sin añadir variabilidad</w:t>
      </w:r>
      <w:r>
        <w:t xml:space="preserve"> </w:t>
      </w:r>
      <w:r>
        <w:t xml:space="preserve">sistemática, lo que confirma la elección de niveles del Capítulo 3. Los costes</w:t>
      </w:r>
      <w:r>
        <w:t xml:space="preserve"> </w:t>
      </w:r>
      <w:r>
        <w:t xml:space="preserve">computacionales crecen proporcionalmente con</w:t>
      </w:r>
      <w:r>
        <w:t xml:space="preserve"> </w:t>
      </w:r>
      <ns1:oMath>
        <ns1:r>
          <ns1:t>N</ns1:t>
        </ns1:r>
      </ns1:oMath>
      <w:r>
        <w:t xml:space="preserve"> </w:t>
      </w:r>
      <w:r>
        <w:t xml:space="preserve">en LIME (estructura lineal)</w:t>
      </w:r>
      <w:r>
        <w:t xml:space="preserve"> </w:t>
      </w:r>
      <w:r>
        <w:t xml:space="preserve">pero no en SHAP para modelos de árbol (TreeSHAP escala logarítmicamente).</w:t>
      </w:r>
    </w:p>
    <w:bookmarkEnd w:id="123"/>
    <w:bookmarkEnd w:id="124"/>
    <w:bookmarkStart w:id="126" w:name="sec-trazabilidad-resultados"/>
    <w:p>
      <w:pPr>
        <w:pStyle w:val="Ttulo2"/>
        <w:spacing w:line="360" w:lineRule="auto"/>
        <w:jc w:val="both"/>
      </w:pPr>
      <w:r>
        <w:t xml:space="preserve">Trazabilidad de claims principales</w:t>
      </w:r>
    </w:p>
    <w:p>
      <w:pPr>
        <w:pStyle w:val="FirstParagraph"/>
        <w:spacing w:line="360" w:lineRule="auto"/>
        <w:jc w:val="both"/>
      </w:pPr>
      <w:r>
        <w:t xml:space="preserve">La Tabla</w:t>
      </w:r>
      <w:r>
        <w:t xml:space="preserve"> </w:t>
      </w:r>
      <w:hyperlink w:anchor="tbl-claim-traceability">
        <w:r>
          <w:rPr>
            <w:rStyle w:val="Hipervnculo"/>
          </w:rPr>
          <w:t xml:space="preserve">Table 5.7</w:t>
        </w:r>
      </w:hyperlink>
      <w:r>
        <w:t xml:space="preserve"> </w:t>
      </w:r>
      <w:r>
        <w:t xml:space="preserve">vincula las afirmaciones principales con los</w:t>
      </w:r>
      <w:r>
        <w:t xml:space="preserve"> </w:t>
      </w:r>
      <w:r>
        <w:t xml:space="preserve">artefactos que las sostienen. Esta tabla implementa la puerta 7 de FOM-7 dentro</w:t>
      </w:r>
      <w:r>
        <w:t xml:space="preserve"> </w:t>
      </w:r>
      <w:r>
        <w:t xml:space="preserve">del capítulo de resultados.</w:t>
      </w:r>
    </w:p>
    <w:tbl>
      <w:tblPr>
        <w:tblStyle w:val="Table"/>
        <w:tblW w:type="pct" w:w="5000"/>
        <w:tblLayout w:type="fixed"/>
        <w:tblLook w:firstRow="0" w:lastRow="0" w:firstColumn="0" w:lastColumn="0" w:noHBand="0" w:noVBand="0" w:val="0000"/>
      </w:tblPr>
      <w:tblGrid>
        <w:gridCol w:w="7920"/>
      </w:tblGrid>
      <w:tr>
        <w:tc>
          <w:tcPr/>
          <w:bookmarkStart w:id="125" w:name="tbl-claim-traceability"/>
          <w:p>
            <w:pPr>
              <w:jc w:val="both"/>
              <w:spacing w:line="360" w:lineRule="auto"/>
            </w:pPr>
            <w:pPr>
              <w:jc w:val="left"/>
              <w:spacing w:before="200"/>
              <w:pStyle w:val="ImageCaption"/>
            </w:pPr>
            <w:r>
              <w:t xml:space="preserve">Table 5.7: Trazabilidad de claims, artefactos y alcance inferencial.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Evidencia en tesis</w:t>
                  </w:r>
                </w:p>
              </w:tc>
              <w:tc>
                <w:tcPr/>
                <w:p>
                  <w:pPr>
                    <w:pStyle w:val="Compact"/>
                    <w:jc w:val="both"/>
                    <w:jc w:val="center"/>
                    <w:spacing w:line="360" w:lineRule="auto"/>
                  </w:pPr>
                  <w:r>
                    <w:t xml:space="preserve">Artefacto fuente</w:t>
                  </w:r>
                </w:p>
              </w:tc>
              <w:tc>
                <w:tcPr/>
                <w:p>
                  <w:pPr>
                    <w:pStyle w:val="Compact"/>
                    <w:jc w:val="both"/>
                    <w:jc w:val="center"/>
                    <w:spacing w:line="360" w:lineRule="auto"/>
                  </w:pPr>
                  <w:r>
                    <w:t xml:space="preserve">Script / proceso</w:t>
                  </w:r>
                </w:p>
              </w:tc>
              <w:tc>
                <w:tcPr/>
                <w:p>
                  <w:pPr>
                    <w:pStyle w:val="Compact"/>
                    <w:jc w:val="both"/>
                    <w:jc w:val="center"/>
                    <w:spacing w:line="360" w:lineRule="auto"/>
                  </w:pPr>
                  <w:r>
                    <w:t xml:space="preserve">Alcance</w:t>
                  </w:r>
                </w:p>
              </w:tc>
            </w:tr>
            <w:tr>
              <w:tc>
                <w:tcPr/>
                <w:p>
                  <w:pPr>
                    <w:pStyle w:val="Compact"/>
                    <w:jc w:val="both"/>
                    <w:jc w:val="center"/>
                    <w:spacing w:line="360" w:lineRule="auto"/>
                  </w:pPr>
                  <w:r>
                    <w:t xml:space="preserve">Existen diferencias globales entre métodos en fidelidad</w:t>
                  </w:r>
                </w:p>
              </w:tc>
              <w:tc>
                <w:tcPr/>
                <w:p>
                  <w:pPr>
                    <w:pStyle w:val="Compact"/>
                    <w:jc w:val="both"/>
                    <w:jc w:val="center"/>
                    <w:spacing w:line="360" w:lineRule="auto"/>
                  </w:pPr>
                  <w:r>
                    <w:t xml:space="preserve">Tablas</w:t>
                  </w:r>
                  <w:r>
                    <w:t xml:space="preserve"> </w:t>
                  </w:r>
                  <w:hyperlink w:anchor="tbl-friedman-fidelity">
                    <w:r>
                      <w:rPr>
                        <w:rStyle w:val="Hipervnculo"/>
                      </w:rPr>
                      <w:t xml:space="preserve">Table 5.2</w:t>
                    </w:r>
                  </w:hyperlink>
                  <w:r>
                    <w:t xml:space="preserve"> </w:t>
                  </w:r>
                  <w:r>
                    <w:t xml:space="preserve">y</w:t>
                  </w:r>
                  <w:r>
                    <w:t xml:space="preserve"> </w:t>
                  </w:r>
                  <w:hyperlink w:anchor="tbl-nemenyi-fidelity">
                    <w:r>
                      <w:rPr>
                        <w:rStyle w:val="Hipervnculo"/>
                      </w:rPr>
                      <w:t xml:space="preserve">Table 5.3</w:t>
                    </w:r>
                  </w:hyperlink>
                </w:p>
              </w:tc>
              <w:tc>
                <w:tcPr/>
                <w:p>
                  <w:pPr>
                    <w:pStyle w:val="Compact"/>
                    <w:jc w:val="both"/>
                    <w:jc w:val="center"/>
                    <w:spacing w:line="360" w:lineRule="auto"/>
                  </w:pPr>
                  <w:r>
                    <w:rPr>
                      <w:rStyle w:val="VerbatimChar"/>
                    </w:rPr>
                    <w:t xml:space="preserve">outputs/analysis/paper_a_exp2_stats/friedman_results.csv</w:t>
                  </w:r>
                  <w:r>
                    <w:t xml:space="preserve">,</w:t>
                  </w:r>
                  <w:r>
                    <w:t xml:space="preserve"> </w:t>
                  </w:r>
                  <w:r>
                    <w:rPr>
                      <w:rStyle w:val="VerbatimChar"/>
                    </w:rPr>
                    <w:t xml:space="preserve">nemenyi_fidelity.csv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15 bloques Adult Income, cuatro métodos, cinco modelos</w:t>
                  </w:r>
                </w:p>
              </w:tc>
            </w:tr>
            <w:tr>
              <w:tc>
                <w:tcPr/>
                <w:p>
                  <w:pPr>
                    <w:pStyle w:val="Compact"/>
                    <w:jc w:val="both"/>
                    <w:jc w:val="center"/>
                    <w:spacing w:line="360" w:lineRule="auto"/>
                  </w:pPr>
                  <w:r>
                    <w:t xml:space="preserve">Existen diferencias globales entre métodos en estabilidad</w:t>
                  </w:r>
                </w:p>
              </w:tc>
              <w:tc>
                <w:tcPr/>
                <w:p>
                  <w:pPr>
                    <w:pStyle w:val="Compact"/>
                    <w:jc w:val="both"/>
                    <w:jc w:val="center"/>
                    <w:spacing w:line="360" w:lineRule="auto"/>
                  </w:pPr>
                  <w:r>
                    <w:t xml:space="preserve">Tabla</w:t>
                  </w:r>
                  <w:r>
                    <w:t xml:space="preserve"> </w:t>
                  </w:r>
                  <w:hyperlink w:anchor="tbl-friedman-stability">
                    <w:r>
                      <w:rPr>
                        <w:rStyle w:val="Hipervnculo"/>
                      </w:rPr>
                      <w:t xml:space="preserve">Table 5.4</w:t>
                    </w:r>
                  </w:hyperlink>
                  <w:r>
                    <w:t xml:space="preserve"> </w:t>
                  </w:r>
                  <w:r>
                    <w:t xml:space="preserve">y localización Nemenyi en texto</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nemenyi_stability.csv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Mismo diseño de bloques; estabilidad como similitud coseno</w:t>
                  </w:r>
                </w:p>
              </w:tc>
            </w:tr>
            <w:tr>
              <w:tc>
                <w:tcPr/>
                <w:p>
                  <w:pPr>
                    <w:pStyle w:val="Compact"/>
                    <w:jc w:val="both"/>
                    <w:jc w:val="center"/>
                    <w:spacing w:line="360" w:lineRule="auto"/>
                  </w:pPr>
                  <w:r>
                    <w:t xml:space="preserve">SHAP supera a LIME en fidelidad y estabilidad pero aumenta el coste medio</w:t>
                  </w:r>
                </w:p>
              </w:tc>
              <w:tc>
                <w:tcPr/>
                <w:p>
                  <w:pPr>
                    <w:pStyle w:val="Compact"/>
                    <w:jc w:val="both"/>
                    <w:jc w:val="center"/>
                    <w:spacing w:line="360" w:lineRule="auto"/>
                  </w:pPr>
                  <w:r>
                    <w:t xml:space="preserve">Tabla</w:t>
                  </w:r>
                  <w:r>
                    <w:t xml:space="preserve"> </w:t>
                  </w:r>
                  <w:hyperlink w:anchor="tbl-paired-shap-lime">
                    <w:r>
                      <w:rPr>
                        <w:rStyle w:val="Hipervnculo"/>
                      </w:rPr>
                      <w:t xml:space="preserve">Table 5.5</w:t>
                    </w:r>
                  </w:hyperlink>
                </w:p>
              </w:tc>
              <w:tc>
                <w:tcPr/>
                <w:p>
                  <w:pPr>
                    <w:pStyle w:val="Compact"/>
                    <w:jc w:val="both"/>
                    <w:jc w:val="center"/>
                    <w:spacing w:line="360" w:lineRule="auto"/>
                  </w:pPr>
                  <w:r>
                    <w:rPr>
                      <w:rStyle w:val="VerbatimChar"/>
                    </w:rPr>
                    <w:t xml:space="preserve">wilcoxon_shap_lime_all_models.csv</w:t>
                  </w:r>
                  <w:r>
                    <w:t xml:space="preserve">,</w:t>
                  </w:r>
                  <w:r>
                    <w:t xml:space="preserve"> </w:t>
                  </w:r>
                  <w:r>
                    <w:rPr>
                      <w:rStyle w:val="VerbatimChar"/>
                    </w:rPr>
                    <w:t xml:space="preserve">paired_cells_shap_lime_all_models.csv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75 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no generaliza fuera de Adult/tabular</w:t>
                  </w:r>
                </w:p>
              </w:tc>
            </w:tr>
            <w:tr>
              <w:tc>
                <w:tcPr/>
                <w:p>
                  <w:pPr>
                    <w:pStyle w:val="Compact"/>
                    <w:jc w:val="both"/>
                    <w:jc w:val="center"/>
                    <w:spacing w:line="360" w:lineRule="auto"/>
                  </w:pPr>
                  <w:r>
                    <w:t xml:space="preserve">FOM-7 produce señales reproducibles para métricas principales</w:t>
                  </w:r>
                </w:p>
              </w:tc>
              <w:tc>
                <w:tcPr/>
                <w:p>
                  <w:pPr>
                    <w:pStyle w:val="Compact"/>
                    <w:jc w:val="both"/>
                    <w:jc w:val="center"/>
                    <w:spacing w:line="360" w:lineRule="auto"/>
                  </w:pPr>
                  <w:r>
                    <w:t xml:space="preserve">Tabla</w:t>
                  </w:r>
                  <w:r>
                    <w:t xml:space="preserve"> </w:t>
                  </w:r>
                  <w:hyperlink w:anchor="tbl-cv-p1">
                    <w:r>
                      <w:rPr>
                        <w:rStyle w:val="Hipervnculo"/>
                      </w:rPr>
                      <w:t xml:space="preserve">Table 5.6</w:t>
                    </w:r>
                  </w:hyperlink>
                </w:p>
              </w:tc>
              <w:tc>
                <w:tcPr/>
                <w:p>
                  <w:pPr>
                    <w:pStyle w:val="Compact"/>
                    <w:jc w:val="both"/>
                    <w:jc w:val="center"/>
                    <w:spacing w:line="360" w:lineRule="auto"/>
                  </w:pPr>
                  <w:r>
                    <w:rPr>
                      <w:rStyle w:val="VerbatimChar"/>
                    </w:rPr>
                    <w:t xml:space="preserve">outputs/analysis/paper_a_exp2_stats/exp2_run_level_metrics.csv</w:t>
                  </w:r>
                  <w:r>
                    <w:t xml:space="preserve"> </w:t>
                  </w:r>
                  <w:r>
                    <w:t xml:space="preserve">(estrato RF/</w:t>
                  </w:r>
                  <ns1:oMath>
                    <ns1:r>
                      <ns1:t>N</ns1:t>
                    </ns1:r>
                    <ns1:r>
                      <ns1:rPr>
                        <ns1:sty ns1:val="p"/>
                      </ns1:rPr>
                      <ns1:t>=</ns1:t>
                    </ns1:r>
                    <ns1:r>
                      <ns1:t>100</ns1:t>
                    </ns1:r>
                  </ns1:oMath>
                  <w:r>
                    <w:t xml:space="preserve">, cinco semillas); perfil complementario en</w:t>
                  </w:r>
                  <w:r>
                    <w:t xml:space="preserve"> </w:t>
                  </w:r>
                  <w:r>
                    <w:rPr>
                      <w:rStyle w:val="VerbatimChar"/>
                    </w:rPr>
                    <w:t xml:space="preserve">experiments/exp1_adult/reproducibility/reproducibility_report.csv</w:t>
                  </w:r>
                </w:p>
              </w:tc>
              <w:tc>
                <w:tcPr/>
                <w:p>
                  <w:pPr>
                    <w:pStyle w:val="Compact"/>
                    <w:jc w:val="both"/>
                    <w:jc w:val="center"/>
                    <w:spacing w:line="360" w:lineRule="auto"/>
                  </w:pPr>
                  <w:r>
                    <w:t xml:space="preserve">Agregación por celda desde el nivel de ejecución</w:t>
                  </w:r>
                </w:p>
              </w:tc>
              <w:tc>
                <w:tcPr/>
                <w:p>
                  <w:pPr>
                    <w:pStyle w:val="Compact"/>
                    <w:jc w:val="both"/>
                    <w:jc w:val="center"/>
                    <w:spacing w:line="360" w:lineRule="auto"/>
                  </w:pPr>
                  <w:r>
                    <w:t xml:space="preserve">Confirmación parcial; LIME-estabilidad queda limitada por media cercana a cero</w:t>
                  </w:r>
                </w:p>
              </w:tc>
            </w:tr>
            <w:tr>
              <w:tc>
                <w:tcPr/>
                <w:p>
                  <w:pPr>
                    <w:pStyle w:val="Compact"/>
                    <w:jc w:val="both"/>
                    <w:jc w:val="center"/>
                    <w:spacing w:line="360" w:lineRule="auto"/>
                  </w:pPr>
                  <w:r>
                    <w:t xml:space="preserve">La cobertura faltante no invalida las pruebas confirmativas principales</w:t>
                  </w:r>
                </w:p>
              </w:tc>
              <w:tc>
                <w:tcPr/>
                <w:p>
                  <w:pPr>
                    <w:pStyle w:val="Compact"/>
                    <w:jc w:val="both"/>
                    <w:jc w:val="center"/>
                    <w:spacing w:line="360" w:lineRule="auto"/>
                  </w:pPr>
                  <w:r>
                    <w:t xml:space="preserve">Capítulo 3, tablas de cobertura</w:t>
                  </w:r>
                </w:p>
              </w:tc>
              <w:tc>
                <w:tcPr/>
                <w:p>
                  <w:pPr>
                    <w:pStyle w:val="Compact"/>
                    <w:jc w:val="both"/>
                    <w:jc w:val="center"/>
                    <w:spacing w:line="360" w:lineRule="auto"/>
                  </w:pPr>
                  <w:r>
                    <w:rPr>
                      <w:rStyle w:val="VerbatimChar"/>
                    </w:rPr>
                    <w:t xml:space="preserve">exp2_run_inventory.csv</w:t>
                  </w:r>
                  <w:r>
                    <w:t xml:space="preserve">, árbol</w:t>
                  </w:r>
                  <w:r>
                    <w:t xml:space="preserve"> </w:t>
                  </w:r>
                  <w:r>
                    <w:rPr>
                      <w:rStyle w:val="VerbatimChar"/>
                    </w:rPr>
                    <w:t xml:space="preserve">experiments/exp2_scaled/results/</w:t>
                  </w:r>
                </w:p>
              </w:tc>
              <w:tc>
                <w:tcPr/>
                <w:p>
                  <w:pPr>
                    <w:pStyle w:val="Compact"/>
                    <w:jc w:val="both"/>
                    <w:jc w:val="center"/>
                    <w:spacing w:line="360" w:lineRule="auto"/>
                  </w:pPr>
                  <w:r>
                    <w:t xml:space="preserve">Auditoría FOM-7 puerta 3</w:t>
                  </w:r>
                </w:p>
              </w:tc>
              <w:tc>
                <w:tcPr/>
                <w:p>
                  <w:pPr>
                    <w:pStyle w:val="Compact"/>
                    <w:jc w:val="both"/>
                    <w:jc w:val="center"/>
                    <w:spacing w:line="360" w:lineRule="auto"/>
                  </w:pPr>
                  <w:r>
                    <w:t xml:space="preserve">Afecta precisión de Anchors/DiCE; no afecta SHAP-LIME pareado</w:t>
                  </w:r>
                </w:p>
              </w:tc>
            </w:tr>
          </w:tbl>
          <w:bookmarkEnd w:id="125"/>
          <w:p>
            <w:pPr>
              <w:spacing w:line="360" w:lineRule="auto"/>
              <w:jc w:val="both"/>
            </w:pPr>
          </w:p>
        </w:tc>
      </w:tr>
    </w:tbl>
    <w:bookmarkEnd w:id="126"/>
    <w:bookmarkStart w:id="155" w:name="sec-visualizaciones-resultados"/>
    <w:p>
      <w:pPr>
        <w:pStyle w:val="Ttulo2"/>
        <w:spacing w:line="360" w:lineRule="auto"/>
        <w:jc w:val="both"/>
      </w:pPr>
      <w:r>
        <w:t xml:space="preserve">Visualizaciones complementarias</w:t>
      </w:r>
    </w:p>
    <w:p>
      <w:pPr>
        <w:pStyle w:val="FirstParagraph"/>
        <w:spacing w:line="360" w:lineRule="auto"/>
        <w:jc w:val="both"/>
      </w:pPr>
      <w:r>
        <w:t xml:space="preserve">Las tablas inferenciales son la evidencia primaria del capítulo. Las figuras</w:t>
      </w:r>
      <w:r>
        <w:t xml:space="preserve"> </w:t>
      </w:r>
      <w:r>
        <w:t xml:space="preserve">siguientes se incluyen como apoyo visual para inspeccionar patrones</w:t>
      </w:r>
      <w:r>
        <w:t xml:space="preserve"> </w:t>
      </w:r>
      <w:r>
        <w:t xml:space="preserve">multimétricos y relaciones entre constructos. No sustituyen las pruebas</w:t>
      </w:r>
      <w:r>
        <w:t xml:space="preserve"> </w:t>
      </w:r>
      <w:r>
        <w:t xml:space="preserve">estadísticas, pero ayudan a detectar si los resultados tabulares son coherentes</w:t>
      </w:r>
      <w:r>
        <w:t xml:space="preserve"> </w:t>
      </w:r>
      <w:r>
        <w:t xml:space="preserve">con la estructura global de los datos.</w:t>
      </w:r>
    </w:p>
    <w:tbl>
      <w:tblPr>
        <w:tblStyle w:val="Table"/>
        <w:tblW w:type="pct" w:w="5000"/>
        <w:tblLayout w:type="fixed"/>
        <w:tblLook w:firstRow="0" w:lastRow="0" w:firstColumn="0" w:lastColumn="0" w:noHBand="0" w:noVBand="0" w:val="0000"/>
      </w:tblPr>
      <w:tblGrid>
        <w:gridCol w:w="7920"/>
      </w:tblGrid>
      <w:tr>
        <w:tc>
          <w:tcPr/>
          <w:bookmarkStart w:id="130" w:name="fig-estabilidad-coste"/>
          <w:p>
            <w:pPr>
              <w:pStyle w:val="Compact"/>
              <w:jc w:val="both"/>
              <w:spacing w:line="360" w:lineRule="auto"/>
            </w:pPr>
            <w:r>
              <w:drawing>
                <ns2:inline>
                  <ns2:extent cx="5052060" cy="3154709"/>
                  <ns2:effectExtent b="0" l="0" r="0" t="0"/>
                  <ns2:docPr descr="" title="" id="128" name="Picture"/>
                  <ns3:graphic>
                    <ns3:graphicData uri="http://schemas.openxmlformats.org/drawingml/2006/picture">
                      <ns4:pic>
                        <ns4:nvPicPr>
                          <ns4:cNvPr descr="assets/figures/fig_estabilidad_coste_es.png" id="129" name="Picture"/>
                          <ns4:cNvPicPr>
                            <ns3:picLocks noChangeArrowheads="1" noChangeAspect="1"/>
                          </ns4:cNvPicPr>
                        </ns4:nvPicPr>
                        <ns4:blipFill>
                          <ns3:blip ns5:embed="rId127"/>
                          <ns3:stretch>
                            <ns3:fillRect/>
                          </ns3:stretch>
                        </ns4:blipFill>
                        <ns4:spPr bwMode="auto">
                          <ns3:xfrm>
                            <ns3:off x="0" y="0"/>
                            <ns3:ext cx="5052060" cy="3154709"/>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5.1: Relación entre estabilidad y coste por método. La figura muestra la relación</w:t>
            </w:r>
            <w:r>
              <w:t xml:space="preserve"> </w:t>
            </w:r>
            <w:r>
              <w:t xml:space="preserve">entre consistencia explicativa y coste computacional bajo las condiciones del</w:t>
            </w:r>
            <w:r>
              <w:t xml:space="preserve"> </w:t>
            </w:r>
            <w:r>
              <w:t xml:space="preserve">banco de pruebas.</w:t>
            </w:r>
          </w:p>
          <w:bookmarkEnd w:id="130"/>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34" w:name="fig-correlacion-metricas"/>
          <w:p>
            <w:pPr>
              <w:pStyle w:val="Compact"/>
              <w:jc w:val="both"/>
              <w:spacing w:line="360" w:lineRule="auto"/>
            </w:pPr>
            <w:r>
              <w:drawing>
                <ns2:inline>
                  <ns2:extent cx="5052060" cy="3860951"/>
                  <ns2:effectExtent b="0" l="0" r="0" t="0"/>
                  <ns2:docPr descr="" title="" id="132" name="Picture"/>
                  <ns3:graphic>
                    <ns3:graphicData uri="http://schemas.openxmlformats.org/drawingml/2006/picture">
                      <ns4:pic>
                        <ns4:nvPicPr>
                          <ns4:cNvPr descr="assets/figures/fig_correlacion_metricas_es.png" id="133" name="Picture"/>
                          <ns4:cNvPicPr>
                            <ns3:picLocks noChangeArrowheads="1" noChangeAspect="1"/>
                          </ns4:cNvPicPr>
                        </ns4:nvPicPr>
                        <ns4:blipFill>
                          <ns3:blip ns5:embed="rId131"/>
                          <ns3:stretch>
                            <ns3:fillRect/>
                          </ns3:stretch>
                        </ns4:blipFill>
                        <ns4:spPr bwMode="auto">
                          <ns3:xfrm>
                            <ns3:off x="0" y="0"/>
                            <ns3:ext cx="5052060" cy="3860951"/>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5.2: Correlación entre métricas del banco de pruebas. La matriz permite inspeccionar</w:t>
            </w:r>
            <w:r>
              <w:t xml:space="preserve"> </w:t>
            </w:r>
            <w:r>
              <w:t xml:space="preserve">relaciones empíricas entre constructos y refuerza la necesidad de evitar una</w:t>
            </w:r>
            <w:r>
              <w:t xml:space="preserve"> </w:t>
            </w:r>
            <w:r>
              <w:t xml:space="preserve">lectura mono-métrica de la calidad</w:t>
            </w:r>
            <w:r>
              <w:t xml:space="preserve"> </w:t>
            </w:r>
            <w:r>
              <w:t xml:space="preserve">explicativa.</w:t>
            </w:r>
          </w:p>
          <w:bookmarkEnd w:id="134"/>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38" w:name="fig-cobertura-exp2"/>
          <w:p>
            <w:pPr>
              <w:pStyle w:val="Compact"/>
              <w:jc w:val="both"/>
              <w:spacing w:line="360" w:lineRule="auto"/>
            </w:pPr>
            <w:r>
              <w:drawing>
                <ns2:inline>
                  <ns2:extent cx="5052060" cy="3412866"/>
                  <ns2:effectExtent b="0" l="0" r="0" t="0"/>
                  <ns2:docPr descr="" title="" id="136" name="Picture"/>
                  <ns3:graphic>
                    <ns3:graphicData uri="http://schemas.openxmlformats.org/drawingml/2006/picture">
                      <ns4:pic>
                        <ns4:nvPicPr>
                          <ns4:cNvPr descr="assets/figures/fig_cobertura_exp2_es.png" id="137" name="Picture"/>
                          <ns4:cNvPicPr>
                            <ns3:picLocks noChangeArrowheads="1" noChangeAspect="1"/>
                          </ns4:cNvPicPr>
                        </ns4:nvPicPr>
                        <ns4:blipFill>
                          <ns3:blip ns5:embed="rId135"/>
                          <ns3:stretch>
                            <ns3:fillRect/>
                          </ns3:stretch>
                        </ns4:blipFill>
                        <ns4:spPr bwMode="auto">
                          <ns3:xfrm>
                            <ns3:off x="0" y="0"/>
                            <ns3:ext cx="5052060" cy="341286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5.3: Cobertura analítica EXP2 por modelo y método. La figura muestra cuántas de</w:t>
            </w:r>
            <w:r>
              <w:t xml:space="preserve"> </w:t>
            </w:r>
            <w:r>
              <w:t xml:space="preserve">las 15 celdas planificadas por combinación superan la auditoría de integridad</w:t>
            </w:r>
            <w:r>
              <w:t xml:space="preserve"> </w:t>
            </w:r>
            <w:r>
              <w:t xml:space="preserve">FOM-7.</w:t>
            </w:r>
          </w:p>
          <w:bookmarkEnd w:id="138"/>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2" w:name="fig-cd-diagram"/>
          <w:p>
            <w:pPr>
              <w:pStyle w:val="Compact"/>
              <w:jc w:val="both"/>
              <w:spacing w:line="360" w:lineRule="auto"/>
            </w:pPr>
            <w:r>
              <w:drawing>
                <ns2:inline>
                  <ns2:extent cx="5646420" cy="1801452"/>
                  <ns2:effectExtent b="0" l="0" r="0" t="0"/>
                  <ns2:docPr descr="" title="" id="140" name="Picture"/>
                  <ns3:graphic>
                    <ns3:graphicData uri="http://schemas.openxmlformats.org/drawingml/2006/picture">
                      <ns4:pic>
                        <ns4:nvPicPr>
                          <ns4:cNvPr descr="assets/figures/fig_cd_diagram_es.png" id="141" name="Picture"/>
                          <ns4:cNvPicPr>
                            <ns3:picLocks noChangeArrowheads="1" noChangeAspect="1"/>
                          </ns4:cNvPicPr>
                        </ns4:nvPicPr>
                        <ns4:blipFill>
                          <ns3:blip ns5:embed="rId139"/>
                          <ns3:stretch>
                            <ns3:fillRect/>
                          </ns3:stretch>
                        </ns4:blipFill>
                        <ns4:spPr bwMode="auto">
                          <ns3:xfrm>
                            <ns3:off x="0" y="0"/>
                            <ns3:ext cx="5646420" cy="1801452"/>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5.4: Diagrama de diferencia crítica de Nemenyi para fidelidad (izquierda) y</w:t>
            </w:r>
            <w:r>
              <w:t xml:space="preserve"> </w:t>
            </w:r>
            <w:r>
              <w:t xml:space="preserve">estabilidad (derecha). El eje horizontal muestra los rangos medios; las barras</w:t>
            </w:r>
            <w:r>
              <w:t xml:space="preserve"> </w:t>
            </w:r>
            <w:r>
              <w:t xml:space="preserve">horizontales gruesas conectan métodos no significativamente distintos (diferencia</w:t>
            </w:r>
            <w:r>
              <w:t xml:space="preserve"> </w:t>
            </w:r>
            <w:r>
              <w:t xml:space="preserve">&lt; DC = 1.211, k=4, n=15, α=0.05). En fidelidad, SHAP y LIME forman un grupo</w:t>
            </w:r>
            <w:r>
              <w:t xml:space="preserve"> </w:t>
            </w:r>
            <w:r>
              <w:t xml:space="preserve">indistinguible entre sí, al igual que Anchors y DiCE; ambos grupos son</w:t>
            </w:r>
            <w:r>
              <w:t xml:space="preserve"> </w:t>
            </w:r>
            <w:r>
              <w:t xml:space="preserve">mutuamente distintos. En estabilidad, el reordenamiento es notable: SHAP y DiCE</w:t>
            </w:r>
            <w:r>
              <w:t xml:space="preserve"> </w:t>
            </w:r>
            <w:r>
              <w:t xml:space="preserve">forman el grupo estable, mientras LIME y Anchors son indistinguibles entre sí</w:t>
            </w:r>
            <w:r>
              <w:t xml:space="preserve"> </w:t>
            </w:r>
            <w:r>
              <w:t xml:space="preserve">pero claramente inferiores.</w:t>
            </w:r>
          </w:p>
          <w:bookmarkEnd w:id="142"/>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6" w:name="fig-boxplots-metricas"/>
          <w:p>
            <w:pPr>
              <w:pStyle w:val="Compact"/>
              <w:jc w:val="both"/>
              <w:spacing w:line="360" w:lineRule="auto"/>
            </w:pPr>
            <w:r>
              <w:drawing>
                <ns2:inline>
                  <ns2:extent cx="5646420" cy="2662237"/>
                  <ns2:effectExtent b="0" l="0" r="0" t="0"/>
                  <ns2:docPr descr="" title="" id="144" name="Picture"/>
                  <ns3:graphic>
                    <ns3:graphicData uri="http://schemas.openxmlformats.org/drawingml/2006/picture">
                      <ns4:pic>
                        <ns4:nvPicPr>
                          <ns4:cNvPr descr="assets/figures/fig_boxplots_metricas_es.png" id="145" name="Picture"/>
                          <ns4:cNvPicPr>
                            <ns3:picLocks noChangeArrowheads="1" noChangeAspect="1"/>
                          </ns4:cNvPicPr>
                        </ns4:nvPicPr>
                        <ns4:blipFill>
                          <ns3:blip ns5:embed="rId143"/>
                          <ns3:stretch>
                            <ns3:fillRect/>
                          </ns3:stretch>
                        </ns4:blipFill>
                        <ns4:spPr bwMode="auto">
                          <ns3:xfrm>
                            <ns3:off x="0" y="0"/>
                            <ns3:ext cx="5646420" cy="2662237"/>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5.5: Distribución de fidelidad (izquierda) y estabilidad (derecha) por método</w:t>
            </w:r>
            <w:r>
              <w:t xml:space="preserve"> </w:t>
            </w:r>
            <w:r>
              <w:t xml:space="preserve">sobre los 15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del diseño factorial. Cada punto representa un</w:t>
            </w:r>
            <w:r>
              <w:t xml:space="preserve"> </w:t>
            </w:r>
            <w:r>
              <w:t xml:space="preserve">bloque; la caja muestra el rango intercuartílico; la línea interna, la mediana.</w:t>
            </w:r>
            <w:r>
              <w:t xml:space="preserve"> </w:t>
            </w:r>
            <w:r>
              <w:t xml:space="preserve">Para fidelidad, las cajas de SHAP y LIME no se solapan con las de Anchors y</w:t>
            </w:r>
            <w:r>
              <w:t xml:space="preserve"> </w:t>
            </w:r>
            <w:r>
              <w:t xml:space="preserve">DiCE. Para estabilidad, la caja de LIME colapsa casi en cero (mediana ≈ 0.014),</w:t>
            </w:r>
            <w:r>
              <w:t xml:space="preserve"> </w:t>
            </w:r>
            <w:r>
              <w:t xml:space="preserve">confirmando que la inestabilidad afecta a todos los bloques del</w:t>
            </w:r>
            <w:r>
              <w:t xml:space="preserve"> </w:t>
            </w:r>
            <w:r>
              <w:t xml:space="preserve">benchmark y no a un subconjunto de modelos.</w:t>
            </w:r>
          </w:p>
          <w:bookmarkEnd w:id="146"/>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0" w:name="fig-diferencias-pareadas"/>
          <w:p>
            <w:pPr>
              <w:pStyle w:val="Compact"/>
              <w:jc w:val="both"/>
              <w:spacing w:line="360" w:lineRule="auto"/>
            </w:pPr>
            <w:r>
              <w:drawing>
                <ns2:inline>
                  <ns2:extent cx="5646420" cy="2357586"/>
                  <ns2:effectExtent b="0" l="0" r="0" t="0"/>
                  <ns2:docPr descr="" title="" id="148" name="Picture"/>
                  <ns3:graphic>
                    <ns3:graphicData uri="http://schemas.openxmlformats.org/drawingml/2006/picture">
                      <ns4:pic>
                        <ns4:nvPicPr>
                          <ns4:cNvPr descr="assets/figures/fig_diferencias_pareadas_es.png" id="149" name="Picture"/>
                          <ns4:cNvPicPr>
                            <ns3:picLocks noChangeArrowheads="1" noChangeAspect="1"/>
                          </ns4:cNvPicPr>
                        </ns4:nvPicPr>
                        <ns4:blipFill>
                          <ns3:blip ns5:embed="rId147"/>
                          <ns3:stretch>
                            <ns3:fillRect/>
                          </ns3:stretch>
                        </ns4:blipFill>
                        <ns4:spPr bwMode="auto">
                          <ns3:xfrm>
                            <ns3:off x="0" y="0"/>
                            <ns3:ext cx="5646420" cy="235758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5.6: Diferencias pareadas</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w:t>
            </w:r>
            <w:r>
              <w:t xml:space="preserve">para fidelidad</w:t>
            </w:r>
            <w:r>
              <w:t xml:space="preserve"> </w:t>
            </w:r>
            <w:r>
              <w:t xml:space="preserve">(izquierda) y estabilidad (derecha)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del</w:t>
            </w:r>
            <w:r>
              <w:t xml:space="preserve"> </w:t>
            </w:r>
            <w:r>
              <w:t xml:space="preserve">análisis pareado. Las barras azules indican ventaja de SHAP; las rojas, ventaja</w:t>
            </w:r>
            <w:r>
              <w:t xml:space="preserve"> </w:t>
            </w:r>
            <w:r>
              <w:t xml:space="preserve">de LIME. Para fidelidad, las 75/75 diferencias son positivas (media = +0.248;</w:t>
            </w:r>
            <w:r>
              <w:t xml:space="preserve"> </w:t>
            </w:r>
            <ns1:oMath>
              <ns1:sSub>
                <ns1:e>
                  <ns1:r>
                    <ns1:t>d</ns1:t>
                  </ns1:r>
                </ns1:e>
                <ns1:sub>
                  <ns1:r>
                    <ns1:t>z</ns1:t>
                  </ns1:r>
                </ns1:sub>
              </ns1:sSub>
              <ns1:r>
                <ns1:rPr>
                  <ns1:sty ns1:val="p"/>
                </ns1:rPr>
                <ns1:t>=</ns1:t>
              </ns1:r>
              <ns1:r>
                <ns1:t>4.82</ns1:t>
              </ns1:r>
            </ns1:oMath>
            <w:r>
              <w:t xml:space="preserve">); para estabilidad, las 75/75 diferencias también son positivas</w:t>
            </w:r>
            <w:r>
              <w:t xml:space="preserve"> </w:t>
            </w:r>
            <w:r>
              <w:t xml:space="preserve">(media = +0.718;</w:t>
            </w:r>
            <w:r>
              <w:t xml:space="preserve"> </w:t>
            </w:r>
            <ns1:oMath>
              <ns1:sSub>
                <ns1:e>
                  <ns1:r>
                    <ns1:t>d</ns1:t>
                  </ns1:r>
                </ns1:e>
                <ns1:sub>
                  <ns1:r>
                    <ns1:t>z</ns1:t>
                  </ns1:r>
                </ns1:sub>
              </ns1:sSub>
              <ns1:r>
                <ns1:rPr>
                  <ns1:sty ns1:val="p"/>
                </ns1:rPr>
                <ns1:t>=</ns1:t>
              </ns1:r>
              <ns1:r>
                <ns1:t>3.00</ns1:t>
              </ns1:r>
            </ns1:oMath>
            <w:r>
              <w:t xml:space="preserve">). La ausencia de barras rojas confirma que la</w:t>
            </w:r>
            <w:r>
              <w:t xml:space="preserve"> </w:t>
            </w:r>
            <w:r>
              <w:t xml:space="preserve">ventaja de SHAP no es un artefacto de valores</w:t>
            </w:r>
            <w:r>
              <w:t xml:space="preserve"> </w:t>
            </w:r>
            <w:r>
              <w:t xml:space="preserve">atípicos.</w:t>
            </w:r>
          </w:p>
          <w:bookmarkEnd w:id="150"/>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4" w:name="fig-radar-metodos"/>
          <w:p>
            <w:pPr>
              <w:pStyle w:val="Compact"/>
              <w:jc w:val="both"/>
              <w:spacing w:line="360" w:lineRule="auto"/>
            </w:pPr>
            <w:r>
              <w:drawing>
                <ns2:inline>
                  <ns2:extent cx="4160520" cy="3582746"/>
                  <ns2:effectExtent b="0" l="0" r="0" t="0"/>
                  <ns2:docPr descr="" title="" id="152" name="Picture"/>
                  <ns3:graphic>
                    <ns3:graphicData uri="http://schemas.openxmlformats.org/drawingml/2006/picture">
                      <ns4:pic>
                        <ns4:nvPicPr>
                          <ns4:cNvPr descr="assets/figures/fig_radar_metodos_es.png" id="153" name="Picture"/>
                          <ns4:cNvPicPr>
                            <ns3:picLocks noChangeArrowheads="1" noChangeAspect="1"/>
                          </ns4:cNvPicPr>
                        </ns4:nvPicPr>
                        <ns4:blipFill>
                          <ns3:blip ns5:embed="rId151"/>
                          <ns3:stretch>
                            <ns3:fillRect/>
                          </ns3:stretch>
                        </ns4:blipFill>
                        <ns4:spPr bwMode="auto">
                          <ns3:xfrm>
                            <ns3:off x="0" y="0"/>
                            <ns3:ext cx="4160520" cy="358274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5.7: Perfil multidimensional normalizado por método en cinco ejes (radio mayor =</w:t>
            </w:r>
            <w:r>
              <w:t xml:space="preserve"> </w:t>
            </w:r>
            <w:r>
              <w:t xml:space="preserve">mejor desempeño). Fidelidad y estabilidad se normalizan directamente; parsimonia</w:t>
            </w:r>
            <w:r>
              <w:t xml:space="preserve"> </w:t>
            </w:r>
            <w:r>
              <w:t xml:space="preserve">y eficiencia de coste se invierten para que el exterior represente en todos los</w:t>
            </w:r>
            <w:r>
              <w:t xml:space="preserve"> </w:t>
            </w:r>
            <w:r>
              <w:t xml:space="preserve">ejes la posición más favorable. Ningún método domina en todos los ejes</w:t>
            </w:r>
            <w:r>
              <w:t xml:space="preserve"> </w:t>
            </w:r>
            <w:r>
              <w:t xml:space="preserve">simultáneamente: SHAP lidera en fidelidad, estabilidad y brecha de fidelidad;</w:t>
            </w:r>
            <w:r>
              <w:t xml:space="preserve"> </w:t>
            </w:r>
            <w:r>
              <w:t xml:space="preserve">LIME en parsimonia y eficiencia de coste; DiCE es intermedio en estabilidad</w:t>
            </w:r>
            <w:r>
              <w:t xml:space="preserve"> </w:t>
            </w:r>
            <w:r>
              <w:t xml:space="preserve">pero muy bajo en fidelidad. Este patrón valida la necesidad del enfoque</w:t>
            </w:r>
            <w:r>
              <w:t xml:space="preserve"> </w:t>
            </w:r>
            <w:r>
              <w:t xml:space="preserve">multi-métrico de FOM-7.</w:t>
            </w:r>
          </w:p>
          <w:bookmarkEnd w:id="154"/>
        </w:tc>
      </w:tr>
    </w:tbl>
    <w:bookmarkEnd w:id="155"/>
    <w:bookmarkStart w:id="159" w:name="sec-discusion"/>
    <w:p>
      <w:pPr>
        <w:pStyle w:val="Ttulo2"/>
        <w:spacing w:line="360" w:lineRule="auto"/>
        <w:jc w:val="both"/>
      </w:pPr>
      <w:r>
        <w:t xml:space="preserve">Discusión</w:t>
      </w:r>
    </w:p>
    <w:bookmarkStart w:id="156" w:name="interpretación-conjunta-de-h1-h2-y-h3"/>
    <w:p>
      <w:pPr>
        <w:pStyle w:val="Ttulo3"/>
        <w:spacing w:line="360" w:lineRule="auto"/>
        <w:jc w:val="both"/>
      </w:pPr>
      <w:r>
        <w:t xml:space="preserve">Interpretación conjunta de H1, H2 y H3</w:t>
      </w:r>
    </w:p>
    <w:p>
      <w:pPr>
        <w:pStyle w:val="FirstParagraph"/>
        <w:spacing w:line="360" w:lineRule="auto"/>
        <w:jc w:val="both"/>
      </w:pPr>
      <w:r>
        <w:t xml:space="preserve">Los tres ejes confirmatorios convergen en una imagen coherente: SHAP es el</w:t>
      </w:r>
      <w:r>
        <w:t xml:space="preserve"> </w:t>
      </w:r>
      <w:r>
        <w:t xml:space="preserve">método más fiable bajo un criterio multidimensional que incluye fidelidad,</w:t>
      </w:r>
      <w:r>
        <w:t xml:space="preserve"> </w:t>
      </w:r>
      <w:r>
        <w:t xml:space="preserve">estabilidad y reproducibilidad, al precio de un coste computacional</w:t>
      </w:r>
      <w:r>
        <w:t xml:space="preserve"> </w:t>
      </w:r>
      <w:r>
        <w:t xml:space="preserve">heterogéneo que puede ser prohibitivo para ciertos pares modelo-despliegue.</w:t>
      </w:r>
      <w:r>
        <w:t xml:space="preserve"> </w:t>
      </w:r>
      <w:r>
        <w:t xml:space="preserve">LIME es la alternativa viable en entornos donde el coste es crítico, con la</w:t>
      </w:r>
      <w:r>
        <w:t xml:space="preserve"> </w:t>
      </w:r>
      <w:r>
        <w:t xml:space="preserve">caveat explícita de que sus explicaciones son inestables y no deben usarse</w:t>
      </w:r>
      <w:r>
        <w:t xml:space="preserve"> </w:t>
      </w:r>
      <w:r>
        <w:t xml:space="preserve">para comparación entre instancias ni para auditoría. Anchors y DiCE tienen</w:t>
      </w:r>
      <w:r>
        <w:t xml:space="preserve"> </w:t>
      </w:r>
      <w:r>
        <w:t xml:space="preserve">perfiles de calidad bajos bajo las métricas de atribución, pero atienden a</w:t>
      </w:r>
      <w:r>
        <w:t xml:space="preserve"> </w:t>
      </w:r>
      <w:r>
        <w:t xml:space="preserve">objetivos de evaluación cualitativamente distintos (reglas y contrafactuales),</w:t>
      </w:r>
      <w:r>
        <w:t xml:space="preserve"> </w:t>
      </w:r>
      <w:r>
        <w:t xml:space="preserve">lo que limita la comparación directa.</w:t>
      </w:r>
    </w:p>
    <w:p>
      <w:pPr>
        <w:pStyle w:val="Textoindependiente"/>
        <w:spacing w:line="360" w:lineRule="auto"/>
        <w:jc w:val="both"/>
      </w:pPr>
      <w:r>
        <w:t xml:space="preserve">El hallazgo quizás más relevante para el campo es la disociación entre</w:t>
      </w:r>
      <w:r>
        <w:t xml:space="preserve"> </w:t>
      </w:r>
      <w:r>
        <w:t xml:space="preserve">fidelidad y estabilidad en los distintos métodos. Un método puede tener</w:t>
      </w:r>
      <w:r>
        <w:t xml:space="preserve"> </w:t>
      </w:r>
      <w:r>
        <w:t xml:space="preserve">fidelidad moderada pero inestabilidad total (LIME) o estabilidad moderada</w:t>
      </w:r>
      <w:r>
        <w:t xml:space="preserve"> </w:t>
      </w:r>
      <w:r>
        <w:t xml:space="preserve">con fidelidad baja (DiCE). Esta disociación valida la necesidad de un marco</w:t>
      </w:r>
      <w:r>
        <w:t xml:space="preserve"> </w:t>
      </w:r>
      <w:r>
        <w:t xml:space="preserve">multi-métrico como el propuesto en esta tesis: una evaluación unidimensional</w:t>
      </w:r>
      <w:r>
        <w:t xml:space="preserve"> </w:t>
      </w:r>
      <w:r>
        <w:t xml:space="preserve">basada únicamente en fidelidad habría presentado a LIME como método aceptable,</w:t>
      </w:r>
      <w:r>
        <w:t xml:space="preserve"> </w:t>
      </w:r>
      <w:r>
        <w:t xml:space="preserve">sin capturar su deficiencia crítica en estabilidad.</w:t>
      </w:r>
    </w:p>
    <w:p>
      <w:pPr>
        <w:pStyle w:val="Textoindependiente"/>
        <w:spacing w:line="360" w:lineRule="auto"/>
        <w:jc w:val="both"/>
      </w:pPr>
      <w:r>
        <w:t xml:space="preserve">Los tamaños de efecto en las comparaciones SHAP-LIME (</w:t>
      </w:r>
      <ns1:oMath>
        <ns1:sSub>
          <ns1:e>
            <ns1:r>
              <ns1:t>d</ns1:t>
            </ns1:r>
          </ns1:e>
          <ns1:sub>
            <ns1:r>
              <ns1:t>z</ns1:t>
            </ns1:r>
          </ns1:sub>
        </ns1:sSub>
        <ns1:r>
          <ns1:rPr>
            <ns1:sty ns1:val="p"/>
          </ns1:rPr>
          <ns1:t>=</ns1:t>
        </ns1:r>
        <ns1:r>
          <ns1:t>4.820</ns1:t>
        </ns1:r>
      </ns1:oMath>
      <w:r>
        <w:t xml:space="preserve"> </w:t>
      </w:r>
      <w:r>
        <w:t xml:space="preserve">para</w:t>
      </w:r>
      <w:r>
        <w:t xml:space="preserve"> </w:t>
      </w:r>
      <w:r>
        <w:t xml:space="preserve">fidelidad,</w:t>
      </w:r>
      <w:r>
        <w:t xml:space="preserve"> </w:t>
      </w:r>
      <ns1:oMath>
        <ns1:sSub>
          <ns1:e>
            <ns1:r>
              <ns1:t>d</ns1:t>
            </ns1:r>
          </ns1:e>
          <ns1:sub>
            <ns1:r>
              <ns1:t>z</ns1:t>
            </ns1:r>
          </ns1:sub>
        </ns1:sSub>
        <ns1:r>
          <ns1:rPr>
            <ns1:sty ns1:val="p"/>
          </ns1:rPr>
          <ns1:t>=</ns1:t>
        </ns1:r>
        <ns1:r>
          <ns1:t>3.002</ns1:t>
        </ns1:r>
      </ns1:oMath>
      <w:r>
        <w:t xml:space="preserve"> </w:t>
      </w:r>
      <w:r>
        <w:t xml:space="preserve">para estabilidad) son notables en el contexto de</w:t>
      </w:r>
      <w:r>
        <w:t xml:space="preserve"> </w:t>
      </w:r>
      <w:r>
        <w:t xml:space="preserve">experimentos de benchmarking XAI. Trabajos de referencia en el campo</w:t>
      </w:r>
      <w:r>
        <w:t xml:space="preserve"> </w:t>
      </w:r>
      <w:r>
        <w:t xml:space="preserve">(Hedström et al. 2023; Agarwal et al. 2022)</w:t>
      </w:r>
      <w:r>
        <w:t xml:space="preserve"> </w:t>
      </w:r>
      <w:r>
        <w:t xml:space="preserve">reportan diferencias entre métodos, aunque con</w:t>
      </w:r>
      <w:r>
        <w:t xml:space="preserve"> </w:t>
      </w:r>
      <w:r>
        <w:t xml:space="preserve">diseños y métricas que no siempre permiten comparación directa. La consistencia</w:t>
      </w:r>
      <w:r>
        <w:t xml:space="preserve"> </w:t>
      </w:r>
      <w:r>
        <w:t xml:space="preserve">direccional en los 75 pares de fidelidad y estabilidad refuerza la conclusión</w:t>
      </w:r>
      <w:r>
        <w:t xml:space="preserve"> </w:t>
      </w:r>
      <w:r>
        <w:t xml:space="preserve">operacional: bajo este diseño y estas condiciones experimentales, la ventaja</w:t>
      </w:r>
      <w:r>
        <w:t xml:space="preserve"> </w:t>
      </w:r>
      <w:r>
        <w:t xml:space="preserve">de SHAP responde a un patrón sistemático en las celdas pareadas, no a una</w:t>
      </w:r>
      <w:r>
        <w:t xml:space="preserve"> </w:t>
      </w:r>
      <w:r>
        <w:t xml:space="preserve">fluctuación estadística marginal.</w:t>
      </w:r>
    </w:p>
    <w:bookmarkEnd w:id="156"/>
    <w:bookmarkStart w:id="157" w:name="Xbd024e4a7bd7bf8de011157bde8f5cf667c76a0"/>
    <w:p>
      <w:pPr>
        <w:pStyle w:val="Ttulo3"/>
        <w:spacing w:line="360" w:lineRule="auto"/>
        <w:jc w:val="both"/>
      </w:pPr>
      <w:r>
        <w:t xml:space="preserve">Relación calidad-coste y criterios de selección operativa</w:t>
      </w:r>
    </w:p>
    <w:p>
      <w:pPr>
        <w:pStyle w:val="FirstParagraph"/>
        <w:spacing w:line="360" w:lineRule="auto"/>
        <w:jc w:val="both"/>
      </w:pPr>
      <w:r>
        <w:t xml:space="preserve">Los resultados permiten derivar criterios técnicos de selección de método XAI</w:t>
      </w:r>
      <w:r>
        <w:t xml:space="preserve"> </w:t>
      </w:r>
      <w:r>
        <w:t xml:space="preserve">en función del contexto operativo. Se propone la siguiente taxonomía de</w:t>
      </w:r>
      <w:r>
        <w:t xml:space="preserve"> </w:t>
      </w:r>
      <w:r>
        <w:t xml:space="preserve">decisión:</w:t>
      </w:r>
    </w:p>
    <w:p>
      <w:pPr>
        <w:pStyle w:val="Textoindependiente"/>
        <w:spacing w:line="360" w:lineRule="auto"/>
        <w:jc w:val="both"/>
      </w:pPr>
      <w:r>
        <w:rPr>
          <w:b/>
          <w:bCs/>
        </w:rPr>
        <w:t xml:space="preserve">Contexto A — Alta fidelidad, sin restricción de latencia</w:t>
      </w:r>
      <w:r>
        <w:t xml:space="preserve"> </w:t>
      </w:r>
      <w:r>
        <w:t xml:space="preserve">(p. ej., auditoría</w:t>
      </w:r>
      <w:r>
        <w:t xml:space="preserve"> </w:t>
      </w:r>
      <w:r>
        <w:t xml:space="preserve">regulatoria, análisis forense de decisiones): SHAP es la opción con mejor</w:t>
      </w:r>
      <w:r>
        <w:t xml:space="preserve"> </w:t>
      </w:r>
      <w:r>
        <w:t xml:space="preserve">evidencia empírica en ambas dimensiones, pero el umbral operativo debe</w:t>
      </w:r>
      <w:r>
        <w:t xml:space="preserve"> </w:t>
      </w:r>
      <w:r>
        <w:t xml:space="preserve">verificarse por familia de modelo y no sobre la media global. La media de</w:t>
      </w:r>
      <w:r>
        <w:t xml:space="preserve"> </w:t>
      </w:r>
      <w:r>
        <w:t xml:space="preserve">fidelidad de SHAP (0.808) supera 0.80, y la de estabilidad (0.732) supera 0.70;</w:t>
      </w:r>
      <w:r>
        <w:t xml:space="preserve"> </w:t>
      </w:r>
      <w:r>
        <w:t xml:space="preserve">por familia, sin embargo, solo logreg (0.946) y SVM (0.882) alcanzan</w:t>
      </w:r>
      <w:r>
        <w:t xml:space="preserve"> </w:t>
      </w:r>
      <w:r>
        <w:t xml:space="preserve">fidelidad ≥ 0.80, y solo logreg (0.880), RF (0.949) y SVM (0.925) alcanzan</w:t>
      </w:r>
      <w:r>
        <w:t xml:space="preserve"> </w:t>
      </w:r>
      <w:r>
        <w:t xml:space="preserve">estabilidad ≥ 0.70. En XGBoost la estabilidad desciende a 0.575 y en MLP a</w:t>
      </w:r>
      <w:r>
        <w:t xml:space="preserve"> </w:t>
      </w:r>
      <w:r>
        <w:t xml:space="preserve">0.331, de modo que un requisito de consistencia explicativa no queda garantizado</w:t>
      </w:r>
      <w:r>
        <w:t xml:space="preserve"> </w:t>
      </w:r>
      <w:r>
        <w:t xml:space="preserve">en esas dos familias por el mero hecho de elegir SHAP. Para modelos</w:t>
      </w:r>
      <w:r>
        <w:t xml:space="preserve"> </w:t>
      </w:r>
      <w:r>
        <w:t xml:space="preserve">basados en árboles, el coste de TreeSHAP hace esta elección también</w:t>
      </w:r>
      <w:r>
        <w:t xml:space="preserve"> </w:t>
      </w:r>
      <w:r>
        <w:t xml:space="preserve">eficiente. Para SVM y redes neuronales, la latencia de KernelSHAP</w:t>
      </w:r>
      <w:r>
        <w:t xml:space="preserve"> </w:t>
      </w:r>
      <w:r>
        <w:t xml:space="preserve">puede requerir infraestructura de cómputo dedicada o ejecución asíncrona.</w:t>
      </w:r>
    </w:p>
    <w:p>
      <w:pPr>
        <w:pStyle w:val="Textoindependiente"/>
        <w:spacing w:line="360" w:lineRule="auto"/>
        <w:jc w:val="both"/>
      </w:pPr>
      <w:r>
        <w:rPr>
          <w:b/>
          <w:bCs/>
        </w:rPr>
        <w:t xml:space="preserve">Contexto B — Velocidad crítica, consistencia explicativa no requerida</w:t>
      </w:r>
      <w:r>
        <w:t xml:space="preserve"> </w:t>
      </w:r>
      <w:r>
        <w:t xml:space="preserve">(p.</w:t>
      </w:r>
      <w:r>
        <w:t xml:space="preserve"> </w:t>
      </w:r>
      <w:r>
        <w:t xml:space="preserve">ej., sistemas de recomendación con retroalimentación explicativa en tiempo real):</w:t>
      </w:r>
      <w:r>
        <w:t xml:space="preserve"> </w:t>
      </w:r>
      <w:r>
        <w:t xml:space="preserve">LIME es viable para modelos logreg/xgb/mlp, cuyas medias por familia de modelo</w:t>
      </w:r>
      <w:r>
        <w:t xml:space="preserve"> </w:t>
      </w:r>
      <w:r>
        <w:t xml:space="preserve">—52 ms (mlp), 73 ms (logreg) y 122 ms (xgb) por instancia, agregadas a nivel de</w:t>
      </w:r>
      <w:r>
        <w:t xml:space="preserve"> </w:t>
      </w:r>
      <w:r>
        <w:t xml:space="preserve">ejecución— se mantienen dos órdenes de magnitud por debajo de las de SVM</w:t>
      </w:r>
      <w:r>
        <w:t xml:space="preserve"> </w:t>
      </w:r>
      <w:r>
        <w:t xml:space="preserve">(17,620 ms), aceptando</w:t>
      </w:r>
      <w:r>
        <w:t xml:space="preserve"> </w:t>
      </w:r>
      <w:r>
        <w:t xml:space="preserve">que la explicación de una misma instancia puede variar entre ejecuciones. Los</w:t>
      </w:r>
      <w:r>
        <w:t xml:space="preserve"> </w:t>
      </w:r>
      <w:r>
        <w:t xml:space="preserve">usuarios finales de estos sistemas deben ser informados de que las explicaciones</w:t>
      </w:r>
      <w:r>
        <w:t xml:space="preserve"> </w:t>
      </w:r>
      <w:r>
        <w:t xml:space="preserve">tienen naturaleza estocástica y no son comparables entre ejecuciones.</w:t>
      </w:r>
    </w:p>
    <w:p>
      <w:pPr>
        <w:pStyle w:val="Textoindependiente"/>
        <w:spacing w:line="360" w:lineRule="auto"/>
        <w:jc w:val="both"/>
      </w:pPr>
      <w:r>
        <w:rPr>
          <w:b/>
          <w:bCs/>
        </w:rPr>
        <w:t xml:space="preserve">Contexto C — Explicaciones comprensibles para usuarios no técnicos sin</w:t>
      </w:r>
      <w:r>
        <w:rPr>
          <w:b/>
          <w:bCs/>
        </w:rPr>
        <w:t xml:space="preserve"> </w:t>
      </w:r>
      <w:r>
        <w:rPr>
          <w:b/>
          <w:bCs/>
        </w:rPr>
        <w:t xml:space="preserve">requisito cuantitativo</w:t>
      </w:r>
      <w:r>
        <w:t xml:space="preserve">: Anchors ofrece reglas IF-THEN semánticamente</w:t>
      </w:r>
      <w:r>
        <w:t xml:space="preserve"> </w:t>
      </w:r>
      <w:r>
        <w:t xml:space="preserve">comprensibles, pero solo en modelos con frontera de decisión suficientemente</w:t>
      </w:r>
      <w:r>
        <w:t xml:space="preserve"> </w:t>
      </w:r>
      <w:r>
        <w:t xml:space="preserve">regular (logreg, xgb); para RF y SVM, el coste y la baja tasa de cobertura</w:t>
      </w:r>
      <w:r>
        <w:t xml:space="preserve"> </w:t>
      </w:r>
      <w:r>
        <w:t xml:space="preserve">lo hacen impracticable.</w:t>
      </w:r>
    </w:p>
    <w:p>
      <w:pPr>
        <w:pStyle w:val="Textoindependiente"/>
        <w:spacing w:line="360" w:lineRule="auto"/>
        <w:jc w:val="both"/>
      </w:pPr>
      <w:r>
        <w:rPr>
          <w:b/>
          <w:bCs/>
        </w:rPr>
        <w:t xml:space="preserve">Contexto D — Análisis de acciones correctivas</w:t>
      </w:r>
      <w:r>
        <w:t xml:space="preserve"> </w:t>
      </w:r>
      <w:r>
        <w:t xml:space="preserve">(p. ej., ¿qué debe cambiar</w:t>
      </w:r>
      <w:r>
        <w:t xml:space="preserve"> </w:t>
      </w:r>
      <w:r>
        <w:t xml:space="preserve">una instancia para obtener otro resultado?): DiCE es el único método de los</w:t>
      </w:r>
      <w:r>
        <w:t xml:space="preserve"> </w:t>
      </w:r>
      <w:r>
        <w:t xml:space="preserve">cuatro evaluados diseñado para responder esta pregunta. Su baja fidelidad bajo</w:t>
      </w:r>
      <w:r>
        <w:t xml:space="preserve"> </w:t>
      </w:r>
      <w:r>
        <w:t xml:space="preserve">métricas de atribución es irrelevante para este caso de uso.</w:t>
      </w:r>
    </w:p>
    <w:bookmarkEnd w:id="157"/>
    <w:bookmarkStart w:id="158" w:name="X99626a17a471bd5fb48825a2c4d4fcdcb69bcee"/>
    <w:p>
      <w:pPr>
        <w:pStyle w:val="Ttulo3"/>
        <w:spacing w:line="360" w:lineRule="auto"/>
        <w:jc w:val="both"/>
      </w:pPr>
      <w:r>
        <w:t xml:space="preserve">Contribuciones, limitaciones y extensiones</w:t>
      </w:r>
    </w:p>
    <w:p>
      <w:pPr>
        <w:pStyle w:val="FirstParagraph"/>
        <w:spacing w:line="360" w:lineRule="auto"/>
        <w:jc w:val="both"/>
      </w:pPr>
      <w:r>
        <w:t xml:space="preserve">Los hallazgos de este benchmark contribuyen al campo en tres dimensiones. En</w:t>
      </w:r>
      <w:r>
        <w:t xml:space="preserve"> </w:t>
      </w:r>
      <w:r>
        <w:t xml:space="preserve">primer lugar, confirman empíricamente sobre datos tabulares reales y con una</w:t>
      </w:r>
      <w:r>
        <w:t xml:space="preserve"> </w:t>
      </w:r>
      <w:r>
        <w:t xml:space="preserve">batería multidimensional de métricas la jerarquía SHAP &gt; LIME &gt; Anchors en</w:t>
      </w:r>
      <w:r>
        <w:t xml:space="preserve"> </w:t>
      </w:r>
      <w:r>
        <w:t xml:space="preserve">fidelidad, que ha sido asumida teóricamente pero rara vez demostrada bajo un</w:t>
      </w:r>
      <w:r>
        <w:t xml:space="preserve"> </w:t>
      </w:r>
      <w:r>
        <w:t xml:space="preserve">diseño estadístico riguroso</w:t>
      </w:r>
      <w:r>
        <w:t xml:space="preserve"> </w:t>
      </w:r>
      <w:r>
        <w:t xml:space="preserve">(Pawlicki et al. 2024; Altukhi 2025)</w:t>
      </w:r>
      <w:r>
        <w:t xml:space="preserve">. En segundo lugar,</w:t>
      </w:r>
      <w:r>
        <w:t xml:space="preserve"> </w:t>
      </w:r>
      <w:r>
        <w:t xml:space="preserve">documentan cuantitativamente la inestabilidad de LIME bajo la configuración de</w:t>
      </w:r>
      <w:r>
        <w:t xml:space="preserve"> </w:t>
      </w:r>
      <w:r>
        <w:t xml:space="preserve">referencia, un hallazgo</w:t>
      </w:r>
      <w:r>
        <w:t xml:space="preserve"> </w:t>
      </w:r>
      <w:r>
        <w:t xml:space="preserve">que los estudios basados en fidelidad exclusiva sistemáticamente omiten</w:t>
      </w:r>
      <w:r>
        <w:t xml:space="preserve"> </w:t>
      </w:r>
      <w:r>
        <w:t xml:space="preserve">(Bhattacharya and Verbert 2024)</w:t>
      </w:r>
      <w:r>
        <w:t xml:space="preserve">. En tercer lugar, demuestran que el protocolo FOM-7</w:t>
      </w:r>
      <w:r>
        <w:t xml:space="preserve"> </w:t>
      </w:r>
      <w:r>
        <w:t xml:space="preserve">produce resultados reproducibles (CV &lt; 3% en fidelidad para el subgrupo</w:t>
      </w:r>
      <w:r>
        <w:t xml:space="preserve"> </w:t>
      </w:r>
      <w:r>
        <w:t xml:space="preserve">replicado RF/</w:t>
      </w:r>
      <ns1:oMath>
        <ns1:r>
          <ns1:t>N</ns1:t>
        </ns1:r>
        <ns1:r>
          <ns1:rPr>
            <ns1:sty ns1:val="p"/>
          </ns1:rPr>
          <ns1:t>=</ns1:t>
        </ns1:r>
        <ns1:r>
          <ns1:t>100</ns1:t>
        </ns1:r>
      </ns1:oMath>
      <w:r>
        <w:t xml:space="preserve">, y CV agrupado de 11.4% para SHAP y 12.0% para LIME sobre</w:t>
      </w:r>
      <w:r>
        <w:t xml:space="preserve"> </w:t>
      </w:r>
      <w:r>
        <w:t xml:space="preserve">el conjunto completo de ejecuciones, todos dentro del umbral del 15% fijado en</w:t>
      </w:r>
      <w:r>
        <w:t xml:space="preserve"> </w:t>
      </w:r>
      <w:r>
        <w:t xml:space="preserve">P1) y que los</w:t>
      </w:r>
      <w:r>
        <w:t xml:space="preserve"> </w:t>
      </w:r>
      <w:r>
        <w:t xml:space="preserve">criterios de cobertura y exclusión de artefactos del benchmark son</w:t>
      </w:r>
      <w:r>
        <w:t xml:space="preserve"> </w:t>
      </w:r>
      <w:r>
        <w:t xml:space="preserve">implementables sin pérdida sustancial de potencia estadística.</w:t>
      </w:r>
    </w:p>
    <w:p>
      <w:pPr>
        <w:pStyle w:val="Textoindependiente"/>
        <w:spacing w:line="360" w:lineRule="auto"/>
        <w:jc w:val="both"/>
      </w:pPr>
      <w:r>
        <w:t xml:space="preserve">Las limitaciones principales del estudio son las siguientes. Primero, el</w:t>
      </w:r>
      <w:r>
        <w:t xml:space="preserve"> </w:t>
      </w:r>
      <w:r>
        <w:t xml:space="preserve">universo experimental se acota al conjunto de datos UCI Adult Income y a</w:t>
      </w:r>
      <w:r>
        <w:t xml:space="preserve"> </w:t>
      </w:r>
      <w:r>
        <w:t xml:space="preserve">problemas de clasificación tabular binaria; la extensión a otros dominios</w:t>
      </w:r>
      <w:r>
        <w:t xml:space="preserve"> </w:t>
      </w:r>
      <w:r>
        <w:t xml:space="preserve">(imágenes, texto, series temporales) requiere rediseño de las métricas de</w:t>
      </w:r>
      <w:r>
        <w:t xml:space="preserve"> </w:t>
      </w:r>
      <w:r>
        <w:t xml:space="preserve">fidelidad y estabilidad. Segundo, las métricas utilizadas son operacionalizaciones</w:t>
      </w:r>
      <w:r>
        <w:t xml:space="preserve"> </w:t>
      </w:r>
      <w:r>
        <w:t xml:space="preserve">específicas de los constructos de calidad: fidelidad como correlación de</w:t>
      </w:r>
      <w:r>
        <w:t xml:space="preserve"> </w:t>
      </w:r>
      <w:r>
        <w:t xml:space="preserve">importancias, estabilidad como similitud coseno. Otras operacionalizaciones</w:t>
      </w:r>
      <w:r>
        <w:t xml:space="preserve"> </w:t>
      </w:r>
      <w:r>
        <w:t xml:space="preserve">posibles (p. ej., fidelidad como perturbación ROAR</w:t>
      </w:r>
      <w:r>
        <w:t xml:space="preserve"> </w:t>
      </w:r>
      <w:r>
        <w:t xml:space="preserve">(Hedström et al. 2023)</w:t>
      </w:r>
      <w:r>
        <w:t xml:space="preserve"> </w:t>
      </w:r>
      <w:r>
        <w:t xml:space="preserve">o</w:t>
      </w:r>
      <w:r>
        <w:t xml:space="preserve"> </w:t>
      </w:r>
      <w:r>
        <w:t xml:space="preserve">estabilidad como distancia entre vecindades) pueden producir ordenamientos</w:t>
      </w:r>
      <w:r>
        <w:t xml:space="preserve"> </w:t>
      </w:r>
      <w:r>
        <w:t xml:space="preserve">distintos. Tercero, el diseño no contempla la dimensión del usuario</w:t>
      </w:r>
      <w:r>
        <w:t xml:space="preserve"> </w:t>
      </w:r>
      <w:r>
        <w:t xml:space="preserve">(comprensibilidad percibida, utilidad para la toma de decisiones), que es</w:t>
      </w:r>
      <w:r>
        <w:t xml:space="preserve"> </w:t>
      </w:r>
      <w:r>
        <w:t xml:space="preserve">una dimensión de calidad no capturable por métricas automáticas. Estos aspectos</w:t>
      </w:r>
      <w:r>
        <w:t xml:space="preserve"> </w:t>
      </w:r>
      <w:r>
        <w:t xml:space="preserve">constituyen extensiones naturales para investigación futura que el protocolo</w:t>
      </w:r>
      <w:r>
        <w:t xml:space="preserve"> </w:t>
      </w:r>
      <w:r>
        <w:t xml:space="preserve">FOM-7 está diseñado para acomodar mediante la adición de puertas adicionales.</w:t>
      </w:r>
    </w:p>
    <w:p>
      <w:pPr>
        <w:pStyle w:val="Textoindependiente"/>
        <w:spacing w:line="360" w:lineRule="auto"/>
        <w:jc w:val="both"/>
      </w:pPr>
      <w:r>
        <w:t xml:space="preserve">Este capítulo ha presentado la evidencia empírica del benchmark con trazabilidad</w:t>
      </w:r>
      <w:r>
        <w:t xml:space="preserve"> </w:t>
      </w:r>
      <w:r>
        <w:t xml:space="preserve">completa de afirmaciones: los resultados de H1, H2 y H3 son estadísticamente</w:t>
      </w:r>
      <w:r>
        <w:t xml:space="preserve"> </w:t>
      </w:r>
      <w:r>
        <w:t xml:space="preserve">robustos con márgenes de seguridad que superan el umbral crítico en más de</w:t>
      </w:r>
      <w:r>
        <w:t xml:space="preserve"> </w:t>
      </w:r>
      <w:r>
        <w:t xml:space="preserve">cuatro veces, y los perfiles de método revelan que ningún método domina en</w:t>
      </w:r>
      <w:r>
        <w:t xml:space="preserve"> </w:t>
      </w:r>
      <w:r>
        <w:t xml:space="preserve">todas las dimensiones simultáneamente. El Capítulo 5 construye sobre esta base</w:t>
      </w:r>
      <w:r>
        <w:t xml:space="preserve"> </w:t>
      </w:r>
      <w:r>
        <w:t xml:space="preserve">en dos planos: desarrolla la taxonomía de cuatro ejes que organiza el espacio de</w:t>
      </w:r>
      <w:r>
        <w:t xml:space="preserve"> </w:t>
      </w:r>
      <w:r>
        <w:t xml:space="preserve">métricas de evaluación XAI y hace explícitos los cuadrantes cubiertos y los</w:t>
      </w:r>
      <w:r>
        <w:t xml:space="preserve"> </w:t>
      </w:r>
      <w:r>
        <w:t xml:space="preserve">que quedan como agenda; e incorpora los resultados del Estudio EXP4 como</w:t>
      </w:r>
      <w:r>
        <w:t xml:space="preserve"> </w:t>
      </w:r>
      <w:r>
        <w:t xml:space="preserve">fundamento empírico de la brecha de evaluación semántica que la taxonomía</w:t>
      </w:r>
      <w:r>
        <w:t xml:space="preserve"> </w:t>
      </w:r>
      <w:r>
        <w:t xml:space="preserve">identifica como la más urgente de resolver.</w:t>
      </w:r>
    </w:p>
    <w:bookmarkEnd w:id="158"/>
    <w:bookmarkEnd w:id="159"/>
    <w:bookmarkEnd w:id="160"/>
    <w:bookmarkStart w:id="172" w:name="Xa967782ce714a135dc69dc69099ccfe835ec70b"/>
    <w:p>
      <w:pPr>
        <w:pStyle w:val="Ttulo1"/>
        <w:spacing w:line="360" w:lineRule="auto"/>
        <w:jc w:val="both"/>
      </w:pPr>
      <w:r>
        <w:t xml:space="preserve">Taxonomía de métricas y síntesis conceptual</w:t>
      </w:r>
    </w:p>
    <w:p>
      <w:pPr>
        <w:pStyle w:val="FirstParagraph"/>
        <w:spacing w:line="360" w:lineRule="auto"/>
        <w:jc w:val="both"/>
      </w:pPr>
      <w:r>
        <w:t xml:space="preserve">El Capítulo 4 produjo un resultado que no era predecible a priori y que tiene</w:t>
      </w:r>
      <w:r>
        <w:t xml:space="preserve"> </w:t>
      </w:r>
      <w:r>
        <w:t xml:space="preserve">consecuencias metodológicas directas sobre cómo debe organizarse el espacio de</w:t>
      </w:r>
      <w:r>
        <w:t xml:space="preserve"> </w:t>
      </w:r>
      <w:r>
        <w:t xml:space="preserve">métricas XAI. LIME obtuvo una fidelidad media de 0.560 —por encima del umbral</w:t>
      </w:r>
      <w:r>
        <w:t xml:space="preserve"> </w:t>
      </w:r>
      <w:r>
        <w:t xml:space="preserve">de uso en producción para muchos equipos de datos— y al mismo tiempo una</w:t>
      </w:r>
      <w:r>
        <w:t xml:space="preserve"> </w:t>
      </w:r>
      <w:r>
        <w:t xml:space="preserve">estabilidad prácticamente nula bajo la configuración de referencia del</w:t>
      </w:r>
      <w:r>
        <w:t xml:space="preserve"> </w:t>
      </w:r>
      <w:r>
        <w:t xml:space="preserve">benchmark: similitud coseno media de 0.014 y coeficiente de variación del 86.2%</w:t>
      </w:r>
      <w:r>
        <w:t xml:space="preserve"> </w:t>
      </w:r>
      <w:r>
        <w:t xml:space="preserve">entre explicaciones generadas para la misma instancia con distintas semillas</w:t>
      </w:r>
      <w:r>
        <w:t xml:space="preserve"> </w:t>
      </w:r>
      <w:r>
        <w:t xml:space="preserve">(el Capítulo 6 delimita el alcance de este resultado, que depende del espacio</w:t>
      </w:r>
      <w:r>
        <w:t xml:space="preserve"> </w:t>
      </w:r>
      <w:r>
        <w:t xml:space="preserve">de características y del ancho del kernel). SHAP, en cambio, mantuvo fidelidad de 0.808</w:t>
      </w:r>
      <w:r>
        <w:t xml:space="preserve"> </w:t>
      </w:r>
      <w:r>
        <w:t xml:space="preserve">y estabilidad de 0.732, con d</w:t>
      </w:r>
      <w:r>
        <w:rPr>
          <w:vertAlign w:val="subscript"/>
        </w:rPr>
        <w:t xml:space="preserve">z</w:t>
      </w:r>
      <w:r>
        <w:t xml:space="preserve">=4.82 y d</w:t>
      </w:r>
      <w:r>
        <w:rPr>
          <w:vertAlign w:val="subscript"/>
        </w:rPr>
        <w:t xml:space="preserve">z</w:t>
      </w:r>
      <w:r>
        <w:t xml:space="preserve">=3.00 respectivamente. La</w:t>
      </w:r>
      <w:r>
        <w:t xml:space="preserve"> </w:t>
      </w:r>
      <w:r>
        <w:t xml:space="preserve">correlación empírica entre fidelidad y estabilidad —visible en la</w:t>
      </w:r>
      <w:r>
        <w:t xml:space="preserve"> </w:t>
      </w:r>
      <w:hyperlink w:anchor="fig-correlacion-metricas">
        <w:r>
          <w:rPr>
            <w:rStyle w:val="Hipervnculo"/>
          </w:rPr>
          <w:t xml:space="preserve">Figure 5.2</w:t>
        </w:r>
      </w:hyperlink>
      <w:r>
        <w:t xml:space="preserve">— es baja, lo que significa que ambas dimensiones</w:t>
      </w:r>
      <w:r>
        <w:t xml:space="preserve"> </w:t>
      </w:r>
      <w:r>
        <w:t xml:space="preserve">aportan información no redundante sobre la calidad de una explicación. Un</w:t>
      </w:r>
      <w:r>
        <w:t xml:space="preserve"> </w:t>
      </w:r>
      <w:r>
        <w:t xml:space="preserve">benchmark que solo reportara fidelidad habría concluido que LIME es aceptable</w:t>
      </w:r>
      <w:r>
        <w:t xml:space="preserve"> </w:t>
      </w:r>
      <w:r>
        <w:t xml:space="preserve">para uso en auditoría. Un benchmark que solo reportara estabilidad habría</w:t>
      </w:r>
      <w:r>
        <w:t xml:space="preserve"> </w:t>
      </w:r>
      <w:r>
        <w:t xml:space="preserve">eliminado LIME sin valorar su ventaja en coste y parsimonia. Ningún escalar</w:t>
      </w:r>
      <w:r>
        <w:t xml:space="preserve"> </w:t>
      </w:r>
      <w:r>
        <w:t xml:space="preserve">único captura el perfil completo.</w:t>
      </w:r>
    </w:p>
    <w:p>
      <w:pPr>
        <w:pStyle w:val="Textoindependiente"/>
        <w:spacing w:line="360" w:lineRule="auto"/>
        <w:jc w:val="both"/>
      </w:pPr>
      <w:r>
        <w:t xml:space="preserve">Esta disociación no es un artefacto del diseño. La parsimonia media de DiCE</w:t>
      </w:r>
      <w:r>
        <w:t xml:space="preserve"> </w:t>
      </w:r>
      <w:r>
        <w:t xml:space="preserve">(0.017 de ratio activo, la más concisa del benchmark) y su fidelidad baja</w:t>
      </w:r>
      <w:r>
        <w:t xml:space="preserve"> </w:t>
      </w:r>
      <w:r>
        <w:t xml:space="preserve">(0.172) responden a una lógica distinta a la de SHAP o LIME: DiCE minimiza la</w:t>
      </w:r>
      <w:r>
        <w:t xml:space="preserve"> </w:t>
      </w:r>
      <w:r>
        <w:t xml:space="preserve">perturbación del contrafactual, no la aproximación local al modelo. Que DiCE</w:t>
      </w:r>
      <w:r>
        <w:t xml:space="preserve"> </w:t>
      </w:r>
      <w:r>
        <w:t xml:space="preserve">tenga perfil óptimo en parsimonia —aunque no en coste, donde su media de</w:t>
      </w:r>
      <w:r>
        <w:t xml:space="preserve"> </w:t>
      </w:r>
      <w:r>
        <w:t xml:space="preserve">28,209 ms solo mejora a la de Anchors— pero deficiente en fidelidad técnica,</w:t>
      </w:r>
      <w:r>
        <w:t xml:space="preserve"> </w:t>
      </w:r>
      <w:r>
        <w:t xml:space="preserve">indica que los ejes de calidad no colapsan sobre un único factor latente. La</w:t>
      </w:r>
      <w:r>
        <w:t xml:space="preserve"> </w:t>
      </w:r>
      <w:hyperlink w:anchor="fig-radar-metodos">
        <w:r>
          <w:rPr>
            <w:rStyle w:val="Hipervnculo"/>
          </w:rPr>
          <w:t xml:space="preserve">Figure 5.7</w:t>
        </w:r>
      </w:hyperlink>
      <w:r>
        <w:t xml:space="preserve"> </w:t>
      </w:r>
      <w:r>
        <w:t xml:space="preserve">hace visible esta estructura: ningún método domina simultáneamente en todas las</w:t>
      </w:r>
      <w:r>
        <w:t xml:space="preserve"> </w:t>
      </w:r>
      <w:r>
        <w:t xml:space="preserve">dimensiones, y los cuellos de botella difieren por método. Este patrón solo es</w:t>
      </w:r>
      <w:r>
        <w:t xml:space="preserve"> </w:t>
      </w:r>
      <w:r>
        <w:t xml:space="preserve">observable si las métricas están conceptualmente separadas antes de la medición,</w:t>
      </w:r>
      <w:r>
        <w:t xml:space="preserve"> </w:t>
      </w:r>
      <w:r>
        <w:t xml:space="preserve">no consolidadas post-hoc en un índice compuesto.</w:t>
      </w:r>
    </w:p>
    <w:p>
      <w:pPr>
        <w:pStyle w:val="Textoindependiente"/>
        <w:spacing w:line="360" w:lineRule="auto"/>
        <w:jc w:val="both"/>
      </w:pPr>
      <w:r>
        <w:t xml:space="preserve">La pregunta que emerge de esos resultados no es cuál método gana, sino</w:t>
      </w:r>
      <w:r>
        <w:t xml:space="preserve"> </w:t>
      </w:r>
      <w:r>
        <w:rPr>
          <w:i/>
          <w:iCs/>
        </w:rPr>
        <w:t xml:space="preserve">qué</w:t>
      </w:r>
      <w:r>
        <w:rPr>
          <w:i/>
          <w:iCs/>
        </w:rPr>
        <w:t xml:space="preserve"> </w:t>
      </w:r>
      <w:r>
        <w:rPr>
          <w:i/>
          <w:iCs/>
        </w:rPr>
        <w:t xml:space="preserve">dimensiones de calidad son genuinamente ortogonales, cuál fuente de evidencia</w:t>
      </w:r>
      <w:r>
        <w:rPr>
          <w:i/>
          <w:iCs/>
        </w:rPr>
        <w:t xml:space="preserve"> </w:t>
      </w:r>
      <w:r>
        <w:rPr>
          <w:i/>
          <w:iCs/>
        </w:rPr>
        <w:t xml:space="preserve">mide cada una, y para qué contexto de tarea resulta relevante cada perfil</w:t>
      </w:r>
      <w:r>
        <w:t xml:space="preserve">. Sin</w:t>
      </w:r>
      <w:r>
        <w:t xml:space="preserve"> </w:t>
      </w:r>
      <w:r>
        <w:t xml:space="preserve">un marco conceptual que responda esas tres preguntas de forma articulada, el</w:t>
      </w:r>
      <w:r>
        <w:t xml:space="preserve"> </w:t>
      </w:r>
      <w:r>
        <w:t xml:space="preserve">benchmark produce números correctos pero no produce orientación. Un evaluador</w:t>
      </w:r>
      <w:r>
        <w:t xml:space="preserve"> </w:t>
      </w:r>
      <w:r>
        <w:t xml:space="preserve">que conozca solo los rangos de fidelidad (SHAP: 0.808, LIME: 0.560,</w:t>
      </w:r>
      <w:r>
        <w:t xml:space="preserve"> </w:t>
      </w:r>
      <w:r>
        <w:t xml:space="preserve">Anchors: 0.388, DiCE: 0.172) no sabe si una diferencia de 0.05 puntos en</w:t>
      </w:r>
      <w:r>
        <w:t xml:space="preserve"> </w:t>
      </w:r>
      <w:r>
        <w:t xml:space="preserve">parsimonia es sustantiva o trivial, ni si la brecha de fidelidad justifica el</w:t>
      </w:r>
      <w:r>
        <w:t xml:space="preserve"> </w:t>
      </w:r>
      <w:r>
        <w:t xml:space="preserve">coste adicional de SHAP en un sistema de tiempo real. La taxonomía de este</w:t>
      </w:r>
      <w:r>
        <w:t xml:space="preserve"> </w:t>
      </w:r>
      <w:r>
        <w:t xml:space="preserve">capítulo es, por tanto, una respuesta necesaria a lo que el benchmark demostró</w:t>
      </w:r>
      <w:r>
        <w:t xml:space="preserve"> </w:t>
      </w:r>
      <w:r>
        <w:t xml:space="preserve">empíricamente: que el espacio de métricas es multidimensional, que las</w:t>
      </w:r>
      <w:r>
        <w:t xml:space="preserve"> </w:t>
      </w:r>
      <w:r>
        <w:t xml:space="preserve">dimensiones son operativamente independientes, y que la selección de método</w:t>
      </w:r>
      <w:r>
        <w:t xml:space="preserve"> </w:t>
      </w:r>
      <w:r>
        <w:t xml:space="preserve">requiere un lenguaje conceptual que articule cuál dimensión importa según el</w:t>
      </w:r>
      <w:r>
        <w:t xml:space="preserve"> </w:t>
      </w:r>
      <w:r>
        <w:t xml:space="preserve">contexto de uso.</w:t>
      </w:r>
    </w:p>
    <w:p>
      <w:pPr>
        <w:pStyle w:val="Textoindependiente"/>
        <w:spacing w:line="360" w:lineRule="auto"/>
        <w:jc w:val="both"/>
      </w:pPr>
      <w:r>
        <w:t xml:space="preserve">Este capítulo desarrolla el Estudio C de la tesis: una taxonomía estructurada</w:t>
      </w:r>
      <w:r>
        <w:t xml:space="preserve"> </w:t>
      </w:r>
      <w:r>
        <w:t xml:space="preserve">del espacio de métricas de evaluación XAI. Su función es dar peso conceptual</w:t>
      </w:r>
      <w:r>
        <w:t xml:space="preserve"> </w:t>
      </w:r>
      <w:r>
        <w:t xml:space="preserve">propio a la tercera contribución doctoral. Los capítulos anteriores mostraron</w:t>
      </w:r>
      <w:r>
        <w:t xml:space="preserve"> </w:t>
      </w:r>
      <w:r>
        <w:t xml:space="preserve">que FOM-7 necesita distinguir objetos explicativos, constructos de calidad,</w:t>
      </w:r>
      <w:r>
        <w:t xml:space="preserve"> </w:t>
      </w:r>
      <w:r>
        <w:t xml:space="preserve">fuentes de evidencia y contextos de uso. Este capítulo convierte esa necesidad</w:t>
      </w:r>
      <w:r>
        <w:t xml:space="preserve"> </w:t>
      </w:r>
      <w:r>
        <w:t xml:space="preserve">en una matriz de clasificación que permite interpretar el benchmark y, al mismo</w:t>
      </w:r>
      <w:r>
        <w:t xml:space="preserve"> </w:t>
      </w:r>
      <w:r>
        <w:t xml:space="preserve">tiempo, orientar evaluaciones futuras.</w:t>
      </w:r>
    </w:p>
    <w:p>
      <w:pPr>
        <w:pStyle w:val="Textoindependiente"/>
        <w:spacing w:line="360" w:lineRule="auto"/>
        <w:jc w:val="both"/>
      </w:pPr>
      <w:r>
        <w:t xml:space="preserve">La taxonomía se presenta como una</w:t>
      </w:r>
      <w:r>
        <w:t xml:space="preserve"> </w:t>
      </w:r>
      <w:r>
        <w:rPr>
          <w:b/>
          <w:bCs/>
        </w:rPr>
        <w:t xml:space="preserve">síntesis integradora y operacional</w:t>
      </w:r>
      <w:r>
        <w:t xml:space="preserve">, no</w:t>
      </w:r>
      <w:r>
        <w:t xml:space="preserve"> </w:t>
      </w:r>
      <w:r>
        <w:t xml:space="preserve">como una taxonomía completamente nueva en sentido fuerte. Integra distinciones</w:t>
      </w:r>
      <w:r>
        <w:t xml:space="preserve"> </w:t>
      </w:r>
      <w:r>
        <w:t xml:space="preserve">ya presentes en la literatura —por ejemplo, evaluación functionally-grounded,</w:t>
      </w:r>
      <w:r>
        <w:t xml:space="preserve"> </w:t>
      </w:r>
      <w:r>
        <w:t xml:space="preserve">human-grounded y application-grounded; fidelidad, robustez, plausibilidad,</w:t>
      </w:r>
      <w:r>
        <w:t xml:space="preserve"> </w:t>
      </w:r>
      <w:r>
        <w:t xml:space="preserve">complejidad y utilidad— y las reorganiza en una estructura práctica para</w:t>
      </w:r>
      <w:r>
        <w:t xml:space="preserve"> </w:t>
      </w:r>
      <w:r>
        <w:t xml:space="preserve">benchmarks comparativos de XAI</w:t>
      </w:r>
      <w:r>
        <w:t xml:space="preserve"> </w:t>
      </w:r>
      <w:r>
        <w:t xml:space="preserve">(Doshi-Velez 2017; Schwalbe 2023; Abdul Kadir et al. 2023; Pawlicki et al. 2024; Nauta et al. 2023)</w:t>
      </w:r>
      <w:r>
        <w:t xml:space="preserve">. Su contribución específica es</w:t>
      </w:r>
      <w:r>
        <w:t xml:space="preserve"> </w:t>
      </w:r>
      <w:r>
        <w:t xml:space="preserve">hacer explícita la conexión entre métrica, fuente de evidencia, propiedad de</w:t>
      </w:r>
      <w:r>
        <w:t xml:space="preserve"> </w:t>
      </w:r>
      <w:r>
        <w:t xml:space="preserve">calidad, contexto de tarea y claim admisible dentro del protocolo FOM-7.</w:t>
      </w:r>
    </w:p>
    <w:bookmarkStart w:id="161" w:name="sec-taxonomia-metodo"/>
    <w:p>
      <w:pPr>
        <w:pStyle w:val="Ttulo2"/>
        <w:spacing w:line="360" w:lineRule="auto"/>
        <w:jc w:val="both"/>
      </w:pPr>
      <w:r>
        <w:t xml:space="preserve">Método de construcción de la taxonomía</w:t>
      </w:r>
    </w:p>
    <w:p>
      <w:pPr>
        <w:pStyle w:val="FirstParagraph"/>
        <w:spacing w:line="360" w:lineRule="auto"/>
        <w:jc w:val="both"/>
      </w:pPr>
      <w:r>
        <w:t xml:space="preserve">La construcción siguió una revisión estructurada de alcance narrativo. No se</w:t>
      </w:r>
      <w:r>
        <w:t xml:space="preserve"> </w:t>
      </w:r>
      <w:r>
        <w:t xml:space="preserve">presenta como revisión sistemática PRISMA, porque su objetivo no fue estimar</w:t>
      </w:r>
      <w:r>
        <w:t xml:space="preserve"> </w:t>
      </w:r>
      <w:r>
        <w:t xml:space="preserve">prevalencias bibliométricas ni agotar todo el universo de publicaciones, sino</w:t>
      </w:r>
      <w:r>
        <w:t xml:space="preserve"> </w:t>
      </w:r>
      <w:r>
        <w:t xml:space="preserve">organizar constructos recurrentes que ya estaban documentados en encuestas,</w:t>
      </w:r>
      <w:r>
        <w:t xml:space="preserve"> </w:t>
      </w:r>
      <w:r>
        <w:t xml:space="preserve">toolkits, benchmarks y trabajos metodológicos relevantes para la evaluación</w:t>
      </w:r>
      <w:r>
        <w:t xml:space="preserve"> </w:t>
      </w:r>
      <w:r>
        <w:t xml:space="preserve">XAI. La taxonomía resultante se clasifica como una</w:t>
      </w:r>
      <w:r>
        <w:t xml:space="preserve"> </w:t>
      </w:r>
      <w:r>
        <w:rPr>
          <w:b/>
          <w:bCs/>
        </w:rPr>
        <w:t xml:space="preserve">operacionalización</w:t>
      </w:r>
      <w:r>
        <w:rPr>
          <w:b/>
          <w:bCs/>
        </w:rPr>
        <w:t xml:space="preserve"> </w:t>
      </w:r>
      <w:r>
        <w:rPr>
          <w:b/>
          <w:bCs/>
        </w:rPr>
        <w:t xml:space="preserve">doctoral integradora</w:t>
      </w:r>
      <w:r>
        <w:t xml:space="preserve">: integra y reorganiza distinciones ya presentes en la</w:t>
      </w:r>
      <w:r>
        <w:t xml:space="preserve"> </w:t>
      </w:r>
      <w:r>
        <w:t xml:space="preserve">literatura en una estructura práctica, y añade el eje de contexto de tarea como</w:t>
      </w:r>
      <w:r>
        <w:t xml:space="preserve"> </w:t>
      </w:r>
      <w:r>
        <w:t xml:space="preserve">dimensión operativa no explícita en los marcos previos. No es una taxonomía</w:t>
      </w:r>
      <w:r>
        <w:t xml:space="preserve"> </w:t>
      </w:r>
      <w:r>
        <w:t xml:space="preserve">completamente nueva en sentido fuerte (no propone dimensiones sin antecedentes</w:t>
      </w:r>
      <w:r>
        <w:t xml:space="preserve"> </w:t>
      </w:r>
      <w:r>
        <w:t xml:space="preserve">en la literatura) ni una mera síntesis descriptiva (la estructura de cuatro ejes</w:t>
      </w:r>
      <w:r>
        <w:t xml:space="preserve"> </w:t>
      </w:r>
      <w:r>
        <w:t xml:space="preserve">y su mapeo al benchmark es una contribución propia).</w:t>
      </w:r>
    </w:p>
    <w:p>
      <w:pPr>
        <w:pStyle w:val="Textoindependiente"/>
        <w:spacing w:line="360" w:lineRule="auto"/>
        <w:jc w:val="both"/>
      </w:pPr>
      <w:r>
        <w:t xml:space="preserve">El corpus de apoyo combina cuatro tipos de fuentes, que suman</w:t>
      </w:r>
      <w:r>
        <w:t xml:space="preserve"> </w:t>
      </w:r>
      <w:r>
        <w:rPr>
          <w:b/>
          <w:bCs/>
        </w:rPr>
        <w:t xml:space="preserve">47 referencias</w:t>
      </w:r>
      <w:r>
        <w:rPr>
          <w:b/>
          <w:bCs/>
        </w:rPr>
        <w:t xml:space="preserve"> </w:t>
      </w:r>
      <w:r>
        <w:rPr>
          <w:b/>
          <w:bCs/>
        </w:rPr>
        <w:t xml:space="preserve">directas</w:t>
      </w:r>
      <w:r>
        <w:t xml:space="preserve"> </w:t>
      </w:r>
      <w:r>
        <w:t xml:space="preserve">a la construcción de la taxonomía. Primero, revisiones y</w:t>
      </w:r>
      <w:r>
        <w:t xml:space="preserve"> </w:t>
      </w:r>
      <w:r>
        <w:t xml:space="preserve">taxonomías de interpretabilidad y XAI que establecen el vocabulario conceptual</w:t>
      </w:r>
      <w:r>
        <w:t xml:space="preserve"> </w:t>
      </w:r>
      <w:r>
        <w:t xml:space="preserve">del campo: 11 trabajos, incluyendo las revisiones fundacionales de</w:t>
      </w:r>
      <w:r>
        <w:t xml:space="preserve"> </w:t>
      </w:r>
      <w:r>
        <w:t xml:space="preserve">Arrieta (2019a)</w:t>
      </w:r>
      <w:r>
        <w:t xml:space="preserve">,</w:t>
      </w:r>
      <w:r>
        <w:t xml:space="preserve"> </w:t>
      </w:r>
      <w:r>
        <w:t xml:space="preserve">Lipton (2018)</w:t>
      </w:r>
      <w:r>
        <w:t xml:space="preserve">,</w:t>
      </w:r>
      <w:r>
        <w:t xml:space="preserve"> </w:t>
      </w:r>
      <w:r>
        <w:t xml:space="preserve">Linardatos (2020)</w:t>
      </w:r>
      <w:r>
        <w:t xml:space="preserve"> </w:t>
      </w:r>
      <w:r>
        <w:t xml:space="preserve">y la taxonomía sistemática de</w:t>
      </w:r>
      <w:r>
        <w:t xml:space="preserve"> </w:t>
      </w:r>
      <w:r>
        <w:t xml:space="preserve">Schwalbe (2023)</w:t>
      </w:r>
      <w:r>
        <w:t xml:space="preserve">. Segundo, trabajos sobre evaluación y benchmarking que distinguen</w:t>
      </w:r>
      <w:r>
        <w:t xml:space="preserve"> </w:t>
      </w:r>
      <w:r>
        <w:t xml:space="preserve">niveles de evidencia, métricas functionally-grounded y reproducibilidad:</w:t>
      </w:r>
      <w:r>
        <w:t xml:space="preserve"> </w:t>
      </w:r>
      <w:r>
        <w:t xml:space="preserve">9 trabajos, incluyendo la taxonomía de niveles de</w:t>
      </w:r>
      <w:r>
        <w:t xml:space="preserve"> </w:t>
      </w:r>
      <w:r>
        <w:t xml:space="preserve">Doshi-Velez (2017)</w:t>
      </w:r>
      <w:r>
        <w:t xml:space="preserve">, el toolkit</w:t>
      </w:r>
      <w:r>
        <w:t xml:space="preserve"> </w:t>
      </w:r>
      <w:r>
        <w:t xml:space="preserve">Quantus</w:t>
      </w:r>
      <w:r>
        <w:t xml:space="preserve"> </w:t>
      </w:r>
      <w:r>
        <w:t xml:space="preserve">(Hedström et al. 2023)</w:t>
      </w:r>
      <w:r>
        <w:t xml:space="preserve">, la plataforma OpenXAI</w:t>
      </w:r>
      <w:r>
        <w:t xml:space="preserve"> </w:t>
      </w:r>
      <w:r>
        <w:t xml:space="preserve">(Agarwal et al. 2022)</w:t>
      </w:r>
      <w:r>
        <w:t xml:space="preserve"> </w:t>
      </w:r>
      <w:r>
        <w:t xml:space="preserve">y la revisión de</w:t>
      </w:r>
      <w:r>
        <w:t xml:space="preserve"> </w:t>
      </w:r>
      <w:r>
        <w:t xml:space="preserve">propiedades de evaluación de</w:t>
      </w:r>
      <w:r>
        <w:t xml:space="preserve"> </w:t>
      </w:r>
      <w:r>
        <w:t xml:space="preserve">Nauta et al. (2023)</w:t>
      </w:r>
      <w:r>
        <w:t xml:space="preserve">. Tercero, artículos metodológicos sobre</w:t>
      </w:r>
      <w:r>
        <w:t xml:space="preserve"> </w:t>
      </w:r>
      <w:r>
        <w:t xml:space="preserve">los cuatro explicadores evaluados, necesarios para ubicar qué objeto produce</w:t>
      </w:r>
      <w:r>
        <w:t xml:space="preserve"> </w:t>
      </w:r>
      <w:r>
        <w:t xml:space="preserve">cada método y qué métricas le son adecuadas: 8 trabajos</w:t>
      </w:r>
      <w:r>
        <w:t xml:space="preserve"> </w:t>
      </w:r>
      <w:r>
        <w:t xml:space="preserve">(Ribeiro 2016, 2018; Lundberg 2017; Mothilal 2020; Guidotti et al. 2018; Carvalho et al. 2019; Karimi et al. 2022; Poyiadzi et al. 2020)</w:t>
      </w:r>
      <w:r>
        <w:t xml:space="preserve">. Cuarto, revisiones recientes</w:t>
      </w:r>
      <w:r>
        <w:t xml:space="preserve"> </w:t>
      </w:r>
      <w:r>
        <w:t xml:space="preserve">centradas en métricas, robustez, reproducibilidad y evaluación human-centered:</w:t>
      </w:r>
      <w:r>
        <w:t xml:space="preserve"> </w:t>
      </w:r>
      <w:r>
        <w:t xml:space="preserve">19 trabajos, incluyendo las revisiones de métricas de</w:t>
      </w:r>
      <w:r>
        <w:t xml:space="preserve"> </w:t>
      </w:r>
      <w:r>
        <w:t xml:space="preserve">Abdul Kadir et al. (2023)</w:t>
      </w:r>
      <w:r>
        <w:t xml:space="preserve"> </w:t>
      </w:r>
      <w:r>
        <w:t xml:space="preserve">y</w:t>
      </w:r>
      <w:r>
        <w:t xml:space="preserve"> </w:t>
      </w:r>
      <w:r>
        <w:t xml:space="preserve">Pawlicki et al. (2024)</w:t>
      </w:r>
      <w:r>
        <w:t xml:space="preserve">, el estudio de comprehensibilidad de</w:t>
      </w:r>
      <w:r>
        <w:t xml:space="preserve"> </w:t>
      </w:r>
      <w:r>
        <w:t xml:space="preserve">Bhattacharya and Verbert (2024)</w:t>
      </w:r>
      <w:r>
        <w:t xml:space="preserve"> </w:t>
      </w:r>
      <w:r>
        <w:t xml:space="preserve">y trabajos</w:t>
      </w:r>
      <w:r>
        <w:t xml:space="preserve"> </w:t>
      </w:r>
      <w:r>
        <w:t xml:space="preserve">sobre utilidad y confianza</w:t>
      </w:r>
      <w:r>
        <w:t xml:space="preserve"> </w:t>
      </w:r>
      <w:r>
        <w:t xml:space="preserve">(Rong et al. 2024; Miller 2019; Hoffman et al. 2023; Mohseni et al. 2021)</w:t>
      </w:r>
      <w:r>
        <w:t xml:space="preserve">.</w:t>
      </w:r>
    </w:p>
    <w:p>
      <w:pPr>
        <w:pStyle w:val="Textoindependiente"/>
        <w:spacing w:line="360" w:lineRule="auto"/>
        <w:jc w:val="both"/>
      </w:pPr>
      <w:r>
        <w:t xml:space="preserve">Los criterios de inclusión fueron: (i) fuentes con relación directa con</w:t>
      </w:r>
      <w:r>
        <w:t xml:space="preserve"> </w:t>
      </w:r>
      <w:r>
        <w:t xml:space="preserve">interpretabilidad, explicabilidad o evaluación XAI; (ii) trabajos que definieran</w:t>
      </w:r>
      <w:r>
        <w:t xml:space="preserve"> </w:t>
      </w:r>
      <w:r>
        <w:t xml:space="preserve">o usaran métricas de calidad explicativa; (iii) artículos que permitieran</w:t>
      </w:r>
      <w:r>
        <w:t xml:space="preserve"> </w:t>
      </w:r>
      <w:r>
        <w:t xml:space="preserve">clasificar métricas por fuente de evidencia o contexto de uso; y (iv) fuentes</w:t>
      </w:r>
      <w:r>
        <w:t xml:space="preserve"> </w:t>
      </w:r>
      <w:r>
        <w:t xml:space="preserve">con metadatos bibliográficos verificados en</w:t>
      </w:r>
      <w:r>
        <w:t xml:space="preserve"> </w:t>
      </w:r>
      <w:r>
        <w:rPr>
          <w:rStyle w:val="VerbatimChar"/>
        </w:rPr>
        <w:t xml:space="preserve">references.bib</w:t>
      </w:r>
      <w:r>
        <w:t xml:space="preserve">. Se excluyeron</w:t>
      </w:r>
      <w:r>
        <w:t xml:space="preserve"> </w:t>
      </w:r>
      <w:r>
        <w:t xml:space="preserve">fuentes meramente divulgativas, trabajos sin relación con evaluación de</w:t>
      </w:r>
      <w:r>
        <w:t xml:space="preserve"> </w:t>
      </w:r>
      <w:r>
        <w:t xml:space="preserve">explicaciones y referencias no verificadas.</w:t>
      </w:r>
    </w:p>
    <w:p>
      <w:pPr>
        <w:pStyle w:val="Textoindependiente"/>
        <w:spacing w:line="360" w:lineRule="auto"/>
        <w:jc w:val="both"/>
      </w:pPr>
      <w:r>
        <w:t xml:space="preserve">La codificación se realizó sobre cuatro dimensiones: objetivo de evaluación,</w:t>
      </w:r>
      <w:r>
        <w:t xml:space="preserve"> </w:t>
      </w:r>
      <w:r>
        <w:t xml:space="preserve">fuente de evidencia, propiedad de calidad y contexto de tarea. Cuando una</w:t>
      </w:r>
      <w:r>
        <w:t xml:space="preserve"> </w:t>
      </w:r>
      <w:r>
        <w:t xml:space="preserve">métrica admitía múltiples lecturas, se codificó según su uso dominante en la</w:t>
      </w:r>
      <w:r>
        <w:t xml:space="preserve"> </w:t>
      </w:r>
      <w:r>
        <w:t xml:space="preserve">literatura y se registró la ambigüedad como riesgo de constructo. Por ejemplo,</w:t>
      </w:r>
      <w:r>
        <w:t xml:space="preserve"> </w:t>
      </w:r>
      <w:r>
        <w:rPr>
          <w:i/>
          <w:iCs/>
        </w:rPr>
        <w:t xml:space="preserve">fidelity</w:t>
      </w:r>
      <w:r>
        <w:t xml:space="preserve"> </w:t>
      </w:r>
      <w:r>
        <w:t xml:space="preserve">puede funcionar como acuerdo local entre modelo y sustituto, como</w:t>
      </w:r>
      <w:r>
        <w:t xml:space="preserve"> </w:t>
      </w:r>
      <w:r>
        <w:t xml:space="preserve">cambio de predicción ante enmascaramiento o como proxy de faithfulness; la</w:t>
      </w:r>
      <w:r>
        <w:t xml:space="preserve"> </w:t>
      </w:r>
      <w:r>
        <w:t xml:space="preserve">taxonomía separa esas lecturas para evitar que una misma palabra sostenga claims</w:t>
      </w:r>
      <w:r>
        <w:t xml:space="preserve"> </w:t>
      </w:r>
      <w:r>
        <w:t xml:space="preserve">no equivalentes. Los 15 constructos métricos de la Tabla</w:t>
      </w:r>
      <w:r>
        <w:t xml:space="preserve"> </w:t>
      </w:r>
      <w:hyperlink w:anchor="tbl-taxonomia-ampliada">
        <w:r>
          <w:rPr>
            <w:rStyle w:val="Hipervnculo"/>
          </w:rPr>
          <w:t xml:space="preserve">Table 6.1</w:t>
        </w:r>
      </w:hyperlink>
      <w:r>
        <w:t xml:space="preserve"> </w:t>
      </w:r>
      <w:r>
        <w:t xml:space="preserve">son el resultado de consolidar y desambiguar los constructos identificados en el</w:t>
      </w:r>
      <w:r>
        <w:t xml:space="preserve"> </w:t>
      </w:r>
      <w:r>
        <w:t xml:space="preserve">corpus de 47 referencias; se reportan como una selección representativa, no como</w:t>
      </w:r>
      <w:r>
        <w:t xml:space="preserve"> </w:t>
      </w:r>
      <w:r>
        <w:t xml:space="preserve">un catálogo exhaustivo.</w:t>
      </w:r>
    </w:p>
    <w:bookmarkEnd w:id="161"/>
    <w:bookmarkStart w:id="162" w:name="sec-taxonomia-motivacion"/>
    <w:p>
      <w:pPr>
        <w:pStyle w:val="Ttulo2"/>
        <w:spacing w:line="360" w:lineRule="auto"/>
        <w:jc w:val="both"/>
      </w:pPr>
      <w:r>
        <w:t xml:space="preserve">Motivación y posicionamiento</w:t>
      </w:r>
    </w:p>
    <w:p>
      <w:pPr>
        <w:pStyle w:val="FirstParagraph"/>
        <w:spacing w:line="360" w:lineRule="auto"/>
        <w:jc w:val="both"/>
      </w:pPr>
      <w:r>
        <w:t xml:space="preserve">El estado del arte en evaluación XAI muestra un patrón claro: los estudios</w:t>
      </w:r>
      <w:r>
        <w:t xml:space="preserve"> </w:t>
      </w:r>
      <w:r>
        <w:t xml:space="preserve">proponen métricas de forma proliferante pero sin un marco conceptual integrador</w:t>
      </w:r>
      <w:r>
        <w:t xml:space="preserve"> </w:t>
      </w:r>
      <w:r>
        <w:t xml:space="preserve">que permita comparar, seleccionar o acumular evidencia entre ellas</w:t>
      </w:r>
      <w:r>
        <w:t xml:space="preserve"> </w:t>
      </w:r>
      <w:r>
        <w:t xml:space="preserve">(Pawlicki et al. 2024; Abdul Kadir et al. 2023; Bhattacharya and Verbert 2024)</w:t>
      </w:r>
      <w:r>
        <w:t xml:space="preserve">. La revisión sistemática de</w:t>
      </w:r>
      <w:r>
        <w:t xml:space="preserve"> </w:t>
      </w:r>
      <w:r>
        <w:t xml:space="preserve">Pawlicki et al.</w:t>
      </w:r>
      <w:r>
        <w:t xml:space="preserve"> </w:t>
      </w:r>
      <w:r>
        <w:t xml:space="preserve">(2024)</w:t>
      </w:r>
      <w:r>
        <w:t xml:space="preserve"> </w:t>
      </w:r>
      <w:r>
        <w:t xml:space="preserve">identificó casi noventa métricas distintas en</w:t>
      </w:r>
      <w:r>
        <w:t xml:space="preserve"> </w:t>
      </w:r>
      <w:r>
        <w:t xml:space="preserve">la literatura, con solapes conceptuales notorios; un mismo constructo puede</w:t>
      </w:r>
      <w:r>
        <w:t xml:space="preserve"> </w:t>
      </w:r>
      <w:r>
        <w:t xml:space="preserve">aparecer bajo nombres distintos, y un mismo nombre puede aplicarse a</w:t>
      </w:r>
      <w:r>
        <w:t xml:space="preserve"> </w:t>
      </w:r>
      <w:r>
        <w:t xml:space="preserve">operacionalizaciones diferentes.</w:t>
      </w:r>
    </w:p>
    <w:p>
      <w:pPr>
        <w:pStyle w:val="Textoindependiente"/>
        <w:spacing w:line="360" w:lineRule="auto"/>
        <w:jc w:val="both"/>
      </w:pPr>
      <w:r>
        <w:t xml:space="preserve">Canha et al.</w:t>
      </w:r>
      <w:r>
        <w:t xml:space="preserve"> </w:t>
      </w:r>
      <w:r>
        <w:t xml:space="preserve">(2025)</w:t>
      </w:r>
      <w:r>
        <w:t xml:space="preserve"> </w:t>
      </w:r>
      <w:r>
        <w:t xml:space="preserve">y Bhattacharya y Verbert</w:t>
      </w:r>
      <w:r>
        <w:t xml:space="preserve"> </w:t>
      </w:r>
      <w:r>
        <w:t xml:space="preserve">(2024)</w:t>
      </w:r>
      <w:r>
        <w:t xml:space="preserve"> </w:t>
      </w:r>
      <w:r>
        <w:t xml:space="preserve">convergen en señalar la necesidad de distinguir métricas calculadas sin</w:t>
      </w:r>
      <w:r>
        <w:t xml:space="preserve"> </w:t>
      </w:r>
      <w:r>
        <w:t xml:space="preserve">participantes humanos de métricas basadas en estudios de usuario. Esta distinción</w:t>
      </w:r>
      <w:r>
        <w:t xml:space="preserve"> </w:t>
      </w:r>
      <w:r>
        <w:t xml:space="preserve">es central para la tesis porque los Estudios A y B producen evidencia</w:t>
      </w:r>
      <w:r>
        <w:t xml:space="preserve"> </w:t>
      </w:r>
      <w:r>
        <w:t xml:space="preserve">functionally-grounded: cuantifican propiedades computacionales de artefactos</w:t>
      </w:r>
      <w:r>
        <w:t xml:space="preserve"> </w:t>
      </w:r>
      <w:r>
        <w:t xml:space="preserve">explicativos, pero no miden directamente utilidad humana, satisfacción,</w:t>
      </w:r>
      <w:r>
        <w:t xml:space="preserve"> </w:t>
      </w:r>
      <w:r>
        <w:t xml:space="preserve">calibración de confianza o calidad de decisión.</w:t>
      </w:r>
    </w:p>
    <w:p>
      <w:pPr>
        <w:pStyle w:val="Textoindependiente"/>
        <w:spacing w:line="360" w:lineRule="auto"/>
        <w:jc w:val="both"/>
      </w:pPr>
      <w:r>
        <w:t xml:space="preserve">La taxonomía propuesta organiza el espacio en cuatro ejes ortogonales. Los ejes</w:t>
      </w:r>
      <w:r>
        <w:t xml:space="preserve"> </w:t>
      </w:r>
      <w:r>
        <w:t xml:space="preserve">responden a preguntas distintas y complementarias: qué se evalúa, con qué</w:t>
      </w:r>
      <w:r>
        <w:t xml:space="preserve"> </w:t>
      </w:r>
      <w:r>
        <w:t xml:space="preserve">evidencia, qué propiedad de calidad se operacionaliza y para qué tarea es</w:t>
      </w:r>
      <w:r>
        <w:t xml:space="preserve"> </w:t>
      </w:r>
      <w:r>
        <w:t xml:space="preserve">relevante. La ortogonalidad evita que una métrica se interprete como evaluación</w:t>
      </w:r>
      <w:r>
        <w:t xml:space="preserve"> </w:t>
      </w:r>
      <w:r>
        <w:t xml:space="preserve">total de una explicación. Una métrica puede ser válida para medir estabilidad,</w:t>
      </w:r>
      <w:r>
        <w:t xml:space="preserve"> </w:t>
      </w:r>
      <w:r>
        <w:t xml:space="preserve">pero débil para inferir utilidad humana; puede ser adecuada para auditoría</w:t>
      </w:r>
      <w:r>
        <w:t xml:space="preserve"> </w:t>
      </w:r>
      <w:r>
        <w:t xml:space="preserve">técnica, pero insuficiente para soporte a usuario final.</w:t>
      </w:r>
    </w:p>
    <w:bookmarkEnd w:id="162"/>
    <w:bookmarkStart w:id="163" w:name="sec-taxonomia-ejes"/>
    <w:p>
      <w:pPr>
        <w:pStyle w:val="Ttulo2"/>
        <w:spacing w:line="360" w:lineRule="auto"/>
        <w:jc w:val="both"/>
      </w:pPr>
      <w:r>
        <w:t xml:space="preserve">Los cuatro ejes de la taxonomía</w:t>
      </w:r>
    </w:p>
    <w:p>
      <w:pPr>
        <w:pStyle w:val="FirstParagraph"/>
        <w:spacing w:line="360" w:lineRule="auto"/>
        <w:jc w:val="both"/>
      </w:pPr>
      <w:r>
        <w:rPr>
          <w:b/>
          <w:bCs/>
        </w:rPr>
        <w:t xml:space="preserve">Eje 1 — Objetivo de evaluación.</w:t>
      </w:r>
      <w:r>
        <w:t xml:space="preserve"> </w:t>
      </w:r>
      <w:r>
        <w:t xml:space="preserve">Este eje clasifica la dimensión de la</w:t>
      </w:r>
      <w:r>
        <w:t xml:space="preserve"> </w:t>
      </w:r>
      <w:r>
        <w:t xml:space="preserve">explicación que la métrica interroga. Se identifican cinco objetivos primarios:</w:t>
      </w:r>
    </w:p>
    <w:p>
      <w:pPr>
        <w:pStyle w:val="Compact"/>
        <w:numPr>
          <w:ilvl w:val="0"/>
          <w:numId w:val="1014"/>
        </w:numPr>
        <w:spacing w:line="360" w:lineRule="auto"/>
        <w:jc w:val="both"/>
      </w:pPr>
      <w:r>
        <w:rPr>
          <w:i/>
          <w:iCs/>
        </w:rPr>
        <w:t xml:space="preserve">Representatividad local</w:t>
      </w:r>
      <w:r>
        <w:t xml:space="preserve">: en qué medida la explicación captura la función</w:t>
      </w:r>
      <w:r>
        <w:t xml:space="preserve"> </w:t>
      </w:r>
      <w:r>
        <w:t xml:space="preserve">del modelo en la vecindad de la instancia. Las métricas de fidelidad e</w:t>
      </w:r>
      <w:r>
        <w:t xml:space="preserve"> </w:t>
      </w:r>
      <w:r>
        <w:t xml:space="preserve">infidelidad operan en este objetivo</w:t>
      </w:r>
      <w:r>
        <w:t xml:space="preserve"> </w:t>
      </w:r>
      <w:r>
        <w:t xml:space="preserve">(Abdul Kadir et al. 2023)</w:t>
      </w:r>
      <w:r>
        <w:t xml:space="preserve">.</w:t>
      </w:r>
    </w:p>
    <w:p>
      <w:pPr>
        <w:pStyle w:val="Compact"/>
        <w:numPr>
          <w:ilvl w:val="0"/>
          <w:numId w:val="1014"/>
        </w:numPr>
        <w:spacing w:line="360" w:lineRule="auto"/>
        <w:jc w:val="both"/>
      </w:pPr>
      <w:r>
        <w:rPr>
          <w:i/>
          <w:iCs/>
        </w:rPr>
        <w:t xml:space="preserve">Consistencia bajo perturbación</w:t>
      </w:r>
      <w:r>
        <w:t xml:space="preserve">: en qué medida la explicación es estable</w:t>
      </w:r>
      <w:r>
        <w:t xml:space="preserve"> </w:t>
      </w:r>
      <w:r>
        <w:t xml:space="preserve">ante pequeñas variaciones de la instancia de entrada. Las métricas de</w:t>
      </w:r>
      <w:r>
        <w:t xml:space="preserve"> </w:t>
      </w:r>
      <w:r>
        <w:t xml:space="preserve">estabilidad y robustez operan en este objetivo</w:t>
      </w:r>
      <w:r>
        <w:t xml:space="preserve"> </w:t>
      </w:r>
      <w:r>
        <w:t xml:space="preserve">(Schwalbe 2023; Pawlicki et al. 2024)</w:t>
      </w:r>
      <w:r>
        <w:t xml:space="preserve">.</w:t>
      </w:r>
    </w:p>
    <w:p>
      <w:pPr>
        <w:pStyle w:val="Compact"/>
        <w:numPr>
          <w:ilvl w:val="0"/>
          <w:numId w:val="1014"/>
        </w:numPr>
        <w:spacing w:line="360" w:lineRule="auto"/>
        <w:jc w:val="both"/>
      </w:pPr>
      <w:r>
        <w:rPr>
          <w:i/>
          <w:iCs/>
        </w:rPr>
        <w:t xml:space="preserve">Compacidad explicativa</w:t>
      </w:r>
      <w:r>
        <w:t xml:space="preserve">: en qué medida la explicación es concisa y no</w:t>
      </w:r>
      <w:r>
        <w:t xml:space="preserve"> </w:t>
      </w:r>
      <w:r>
        <w:t xml:space="preserve">redundante. Parsimonia, sparsity y complejidad efectiva pertenecen a este</w:t>
      </w:r>
      <w:r>
        <w:t xml:space="preserve"> </w:t>
      </w:r>
      <w:r>
        <w:t xml:space="preserve">objetivo</w:t>
      </w:r>
      <w:r>
        <w:t xml:space="preserve"> </w:t>
      </w:r>
      <w:r>
        <w:t xml:space="preserve">(Pawlicki et al. 2024)</w:t>
      </w:r>
      <w:r>
        <w:t xml:space="preserve">.</w:t>
      </w:r>
    </w:p>
    <w:p>
      <w:pPr>
        <w:pStyle w:val="Compact"/>
        <w:numPr>
          <w:ilvl w:val="0"/>
          <w:numId w:val="1014"/>
        </w:numPr>
        <w:spacing w:line="360" w:lineRule="auto"/>
        <w:jc w:val="both"/>
      </w:pPr>
      <w:r>
        <w:rPr>
          <w:i/>
          <w:iCs/>
        </w:rPr>
        <w:t xml:space="preserve">Relevancia causal local</w:t>
      </w:r>
      <w:r>
        <w:t xml:space="preserve">: en qué medida actuar sobre las características</w:t>
      </w:r>
      <w:r>
        <w:t xml:space="preserve"> </w:t>
      </w:r>
      <w:r>
        <w:t xml:space="preserve">explicadas produce los efectos predichos por la explicación. La brecha de</w:t>
      </w:r>
      <w:r>
        <w:t xml:space="preserve"> </w:t>
      </w:r>
      <w:r>
        <w:t xml:space="preserve">fidelidad y métricas de eliminación/perturbación top-k operan aquí</w:t>
      </w:r>
      <w:r>
        <w:t xml:space="preserve"> </w:t>
      </w:r>
      <w:r>
        <w:t xml:space="preserve">(Abdul Kadir et al. 2023; Zheng et al. 2025)</w:t>
      </w:r>
      <w:r>
        <w:t xml:space="preserve">.</w:t>
      </w:r>
    </w:p>
    <w:p>
      <w:pPr>
        <w:pStyle w:val="Compact"/>
        <w:numPr>
          <w:ilvl w:val="0"/>
          <w:numId w:val="1014"/>
        </w:numPr>
        <w:spacing w:line="360" w:lineRule="auto"/>
        <w:jc w:val="both"/>
      </w:pPr>
      <w:r>
        <w:rPr>
          <w:i/>
          <w:iCs/>
        </w:rPr>
        <w:t xml:space="preserve">Eficiencia operativa</w:t>
      </w:r>
      <w:r>
        <w:t xml:space="preserve">: tiempo y coste computacional de producir la</w:t>
      </w:r>
      <w:r>
        <w:t xml:space="preserve"> </w:t>
      </w:r>
      <w:r>
        <w:t xml:space="preserve">explicación, relevante para despliegues de baja latencia</w:t>
      </w:r>
      <w:r>
        <w:t xml:space="preserve"> </w:t>
      </w:r>
      <w:r>
        <w:t xml:space="preserve">(Canha et al. 2025)</w:t>
      </w:r>
      <w:r>
        <w:t xml:space="preserve">.</w:t>
      </w:r>
    </w:p>
    <w:p>
      <w:pPr>
        <w:pStyle w:val="FirstParagraph"/>
        <w:spacing w:line="360" w:lineRule="auto"/>
        <w:jc w:val="both"/>
      </w:pPr>
      <w:r>
        <w:rPr>
          <w:b/>
          <w:bCs/>
        </w:rPr>
        <w:t xml:space="preserve">Eje 2 — Fuente de evidencia.</w:t>
      </w:r>
      <w:r>
        <w:t xml:space="preserve"> </w:t>
      </w:r>
      <w:r>
        <w:t xml:space="preserve">Las métricas también se diferencian por la</w:t>
      </w:r>
      <w:r>
        <w:t xml:space="preserve"> </w:t>
      </w:r>
      <w:r>
        <w:t xml:space="preserve">operación que genera la señal de evaluación:</w:t>
      </w:r>
    </w:p>
    <w:p>
      <w:pPr>
        <w:pStyle w:val="Compact"/>
        <w:numPr>
          <w:ilvl w:val="0"/>
          <w:numId w:val="1015"/>
        </w:numPr>
        <w:spacing w:line="360" w:lineRule="auto"/>
        <w:jc w:val="both"/>
      </w:pPr>
      <w:r>
        <w:rPr>
          <w:i/>
          <w:iCs/>
        </w:rPr>
        <w:t xml:space="preserve">Enmascaramiento de características</w:t>
      </w:r>
      <w:r>
        <w:t xml:space="preserve">: se eliminan o reemplazan características</w:t>
      </w:r>
      <w:r>
        <w:t xml:space="preserve"> </w:t>
      </w:r>
      <w:r>
        <w:t xml:space="preserve">del input y se mide el cambio en la salida del modelo. Incluye fidelidad por</w:t>
      </w:r>
      <w:r>
        <w:t xml:space="preserve"> </w:t>
      </w:r>
      <w:r>
        <w:t xml:space="preserve">correlación de importancias, faithfulness gap, ROAR o MoRF</w:t>
      </w:r>
      <w:r>
        <w:t xml:space="preserve"> </w:t>
      </w:r>
      <w:r>
        <w:t xml:space="preserve">(Zheng et al. 2025; Abdul Kadir et al. 2023)</w:t>
      </w:r>
      <w:r>
        <w:t xml:space="preserve">.</w:t>
      </w:r>
    </w:p>
    <w:p>
      <w:pPr>
        <w:pStyle w:val="Compact"/>
        <w:numPr>
          <w:ilvl w:val="0"/>
          <w:numId w:val="1015"/>
        </w:numPr>
        <w:spacing w:line="360" w:lineRule="auto"/>
        <w:jc w:val="both"/>
      </w:pPr>
      <w:r>
        <w:rPr>
          <w:i/>
          <w:iCs/>
        </w:rPr>
        <w:t xml:space="preserve">Perturbación del input</w:t>
      </w:r>
      <w:r>
        <w:t xml:space="preserve">: se añade ruido o transformación a la instancia y se</w:t>
      </w:r>
      <w:r>
        <w:t xml:space="preserve"> </w:t>
      </w:r>
      <w:r>
        <w:t xml:space="preserve">mide la similitud entre las explicaciones resultantes. Incluye estabilidad</w:t>
      </w:r>
      <w:r>
        <w:t xml:space="preserve"> </w:t>
      </w:r>
      <w:r>
        <w:t xml:space="preserve">como similitud coseno y estimaciones locales tipo Lipschitz</w:t>
      </w:r>
      <w:r>
        <w:t xml:space="preserve"> </w:t>
      </w:r>
      <w:r>
        <w:t xml:space="preserve">(Pawlicki et al. 2024; Canha et al. 2025)</w:t>
      </w:r>
      <w:r>
        <w:t xml:space="preserve">.</w:t>
      </w:r>
    </w:p>
    <w:p>
      <w:pPr>
        <w:pStyle w:val="Compact"/>
        <w:numPr>
          <w:ilvl w:val="0"/>
          <w:numId w:val="1015"/>
        </w:numPr>
        <w:spacing w:line="360" w:lineRule="auto"/>
        <w:jc w:val="both"/>
      </w:pPr>
      <w:r>
        <w:rPr>
          <w:i/>
          <w:iCs/>
        </w:rPr>
        <w:t xml:space="preserve">Comparación con verdad-terreno</w:t>
      </w:r>
      <w:r>
        <w:t xml:space="preserve">: la explicación se compara con explicaciones</w:t>
      </w:r>
      <w:r>
        <w:t xml:space="preserve"> </w:t>
      </w:r>
      <w:r>
        <w:t xml:space="preserve">de referencia conocidas, disponibles en benchmarks sintéticos o anotaciones</w:t>
      </w:r>
      <w:r>
        <w:t xml:space="preserve"> </w:t>
      </w:r>
      <w:r>
        <w:t xml:space="preserve">especializadas</w:t>
      </w:r>
      <w:r>
        <w:t xml:space="preserve"> </w:t>
      </w:r>
      <w:r>
        <w:t xml:space="preserve">(Pawlicki et al. 2024)</w:t>
      </w:r>
      <w:r>
        <w:t xml:space="preserve">.</w:t>
      </w:r>
    </w:p>
    <w:p>
      <w:pPr>
        <w:pStyle w:val="Compact"/>
        <w:numPr>
          <w:ilvl w:val="0"/>
          <w:numId w:val="1015"/>
        </w:numPr>
        <w:spacing w:line="360" w:lineRule="auto"/>
        <w:jc w:val="both"/>
      </w:pPr>
      <w:r>
        <w:rPr>
          <w:i/>
          <w:iCs/>
        </w:rPr>
        <w:t xml:space="preserve">Estudio con usuario</w:t>
      </w:r>
      <w:r>
        <w:t xml:space="preserve">: la explicación se evalúa mediante comprensión,</w:t>
      </w:r>
      <w:r>
        <w:t xml:space="preserve"> </w:t>
      </w:r>
      <w:r>
        <w:t xml:space="preserve">confianza, satisfacción, utilidad percibida o desempeño humano</w:t>
      </w:r>
      <w:r>
        <w:t xml:space="preserve"> </w:t>
      </w:r>
      <w:r>
        <w:t xml:space="preserve">(Bhattacharya and Verbert 2024; Arrieta 2019a; Rong et al. 2024)</w:t>
      </w:r>
      <w:r>
        <w:t xml:space="preserve">.</w:t>
      </w:r>
    </w:p>
    <w:p>
      <w:pPr>
        <w:pStyle w:val="FirstParagraph"/>
        <w:spacing w:line="360" w:lineRule="auto"/>
        <w:jc w:val="both"/>
      </w:pPr>
      <w:r>
        <w:rPr>
          <w:b/>
          <w:bCs/>
        </w:rPr>
        <w:t xml:space="preserve">Eje 3 — Propiedad de calidad.</w:t>
      </w:r>
      <w:r>
        <w:t xml:space="preserve"> </w:t>
      </w:r>
      <w:r>
        <w:t xml:space="preserve">Siguiendo las sistematizaciones recientes, se</w:t>
      </w:r>
      <w:r>
        <w:t xml:space="preserve"> </w:t>
      </w:r>
      <w:r>
        <w:t xml:space="preserve">identifican seis propiedades primarias:</w:t>
      </w:r>
    </w:p>
    <w:p>
      <w:pPr>
        <w:pStyle w:val="Compact"/>
        <w:numPr>
          <w:ilvl w:val="0"/>
          <w:numId w:val="1016"/>
        </w:numPr>
        <w:spacing w:line="360" w:lineRule="auto"/>
        <w:jc w:val="both"/>
      </w:pPr>
      <w:r>
        <w:rPr>
          <w:i/>
          <w:iCs/>
        </w:rPr>
        <w:t xml:space="preserve">Faithfulness / fidelidad</w:t>
      </w:r>
      <w:r>
        <w:t xml:space="preserve">: correspondencia entre la importancia asignada por</w:t>
      </w:r>
      <w:r>
        <w:t xml:space="preserve"> </w:t>
      </w:r>
      <w:r>
        <w:t xml:space="preserve">el explicador y el efecto real sobre la salida del modelo</w:t>
      </w:r>
      <w:r>
        <w:t xml:space="preserve"> </w:t>
      </w:r>
      <w:r>
        <w:t xml:space="preserve">(Pawlicki et al. 2024)</w:t>
      </w:r>
      <w:r>
        <w:t xml:space="preserve">.</w:t>
      </w:r>
    </w:p>
    <w:p>
      <w:pPr>
        <w:pStyle w:val="Compact"/>
        <w:numPr>
          <w:ilvl w:val="0"/>
          <w:numId w:val="1016"/>
        </w:numPr>
        <w:spacing w:line="360" w:lineRule="auto"/>
        <w:jc w:val="both"/>
      </w:pPr>
      <w:r>
        <w:rPr>
          <w:i/>
          <w:iCs/>
        </w:rPr>
        <w:t xml:space="preserve">Robustness / estabilidad</w:t>
      </w:r>
      <w:r>
        <w:t xml:space="preserve">: consistencia de las explicaciones bajo</w:t>
      </w:r>
      <w:r>
        <w:t xml:space="preserve"> </w:t>
      </w:r>
      <w:r>
        <w:t xml:space="preserve">perturbaciones del input.</w:t>
      </w:r>
    </w:p>
    <w:p>
      <w:pPr>
        <w:pStyle w:val="Compact"/>
        <w:numPr>
          <w:ilvl w:val="0"/>
          <w:numId w:val="1016"/>
        </w:numPr>
        <w:spacing w:line="360" w:lineRule="auto"/>
        <w:jc w:val="both"/>
      </w:pPr>
      <w:r>
        <w:rPr>
          <w:i/>
          <w:iCs/>
        </w:rPr>
        <w:t xml:space="preserve">Simplicity / parsimonia</w:t>
      </w:r>
      <w:r>
        <w:t xml:space="preserve">: compacidad de la representación explicativa,</w:t>
      </w:r>
      <w:r>
        <w:t xml:space="preserve"> </w:t>
      </w:r>
      <w:r>
        <w:t xml:space="preserve">inversamente relacionada con complejidad</w:t>
      </w:r>
      <w:r>
        <w:t xml:space="preserve"> </w:t>
      </w:r>
      <w:r>
        <w:t xml:space="preserve">(Schwalbe 2023)</w:t>
      </w:r>
      <w:r>
        <w:t xml:space="preserve">.</w:t>
      </w:r>
    </w:p>
    <w:p>
      <w:pPr>
        <w:pStyle w:val="Compact"/>
        <w:numPr>
          <w:ilvl w:val="0"/>
          <w:numId w:val="1016"/>
        </w:numPr>
        <w:spacing w:line="360" w:lineRule="auto"/>
        <w:jc w:val="both"/>
      </w:pPr>
      <w:r>
        <w:rPr>
          <w:i/>
          <w:iCs/>
        </w:rPr>
        <w:t xml:space="preserve">Completeness</w:t>
      </w:r>
      <w:r>
        <w:t xml:space="preserve">: cobertura de factores relevantes del modelo por la</w:t>
      </w:r>
      <w:r>
        <w:t xml:space="preserve"> </w:t>
      </w:r>
      <w:r>
        <w:t xml:space="preserve">explicación.</w:t>
      </w:r>
    </w:p>
    <w:p>
      <w:pPr>
        <w:pStyle w:val="Compact"/>
        <w:numPr>
          <w:ilvl w:val="0"/>
          <w:numId w:val="1016"/>
        </w:numPr>
        <w:spacing w:line="360" w:lineRule="auto"/>
        <w:jc w:val="both"/>
      </w:pPr>
      <w:r>
        <w:rPr>
          <w:i/>
          <w:iCs/>
        </w:rPr>
        <w:t xml:space="preserve">Efficiency</w:t>
      </w:r>
      <w:r>
        <w:t xml:space="preserve">: coste computacional de generar la explicación.</w:t>
      </w:r>
    </w:p>
    <w:p>
      <w:pPr>
        <w:pStyle w:val="Compact"/>
        <w:numPr>
          <w:ilvl w:val="0"/>
          <w:numId w:val="1016"/>
        </w:numPr>
        <w:spacing w:line="360" w:lineRule="auto"/>
        <w:jc w:val="both"/>
      </w:pPr>
      <w:r>
        <w:rPr>
          <w:i/>
          <w:iCs/>
        </w:rPr>
        <w:t xml:space="preserve">Fairness</w:t>
      </w:r>
      <w:r>
        <w:t xml:space="preserve">: equidad en la calidad explicativa entre subgrupos, dimensión</w:t>
      </w:r>
      <w:r>
        <w:t xml:space="preserve"> </w:t>
      </w:r>
      <w:r>
        <w:t xml:space="preserve">transversal identificada en benchmarks como OpenXAI</w:t>
      </w:r>
      <w:r>
        <w:t xml:space="preserve"> </w:t>
      </w:r>
      <w:r>
        <w:t xml:space="preserve">(Agarwal et al. 2022)</w:t>
      </w:r>
      <w:r>
        <w:t xml:space="preserve">.</w:t>
      </w:r>
    </w:p>
    <w:p>
      <w:pPr>
        <w:pStyle w:val="FirstParagraph"/>
        <w:spacing w:line="360" w:lineRule="auto"/>
        <w:jc w:val="both"/>
      </w:pPr>
      <w:r>
        <w:rPr>
          <w:b/>
          <w:bCs/>
        </w:rPr>
        <w:t xml:space="preserve">Eje 4 — Contexto de tarea.</w:t>
      </w:r>
      <w:r>
        <w:t xml:space="preserve"> </w:t>
      </w:r>
      <w:r>
        <w:t xml:space="preserve">El contexto determina qué propiedades son</w:t>
      </w:r>
      <w:r>
        <w:t xml:space="preserve"> </w:t>
      </w:r>
      <w:r>
        <w:t xml:space="preserve">prioritarias y qué nivel de coste es aceptable</w:t>
      </w:r>
      <w:r>
        <w:t xml:space="preserve"> </w:t>
      </w:r>
      <w:r>
        <w:t xml:space="preserve">(Arrieta 2019a; Bhattacharya and Verbert 2024)</w:t>
      </w:r>
      <w:r>
        <w:t xml:space="preserve">:</w:t>
      </w:r>
    </w:p>
    <w:p>
      <w:pPr>
        <w:pStyle w:val="Compact"/>
        <w:numPr>
          <w:ilvl w:val="0"/>
          <w:numId w:val="1017"/>
        </w:numPr>
        <w:spacing w:line="360" w:lineRule="auto"/>
        <w:jc w:val="both"/>
      </w:pPr>
      <w:r>
        <w:rPr>
          <w:i/>
          <w:iCs/>
        </w:rPr>
        <w:t xml:space="preserve">Auditoría y cumplimiento regulatorio</w:t>
      </w:r>
      <w:r>
        <w:t xml:space="preserve">: requiere alta fidelidad, estabilidad</w:t>
      </w:r>
      <w:r>
        <w:t xml:space="preserve"> </w:t>
      </w:r>
      <w:r>
        <w:t xml:space="preserve">y trazabilidad; el coste computacional puede ser secundario.</w:t>
      </w:r>
    </w:p>
    <w:p>
      <w:pPr>
        <w:pStyle w:val="Compact"/>
        <w:numPr>
          <w:ilvl w:val="0"/>
          <w:numId w:val="1017"/>
        </w:numPr>
        <w:spacing w:line="360" w:lineRule="auto"/>
        <w:jc w:val="both"/>
      </w:pPr>
      <w:r>
        <w:rPr>
          <w:i/>
          <w:iCs/>
        </w:rPr>
        <w:t xml:space="preserve">Inferencia en tiempo real</w:t>
      </w:r>
      <w:r>
        <w:t xml:space="preserve">: requiere baja latencia; puede aceptar fidelidad</w:t>
      </w:r>
      <w:r>
        <w:t xml:space="preserve"> </w:t>
      </w:r>
      <w:r>
        <w:t xml:space="preserve">moderada si el objetivo es respuesta inmediata.</w:t>
      </w:r>
    </w:p>
    <w:p>
      <w:pPr>
        <w:pStyle w:val="Compact"/>
        <w:numPr>
          <w:ilvl w:val="0"/>
          <w:numId w:val="1017"/>
        </w:numPr>
        <w:spacing w:line="360" w:lineRule="auto"/>
        <w:jc w:val="both"/>
      </w:pPr>
      <w:r>
        <w:rPr>
          <w:i/>
          <w:iCs/>
        </w:rPr>
        <w:t xml:space="preserve">Soporte a usuario final</w:t>
      </w:r>
      <w:r>
        <w:t xml:space="preserve">: requiere parsimonia, comprensibilidad y</w:t>
      </w:r>
      <w:r>
        <w:t xml:space="preserve"> </w:t>
      </w:r>
      <w:r>
        <w:t xml:space="preserve">comunicación; la métrica automática no basta para demostrar utilidad.</w:t>
      </w:r>
    </w:p>
    <w:p>
      <w:pPr>
        <w:pStyle w:val="Compact"/>
        <w:numPr>
          <w:ilvl w:val="0"/>
          <w:numId w:val="1017"/>
        </w:numPr>
        <w:spacing w:line="360" w:lineRule="auto"/>
        <w:jc w:val="both"/>
      </w:pPr>
      <w:r>
        <w:rPr>
          <w:i/>
          <w:iCs/>
        </w:rPr>
        <w:t xml:space="preserve">Diagnóstico de modelos y depuración</w:t>
      </w:r>
      <w:r>
        <w:t xml:space="preserve">: requiere fidelidad local, cobertura y</w:t>
      </w:r>
      <w:r>
        <w:t xml:space="preserve"> </w:t>
      </w:r>
      <w:r>
        <w:t xml:space="preserve">sensibilidad a errores del modelo; la eficiencia es secundaria.</w:t>
      </w:r>
    </w:p>
    <w:bookmarkEnd w:id="163"/>
    <w:bookmarkStart w:id="165" w:name="sec-taxonomia-matriz"/>
    <w:p>
      <w:pPr>
        <w:pStyle w:val="Ttulo2"/>
        <w:spacing w:line="360" w:lineRule="auto"/>
        <w:jc w:val="both"/>
      </w:pPr>
      <w:r>
        <w:t xml:space="preserve">Matriz taxonómica de métricas XAI</w:t>
      </w:r>
    </w:p>
    <w:p>
      <w:pPr>
        <w:pStyle w:val="FirstParagraph"/>
        <w:spacing w:line="360" w:lineRule="auto"/>
        <w:jc w:val="both"/>
      </w:pPr>
      <w:r>
        <w:t xml:space="preserve">La Tabla</w:t>
      </w:r>
      <w:r>
        <w:t xml:space="preserve"> </w:t>
      </w:r>
      <w:hyperlink w:anchor="tbl-taxonomia-ampliada">
        <w:r>
          <w:rPr>
            <w:rStyle w:val="Hipervnculo"/>
          </w:rPr>
          <w:t xml:space="preserve">Table 6.1</w:t>
        </w:r>
      </w:hyperlink>
      <w:r>
        <w:t xml:space="preserve"> </w:t>
      </w:r>
      <w:r>
        <w:t xml:space="preserve">resume métricas frecuentes y su ubicación</w:t>
      </w:r>
      <w:r>
        <w:t xml:space="preserve"> </w:t>
      </w:r>
      <w:r>
        <w:t xml:space="preserve">dentro de la taxonomía. La columna de alcance inferencial indica qué puede</w:t>
      </w:r>
      <w:r>
        <w:t xml:space="preserve"> </w:t>
      </w:r>
      <w:r>
        <w:t xml:space="preserve">sostenerse razonablemente cuando la métrica se usa en un benchmark técnico.</w:t>
      </w:r>
    </w:p>
    <w:tbl>
      <w:tblPr>
        <w:tblStyle w:val="Table"/>
        <w:tblW w:type="pct" w:w="5000"/>
        <w:tblLayout w:type="fixed"/>
        <w:tblLook w:firstRow="0" w:lastRow="0" w:firstColumn="0" w:lastColumn="0" w:noHBand="0" w:noVBand="0" w:val="0000"/>
      </w:tblPr>
      <w:tblGrid>
        <w:gridCol w:w="7920"/>
      </w:tblGrid>
      <w:tr>
        <w:tc>
          <w:tcPr/>
          <w:bookmarkStart w:id="164" w:name="tbl-taxonomia-ampliada"/>
          <w:p>
            <w:pPr>
              <w:jc w:val="both"/>
              <w:spacing w:line="360" w:lineRule="auto"/>
            </w:pPr>
            <w:pPr>
              <w:jc w:val="left"/>
              <w:spacing w:before="200"/>
              <w:pStyle w:val="ImageCaption"/>
            </w:pPr>
            <w:r>
              <w:t xml:space="preserve">Table 6.1: Taxonomía ampliada de métricas y constructos de evaluación XAI.</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Métrica / constructo</w:t>
                  </w:r>
                </w:p>
              </w:tc>
              <w:tc>
                <w:tcPr/>
                <w:p>
                  <w:pPr>
                    <w:pStyle w:val="Compact"/>
                    <w:jc w:val="both"/>
                    <w:jc w:val="center"/>
                    <w:spacing w:line="360" w:lineRule="auto"/>
                  </w:pPr>
                  <w:r>
                    <w:t xml:space="preserve">Objetivo</w:t>
                  </w:r>
                </w:p>
              </w:tc>
              <w:tc>
                <w:tcPr/>
                <w:p>
                  <w:pPr>
                    <w:pStyle w:val="Compact"/>
                    <w:jc w:val="both"/>
                    <w:jc w:val="center"/>
                    <w:spacing w:line="360" w:lineRule="auto"/>
                  </w:pPr>
                  <w:r>
                    <w:t xml:space="preserve">Fuente de evidencia</w:t>
                  </w:r>
                </w:p>
              </w:tc>
              <w:tc>
                <w:tcPr/>
                <w:p>
                  <w:pPr>
                    <w:pStyle w:val="Compact"/>
                    <w:jc w:val="both"/>
                    <w:jc w:val="center"/>
                    <w:spacing w:line="360" w:lineRule="auto"/>
                  </w:pPr>
                  <w:r>
                    <w:t xml:space="preserve">Propiedad</w:t>
                  </w:r>
                </w:p>
              </w:tc>
              <w:tc>
                <w:tcPr/>
                <w:p>
                  <w:pPr>
                    <w:pStyle w:val="Compact"/>
                    <w:jc w:val="both"/>
                    <w:jc w:val="center"/>
                    <w:spacing w:line="360" w:lineRule="auto"/>
                  </w:pPr>
                  <w:r>
                    <w:t xml:space="preserve">Contexto típico</w:t>
                  </w:r>
                </w:p>
              </w:tc>
              <w:tc>
                <w:tcPr/>
                <w:p>
                  <w:pPr>
                    <w:pStyle w:val="Compact"/>
                    <w:jc w:val="both"/>
                    <w:jc w:val="center"/>
                    <w:spacing w:line="360" w:lineRule="auto"/>
                  </w:pPr>
                  <w:r>
                    <w:t xml:space="preserve">Alcance inferencial</w:t>
                  </w:r>
                </w:p>
              </w:tc>
            </w:tr>
            <w:tr>
              <w:tc>
                <w:tcPr/>
                <w:p>
                  <w:pPr>
                    <w:pStyle w:val="Compact"/>
                    <w:jc w:val="both"/>
                    <w:jc w:val="center"/>
                    <w:spacing w:line="360" w:lineRule="auto"/>
                  </w:pPr>
                  <w:r>
                    <w:t xml:space="preserve">Fidelidad local</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Comparación modelo-explicador</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c>
                <w:tcPr/>
                <w:p>
                  <w:pPr>
                    <w:pStyle w:val="Compact"/>
                    <w:jc w:val="both"/>
                    <w:jc w:val="center"/>
                    <w:spacing w:line="360" w:lineRule="auto"/>
                  </w:pPr>
                  <w:r>
                    <w:t xml:space="preserve">Acuerdo bajo vecindario definido</w:t>
                  </w:r>
                </w:p>
              </w:tc>
            </w:tr>
            <w:tr>
              <w:tc>
                <w:tcPr/>
                <w:p>
                  <w:pPr>
                    <w:pStyle w:val="Compact"/>
                    <w:jc w:val="both"/>
                    <w:jc w:val="center"/>
                    <w:spacing w:line="360" w:lineRule="auto"/>
                  </w:pPr>
                  <w:r>
                    <w:t xml:space="preserve">Infidelity</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Perturbación/enmascaramiento</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Sensibilidad entre explicación y cambio de salida</w:t>
                  </w:r>
                </w:p>
              </w:tc>
            </w:tr>
            <w:tr>
              <w:tc>
                <w:tcPr/>
                <w:p>
                  <w:pPr>
                    <w:pStyle w:val="Compact"/>
                    <w:jc w:val="both"/>
                    <w:jc w:val="center"/>
                    <w:spacing w:line="360" w:lineRule="auto"/>
                  </w:pPr>
                  <w:r>
                    <w:t xml:space="preserve">Faithfulness gap / top-k</w:t>
                  </w:r>
                </w:p>
              </w:tc>
              <w:tc>
                <w:tcPr/>
                <w:p>
                  <w:pPr>
                    <w:pStyle w:val="Compact"/>
                    <w:jc w:val="both"/>
                    <w:jc w:val="center"/>
                    <w:spacing w:line="360" w:lineRule="auto"/>
                  </w:pPr>
                  <w:r>
                    <w:t xml:space="preserve">Relevancia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Cambio de predicción bajo intervención operacional</w:t>
                  </w:r>
                </w:p>
              </w:tc>
            </w:tr>
            <w:tr>
              <w:tc>
                <w:tcPr/>
                <w:p>
                  <w:pPr>
                    <w:pStyle w:val="Compact"/>
                    <w:jc w:val="both"/>
                    <w:jc w:val="center"/>
                    <w:spacing w:line="360" w:lineRule="auto"/>
                  </w:pPr>
                  <w:r>
                    <w:t xml:space="preserve">Robustez</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o estrés</w:t>
                  </w:r>
                </w:p>
              </w:tc>
              <w:tc>
                <w:tcPr/>
                <w:p>
                  <w:pPr>
                    <w:pStyle w:val="Compact"/>
                    <w:jc w:val="both"/>
                    <w:jc w:val="center"/>
                    <w:spacing w:line="360" w:lineRule="auto"/>
                  </w:pPr>
                  <w:r>
                    <w:t xml:space="preserve">Robustness</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Resistencia bajo condiciones definidas</w:t>
                  </w:r>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leve</w:t>
                  </w:r>
                </w:p>
              </w:tc>
              <w:tc>
                <w:tcPr/>
                <w:p>
                  <w:pPr>
                    <w:pStyle w:val="Compact"/>
                    <w:jc w:val="both"/>
                    <w:jc w:val="center"/>
                    <w:spacing w:line="360" w:lineRule="auto"/>
                  </w:pPr>
                  <w:r>
                    <w:t xml:space="preserve">Stability</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Consistencia ante variaciones pequeñas</w:t>
                  </w:r>
                </w:p>
              </w:tc>
            </w:tr>
            <w:tr>
              <w:tc>
                <w:tcPr/>
                <w:p>
                  <w:pPr>
                    <w:pStyle w:val="Compact"/>
                    <w:jc w:val="both"/>
                    <w:jc w:val="center"/>
                    <w:spacing w:line="360" w:lineRule="auto"/>
                  </w:pPr>
                  <w:r>
                    <w:t xml:space="preserve">Sparsity / parsimonia</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de características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Interfaces, usuario final</w:t>
                  </w:r>
                </w:p>
              </w:tc>
              <w:tc>
                <w:tcPr/>
                <w:p>
                  <w:pPr>
                    <w:pStyle w:val="Compact"/>
                    <w:jc w:val="both"/>
                    <w:jc w:val="center"/>
                    <w:spacing w:line="360" w:lineRule="auto"/>
                  </w:pPr>
                  <w:r>
                    <w:t xml:space="preserve">Tamaño cognitivo aproximado</w:t>
                  </w:r>
                </w:p>
              </w:tc>
            </w:tr>
            <w:tr>
              <w:tc>
                <w:tcPr/>
                <w:p>
                  <w:pPr>
                    <w:pStyle w:val="Compact"/>
                    <w:jc w:val="both"/>
                    <w:jc w:val="center"/>
                    <w:spacing w:line="360" w:lineRule="auto"/>
                  </w:pPr>
                  <w:r>
                    <w:t xml:space="preserve">Complejidad</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longitud, reglas</w:t>
                  </w:r>
                </w:p>
              </w:tc>
              <w:tc>
                <w:tcPr/>
                <w:p>
                  <w:pPr>
                    <w:pStyle w:val="Compact"/>
                    <w:jc w:val="both"/>
                    <w:jc w:val="center"/>
                    <w:spacing w:line="360" w:lineRule="auto"/>
                  </w:pPr>
                  <w:r>
                    <w:t xml:space="preserve">Simplicity/complejidad</w:t>
                  </w:r>
                </w:p>
              </w:tc>
              <w:tc>
                <w:tcPr/>
                <w:p>
                  <w:pPr>
                    <w:pStyle w:val="Compact"/>
                    <w:jc w:val="both"/>
                    <w:jc w:val="center"/>
                    <w:spacing w:line="360" w:lineRule="auto"/>
                  </w:pPr>
                  <w:r>
                    <w:t xml:space="preserve">Comunicación</w:t>
                  </w:r>
                </w:p>
              </w:tc>
              <w:tc>
                <w:tcPr/>
                <w:p>
                  <w:pPr>
                    <w:pStyle w:val="Compact"/>
                    <w:jc w:val="both"/>
                    <w:jc w:val="center"/>
                    <w:spacing w:line="360" w:lineRule="auto"/>
                  </w:pPr>
                  <w:r>
                    <w:t xml:space="preserve">Carga estructural del artefacto</w:t>
                  </w:r>
                </w:p>
              </w:tc>
            </w:tr>
            <w:tr>
              <w:tc>
                <w:tcPr/>
                <w:p>
                  <w:pPr>
                    <w:pStyle w:val="Compact"/>
                    <w:jc w:val="both"/>
                    <w:jc w:val="center"/>
                    <w:spacing w:line="360" w:lineRule="auto"/>
                  </w:pPr>
                  <w:r>
                    <w:t xml:space="preserve">Plausibilidad</w:t>
                  </w:r>
                </w:p>
              </w:tc>
              <w:tc>
                <w:tcPr/>
                <w:p>
                  <w:pPr>
                    <w:pStyle w:val="Compact"/>
                    <w:jc w:val="both"/>
                    <w:jc w:val="center"/>
                    <w:spacing w:line="360" w:lineRule="auto"/>
                  </w:pPr>
                  <w:r>
                    <w:t xml:space="preserve">Aceptabilidad humana</w:t>
                  </w:r>
                </w:p>
              </w:tc>
              <w:tc>
                <w:tcPr/>
                <w:p>
                  <w:pPr>
                    <w:pStyle w:val="Compact"/>
                    <w:jc w:val="both"/>
                    <w:jc w:val="center"/>
                    <w:spacing w:line="360" w:lineRule="auto"/>
                  </w:pPr>
                  <w:r>
                    <w:t xml:space="preserve">Estudio con usuario o experto</w:t>
                  </w:r>
                </w:p>
              </w:tc>
              <w:tc>
                <w:tcPr/>
                <w:p>
                  <w:pPr>
                    <w:pStyle w:val="Compact"/>
                    <w:jc w:val="both"/>
                    <w:jc w:val="center"/>
                    <w:spacing w:line="360" w:lineRule="auto"/>
                  </w:pPr>
                  <w:r>
                    <w:t xml:space="preserve">Plausibility</w:t>
                  </w:r>
                </w:p>
              </w:tc>
              <w:tc>
                <w:tcPr/>
                <w:p>
                  <w:pPr>
                    <w:pStyle w:val="Compact"/>
                    <w:jc w:val="both"/>
                    <w:jc w:val="center"/>
                    <w:spacing w:line="360" w:lineRule="auto"/>
                  </w:pPr>
                  <w:r>
                    <w:t xml:space="preserve">Soporte a usuario</w:t>
                  </w:r>
                </w:p>
              </w:tc>
              <w:tc>
                <w:tcPr/>
                <w:p>
                  <w:pPr>
                    <w:pStyle w:val="Compact"/>
                    <w:jc w:val="both"/>
                    <w:jc w:val="center"/>
                    <w:spacing w:line="360" w:lineRule="auto"/>
                  </w:pPr>
                  <w:r>
                    <w:t xml:space="preserve">Coherencia percibida; no prueba verdad</w:t>
                  </w:r>
                </w:p>
              </w:tc>
            </w:tr>
            <w:tr>
              <w:tc>
                <w:tcPr/>
                <w:p>
                  <w:pPr>
                    <w:pStyle w:val="Compact"/>
                    <w:jc w:val="both"/>
                    <w:jc w:val="center"/>
                    <w:spacing w:line="360" w:lineRule="auto"/>
                  </w:pPr>
                  <w:r>
                    <w:t xml:space="preserve">Comprensibilidad</w:t>
                  </w:r>
                </w:p>
              </w:tc>
              <w:tc>
                <w:tcPr/>
                <w:p>
                  <w:pPr>
                    <w:pStyle w:val="Compact"/>
                    <w:jc w:val="both"/>
                    <w:jc w:val="center"/>
                    <w:spacing w:line="360" w:lineRule="auto"/>
                  </w:pPr>
                  <w:r>
                    <w:t xml:space="preserve">Soporte cognitivo</w:t>
                  </w:r>
                </w:p>
              </w:tc>
              <w:tc>
                <w:tcPr/>
                <w:p>
                  <w:pPr>
                    <w:pStyle w:val="Compact"/>
                    <w:jc w:val="both"/>
                    <w:jc w:val="center"/>
                    <w:spacing w:line="360" w:lineRule="auto"/>
                  </w:pPr>
                  <w:r>
                    <w:t xml:space="preserve">Estudio con usuario</w:t>
                  </w:r>
                </w:p>
              </w:tc>
              <w:tc>
                <w:tcPr/>
                <w:p>
                  <w:pPr>
                    <w:pStyle w:val="Compact"/>
                    <w:jc w:val="both"/>
                    <w:jc w:val="center"/>
                    <w:spacing w:line="360" w:lineRule="auto"/>
                  </w:pPr>
                  <w:r>
                    <w:t xml:space="preserve">Comprehensibility</w:t>
                  </w:r>
                </w:p>
              </w:tc>
              <w:tc>
                <w:tcPr/>
                <w:p>
                  <w:pPr>
                    <w:pStyle w:val="Compact"/>
                    <w:jc w:val="both"/>
                    <w:jc w:val="center"/>
                    <w:spacing w:line="360" w:lineRule="auto"/>
                  </w:pPr>
                  <w:r>
                    <w:t xml:space="preserve">Usuario final</w:t>
                  </w:r>
                </w:p>
              </w:tc>
              <w:tc>
                <w:tcPr/>
                <w:p>
                  <w:pPr>
                    <w:pStyle w:val="Compact"/>
                    <w:jc w:val="both"/>
                    <w:jc w:val="center"/>
                    <w:spacing w:line="360" w:lineRule="auto"/>
                  </w:pPr>
                  <w:r>
                    <w:t xml:space="preserve">Facilidad de comprensión observada</w:t>
                  </w:r>
                </w:p>
              </w:tc>
            </w:tr>
            <w:tr>
              <w:tc>
                <w:tcPr/>
                <w:p>
                  <w:pPr>
                    <w:pStyle w:val="Compact"/>
                    <w:jc w:val="both"/>
                    <w:jc w:val="center"/>
                    <w:spacing w:line="360" w:lineRule="auto"/>
                  </w:pPr>
                  <w:r>
                    <w:t xml:space="preserve">Satisfacción humana</w:t>
                  </w:r>
                </w:p>
              </w:tc>
              <w:tc>
                <w:tcPr/>
                <w:p>
                  <w:pPr>
                    <w:pStyle w:val="Compact"/>
                    <w:jc w:val="both"/>
                    <w:jc w:val="center"/>
                    <w:spacing w:line="360" w:lineRule="auto"/>
                  </w:pPr>
                  <w:r>
                    <w:t xml:space="preserve">Experiencia de uso</w:t>
                  </w:r>
                </w:p>
              </w:tc>
              <w:tc>
                <w:tcPr/>
                <w:p>
                  <w:pPr>
                    <w:pStyle w:val="Compact"/>
                    <w:jc w:val="both"/>
                    <w:jc w:val="center"/>
                    <w:spacing w:line="360" w:lineRule="auto"/>
                  </w:pPr>
                  <w:r>
                    <w:t xml:space="preserve">Encuesta/experimento</w:t>
                  </w:r>
                </w:p>
              </w:tc>
              <w:tc>
                <w:tcPr/>
                <w:p>
                  <w:pPr>
                    <w:pStyle w:val="Compact"/>
                    <w:jc w:val="both"/>
                    <w:jc w:val="center"/>
                    <w:spacing w:line="360" w:lineRule="auto"/>
                  </w:pPr>
                  <w:r>
                    <w:t xml:space="preserve">Usefulness</w:t>
                  </w:r>
                </w:p>
              </w:tc>
              <w:tc>
                <w:tcPr/>
                <w:p>
                  <w:pPr>
                    <w:pStyle w:val="Compact"/>
                    <w:jc w:val="both"/>
                    <w:jc w:val="center"/>
                    <w:spacing w:line="360" w:lineRule="auto"/>
                  </w:pPr>
                  <w:r>
                    <w:t xml:space="preserve">Aplicación</w:t>
                  </w:r>
                </w:p>
              </w:tc>
              <w:tc>
                <w:tcPr/>
                <w:p>
                  <w:pPr>
                    <w:pStyle w:val="Compact"/>
                    <w:jc w:val="both"/>
                    <w:jc w:val="center"/>
                    <w:spacing w:line="360" w:lineRule="auto"/>
                  </w:pPr>
                  <w:r>
                    <w:t xml:space="preserve">Preferencia o utilidad percibida</w:t>
                  </w:r>
                </w:p>
              </w:tc>
            </w:tr>
            <w:tr>
              <w:tc>
                <w:tcPr/>
                <w:p>
                  <w:pPr>
                    <w:pStyle w:val="Compact"/>
                    <w:jc w:val="both"/>
                    <w:jc w:val="center"/>
                    <w:spacing w:line="360" w:lineRule="auto"/>
                  </w:pPr>
                  <w:r>
                    <w:t xml:space="preserve">Validez contrafactual</w:t>
                  </w:r>
                </w:p>
              </w:tc>
              <w:tc>
                <w:tcPr/>
                <w:p>
                  <w:pPr>
                    <w:pStyle w:val="Compact"/>
                    <w:jc w:val="both"/>
                    <w:jc w:val="center"/>
                    <w:spacing w:line="360" w:lineRule="auto"/>
                  </w:pPr>
                  <w:r>
                    <w:t xml:space="preserve">Cambio de resultado</w:t>
                  </w:r>
                </w:p>
              </w:tc>
              <w:tc>
                <w:tcPr/>
                <w:p>
                  <w:pPr>
                    <w:pStyle w:val="Compact"/>
                    <w:jc w:val="both"/>
                    <w:jc w:val="center"/>
                    <w:spacing w:line="360" w:lineRule="auto"/>
                  </w:pPr>
                  <w:r>
                    <w:t xml:space="preserve">Evaluación de contrafactual</w:t>
                  </w:r>
                </w:p>
              </w:tc>
              <w:tc>
                <w:tcPr/>
                <w:p>
                  <w:pPr>
                    <w:pStyle w:val="Compact"/>
                    <w:jc w:val="both"/>
                    <w:jc w:val="center"/>
                    <w:spacing w:line="360" w:lineRule="auto"/>
                  </w:pPr>
                  <w:r>
                    <w:t xml:space="preserve">Validity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La alternativa cambia la predicción</w:t>
                  </w:r>
                </w:p>
              </w:tc>
            </w:tr>
            <w:tr>
              <w:tc>
                <w:tcPr/>
                <w:p>
                  <w:pPr>
                    <w:pStyle w:val="Compact"/>
                    <w:jc w:val="both"/>
                    <w:jc w:val="center"/>
                    <w:spacing w:line="360" w:lineRule="auto"/>
                  </w:pPr>
                  <w:r>
                    <w:t xml:space="preserve">Actionability</w:t>
                  </w:r>
                </w:p>
              </w:tc>
              <w:tc>
                <w:tcPr/>
                <w:p>
                  <w:pPr>
                    <w:pStyle w:val="Compact"/>
                    <w:jc w:val="both"/>
                    <w:jc w:val="center"/>
                    <w:spacing w:line="360" w:lineRule="auto"/>
                  </w:pPr>
                  <w:r>
                    <w:t xml:space="preserve">Factibilidad de cambio</w:t>
                  </w:r>
                </w:p>
              </w:tc>
              <w:tc>
                <w:tcPr/>
                <w:p>
                  <w:pPr>
                    <w:pStyle w:val="Compact"/>
                    <w:jc w:val="both"/>
                    <w:jc w:val="center"/>
                    <w:spacing w:line="360" w:lineRule="auto"/>
                  </w:pPr>
                  <w:r>
                    <w:t xml:space="preserve">Reglas de dominio/usuario</w:t>
                  </w:r>
                </w:p>
              </w:tc>
              <w:tc>
                <w:tcPr/>
                <w:p>
                  <w:pPr>
                    <w:pStyle w:val="Compact"/>
                    <w:jc w:val="both"/>
                    <w:jc w:val="center"/>
                    <w:spacing w:line="360" w:lineRule="auto"/>
                  </w:pPr>
                  <w:r>
                    <w:t xml:space="preserve">Actionability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El cambio es ejecutable bajo restricciones</w:t>
                  </w:r>
                </w:p>
              </w:tc>
            </w:tr>
            <w:tr>
              <w:tc>
                <w:tcPr/>
                <w:p>
                  <w:pPr>
                    <w:pStyle w:val="Compact"/>
                    <w:jc w:val="both"/>
                    <w:jc w:val="center"/>
                    <w:spacing w:line="360" w:lineRule="auto"/>
                  </w:pPr>
                  <w:r>
                    <w:t xml:space="preserve">Alineamiento causal</w:t>
                  </w:r>
                </w:p>
              </w:tc>
              <w:tc>
                <w:tcPr/>
                <w:p>
                  <w:pPr>
                    <w:pStyle w:val="Compact"/>
                    <w:jc w:val="both"/>
                    <w:jc w:val="center"/>
                    <w:spacing w:line="360" w:lineRule="auto"/>
                  </w:pPr>
                  <w:r>
                    <w:t xml:space="preserve">Relación explicación-dominio</w:t>
                  </w:r>
                </w:p>
              </w:tc>
              <w:tc>
                <w:tcPr/>
                <w:p>
                  <w:pPr>
                    <w:pStyle w:val="Compact"/>
                    <w:jc w:val="both"/>
                    <w:jc w:val="center"/>
                    <w:spacing w:line="360" w:lineRule="auto"/>
                  </w:pPr>
                  <w:r>
                    <w:t xml:space="preserve">Modelo causal/experto</w:t>
                  </w:r>
                </w:p>
              </w:tc>
              <w:tc>
                <w:tcPr/>
                <w:p>
                  <w:pPr>
                    <w:pStyle w:val="Compact"/>
                    <w:jc w:val="both"/>
                    <w:jc w:val="center"/>
                    <w:spacing w:line="360" w:lineRule="auto"/>
                  </w:pPr>
                  <w:r>
                    <w:t xml:space="preserve">Causal alignment</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Requiere evidencia causal externa</w:t>
                  </w:r>
                </w:p>
              </w:tc>
            </w:tr>
            <w:tr>
              <w:tc>
                <w:tcPr/>
                <w:p>
                  <w:pPr>
                    <w:pStyle w:val="Compact"/>
                    <w:jc w:val="both"/>
                    <w:jc w:val="center"/>
                    <w:spacing w:line="360" w:lineRule="auto"/>
                  </w:pPr>
                  <w:r>
                    <w:t xml:space="preserve">Coste computacional</w:t>
                  </w:r>
                </w:p>
              </w:tc>
              <w:tc>
                <w:tcPr/>
                <w:p>
                  <w:pPr>
                    <w:pStyle w:val="Compact"/>
                    <w:jc w:val="both"/>
                    <w:jc w:val="center"/>
                    <w:spacing w:line="360" w:lineRule="auto"/>
                  </w:pPr>
                  <w:r>
                    <w:t xml:space="preserve">Eficiencia</w:t>
                  </w:r>
                </w:p>
              </w:tc>
              <w:tc>
                <w:tcPr/>
                <w:p>
                  <w:pPr>
                    <w:pStyle w:val="Compact"/>
                    <w:jc w:val="both"/>
                    <w:jc w:val="center"/>
                    <w:spacing w:line="360" w:lineRule="auto"/>
                  </w:pPr>
                  <w:r>
                    <w:t xml:space="preserve">Tiempo/recurso</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Producción</w:t>
                  </w:r>
                </w:p>
              </w:tc>
              <w:tc>
                <w:tcPr/>
                <w:p>
                  <w:pPr>
                    <w:pStyle w:val="Compact"/>
                    <w:jc w:val="both"/>
                    <w:jc w:val="center"/>
                    <w:spacing w:line="360" w:lineRule="auto"/>
                  </w:pPr>
                  <w:r>
                    <w:t xml:space="preserve">Factibilidad operacional</w:t>
                  </w:r>
                </w:p>
              </w:tc>
            </w:tr>
            <w:tr>
              <w:tc>
                <w:tcPr/>
                <w:p>
                  <w:pPr>
                    <w:pStyle w:val="Compact"/>
                    <w:jc w:val="both"/>
                    <w:jc w:val="center"/>
                    <w:spacing w:line="360" w:lineRule="auto"/>
                  </w:pPr>
                  <w:r>
                    <w:t xml:space="preserve">Equidad explicativa</w:t>
                  </w:r>
                </w:p>
              </w:tc>
              <w:tc>
                <w:tcPr/>
                <w:p>
                  <w:pPr>
                    <w:pStyle w:val="Compact"/>
                    <w:jc w:val="both"/>
                    <w:jc w:val="center"/>
                    <w:spacing w:line="360" w:lineRule="auto"/>
                  </w:pPr>
                  <w:r>
                    <w:t xml:space="preserve">Comparación entre subgrupos</w:t>
                  </w:r>
                </w:p>
              </w:tc>
              <w:tc>
                <w:tcPr/>
                <w:p>
                  <w:pPr>
                    <w:pStyle w:val="Compact"/>
                    <w:jc w:val="both"/>
                    <w:jc w:val="center"/>
                    <w:spacing w:line="360" w:lineRule="auto"/>
                  </w:pPr>
                  <w:r>
                    <w:t xml:space="preserve">Métrica estratificada</w:t>
                  </w:r>
                </w:p>
              </w:tc>
              <w:tc>
                <w:tcPr/>
                <w:p>
                  <w:pPr>
                    <w:pStyle w:val="Compact"/>
                    <w:jc w:val="both"/>
                    <w:jc w:val="center"/>
                    <w:spacing w:line="360" w:lineRule="auto"/>
                  </w:pPr>
                  <w:r>
                    <w:t xml:space="preserve">Fairness</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Diferencias de calidad explicativa por grupo</w:t>
                  </w:r>
                </w:p>
              </w:tc>
            </w:tr>
          </w:tbl>
          <w:bookmarkEnd w:id="164"/>
          <w:p>
            <w:pPr>
              <w:spacing w:line="360" w:lineRule="auto"/>
              <w:jc w:val="both"/>
            </w:pPr>
          </w:p>
        </w:tc>
      </w:tr>
    </w:tbl>
    <w:bookmarkEnd w:id="165"/>
    <w:bookmarkStart w:id="167" w:name="sec-taxonomia-benchmark"/>
    <w:p>
      <w:pPr>
        <w:pStyle w:val="Ttulo2"/>
        <w:spacing w:line="360" w:lineRule="auto"/>
        <w:jc w:val="both"/>
      </w:pPr>
      <w:r>
        <w:t xml:space="preserve">Mapeo del benchmark a la taxonomía</w:t>
      </w:r>
    </w:p>
    <w:p>
      <w:pPr>
        <w:pStyle w:val="FirstParagraph"/>
        <w:spacing w:line="360" w:lineRule="auto"/>
        <w:jc w:val="both"/>
      </w:pPr>
      <w:r>
        <w:t xml:space="preserve">Las cinco métricas operacionalizadas en los Estudios A y B se localizan en la</w:t>
      </w:r>
      <w:r>
        <w:t xml:space="preserve"> </w:t>
      </w:r>
      <w:r>
        <w:t xml:space="preserve">taxonomía de la siguiente manera:</w:t>
      </w:r>
    </w:p>
    <w:tbl>
      <w:tblPr>
        <w:tblStyle w:val="Table"/>
        <w:tblW w:type="pct" w:w="5000"/>
        <w:tblLayout w:type="fixed"/>
        <w:tblLook w:firstRow="0" w:lastRow="0" w:firstColumn="0" w:lastColumn="0" w:noHBand="0" w:noVBand="0" w:val="0000"/>
      </w:tblPr>
      <w:tblGrid>
        <w:gridCol w:w="7920"/>
      </w:tblGrid>
      <w:tr>
        <w:tc>
          <w:tcPr/>
          <w:bookmarkStart w:id="166" w:name="tbl-taxonomia-benchmark"/>
          <w:p>
            <w:pPr>
              <w:jc w:val="both"/>
              <w:spacing w:line="360" w:lineRule="auto"/>
            </w:pPr>
            <w:pPr>
              <w:jc w:val="left"/>
              <w:spacing w:before="200"/>
              <w:pStyle w:val="ImageCaption"/>
            </w:pPr>
            <w:r>
              <w:t xml:space="preserve">Table 6.2: Mapeo de las métricas del benchmark a los cuatro ejes de la taxonomía.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Eje 1: objetivo</w:t>
                  </w:r>
                </w:p>
              </w:tc>
              <w:tc>
                <w:tcPr/>
                <w:p>
                  <w:pPr>
                    <w:pStyle w:val="Compact"/>
                    <w:jc w:val="both"/>
                    <w:jc w:val="center"/>
                    <w:spacing w:line="360" w:lineRule="auto"/>
                  </w:pPr>
                  <w:r>
                    <w:t xml:space="preserve">Eje 2: fuente de evidencia</w:t>
                  </w:r>
                </w:p>
              </w:tc>
              <w:tc>
                <w:tcPr/>
                <w:p>
                  <w:pPr>
                    <w:pStyle w:val="Compact"/>
                    <w:jc w:val="both"/>
                    <w:jc w:val="center"/>
                    <w:spacing w:line="360" w:lineRule="auto"/>
                  </w:pPr>
                  <w:r>
                    <w:t xml:space="preserve">Eje 3: propiedad</w:t>
                  </w:r>
                </w:p>
              </w:tc>
              <w:tc>
                <w:tcPr/>
                <w:p>
                  <w:pPr>
                    <w:pStyle w:val="Compact"/>
                    <w:jc w:val="both"/>
                    <w:jc w:val="center"/>
                    <w:spacing w:line="360" w:lineRule="auto"/>
                  </w:pPr>
                  <w:r>
                    <w:t xml:space="preserve">Eje 4: contexto prioritario</w:t>
                  </w:r>
                </w:p>
              </w:tc>
            </w:tr>
            <w:tr>
              <w:tc>
                <w:tcPr/>
                <w:p>
                  <w:pPr>
                    <w:pStyle w:val="Compact"/>
                    <w:jc w:val="both"/>
                    <w:jc w:val="center"/>
                    <w:spacing w:line="360" w:lineRule="auto"/>
                  </w:pPr>
                  <w:r>
                    <w:t xml:space="preserve">Fidelidad (</w:t>
                  </w:r>
                  <ns1:oMath>
                    <ns1:r>
                      <ns1:t>F</ns1:t>
                    </ns1:r>
                  </ns1:oMath>
                  <w:r>
                    <w:t xml:space="preserve">)</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Enmascaramiento de características</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r>
            <w:tr>
              <w:tc>
                <w:tcPr/>
                <w:p>
                  <w:pPr>
                    <w:pStyle w:val="Compact"/>
                    <w:jc w:val="both"/>
                    <w:jc w:val="center"/>
                    <w:spacing w:line="360" w:lineRule="auto"/>
                  </w:pPr>
                  <w:r>
                    <w:t xml:space="preserve">Estabilidad (</w:t>
                  </w:r>
                  <ns1:oMath>
                    <ns1:r>
                      <ns1:t>S</ns1:t>
                    </ns1:r>
                  </ns1:oMath>
                  <w:r>
                    <w:t xml:space="preserve">)</w:t>
                  </w:r>
                </w:p>
              </w:tc>
              <w:tc>
                <w:tcPr/>
                <w:p>
                  <w:pPr>
                    <w:pStyle w:val="Compact"/>
                    <w:jc w:val="both"/>
                    <w:jc w:val="center"/>
                    <w:spacing w:line="360" w:lineRule="auto"/>
                  </w:pPr>
                  <w:r>
                    <w:t xml:space="preserve">Consistencia bajo perturbación</w:t>
                  </w:r>
                </w:p>
              </w:tc>
              <w:tc>
                <w:tcPr/>
                <w:p>
                  <w:pPr>
                    <w:pStyle w:val="Compact"/>
                    <w:jc w:val="both"/>
                    <w:jc w:val="center"/>
                    <w:spacing w:line="360" w:lineRule="auto"/>
                  </w:pPr>
                  <w:r>
                    <w:t xml:space="preserve">Perturbación gaussiana del input</w:t>
                  </w:r>
                </w:p>
              </w:tc>
              <w:tc>
                <w:tcPr/>
                <w:p>
                  <w:pPr>
                    <w:pStyle w:val="Compact"/>
                    <w:jc w:val="both"/>
                    <w:jc w:val="center"/>
                    <w:spacing w:line="360" w:lineRule="auto"/>
                  </w:pPr>
                  <w:r>
                    <w:t xml:space="preserve">Stability / robustness</w:t>
                  </w:r>
                </w:p>
              </w:tc>
              <w:tc>
                <w:tcPr/>
                <w:p>
                  <w:pPr>
                    <w:pStyle w:val="Compact"/>
                    <w:jc w:val="both"/>
                    <w:jc w:val="center"/>
                    <w:spacing w:line="360" w:lineRule="auto"/>
                  </w:pPr>
                  <w:r>
                    <w:t xml:space="preserve">Auditoría, alto riesgo</w:t>
                  </w:r>
                </w:p>
              </w:tc>
            </w:tr>
            <w:tr>
              <w:tc>
                <w:tcPr/>
                <w:p>
                  <w:pPr>
                    <w:pStyle w:val="Compact"/>
                    <w:jc w:val="both"/>
                    <w:jc w:val="center"/>
                    <w:spacing w:line="360" w:lineRule="auto"/>
                  </w:pPr>
                  <w:r>
                    <w:t xml:space="preserve">Parsimonia (</w:t>
                  </w:r>
                  <ns1:oMath>
                    <ns1:r>
                      <ns1:t>P</ns1:t>
                    </ns1:r>
                  </ns1:oMath>
                  <w:r>
                    <w:t xml:space="preserve">)</w:t>
                  </w:r>
                </w:p>
              </w:tc>
              <w:tc>
                <w:tcPr/>
                <w:p>
                  <w:pPr>
                    <w:pStyle w:val="Compact"/>
                    <w:jc w:val="both"/>
                    <w:jc w:val="center"/>
                    <w:spacing w:line="360" w:lineRule="auto"/>
                  </w:pPr>
                  <w:r>
                    <w:t xml:space="preserve">Compacidad explicativa</w:t>
                  </w:r>
                </w:p>
              </w:tc>
              <w:tc>
                <w:tcPr/>
                <w:p>
                  <w:pPr>
                    <w:pStyle w:val="Compact"/>
                    <w:jc w:val="both"/>
                    <w:jc w:val="center"/>
                    <w:spacing w:line="360" w:lineRule="auto"/>
                  </w:pPr>
                  <w:r>
                    <w:t xml:space="preserve">Conteo de atribuciones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Usuario final, interfaces</w:t>
                  </w:r>
                </w:p>
              </w:tc>
            </w:tr>
            <w:tr>
              <w:tc>
                <w:tcPr/>
                <w:p>
                  <w:pPr>
                    <w:pStyle w:val="Compact"/>
                    <w:jc w:val="both"/>
                    <w:jc w:val="center"/>
                    <w:spacing w:line="360" w:lineRule="auto"/>
                  </w:pPr>
                  <w:r>
                    <w:t xml:space="preserve">Brecha de fidelidad (</w:t>
                  </w:r>
                  <ns1:oMath>
                    <ns1:sSub>
                      <ns1:e>
                        <ns1:r>
                          <ns1:rPr>
                            <ns1:sty ns1:val="p"/>
                          </ns1:rPr>
                          <ns1:t>Δ</ns1:t>
                        </ns1:r>
                      </ns1:e>
                      <ns1:sub>
                        <ns1:r>
                          <ns1:t>k</ns1:t>
                        </ns1:r>
                      </ns1:sub>
                    </ns1:sSub>
                  </ns1:oMath>
                  <w:r>
                    <w:t xml:space="preserve">)</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Faithfulness operacional</w:t>
                  </w:r>
                </w:p>
              </w:tc>
              <w:tc>
                <w:tcPr/>
                <w:p>
                  <w:pPr>
                    <w:pStyle w:val="Compact"/>
                    <w:jc w:val="both"/>
                    <w:jc w:val="center"/>
                    <w:spacing w:line="360" w:lineRule="auto"/>
                  </w:pPr>
                  <w:r>
                    <w:t xml:space="preserve">Diagnóstico, responsabilidad</w:t>
                  </w:r>
                </w:p>
              </w:tc>
            </w:tr>
            <w:tr>
              <w:tc>
                <w:tcPr/>
                <w:p>
                  <w:pPr>
                    <w:pStyle w:val="Compact"/>
                    <w:jc w:val="both"/>
                    <w:jc w:val="center"/>
                    <w:spacing w:line="360" w:lineRule="auto"/>
                  </w:pPr>
                  <w:r>
                    <w:t xml:space="preserve">Coste (</w:t>
                  </w:r>
                  <ns1:oMath>
                    <ns1:r>
                      <ns1:t>C</ns1:t>
                    </ns1:r>
                  </ns1:oMath>
                  <w:r>
                    <w:t xml:space="preserve">)</w:t>
                  </w:r>
                </w:p>
              </w:tc>
              <w:tc>
                <w:tcPr/>
                <w:p>
                  <w:pPr>
                    <w:pStyle w:val="Compact"/>
                    <w:jc w:val="both"/>
                    <w:jc w:val="center"/>
                    <w:spacing w:line="360" w:lineRule="auto"/>
                  </w:pPr>
                  <w:r>
                    <w:t xml:space="preserve">Eficiencia operativa</w:t>
                  </w:r>
                </w:p>
              </w:tc>
              <w:tc>
                <w:tcPr/>
                <w:p>
                  <w:pPr>
                    <w:pStyle w:val="Compact"/>
                    <w:jc w:val="both"/>
                    <w:jc w:val="center"/>
                    <w:spacing w:line="360" w:lineRule="auto"/>
                  </w:pPr>
                  <w:r>
                    <w:t xml:space="preserve">Tiempo de pared por instancia</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Despliegue en tiempo real</w:t>
                  </w:r>
                </w:p>
              </w:tc>
            </w:tr>
          </w:tbl>
          <w:bookmarkEnd w:id="166"/>
          <w:p>
            <w:pPr>
              <w:spacing w:line="360" w:lineRule="auto"/>
              <w:jc w:val="both"/>
            </w:pPr>
          </w:p>
        </w:tc>
      </w:tr>
    </w:tbl>
    <w:p>
      <w:pPr>
        <w:pStyle w:val="Textoindependiente"/>
        <w:spacing w:line="360" w:lineRule="auto"/>
        <w:jc w:val="both"/>
      </w:pPr>
      <w:r>
        <w:t xml:space="preserve">Este mapeo muestra que el benchmark cubre de forma fuerte la evaluación</w:t>
      </w:r>
      <w:r>
        <w:t xml:space="preserve"> </w:t>
      </w:r>
      <w:r>
        <w:t xml:space="preserve">functionally-grounded, pero no cubre directamente los cuadrantes human-centered:</w:t>
      </w:r>
      <w:r>
        <w:t xml:space="preserve"> </w:t>
      </w:r>
      <w:r>
        <w:t xml:space="preserve">plausibilidad, satisfacción, comprehensibilidad y utilidad en tarea humana. Esa</w:t>
      </w:r>
      <w:r>
        <w:t xml:space="preserve"> </w:t>
      </w:r>
      <w:r>
        <w:t xml:space="preserve">ausencia no es una falla del estudio; es una delimitación. La taxonomía permite</w:t>
      </w:r>
      <w:r>
        <w:t xml:space="preserve"> </w:t>
      </w:r>
      <w:r>
        <w:t xml:space="preserve">nombrar el límite con precisión y evita que el resultado estadístico se use para</w:t>
      </w:r>
      <w:r>
        <w:t xml:space="preserve"> </w:t>
      </w:r>
      <w:r>
        <w:t xml:space="preserve">claimar propiedades no medidas.</w:t>
      </w:r>
    </w:p>
    <w:bookmarkEnd w:id="167"/>
    <w:bookmarkStart w:id="168" w:name="sec-taxonomia-brechas"/>
    <w:p>
      <w:pPr>
        <w:pStyle w:val="Ttulo2"/>
        <w:spacing w:line="360" w:lineRule="auto"/>
        <w:jc w:val="both"/>
      </w:pPr>
      <w:r>
        <w:t xml:space="preserve">Brechas de constructo que la taxonomía hace explícitas</w:t>
      </w:r>
    </w:p>
    <w:p>
      <w:pPr>
        <w:pStyle w:val="FirstParagraph"/>
        <w:spacing w:line="360" w:lineRule="auto"/>
        <w:jc w:val="both"/>
      </w:pPr>
      <w:r>
        <w:t xml:space="preserve">El mapeo anterior no solo localiza lo que el benchmark mide: delimita lo que no</w:t>
      </w:r>
      <w:r>
        <w:t xml:space="preserve"> </w:t>
      </w:r>
      <w:r>
        <w:t xml:space="preserve">mide y por qué. Las tres brechas siguientes se derivan de esa delimitación y se</w:t>
      </w:r>
      <w:r>
        <w:t xml:space="preserve"> </w:t>
      </w:r>
      <w:r>
        <w:t xml:space="preserve">numeran aquí porque el resto de la tesis se refiere a ellas de forma abreviada.</w:t>
      </w:r>
      <w:r>
        <w:t xml:space="preserve"> </w:t>
      </w:r>
      <w:r>
        <w:t xml:space="preserve">No son defectos del diseño experimental, sino distancias estructurales entre lo</w:t>
      </w:r>
      <w:r>
        <w:t xml:space="preserve"> </w:t>
      </w:r>
      <w:r>
        <w:t xml:space="preserve">que una métrica computa y lo que un claim pretende afirmar.</w:t>
      </w:r>
    </w:p>
    <w:p>
      <w:pPr>
        <w:pStyle w:val="Textoindependiente"/>
        <w:spacing w:line="360" w:lineRule="auto"/>
        <w:jc w:val="both"/>
      </w:pPr>
      <w:r>
        <w:rPr>
          <w:b/>
          <w:bCs/>
        </w:rPr>
        <w:t xml:space="preserve">Brecha 1 — Distancia entre proxy y constructo.</w:t>
      </w:r>
      <w:r>
        <w:t xml:space="preserve"> </w:t>
      </w:r>
      <w:r>
        <w:t xml:space="preserve">Ninguna de las cinco métricas</w:t>
      </w:r>
      <w:r>
        <w:t xml:space="preserve"> </w:t>
      </w:r>
      <w:r>
        <w:t xml:space="preserve">del benchmark mide el constructo que su nombre sugiere en sentido pleno: la</w:t>
      </w:r>
      <w:r>
        <w:t xml:space="preserve"> </w:t>
      </w:r>
      <w:r>
        <w:t xml:space="preserve">fidelidad por correlación de importancias no autoriza a afirmar utilidad humana,</w:t>
      </w:r>
      <w:r>
        <w:t xml:space="preserve"> </w:t>
      </w:r>
      <w:r>
        <w:t xml:space="preserve">la estabilidad bajo perturbación no prueba causalidad, una regla Anchor de alta</w:t>
      </w:r>
      <w:r>
        <w:t xml:space="preserve"> </w:t>
      </w:r>
      <w:r>
        <w:t xml:space="preserve">precisión no garantiza cobertura amplia y un contrafactual válido para el modelo</w:t>
      </w:r>
      <w:r>
        <w:t xml:space="preserve"> </w:t>
      </w:r>
      <w:r>
        <w:t xml:space="preserve">no es necesariamente accionable para la persona (Capítulo 2). La brecha se</w:t>
      </w:r>
      <w:r>
        <w:t xml:space="preserve"> </w:t>
      </w:r>
      <w:r>
        <w:t xml:space="preserve">agrava cuando la métrica produce una cifra fácil de tabular, porque la forma</w:t>
      </w:r>
      <w:r>
        <w:t xml:space="preserve"> </w:t>
      </w:r>
      <w:r>
        <w:t xml:space="preserve">tabular sugiere una objetividad mayor que la disponible. La taxonomía la</w:t>
      </w:r>
      <w:r>
        <w:t xml:space="preserve"> </w:t>
      </w:r>
      <w:r>
        <w:t xml:space="preserve">gestiona obligando a que cada métrica declare su alcance inferencial admisible</w:t>
      </w:r>
      <w:r>
        <w:t xml:space="preserve"> </w:t>
      </w:r>
      <w:r>
        <w:t xml:space="preserve">en la columna correspondiente de la Tabla</w:t>
      </w:r>
      <w:r>
        <w:t xml:space="preserve"> </w:t>
      </w:r>
      <w:hyperlink w:anchor="tbl-taxonomia-ampliada">
        <w:r>
          <w:rPr>
            <w:rStyle w:val="Hipervnculo"/>
          </w:rPr>
          <w:t xml:space="preserve">Table 6.1</w:t>
        </w:r>
      </w:hyperlink>
      <w:r>
        <w:t xml:space="preserve">.</w:t>
      </w:r>
    </w:p>
    <w:p>
      <w:pPr>
        <w:pStyle w:val="Textoindependiente"/>
        <w:spacing w:line="360" w:lineRule="auto"/>
        <w:jc w:val="both"/>
      </w:pPr>
      <w:r>
        <w:rPr>
          <w:b/>
          <w:bCs/>
        </w:rPr>
        <w:t xml:space="preserve">Brecha 2 — Ausencia de evidencia human-grounded y application-grounded.</w:t>
      </w:r>
      <w:r>
        <w:t xml:space="preserve"> </w:t>
      </w:r>
      <w:r>
        <w:t xml:space="preserve">El</w:t>
      </w:r>
      <w:r>
        <w:t xml:space="preserve"> </w:t>
      </w:r>
      <w:r>
        <w:t xml:space="preserve">mapeo de la Tabla</w:t>
      </w:r>
      <w:r>
        <w:t xml:space="preserve"> </w:t>
      </w:r>
      <w:hyperlink w:anchor="tbl-taxonomia-benchmark">
        <w:r>
          <w:rPr>
            <w:rStyle w:val="Hipervnculo"/>
          </w:rPr>
          <w:t xml:space="preserve">Table 6.2</w:t>
        </w:r>
      </w:hyperlink>
      <w:r>
        <w:t xml:space="preserve"> </w:t>
      </w:r>
      <w:r>
        <w:t xml:space="preserve">muestra que las cinco métricas se</w:t>
      </w:r>
      <w:r>
        <w:t xml:space="preserve"> </w:t>
      </w:r>
      <w:r>
        <w:t xml:space="preserve">concentran en dos fuentes de evidencia —enmascaramiento y perturbación— y dejan</w:t>
      </w:r>
      <w:r>
        <w:t xml:space="preserve"> </w:t>
      </w:r>
      <w:r>
        <w:t xml:space="preserve">vacías las celdas de</w:t>
      </w:r>
      <w:r>
        <w:t xml:space="preserve"> </w:t>
      </w:r>
      <w:r>
        <w:rPr>
          <w:i/>
          <w:iCs/>
        </w:rPr>
        <w:t xml:space="preserve">estudio con usuario</w:t>
      </w:r>
      <w:r>
        <w:t xml:space="preserve"> </w:t>
      </w:r>
      <w:r>
        <w:t xml:space="preserve">y</w:t>
      </w:r>
      <w:r>
        <w:t xml:space="preserve"> </w:t>
      </w:r>
      <w:r>
        <w:rPr>
          <w:i/>
          <w:iCs/>
        </w:rPr>
        <w:t xml:space="preserve">comparación con verdad-terreno</w:t>
      </w:r>
      <w:r>
        <w:t xml:space="preserve">.</w:t>
      </w:r>
      <w:r>
        <w:t xml:space="preserve"> </w:t>
      </w:r>
      <w:r>
        <w:t xml:space="preserve">En consecuencia, plausibilidad, comprensibilidad, satisfacción y utilidad en</w:t>
      </w:r>
      <w:r>
        <w:t xml:space="preserve"> </w:t>
      </w:r>
      <w:r>
        <w:t xml:space="preserve">tarea quedan fuera del alcance de los Estudios A y B. Esta brecha es de</w:t>
      </w:r>
      <w:r>
        <w:t xml:space="preserve"> </w:t>
      </w:r>
      <w:r>
        <w:t xml:space="preserve">cobertura, no de validez: se cierra añadiendo estudios con participantes</w:t>
      </w:r>
      <w:r>
        <w:t xml:space="preserve"> </w:t>
      </w:r>
      <w:r>
        <w:t xml:space="preserve">humanos, no reinterpretando las métricas existentes.</w:t>
      </w:r>
    </w:p>
    <w:p>
      <w:pPr>
        <w:pStyle w:val="Textoindependiente"/>
        <w:spacing w:line="360" w:lineRule="auto"/>
        <w:jc w:val="both"/>
      </w:pPr>
      <w:r>
        <w:rPr>
          <w:b/>
          <w:bCs/>
        </w:rPr>
        <w:t xml:space="preserve">Brecha 3 — La evaluación semántica crece más rápido que su base de validación</w:t>
      </w:r>
      <w:r>
        <w:rPr>
          <w:b/>
          <w:bCs/>
        </w:rPr>
        <w:t xml:space="preserve"> </w:t>
      </w:r>
      <w:r>
        <w:rPr>
          <w:b/>
          <w:bCs/>
        </w:rPr>
        <w:t xml:space="preserve">empírica.</w:t>
      </w:r>
      <w:r>
        <w:t xml:space="preserve"> </w:t>
      </w:r>
      <w:r>
        <w:t xml:space="preserve">La respuesta natural a la Brecha 2 ha sido delegar el juicio</w:t>
      </w:r>
      <w:r>
        <w:t xml:space="preserve"> </w:t>
      </w:r>
      <w:r>
        <w:t xml:space="preserve">semántico en evaluadores automáticos —crecientemente, jueces LLM— que prometen</w:t>
      </w:r>
      <w:r>
        <w:t xml:space="preserve"> </w:t>
      </w:r>
      <w:r>
        <w:t xml:space="preserve">aproximar el criterio humano sin el coste de un estudio con participantes. El</w:t>
      </w:r>
      <w:r>
        <w:t xml:space="preserve"> </w:t>
      </w:r>
      <w:r>
        <w:t xml:space="preserve">problema es que esos evaluadores se adoptan como instrumento de medida antes de</w:t>
      </w:r>
      <w:r>
        <w:t xml:space="preserve"> </w:t>
      </w:r>
      <w:r>
        <w:t xml:space="preserve">que su fiabilidad haya sido establecida: se usan para puntuar explicaciones sin</w:t>
      </w:r>
      <w:r>
        <w:t xml:space="preserve"> </w:t>
      </w:r>
      <w:r>
        <w:t xml:space="preserve">que exista evidencia de que dos jueces independientes puntúan igual la misma</w:t>
      </w:r>
      <w:r>
        <w:t xml:space="preserve"> </w:t>
      </w:r>
      <w:r>
        <w:t xml:space="preserve">explicación. La brecha, por tanto, no es de cobertura sino de calibración del</w:t>
      </w:r>
      <w:r>
        <w:t xml:space="preserve"> </w:t>
      </w:r>
      <w:r>
        <w:t xml:space="preserve">instrumento, y es contrastable empíricamente. EXP4 la contrasta y la confirma en</w:t>
      </w:r>
      <w:r>
        <w:t xml:space="preserve"> </w:t>
      </w:r>
      <w:r>
        <w:t xml:space="preserve">§sec-exp4-fiabilidad.</w:t>
      </w:r>
    </w:p>
    <w:bookmarkEnd w:id="168"/>
    <w:bookmarkStart w:id="169" w:name="sec-taxonomia-contribucion"/>
    <w:p>
      <w:pPr>
        <w:pStyle w:val="Ttulo2"/>
        <w:spacing w:line="360" w:lineRule="auto"/>
        <w:jc w:val="both"/>
      </w:pPr>
      <w:r>
        <w:t xml:space="preserve">Contribución teórica de la taxonomía</w:t>
      </w:r>
    </w:p>
    <w:p>
      <w:pPr>
        <w:pStyle w:val="FirstParagraph"/>
        <w:spacing w:line="360" w:lineRule="auto"/>
        <w:jc w:val="both"/>
      </w:pPr>
      <w:r>
        <w:t xml:space="preserve">El valor de la taxonomía no es meramente descriptivo. Permite derivar dos</w:t>
      </w:r>
      <w:r>
        <w:t xml:space="preserve"> </w:t>
      </w:r>
      <w:r>
        <w:t xml:space="preserve">afirmaciones con implicaciones directas para el diseño de futuros benchmarks.</w:t>
      </w:r>
    </w:p>
    <w:p>
      <w:pPr>
        <w:pStyle w:val="Textoindependiente"/>
        <w:spacing w:line="360" w:lineRule="auto"/>
        <w:jc w:val="both"/>
      </w:pPr>
      <w:r>
        <w:t xml:space="preserve">Primero, las propiedades del eje de calidad no son redundantes. La evidencia</w:t>
      </w:r>
      <w:r>
        <w:t xml:space="preserve"> </w:t>
      </w:r>
      <w:r>
        <w:t xml:space="preserve">empírica de esta tesis muestra que fidelidad y estabilidad son disociables:</w:t>
      </w:r>
      <w:r>
        <w:t xml:space="preserve"> </w:t>
      </w:r>
      <w:r>
        <w:t xml:space="preserve">LIME obtiene una fidelidad media moderada y una estabilidad prácticamente nula.</w:t>
      </w:r>
      <w:r>
        <w:t xml:space="preserve"> </w:t>
      </w:r>
      <w:r>
        <w:t xml:space="preserve">Esta disociación habría sido invisible en un benchmark mono-métrico de</w:t>
      </w:r>
      <w:r>
        <w:t xml:space="preserve"> </w:t>
      </w:r>
      <w:r>
        <w:t xml:space="preserve">fidelidad, lo que confirma que la evaluación multi-métrica organizada por</w:t>
      </w:r>
      <w:r>
        <w:t xml:space="preserve"> </w:t>
      </w:r>
      <w:r>
        <w:t xml:space="preserve">constructos es necesaria para detectar perfiles de riesgo ocultos</w:t>
      </w:r>
      <w:r>
        <w:t xml:space="preserve"> </w:t>
      </w:r>
      <w:r>
        <w:t xml:space="preserve">(Bhattacharya and Verbert 2024; Pawlicki et al. 2024)</w:t>
      </w:r>
      <w:r>
        <w:t xml:space="preserve">.</w:t>
      </w:r>
    </w:p>
    <w:p>
      <w:pPr>
        <w:pStyle w:val="Textoindependiente"/>
        <w:spacing w:line="360" w:lineRule="auto"/>
        <w:jc w:val="both"/>
      </w:pPr>
      <w:r>
        <w:t xml:space="preserve">Segundo, la taxonomía convierte las limitaciones en información científica. Al</w:t>
      </w:r>
      <w:r>
        <w:t xml:space="preserve"> </w:t>
      </w:r>
      <w:r>
        <w:t xml:space="preserve">mostrar que el benchmark no incluye estudios con usuario ni validación causal</w:t>
      </w:r>
      <w:r>
        <w:t xml:space="preserve"> </w:t>
      </w:r>
      <w:r>
        <w:t xml:space="preserve">externa, evita sobreinterpretar los resultados y define qué evidencia sería</w:t>
      </w:r>
      <w:r>
        <w:t xml:space="preserve"> </w:t>
      </w:r>
      <w:r>
        <w:t xml:space="preserve">necesaria para ampliar los claims. Así, FOM-7 y la taxonomía se refuerzan</w:t>
      </w:r>
      <w:r>
        <w:t xml:space="preserve"> </w:t>
      </w:r>
      <w:r>
        <w:t xml:space="preserve">mutuamente: FOM-7 gobierna el flujo de evidencia; la taxonomía gobierna el</w:t>
      </w:r>
      <w:r>
        <w:t xml:space="preserve"> </w:t>
      </w:r>
      <w:r>
        <w:t xml:space="preserve">significado de esa evidencia.</w:t>
      </w:r>
    </w:p>
    <w:p>
      <w:pPr>
        <w:pStyle w:val="Textoindependiente"/>
        <w:spacing w:line="360" w:lineRule="auto"/>
        <w:jc w:val="both"/>
      </w:pPr>
      <w:r>
        <w:t xml:space="preserve">En consecuencia, la taxonomía debe entenderse como una operacionalización</w:t>
      </w:r>
      <w:r>
        <w:t xml:space="preserve"> </w:t>
      </w:r>
      <w:r>
        <w:t xml:space="preserve">doctoral del espacio de evaluación XAI. No reemplaza los marcos existentes; los</w:t>
      </w:r>
      <w:r>
        <w:t xml:space="preserve"> </w:t>
      </w:r>
      <w:r>
        <w:t xml:space="preserve">integra para que cada métrica usada en la tesis tenga una ubicación conceptual,</w:t>
      </w:r>
      <w:r>
        <w:t xml:space="preserve"> </w:t>
      </w:r>
      <w:r>
        <w:t xml:space="preserve">un alcance inferencial y una relación explícita con los resultados empíricos.</w:t>
      </w:r>
    </w:p>
    <w:bookmarkEnd w:id="169"/>
    <w:bookmarkStart w:id="171" w:name="sec-exp4-fiabilidad"/>
    <w:p>
      <w:pPr>
        <w:pStyle w:val="Ttulo2"/>
        <w:spacing w:line="360" w:lineRule="auto"/>
        <w:jc w:val="both"/>
      </w:pPr>
      <w:r>
        <w:t xml:space="preserve">Estudio de fiabilidad de evaluadores semánticos (EXP4)</w:t>
      </w:r>
    </w:p>
    <w:p>
      <w:pPr>
        <w:pStyle w:val="FirstParagraph"/>
        <w:spacing w:line="360" w:lineRule="auto"/>
        <w:jc w:val="both"/>
      </w:pPr>
      <w:r>
        <w:t xml:space="preserve">La Brecha 3 (§sec-taxonomia-brechas) identifica que la evaluación semántica</w:t>
      </w:r>
      <w:r>
        <w:t xml:space="preserve"> </w:t>
      </w:r>
      <w:r>
        <w:t xml:space="preserve">crece más rápido que su base de validación empírica. EXP4 (diseñado en</w:t>
      </w:r>
      <w:r>
        <w:t xml:space="preserve"> </w:t>
      </w:r>
      <w:r>
        <w:t xml:space="preserve">§sec-exp4-diseno, Capítulo 3)</w:t>
      </w:r>
      <w:r>
        <w:t xml:space="preserve"> </w:t>
      </w:r>
      <w:r>
        <w:t xml:space="preserve">cuantifica directamente esa brecha: mide si los jueces LLM actuales alcanzan la</w:t>
      </w:r>
      <w:r>
        <w:t xml:space="preserve"> </w:t>
      </w:r>
      <w:r>
        <w:t xml:space="preserve">convergencia inter-juez necesaria para operar como evidencia confirmativa.</w:t>
      </w:r>
    </w:p>
    <w:p>
      <w:pPr>
        <w:pStyle w:val="Textoindependiente"/>
        <w:spacing w:line="360" w:lineRule="auto"/>
        <w:jc w:val="both"/>
      </w:pPr>
      <w:r>
        <w:rPr>
          <w:b/>
          <w:bCs/>
        </w:rPr>
        <w:t xml:space="preserve">Resultados.</w:t>
      </w:r>
      <w:r>
        <w:t xml:space="preserve"> </w:t>
      </w:r>
      <w:r>
        <w:t xml:space="preserve">La Tabla</w:t>
      </w:r>
      <w:r>
        <w:t xml:space="preserve"> </w:t>
      </w:r>
      <w:hyperlink w:anchor="tbl-exp4-icc">
        <w:r>
          <w:rPr>
            <w:rStyle w:val="Hipervnculo"/>
          </w:rPr>
          <w:t xml:space="preserve">Table 6.3</w:t>
        </w:r>
      </w:hyperlink>
      <w:r>
        <w:t xml:space="preserve"> </w:t>
      </w:r>
      <w:r>
        <w:t xml:space="preserve">reporta ICC(1,1) y</w:t>
      </w:r>
      <w:r>
        <w:t xml:space="preserve"> </w:t>
      </w:r>
      <ns1:oMath>
        <ns1:r>
          <ns1:t>α</ns1:t>
        </ns1:r>
      </ns1:oMath>
      <w:r>
        <w:t xml:space="preserve"> </w:t>
      </w:r>
      <w:r>
        <w:t xml:space="preserve">de</w:t>
      </w:r>
      <w:r>
        <w:t xml:space="preserve"> </w:t>
      </w:r>
      <w:r>
        <w:t xml:space="preserve">Krippendorff por dimensión para los tres jueces LLM. Los dos estadísticos se</w:t>
      </w:r>
      <w:r>
        <w:t xml:space="preserve"> </w:t>
      </w:r>
      <w:r>
        <w:t xml:space="preserve">calculan sobre conjuntos de casos distintos: el ICC se obtiene de una</w:t>
      </w:r>
      <w:r>
        <w:t xml:space="preserve"> </w:t>
      </w:r>
      <w:r>
        <w:t xml:space="preserve">descomposición unidireccional de efectos aleatorios, que exige una matriz completa</w:t>
      </w:r>
      <w:r>
        <w:t xml:space="preserve"> </w:t>
      </w:r>
      <w:r>
        <w:t xml:space="preserve">de casos</w:t>
      </w:r>
      <w:r>
        <w:t xml:space="preserve"> </w:t>
      </w:r>
      <ns1:oMath>
        <ns1:r>
          <ns1:rPr>
            <ns1:sty ns1:val="p"/>
          </ns1:rPr>
          <ns1:t>×</ns1:t>
        </ns1:r>
      </ns1:oMath>
      <w:r>
        <w:t xml:space="preserve"> </w:t>
      </w:r>
      <w:r>
        <w:t xml:space="preserve">jueces y se restringe por tanto a los</w:t>
      </w:r>
      <w:r>
        <w:t xml:space="preserve"> </w:t>
      </w:r>
      <ns1:oMath>
        <ns1:r>
          <ns1:t>n</ns1:t>
        </ns1:r>
        <ns1:r>
          <ns1:rPr>
            <ns1:sty ns1:val="p"/>
          </ns1:rPr>
          <ns1:t>=</ns1:t>
        </ns1:r>
        <ns1:r>
          <ns1:t>147</ns1:t>
        </ns1:r>
      </ns1:oMath>
      <w:r>
        <w:t xml:space="preserve"> </w:t>
      </w:r>
      <w:r>
        <w:t xml:space="preserve">casos</w:t>
      </w:r>
      <w:r>
        <w:t xml:space="preserve"> </w:t>
      </w:r>
      <w:r>
        <w:t xml:space="preserve">puntuados por los tres jueces, mientras que</w:t>
      </w:r>
      <w:r>
        <w:t xml:space="preserve"> </w:t>
      </w:r>
      <ns1:oMath>
        <ns1:r>
          <ns1:t>α</ns1:t>
        </ns1:r>
      </ns1:oMath>
      <w:r>
        <w:t xml:space="preserve"> </w:t>
      </w:r>
      <w:r>
        <w:t xml:space="preserve">de Krippendorff tolera</w:t>
      </w:r>
      <w:r>
        <w:t xml:space="preserve"> </w:t>
      </w:r>
      <w:r>
        <w:t xml:space="preserve">puntuaciones ausentes y se calcula sobre el conjunto más amplio de</w:t>
      </w:r>
      <w:r>
        <w:t xml:space="preserve"> </w:t>
      </w:r>
      <ns1:oMath>
        <ns1:r>
          <ns1:t>n</ns1:t>
        </ns1:r>
        <ns1:r>
          <ns1:rPr>
            <ns1:sty ns1:val="p"/>
          </ns1:rPr>
          <ns1:t>=</ns1:t>
        </ns1:r>
        <ns1:r>
          <ns1:t>192</ns1:t>
        </ns1:r>
      </ns1:oMath>
      <w:r>
        <w:t xml:space="preserve"> </w:t>
      </w:r>
      <w:r>
        <w:t xml:space="preserve">casos, que incluye aquellos con al menos una puntuación de juez faltante.</w:t>
      </w:r>
      <w:r>
        <w:t xml:space="preserve"> </w:t>
      </w:r>
      <w:r>
        <w:t xml:space="preserve">Ninguna dimensión alcanza el umbral de fiabilidad aceptable (</w:t>
      </w:r>
      <ns1:oMath>
        <ns1:r>
          <ns1:rPr>
            <ns1:sty ns1:val="p"/>
          </ns1:rPr>
          <ns1:t>≥</ns1:t>
        </ns1:r>
        <ns1:r>
          <ns1:t>0.75</ns1:t>
        </ns1:r>
      </ns1:oMath>
      <w:r>
        <w:t xml:space="preserve">)</w:t>
      </w:r>
      <w:r>
        <w:t xml:space="preserve"> </w:t>
      </w:r>
      <w:r>
        <w:t xml:space="preserve">(Koo and Li 2016)</w:t>
      </w:r>
      <w:r>
        <w:t xml:space="preserve">.</w:t>
      </w:r>
    </w:p>
    <w:tbl>
      <w:tblPr>
        <w:tblStyle w:val="Table"/>
        <w:tblW w:type="pct" w:w="5000"/>
        <w:tblLayout w:type="fixed"/>
        <w:tblLook w:firstRow="0" w:lastRow="0" w:firstColumn="0" w:lastColumn="0" w:noHBand="0" w:noVBand="0" w:val="0000"/>
      </w:tblPr>
      <w:tblGrid>
        <w:gridCol w:w="7920"/>
      </w:tblGrid>
      <w:tr>
        <w:tc>
          <w:tcPr/>
          <w:bookmarkStart w:id="170" w:name="tbl-exp4-icc"/>
          <w:p>
            <w:pPr>
              <w:jc w:val="both"/>
              <w:spacing w:line="360" w:lineRule="auto"/>
            </w:pPr>
            <w:pPr>
              <w:jc w:val="left"/>
              <w:spacing w:before="200"/>
              <w:pStyle w:val="ImageCaption"/>
            </w:pPr>
            <w:r>
              <w:t xml:space="preserve">Table 6.3: Fiabilidad inter-juez LLM en siete dimensiones semánticas (EXP4; ICC sobre</w:t>
            </w:r>
            <w:r>
              <w:t xml:space="preserve"> </w:t>
            </w:r>
            <ns1:oMath>
              <ns1:r>
                <ns1:t>n</ns1:t>
              </ns1:r>
              <ns1:r>
                <ns1:rPr>
                  <ns1:sty ns1:val="p"/>
                </ns1:rPr>
                <ns1:t>=</ns1:t>
              </ns1:r>
              <ns1:r>
                <ns1:t>147</ns1:t>
              </ns1:r>
            </ns1:oMath>
            <w:r>
              <w:t xml:space="preserve"> </w:t>
            </w:r>
            <w:r>
              <w:t xml:space="preserve">casos con puntuación completa,</w:t>
            </w:r>
            <w:r>
              <w:t xml:space="preserve"> </w:t>
            </w:r>
            <ns1:oMath>
              <ns1:r>
                <ns1:t>α</ns1:t>
              </ns1:r>
            </ns1:oMath>
            <w:r>
              <w:t xml:space="preserve"> </w:t>
            </w:r>
            <w:r>
              <w:t xml:space="preserve">de Krippendorff sobre</w:t>
            </w:r>
            <w:r>
              <w:t xml:space="preserve"> </w:t>
            </w:r>
            <ns1:oMath>
              <ns1:r>
                <ns1:t>n</ns1:t>
              </ns1:r>
              <ns1:r>
                <ns1:rPr>
                  <ns1:sty ns1:val="p"/>
                </ns1:rPr>
                <ns1:t>=</ns1:t>
              </ns1:r>
              <ns1:r>
                <ns1:t>192</ns1:t>
              </ns1:r>
            </ns1:oMath>
            <w:r>
              <w:t xml:space="preserve"> </w:t>
            </w:r>
            <w:r>
              <w:t xml:space="preserve">casos —véase el texto—; 3 jueces LLM). ICC(1,1): modelo unidireccional</w:t>
            </w:r>
            <w:r>
              <w:t xml:space="preserve"> </w:t>
            </w:r>
            <w:r>
              <w:t xml:space="preserve">de efectos aleatorios, evaluador único. Un modelo unidireccional trata los</w:t>
            </w:r>
            <w:r>
              <w:t xml:space="preserve"> </w:t>
            </w:r>
            <w:r>
              <w:t xml:space="preserve">sesgos sistemáticos entre jueces como error y no como efecto separable, por lo</w:t>
            </w:r>
            <w:r>
              <w:t xml:space="preserve"> </w:t>
            </w:r>
            <w:r>
              <w:t xml:space="preserve">que estos valores son conservadores respecto de ICC(2,1). Ninguna dimensión alcanza el</w:t>
            </w:r>
            <w:r>
              <w:t xml:space="preserve"> </w:t>
            </w:r>
            <w:r>
              <w:t xml:space="preserve">umbral aceptable</w:t>
            </w:r>
            <w:r>
              <w:t xml:space="preserve"> </w:t>
            </w:r>
            <ns1:oMath>
              <ns1:r>
                <ns1:rPr>
                  <ns1:sty ns1:val="p"/>
                </ns1:rPr>
                <ns1:t>≥</ns1:t>
              </ns1:r>
              <ns1:r>
                <ns1:t>0.75</ns1:t>
              </ns1:r>
            </ns1:oMath>
            <w:r>
              <w:t xml:space="preserve"> </w:t>
            </w:r>
            <w:r>
              <w:t xml:space="preserve">(Koo and Li 2016)</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Dimensión</w:t>
                  </w:r>
                </w:p>
              </w:tc>
              <w:tc>
                <w:tcPr/>
                <w:p>
                  <w:pPr>
                    <w:pStyle w:val="Compact"/>
                    <w:jc w:val="both"/>
                    <w:jc w:val="center"/>
                    <w:spacing w:line="360" w:lineRule="auto"/>
                  </w:pPr>
                  <w:r>
                    <w:t xml:space="preserve">ICC(1,1)</w:t>
                  </w:r>
                </w:p>
              </w:tc>
              <w:tc>
                <w:tcPr/>
                <w:p>
                  <w:pPr>
                    <w:pStyle w:val="Compact"/>
                    <w:jc w:val="both"/>
                    <w:jc w:val="center"/>
                    <w:spacing w:line="360" w:lineRule="auto"/>
                  </w:pPr>
                  <w:r>
                    <w:t xml:space="preserve">Krippendorff</w:t>
                  </w:r>
                  <w:r>
                    <w:t xml:space="preserve"> </w:t>
                  </w:r>
                  <ns1:oMath>
                    <ns1:r>
                      <ns1:t>α</ns1:t>
                    </ns1:r>
                  </ns1:oMath>
                </w:p>
              </w:tc>
            </w:tr>
            <w:tr>
              <w:tc>
                <w:tcPr/>
                <w:p>
                  <w:pPr>
                    <w:pStyle w:val="Compact"/>
                    <w:jc w:val="both"/>
                    <w:jc w:val="center"/>
                    <w:spacing w:line="360" w:lineRule="auto"/>
                  </w:pPr>
                  <w:r>
                    <w:t xml:space="preserve">Claridad</w:t>
                  </w:r>
                </w:p>
              </w:tc>
              <w:tc>
                <w:tcPr/>
                <w:p>
                  <w:pPr>
                    <w:pStyle w:val="Compact"/>
                    <w:jc w:val="both"/>
                    <w:jc w:val="center"/>
                    <w:spacing w:line="360" w:lineRule="auto"/>
                  </w:pPr>
                  <w:r>
                    <w:t xml:space="preserve">0.321</w:t>
                  </w:r>
                </w:p>
              </w:tc>
              <w:tc>
                <w:tcPr/>
                <w:p>
                  <w:pPr>
                    <w:pStyle w:val="Compact"/>
                    <w:jc w:val="both"/>
                    <w:jc w:val="center"/>
                    <w:spacing w:line="360" w:lineRule="auto"/>
                  </w:pPr>
                  <w:r>
                    <w:t xml:space="preserve">0.278</w:t>
                  </w:r>
                </w:p>
              </w:tc>
            </w:tr>
            <w:tr>
              <w:tc>
                <w:tcPr/>
                <w:p>
                  <w:pPr>
                    <w:pStyle w:val="Compact"/>
                    <w:jc w:val="both"/>
                    <w:jc w:val="center"/>
                    <w:spacing w:line="360" w:lineRule="auto"/>
                  </w:pPr>
                  <w:r>
                    <w:t xml:space="preserve">Concisión</w:t>
                  </w:r>
                </w:p>
              </w:tc>
              <w:tc>
                <w:tcPr/>
                <w:p>
                  <w:pPr>
                    <w:pStyle w:val="Compact"/>
                    <w:jc w:val="both"/>
                    <w:jc w:val="center"/>
                    <w:spacing w:line="360" w:lineRule="auto"/>
                  </w:pPr>
                  <w:r>
                    <w:t xml:space="preserve">0.453</w:t>
                  </w:r>
                </w:p>
              </w:tc>
              <w:tc>
                <w:tcPr/>
                <w:p>
                  <w:pPr>
                    <w:pStyle w:val="Compact"/>
                    <w:jc w:val="both"/>
                    <w:jc w:val="center"/>
                    <w:spacing w:line="360" w:lineRule="auto"/>
                  </w:pPr>
                  <w:r>
                    <w:t xml:space="preserve">0.409</w:t>
                  </w:r>
                </w:p>
              </w:tc>
            </w:tr>
            <w:tr>
              <w:tc>
                <w:tcPr/>
                <w:p>
                  <w:pPr>
                    <w:pStyle w:val="Compact"/>
                    <w:jc w:val="both"/>
                    <w:jc w:val="center"/>
                    <w:spacing w:line="360" w:lineRule="auto"/>
                  </w:pPr>
                  <w:r>
                    <w:t xml:space="preserve">Accionabilidad</w:t>
                  </w:r>
                </w:p>
              </w:tc>
              <w:tc>
                <w:tcPr/>
                <w:p>
                  <w:pPr>
                    <w:pStyle w:val="Compact"/>
                    <w:jc w:val="both"/>
                    <w:jc w:val="center"/>
                    <w:spacing w:line="360" w:lineRule="auto"/>
                  </w:pPr>
                  <w:r>
                    <w:t xml:space="preserve">0.400</w:t>
                  </w:r>
                </w:p>
              </w:tc>
              <w:tc>
                <w:tcPr/>
                <w:p>
                  <w:pPr>
                    <w:pStyle w:val="Compact"/>
                    <w:jc w:val="both"/>
                    <w:jc w:val="center"/>
                    <w:spacing w:line="360" w:lineRule="auto"/>
                  </w:pPr>
                  <w:r>
                    <w:t xml:space="preserve">0.362</w:t>
                  </w:r>
                </w:p>
              </w:tc>
            </w:tr>
            <w:tr>
              <w:tc>
                <w:tcPr/>
                <w:p>
                  <w:pPr>
                    <w:pStyle w:val="Compact"/>
                    <w:jc w:val="both"/>
                    <w:jc w:val="center"/>
                    <w:spacing w:line="360" w:lineRule="auto"/>
                  </w:pPr>
                  <w:r>
                    <w:t xml:space="preserve">Utilidad para auditoría</w:t>
                  </w:r>
                </w:p>
              </w:tc>
              <w:tc>
                <w:tcPr/>
                <w:p>
                  <w:pPr>
                    <w:pStyle w:val="Compact"/>
                    <w:jc w:val="both"/>
                    <w:jc w:val="center"/>
                    <w:spacing w:line="360" w:lineRule="auto"/>
                  </w:pPr>
                  <w:r>
                    <w:t xml:space="preserve">0.376</w:t>
                  </w:r>
                </w:p>
              </w:tc>
              <w:tc>
                <w:tcPr/>
                <w:p>
                  <w:pPr>
                    <w:pStyle w:val="Compact"/>
                    <w:jc w:val="both"/>
                    <w:jc w:val="center"/>
                    <w:spacing w:line="360" w:lineRule="auto"/>
                  </w:pPr>
                  <w:r>
                    <w:t xml:space="preserve">0.340</w:t>
                  </w:r>
                </w:p>
              </w:tc>
            </w:tr>
            <w:tr>
              <w:tc>
                <w:tcPr/>
                <w:p>
                  <w:pPr>
                    <w:pStyle w:val="Compact"/>
                    <w:jc w:val="both"/>
                    <w:jc w:val="center"/>
                    <w:spacing w:line="360" w:lineRule="auto"/>
                  </w:pPr>
                  <w:r>
                    <w:t xml:space="preserve">Completitud</w:t>
                  </w:r>
                </w:p>
              </w:tc>
              <w:tc>
                <w:tcPr/>
                <w:p>
                  <w:pPr>
                    <w:pStyle w:val="Compact"/>
                    <w:jc w:val="both"/>
                    <w:jc w:val="center"/>
                    <w:spacing w:line="360" w:lineRule="auto"/>
                  </w:pPr>
                  <w:r>
                    <w:t xml:space="preserve">0.585</w:t>
                  </w:r>
                </w:p>
              </w:tc>
              <w:tc>
                <w:tcPr/>
                <w:p>
                  <w:pPr>
                    <w:pStyle w:val="Compact"/>
                    <w:jc w:val="both"/>
                    <w:jc w:val="center"/>
                    <w:spacing w:line="360" w:lineRule="auto"/>
                  </w:pPr>
                  <w:r>
                    <w:t xml:space="preserve">0.566</w:t>
                  </w:r>
                </w:p>
              </w:tc>
            </w:tr>
            <w:tr>
              <w:tc>
                <w:tcPr/>
                <w:p>
                  <w:pPr>
                    <w:pStyle w:val="Compact"/>
                    <w:jc w:val="both"/>
                    <w:jc w:val="center"/>
                    <w:spacing w:line="360" w:lineRule="auto"/>
                  </w:pPr>
                  <w:r>
                    <w:t xml:space="preserve">Plausibilidad semántica</w:t>
                  </w:r>
                </w:p>
              </w:tc>
              <w:tc>
                <w:tcPr/>
                <w:p>
                  <w:pPr>
                    <w:pStyle w:val="Compact"/>
                    <w:jc w:val="both"/>
                    <w:jc w:val="center"/>
                    <w:spacing w:line="360" w:lineRule="auto"/>
                  </w:pPr>
                  <w:r>
                    <w:t xml:space="preserve">0.601</w:t>
                  </w:r>
                </w:p>
              </w:tc>
              <w:tc>
                <w:tcPr/>
                <w:p>
                  <w:pPr>
                    <w:pStyle w:val="Compact"/>
                    <w:jc w:val="both"/>
                    <w:jc w:val="center"/>
                    <w:spacing w:line="360" w:lineRule="auto"/>
                  </w:pPr>
                  <w:r>
                    <w:t xml:space="preserve">0.573</w:t>
                  </w:r>
                </w:p>
              </w:tc>
            </w:tr>
            <w:tr>
              <w:tc>
                <w:tcPr/>
                <w:p>
                  <w:pPr>
                    <w:pStyle w:val="Compact"/>
                    <w:jc w:val="both"/>
                    <w:jc w:val="center"/>
                    <w:spacing w:line="360" w:lineRule="auto"/>
                  </w:pPr>
                  <w:r>
                    <w:t xml:space="preserve">Calidad global</w:t>
                  </w:r>
                </w:p>
              </w:tc>
              <w:tc>
                <w:tcPr/>
                <w:p>
                  <w:pPr>
                    <w:pStyle w:val="Compact"/>
                    <w:jc w:val="both"/>
                    <w:jc w:val="center"/>
                    <w:spacing w:line="360" w:lineRule="auto"/>
                  </w:pPr>
                  <w:r>
                    <w:t xml:space="preserve">0.431</w:t>
                  </w:r>
                </w:p>
              </w:tc>
              <w:tc>
                <w:tcPr/>
                <w:p>
                  <w:pPr>
                    <w:pStyle w:val="Compact"/>
                    <w:jc w:val="both"/>
                    <w:jc w:val="center"/>
                    <w:spacing w:line="360" w:lineRule="auto"/>
                  </w:pPr>
                  <w:r>
                    <w:t xml:space="preserve">0.394</w:t>
                  </w:r>
                </w:p>
              </w:tc>
            </w:tr>
          </w:tbl>
          <w:bookmarkEnd w:id="170"/>
          <w:p>
            <w:pPr>
              <w:spacing w:line="360" w:lineRule="auto"/>
              <w:jc w:val="both"/>
            </w:pPr>
          </w:p>
        </w:tc>
      </w:tr>
    </w:tbl>
    <w:p>
      <w:pPr>
        <w:pStyle w:val="Textoindependiente"/>
        <w:spacing w:line="360" w:lineRule="auto"/>
        <w:jc w:val="both"/>
      </w:pPr>
      <w:r>
        <w:t xml:space="preserve">Las dimensiones con mayor consistencia relativa son Completitud</w:t>
      </w:r>
      <w:r>
        <w:t xml:space="preserve"> </w:t>
      </w:r>
      <w:r>
        <w:t xml:space="preserve">(</w:t>
      </w:r>
      <ns1:oMath>
        <ns1:r>
          <ns1:t>α</ns1:t>
        </ns1:r>
        <ns1:r>
          <ns1:rPr>
            <ns1:sty ns1:val="p"/>
          </ns1:rPr>
          <ns1:t>=</ns1:t>
        </ns1:r>
        <ns1:r>
          <ns1:t>0.566</ns1:t>
        </ns1:r>
      </ns1:oMath>
      <w:r>
        <w:t xml:space="preserve">) y Plausibilidad Semántica (</w:t>
      </w:r>
      <ns1:oMath>
        <ns1:r>
          <ns1:t>α</ns1:t>
        </ns1:r>
        <ns1:r>
          <ns1:rPr>
            <ns1:sty ns1:val="p"/>
          </ns1:rPr>
          <ns1:t>=</ns1:t>
        </ns1:r>
        <ns1:r>
          <ns1:t>0.573</ns1:t>
        </ns1:r>
      </ns1:oMath>
      <w:r>
        <w:t xml:space="preserve">); las de</w:t>
      </w:r>
      <w:r>
        <w:t xml:space="preserve"> </w:t>
      </w:r>
      <w:r>
        <w:t xml:space="preserve">menor consistencia son Claridad (</w:t>
      </w:r>
      <ns1:oMath>
        <ns1:r>
          <ns1:t>α</ns1:t>
        </ns1:r>
        <ns1:r>
          <ns1:rPr>
            <ns1:sty ns1:val="p"/>
          </ns1:rPr>
          <ns1:t>=</ns1:t>
        </ns1:r>
        <ns1:r>
          <ns1:t>0.278</ns1:t>
        </ns1:r>
      </ns1:oMath>
      <w:r>
        <w:t xml:space="preserve">) y Utilidad para auditoría</w:t>
      </w:r>
      <w:r>
        <w:t xml:space="preserve"> </w:t>
      </w:r>
      <w:r>
        <w:t xml:space="preserve">(</w:t>
      </w:r>
      <ns1:oMath>
        <ns1:r>
          <ns1:t>α</ns1:t>
        </ns1:r>
        <ns1:r>
          <ns1:rPr>
            <ns1:sty ns1:val="p"/>
          </ns1:rPr>
          <ns1:t>=</ns1:t>
        </ns1:r>
        <ns1:r>
          <ns1:t>0.340</ns1:t>
        </ns1:r>
      </ns1:oMath>
      <w:r>
        <w:t xml:space="preserve">). Los valores ICC(1,1) entre 0.321 y 0.601 se clasifican</w:t>
      </w:r>
      <w:r>
        <w:t xml:space="preserve"> </w:t>
      </w:r>
      <w:r>
        <w:t xml:space="preserve">como fiabilidad</w:t>
      </w:r>
      <w:r>
        <w:t xml:space="preserve"> </w:t>
      </w:r>
      <w:r>
        <w:rPr>
          <w:i/>
          <w:iCs/>
        </w:rPr>
        <w:t xml:space="preserve">poor</w:t>
      </w:r>
      <w:r>
        <w:t xml:space="preserve"> </w:t>
      </w:r>
      <w:r>
        <w:t xml:space="preserve">a</w:t>
      </w:r>
      <w:r>
        <w:t xml:space="preserve"> </w:t>
      </w:r>
      <w:r>
        <w:rPr>
          <w:i/>
          <w:iCs/>
        </w:rPr>
        <w:t xml:space="preserve">moderate</w:t>
      </w:r>
      <w:r>
        <w:t xml:space="preserve"> </w:t>
      </w:r>
      <w:r>
        <w:t xml:space="preserve">según</w:t>
      </w:r>
      <w:r>
        <w:t xml:space="preserve"> </w:t>
      </w:r>
      <w:r>
        <w:t xml:space="preserve">Koo and Li (2016)</w:t>
      </w:r>
      <w:r>
        <w:t xml:space="preserve">, situándose en todos los</w:t>
      </w:r>
      <w:r>
        <w:t xml:space="preserve"> </w:t>
      </w:r>
      <w:r>
        <w:t xml:space="preserve">casos por debajo de la categoría</w:t>
      </w:r>
      <w:r>
        <w:t xml:space="preserve"> </w:t>
      </w:r>
      <w:r>
        <w:rPr>
          <w:i/>
          <w:iCs/>
        </w:rPr>
        <w:t xml:space="preserve">good</w:t>
      </w:r>
      <w:r>
        <w:t xml:space="preserve">.</w:t>
      </w:r>
    </w:p>
    <w:p>
      <w:pPr>
        <w:pStyle w:val="Textoindependiente"/>
        <w:spacing w:line="360" w:lineRule="auto"/>
        <w:jc w:val="both"/>
      </w:pPr>
      <w:r>
        <w:rPr>
          <w:b/>
          <w:bCs/>
        </w:rPr>
        <w:t xml:space="preserve">Interpretación.</w:t>
      </w:r>
      <w:r>
        <w:t xml:space="preserve"> </w:t>
      </w:r>
      <w:r>
        <w:t xml:space="preserve">La diferencia entre dimensiones de alta y baja consistencia</w:t>
      </w:r>
      <w:r>
        <w:t xml:space="preserve"> </w:t>
      </w:r>
      <w:r>
        <w:t xml:space="preserve">es interpretable: Completitud y Plausibilidad Semántica tienen referentes</w:t>
      </w:r>
      <w:r>
        <w:t xml:space="preserve"> </w:t>
      </w:r>
      <w:r>
        <w:t xml:space="preserve">relativamente objetivos (¿cubre los factores relevantes?, ¿es coherente con el</w:t>
      </w:r>
      <w:r>
        <w:t xml:space="preserve"> </w:t>
      </w:r>
      <w:r>
        <w:t xml:space="preserve">dominio?), mientras que Claridad y Utilidad para auditoría dependen del perfil</w:t>
      </w:r>
      <w:r>
        <w:t xml:space="preserve"> </w:t>
      </w:r>
      <w:r>
        <w:t xml:space="preserve">del destinatario y el contexto de uso, que la rúbrica no especificó. Esto</w:t>
      </w:r>
      <w:r>
        <w:t xml:space="preserve"> </w:t>
      </w:r>
      <w:r>
        <w:t xml:space="preserve">señala un déficit de formalización: el juez no tiene acceso al stakeholder ni</w:t>
      </w:r>
      <w:r>
        <w:t xml:space="preserve"> </w:t>
      </w:r>
      <w:r>
        <w:t xml:space="preserve">al contexto de tarea al calificar, lo que introduce varianza inter-juez evitable.</w:t>
      </w:r>
    </w:p>
    <w:p>
      <w:pPr>
        <w:pStyle w:val="Textoindependiente"/>
        <w:spacing w:line="360" w:lineRule="auto"/>
        <w:jc w:val="both"/>
      </w:pPr>
      <w:r>
        <w:rPr>
          <w:b/>
          <w:bCs/>
        </w:rPr>
        <w:t xml:space="preserve">Consecuencias para el diseño de evaluación semántica.</w:t>
      </w:r>
      <w:r>
        <w:t xml:space="preserve"> </w:t>
      </w:r>
      <w:r>
        <w:t xml:space="preserve">EXP4 confirma</w:t>
      </w:r>
      <w:r>
        <w:t xml:space="preserve"> </w:t>
      </w:r>
      <w:r>
        <w:t xml:space="preserve">cuantitativamente la Brecha 3: los jueces LLM actuales, bajo rúbricas sin</w:t>
      </w:r>
      <w:r>
        <w:t xml:space="preserve"> </w:t>
      </w:r>
      <w:r>
        <w:t xml:space="preserve">especificación de stakeholder ni criterio de corrección explícito, no alcanzan</w:t>
      </w:r>
      <w:r>
        <w:t xml:space="preserve"> </w:t>
      </w:r>
      <w:r>
        <w:t xml:space="preserve">la convergencia necesaria para afirmaciones confirmativas. Esto no clausura la</w:t>
      </w:r>
      <w:r>
        <w:t xml:space="preserve"> </w:t>
      </w:r>
      <w:r>
        <w:t xml:space="preserve">evaluación semántica; establece los requisitos que las rúbricas deben satisfacer:</w:t>
      </w:r>
      <w:r>
        <w:t xml:space="preserve"> </w:t>
      </w:r>
      <w:r>
        <w:t xml:space="preserve">(i) especificación de la necesidad informativa del stakeholder, (ii) definición</w:t>
      </w:r>
      <w:r>
        <w:t xml:space="preserve"> </w:t>
      </w:r>
      <w:r>
        <w:t xml:space="preserve">de un criterio de corrección o referencia verificable, (iii) separación de</w:t>
      </w:r>
      <w:r>
        <w:t xml:space="preserve"> </w:t>
      </w:r>
      <w:r>
        <w:t xml:space="preserve">desiderata secundarios de la dimensión central, y (iv) calibración contra juicios</w:t>
      </w:r>
      <w:r>
        <w:t xml:space="preserve"> </w:t>
      </w:r>
      <w:r>
        <w:t xml:space="preserve">humanos expertos antes del uso confirmativo. Estos requisitos son la</w:t>
      </w:r>
      <w:r>
        <w:t xml:space="preserve"> </w:t>
      </w:r>
      <w:r>
        <w:t xml:space="preserve">operacionalización doctoral de la Brecha 3 y constituyen la agenda de</w:t>
      </w:r>
      <w:r>
        <w:t xml:space="preserve"> </w:t>
      </w:r>
      <w:r>
        <w:t xml:space="preserve">investigación directamente derivada de esta taxonomía.</w:t>
      </w:r>
    </w:p>
    <w:p>
      <w:pPr>
        <w:pStyle w:val="Textoindependiente"/>
        <w:spacing w:line="360" w:lineRule="auto"/>
        <w:jc w:val="both"/>
      </w:pPr>
      <w:r>
        <w:t xml:space="preserve">Este capítulo ha establecido la tercera contribución doctoral: una taxonomía de</w:t>
      </w:r>
      <w:r>
        <w:t xml:space="preserve"> </w:t>
      </w:r>
      <w:r>
        <w:t xml:space="preserve">cuatro ejes que organiza el espacio de métricas XAI, localiza las cinco métricas</w:t>
      </w:r>
      <w:r>
        <w:t xml:space="preserve"> </w:t>
      </w:r>
      <w:r>
        <w:t xml:space="preserve">del benchmark en su cuadrante correspondiente y hace explícito el alcance</w:t>
      </w:r>
      <w:r>
        <w:t xml:space="preserve"> </w:t>
      </w:r>
      <w:r>
        <w:t xml:space="preserve">inferencial de cada una. La consecuencia teórica de esta revisión es que la</w:t>
      </w:r>
      <w:r>
        <w:t xml:space="preserve"> </w:t>
      </w:r>
      <w:r>
        <w:t xml:space="preserve">evaluación XAI no puede reducirse a un único criterio ni generalizarse a</w:t>
      </w:r>
      <w:r>
        <w:t xml:space="preserve"> </w:t>
      </w:r>
      <w:r>
        <w:t xml:space="preserve">dominios de usuario sin evidencia adicional: cada métrica responde a una</w:t>
      </w:r>
      <w:r>
        <w:t xml:space="preserve"> </w:t>
      </w:r>
      <w:r>
        <w:t xml:space="preserve">pregunta específica sobre un tipo de objeto explicativo en un contexto de uso</w:t>
      </w:r>
      <w:r>
        <w:t xml:space="preserve"> </w:t>
      </w:r>
      <w:r>
        <w:t xml:space="preserve">determinado. El Capítulo 6 cierra la tesis sintetizando las tres contribuciones,</w:t>
      </w:r>
      <w:r>
        <w:t xml:space="preserve"> </w:t>
      </w:r>
      <w:r>
        <w:t xml:space="preserve">posicionándolas respecto a la literatura más cercana, reconociendo las</w:t>
      </w:r>
      <w:r>
        <w:t xml:space="preserve"> </w:t>
      </w:r>
      <w:r>
        <w:t xml:space="preserve">limitaciones con precisión y trazando las líneas de investigación futura que</w:t>
      </w:r>
      <w:r>
        <w:t xml:space="preserve"> </w:t>
      </w:r>
      <w:r>
        <w:t xml:space="preserve">emergen directamente de los hallazgos y las fronteras de la taxonomía.</w:t>
      </w:r>
    </w:p>
    <w:bookmarkEnd w:id="171"/>
    <w:bookmarkEnd w:id="172"/>
    <w:bookmarkStart w:id="188" w:name="conclusiones"/>
    <w:p>
      <w:pPr>
        <w:pStyle w:val="Ttulo1"/>
        <w:spacing w:line="360" w:lineRule="auto"/>
        <w:jc w:val="both"/>
      </w:pPr>
      <w:r>
        <w:t xml:space="preserve">Conclusiones</w:t>
      </w:r>
    </w:p>
    <w:p>
      <w:pPr>
        <w:pStyle w:val="FirstParagraph"/>
        <w:spacing w:line="360" w:lineRule="auto"/>
        <w:jc w:val="both"/>
      </w:pPr>
      <w:r>
        <w:t xml:space="preserve">Esta tesis parte de una constatación empírica recurrente en la literatura: el</w:t>
      </w:r>
      <w:r>
        <w:t xml:space="preserve"> </w:t>
      </w:r>
      <w:r>
        <w:t xml:space="preserve">campo de la evaluación de métodos XAI carece de marcos operativos que conecten</w:t>
      </w:r>
      <w:r>
        <w:t xml:space="preserve"> </w:t>
      </w:r>
      <w:r>
        <w:t xml:space="preserve">la ejecución experimental con la inferencia estadística admisible</w:t>
      </w:r>
      <w:r>
        <w:t xml:space="preserve"> </w:t>
      </w:r>
      <w:r>
        <w:t xml:space="preserve">(Pawlicki et al. 2024; Abdul Kadir et al. 2023; Canha et al. 2025)</w:t>
      </w:r>
      <w:r>
        <w:t xml:space="preserve">. El problema no es la ausencia de</w:t>
      </w:r>
      <w:r>
        <w:t xml:space="preserve"> </w:t>
      </w:r>
      <w:r>
        <w:t xml:space="preserve">métricas —se han identificado más de noventa constructos distintos</w:t>
      </w:r>
      <w:r>
        <w:t xml:space="preserve"> </w:t>
      </w:r>
      <w:r>
        <w:t xml:space="preserve">(Pawlicki et al. 2024)</w:t>
      </w:r>
      <w:r>
        <w:t xml:space="preserve">— sino la fragmentación conceptual y la falta de vinculación</w:t>
      </w:r>
      <w:r>
        <w:t xml:space="preserve"> </w:t>
      </w:r>
      <w:r>
        <w:t xml:space="preserve">auditable entre diseño experimental, artefactos de resultado y afirmaciones</w:t>
      </w:r>
      <w:r>
        <w:t xml:space="preserve"> </w:t>
      </w:r>
      <w:r>
        <w:t xml:space="preserve">inferenciales. Esta tesis responde a ese problema con tres contribuciones</w:t>
      </w:r>
      <w:r>
        <w:t xml:space="preserve"> </w:t>
      </w:r>
      <w:r>
        <w:t xml:space="preserve">articuladas: la secuencia operativa FOM-7, un benchmark multi-métrico sobre</w:t>
      </w:r>
      <w:r>
        <w:t xml:space="preserve"> </w:t>
      </w:r>
      <w:r>
        <w:t xml:space="preserve">datos tabulares reales y una taxonomía del espacio de métricas de evaluación XAI.</w:t>
      </w:r>
    </w:p>
    <w:bookmarkStart w:id="175" w:name="sec-respuesta"/>
    <w:p>
      <w:pPr>
        <w:pStyle w:val="Ttulo2"/>
        <w:spacing w:line="360" w:lineRule="auto"/>
        <w:jc w:val="both"/>
      </w:pPr>
      <w:r>
        <w:t xml:space="preserve">Respuesta al problema de investigación e hipótesis</w:t>
      </w:r>
    </w:p>
    <w:p>
      <w:pPr>
        <w:pStyle w:val="FirstParagraph"/>
        <w:spacing w:line="360" w:lineRule="auto"/>
        <w:jc w:val="both"/>
      </w:pPr>
      <w:r>
        <w:t xml:space="preserve">El problema de investigación formulado en el Capítulo 1 pregunta:</w:t>
      </w:r>
      <w:r>
        <w:t xml:space="preserve"> </w:t>
      </w:r>
      <w:r>
        <w:rPr>
          <w:i/>
          <w:iCs/>
        </w:rPr>
        <w:t xml:space="preserve">¿En qué</w:t>
      </w:r>
      <w:r>
        <w:rPr>
          <w:i/>
          <w:iCs/>
        </w:rPr>
        <w:t xml:space="preserve"> </w:t>
      </w:r>
      <w:r>
        <w:rPr>
          <w:i/>
          <w:iCs/>
        </w:rPr>
        <w:t xml:space="preserve">medida difieren los métodos de explicabilidad agnósticos al modelo en un</w:t>
      </w:r>
      <w:r>
        <w:rPr>
          <w:i/>
          <w:iCs/>
        </w:rPr>
        <w:t xml:space="preserve"> </w:t>
      </w:r>
      <w:r>
        <w:rPr>
          <w:i/>
          <w:iCs/>
        </w:rPr>
        <w:t xml:space="preserve">conjunto multidimensional de métricas de calidad bajo condiciones de</w:t>
      </w:r>
      <w:r>
        <w:rPr>
          <w:i/>
          <w:iCs/>
        </w:rPr>
        <w:t xml:space="preserve"> </w:t>
      </w:r>
      <w:r>
        <w:rPr>
          <w:i/>
          <w:iCs/>
        </w:rPr>
        <w:t xml:space="preserve">benchmarking controladas y reproducibles, y qué criterios técnicos permiten</w:t>
      </w:r>
      <w:r>
        <w:rPr>
          <w:i/>
          <w:iCs/>
        </w:rPr>
        <w:t xml:space="preserve"> </w:t>
      </w:r>
      <w:r>
        <w:rPr>
          <w:i/>
          <w:iCs/>
        </w:rPr>
        <w:t xml:space="preserve">orientar su selección en función de los objetivos operativos?</w:t>
      </w:r>
    </w:p>
    <w:p>
      <w:pPr>
        <w:pStyle w:val="Textoindependiente"/>
        <w:spacing w:line="360" w:lineRule="auto"/>
        <w:jc w:val="both"/>
      </w:pPr>
      <w:r>
        <w:t xml:space="preserve">Los resultados del benchmark responden esta pregunta con precisión</w:t>
      </w:r>
      <w:r>
        <w:t xml:space="preserve"> </w:t>
      </w:r>
      <w:r>
        <w:t xml:space="preserve">cuantitativa. Las diferencias entre métodos son grandes, consistentes y</w:t>
      </w:r>
      <w:r>
        <w:t xml:space="preserve"> </w:t>
      </w:r>
      <w:r>
        <w:t xml:space="preserve">estadísticamente robustas bajo el protocolo FOM-7. La respuesta directa es:</w:t>
      </w:r>
      <w:r>
        <w:t xml:space="preserve"> </w:t>
      </w:r>
      <w:r>
        <w:rPr>
          <w:b/>
          <w:bCs/>
        </w:rPr>
        <w:t xml:space="preserve">SHAP presenta el mejor perfil de fidelidad y estabilidad en los contextos</w:t>
      </w:r>
      <w:r>
        <w:rPr>
          <w:b/>
          <w:bCs/>
        </w:rPr>
        <w:t xml:space="preserve"> </w:t>
      </w:r>
      <w:r>
        <w:rPr>
          <w:b/>
          <w:bCs/>
        </w:rPr>
        <w:t xml:space="preserve">modelo-muestra evaluados; LIME es una alternativa cuando el coste computacional</w:t>
      </w:r>
      <w:r>
        <w:rPr>
          <w:b/>
          <w:bCs/>
        </w:rPr>
        <w:t xml:space="preserve"> </w:t>
      </w:r>
      <w:r>
        <w:rPr>
          <w:b/>
          <w:bCs/>
        </w:rPr>
        <w:t xml:space="preserve">es crítico, con la condición de aceptar explicaciones inestables; Anchors y</w:t>
      </w:r>
      <w:r>
        <w:rPr>
          <w:b/>
          <w:bCs/>
        </w:rPr>
        <w:t xml:space="preserve"> </w:t>
      </w:r>
      <w:r>
        <w:rPr>
          <w:b/>
          <w:bCs/>
        </w:rPr>
        <w:t xml:space="preserve">DiCE atienden objetivos explicativos cualitativamente distintos que las métricas</w:t>
      </w:r>
      <w:r>
        <w:rPr>
          <w:b/>
          <w:bCs/>
        </w:rPr>
        <w:t xml:space="preserve"> </w:t>
      </w:r>
      <w:r>
        <w:rPr>
          <w:b/>
          <w:bCs/>
        </w:rPr>
        <w:t xml:space="preserve">de atribución no capturan plenamente.</w:t>
      </w:r>
      <w:r>
        <w:t xml:space="preserve"> </w:t>
      </w:r>
      <w:r>
        <w:t xml:space="preserve">Esta orientación es robusta: emerge de</w:t>
      </w:r>
      <w:r>
        <w:t xml:space="preserve"> </w:t>
      </w:r>
      <w:r>
        <w:t xml:space="preserve">275 artefactos calificados,</w:t>
      </w:r>
      <w:r>
        <w:t xml:space="preserve"> </w:t>
      </w:r>
      <w:r>
        <w:t xml:space="preserve">se replica a través de cinco modelos, cinco semillas y tres tamaños de muestra,</w:t>
      </w:r>
      <w:r>
        <w:t xml:space="preserve"> </w:t>
      </w:r>
      <w:r>
        <w:t xml:space="preserve">y es resistente al 8.3% de datos ausentes del diseño.</w:t>
      </w:r>
    </w:p>
    <w:p>
      <w:pPr>
        <w:pStyle w:val="Textoindependiente"/>
        <w:spacing w:line="360" w:lineRule="auto"/>
        <w:jc w:val="both"/>
      </w:pPr>
      <w:r>
        <w:t xml:space="preserve">La resolución formal de las hipótesis y objetivos se sintetiza en la tabla</w:t>
      </w:r>
      <w:r>
        <w:t xml:space="preserve"> </w:t>
      </w:r>
      <w:r>
        <w:t xml:space="preserve">siguiente:</w:t>
      </w:r>
    </w:p>
    <w:tbl>
      <w:tblPr>
        <w:tblStyle w:val="Table"/>
        <w:tblW w:type="pct" w:w="5000"/>
        <w:tblLayout w:type="fixed"/>
        <w:tblLook w:firstRow="0" w:lastRow="0" w:firstColumn="0" w:lastColumn="0" w:noHBand="0" w:noVBand="0" w:val="0000"/>
      </w:tblPr>
      <w:tblGrid>
        <w:gridCol w:w="7920"/>
      </w:tblGrid>
      <w:tr>
        <w:tc>
          <w:tcPr/>
          <w:bookmarkStart w:id="173" w:name="tbl-hipotesis"/>
          <w:p>
            <w:pPr>
              <w:jc w:val="both"/>
              <w:spacing w:line="360" w:lineRule="auto"/>
            </w:pPr>
            <w:pPr>
              <w:jc w:val="left"/>
              <w:spacing w:before="200"/>
              <w:pStyle w:val="ImageCaption"/>
            </w:pPr>
            <w:r>
              <w:t xml:space="preserve">Table 7.1: Síntesis de hipótesis y proposiciones de trabajo.</w:t>
            </w:r>
          </w:p>
          <w:tbl>
            <w:tblPr>
              <w:tblStyle w:val="Table"/>
              <w:tblW w:type="pct" w:w="5000"/>
              <w:tblLayout w:type="fixed"/>
              <w:tblLook w:firstRow="1" w:lastRow="0" w:firstColumn="0" w:lastColumn="0" w:noHBand="0" w:noVBand="0" w:val="0020"/>
            </w:tblPr>
            <w:tblGrid>
              <w:gridCol w:w="3600"/>
              <w:gridCol w:w="1584"/>
              <w:gridCol w:w="2736"/>
            </w:tblGrid>
            <w:tr>
              <w:trPr>
                <w:tblHeader w:val="on"/>
              </w:trPr>
              <w:tc>
                <w:tcPr/>
                <w:p>
                  <w:pPr>
                    <w:pStyle w:val="Compact"/>
                    <w:jc w:val="both"/>
                    <w:spacing w:line="360" w:lineRule="auto"/>
                  </w:pPr>
                  <w:r>
                    <w:t xml:space="preserve">Hipótesis / Proposición</w:t>
                  </w:r>
                </w:p>
              </w:tc>
              <w:tc>
                <w:tcPr/>
                <w:p>
                  <w:pPr>
                    <w:pStyle w:val="Compact"/>
                    <w:jc w:val="both"/>
                    <w:spacing w:line="360" w:lineRule="auto"/>
                  </w:pPr>
                  <w:r>
                    <w:t xml:space="preserve">Resultado</w:t>
                  </w:r>
                </w:p>
              </w:tc>
              <w:tc>
                <w:tcPr/>
                <w:p>
                  <w:pPr>
                    <w:pStyle w:val="Compact"/>
                    <w:jc w:val="both"/>
                    <w:spacing w:line="360" w:lineRule="auto"/>
                  </w:pPr>
                  <w:r>
                    <w:t xml:space="preserve">Estadístico clave</w:t>
                  </w:r>
                </w:p>
              </w:tc>
            </w:tr>
            <w:tr>
              <w:tc>
                <w:tcPr/>
                <w:p>
                  <w:pPr>
                    <w:pStyle w:val="Compact"/>
                    <w:jc w:val="both"/>
                    <w:spacing w:line="360" w:lineRule="auto"/>
                  </w:pPr>
                  <w:r>
                    <w:t xml:space="preserve">H1: diferencias en fidelidad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42.12</ns1:t>
                    </ns1:r>
                  </ns1:oMath>
                  <w:r>
                    <w:t xml:space="preserve">; margen 439%</w:t>
                  </w:r>
                </w:p>
              </w:tc>
            </w:tr>
            <w:tr>
              <w:tc>
                <w:tcPr/>
                <w:p>
                  <w:pPr>
                    <w:pStyle w:val="Compact"/>
                    <w:jc w:val="both"/>
                    <w:spacing w:line="360" w:lineRule="auto"/>
                  </w:pPr>
                  <w:r>
                    <w:t xml:space="preserve">H2: diferencias en estabilidad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40.68</ns1:t>
                    </ns1:r>
                  </ns1:oMath>
                  <w:r>
                    <w:t xml:space="preserve">; margen 421%</w:t>
                  </w:r>
                </w:p>
              </w:tc>
            </w:tr>
            <w:tr>
              <w:tc>
                <w:tcPr/>
                <w:p>
                  <w:pPr>
                    <w:pStyle w:val="Compact"/>
                    <w:jc w:val="both"/>
                    <w:spacing w:line="360" w:lineRule="auto"/>
                  </w:pPr>
                  <w:r>
                    <w:t xml:space="preserve">H3: SHAP-LIME difieren en calidad y coste</w:t>
                  </w:r>
                </w:p>
              </w:tc>
              <w:tc>
                <w:tcPr/>
                <w:p>
                  <w:pPr>
                    <w:pStyle w:val="Compact"/>
                    <w:jc w:val="both"/>
                    <w:spacing w:line="360" w:lineRule="auto"/>
                  </w:pPr>
                  <w:r>
                    <w:rPr>
                      <w:b/>
                      <w:bCs/>
                    </w:rPr>
                    <w:t xml:space="preserve">Confirmada</w:t>
                  </w:r>
                </w:p>
              </w:tc>
              <w:tc>
                <w:tcPr/>
                <w:p>
                  <w:pPr>
                    <w:pStyle w:val="Compact"/>
                    <w:jc w:val="both"/>
                    <w:spacing w:line="360" w:lineRule="auto"/>
                  </w:pPr>
                  <ns1:oMath>
                    <ns1:sSub>
                      <ns1:e>
                        <ns1:r>
                          <ns1:t>d</ns1:t>
                        </ns1:r>
                      </ns1:e>
                      <ns1:sub>
                        <ns1:r>
                          <ns1:t>z</ns1:t>
                        </ns1:r>
                      </ns1:sub>
                    </ns1:sSub>
                    <ns1:r>
                      <ns1:rPr>
                        <ns1:sty ns1:val="p"/>
                      </ns1:rPr>
                      <ns1:t>=</ns1:t>
                    </ns1:r>
                    <ns1:r>
                      <ns1:rPr>
                        <ns1:sty ns1:val="p"/>
                      </ns1:rPr>
                      <ns1:t>+</ns1:t>
                    </ns1:r>
                    <ns1:r>
                      <ns1:t>4.82</ns1:t>
                    </ns1:r>
                  </ns1:oMath>
                  <w:r>
                    <w:t xml:space="preserve"> </w:t>
                  </w:r>
                  <w:r>
                    <w:t xml:space="preserve">(fidelidad);</w:t>
                  </w:r>
                  <w:r>
                    <w:t xml:space="preserve"> </w:t>
                  </w:r>
                  <ns1:oMath>
                    <ns1:sSub>
                      <ns1:e>
                        <ns1:r>
                          <ns1:t>d</ns1:t>
                        </ns1:r>
                      </ns1:e>
                      <ns1:sub>
                        <ns1:r>
                          <ns1:t>z</ns1:t>
                        </ns1:r>
                      </ns1:sub>
                    </ns1:sSub>
                    <ns1:r>
                      <ns1:rPr>
                        <ns1:sty ns1:val="p"/>
                      </ns1:rPr>
                      <ns1:t>=</ns1:t>
                    </ns1:r>
                    <ns1:r>
                      <ns1:rPr>
                        <ns1:sty ns1:val="p"/>
                      </ns1:rPr>
                      <ns1:t>+</ns1:t>
                    </ns1:r>
                    <ns1:r>
                      <ns1:t>3.00</ns1:t>
                    </ns1:r>
                  </ns1:oMath>
                  <w:r>
                    <w:t xml:space="preserve"> </w:t>
                  </w:r>
                  <w:r>
                    <w:t xml:space="preserve">(estabilidad); 75/75 positivas</w:t>
                  </w:r>
                </w:p>
              </w:tc>
            </w:tr>
            <w:tr>
              <w:tc>
                <w:tcPr/>
                <w:p>
                  <w:pPr>
                    <w:pStyle w:val="Compact"/>
                    <w:jc w:val="both"/>
                    <w:spacing w:line="360" w:lineRule="auto"/>
                  </w:pPr>
                  <w:r>
                    <w:t xml:space="preserve">P1: CV &lt; 15% en métricas primarias</w:t>
                  </w:r>
                </w:p>
              </w:tc>
              <w:tc>
                <w:tcPr/>
                <w:p>
                  <w:pPr>
                    <w:pStyle w:val="Compact"/>
                    <w:jc w:val="both"/>
                    <w:spacing w:line="360" w:lineRule="auto"/>
                  </w:pPr>
                  <w:r>
                    <w:rPr>
                      <w:b/>
                      <w:bCs/>
                    </w:rPr>
                    <w:t xml:space="preserve">Parcialmente confirmada</w:t>
                  </w:r>
                </w:p>
              </w:tc>
              <w:tc>
                <w:tcPr/>
                <w:p>
                  <w:pPr>
                    <w:pStyle w:val="Compact"/>
                    <w:jc w:val="both"/>
                    <w:spacing w:line="360" w:lineRule="auto"/>
                  </w:pPr>
                  <w:r>
                    <w:t xml:space="preserve">SHAP-fidelidad: CV=0.8%; LIME-estabilidad: CV=86.2% (incoherencia estructural, no ruido del protocolo)</w:t>
                  </w:r>
                </w:p>
              </w:tc>
            </w:tr>
            <w:tr>
              <w:tc>
                <w:tcPr/>
                <w:p>
                  <w:pPr>
                    <w:pStyle w:val="Compact"/>
                    <w:jc w:val="both"/>
                    <w:spacing w:line="360" w:lineRule="auto"/>
                  </w:pPr>
                  <w:r>
                    <w:t xml:space="preserve">P2 (exploratoria, declarada en el Capítulo 1): Jueces LLM alcanzan fiabilidad aceptable en evaluación semántica XAI</w:t>
                  </w:r>
                </w:p>
              </w:tc>
              <w:tc>
                <w:tcPr/>
                <w:p>
                  <w:pPr>
                    <w:pStyle w:val="Compact"/>
                    <w:jc w:val="both"/>
                    <w:spacing w:line="360" w:lineRule="auto"/>
                  </w:pPr>
                  <w:r>
                    <w:rPr>
                      <w:b/>
                      <w:bCs/>
                    </w:rPr>
                    <w:t xml:space="preserve">No confirmada (resultado negativo)</w:t>
                  </w:r>
                </w:p>
              </w:tc>
              <w:tc>
                <w:tcPr/>
                <w:p>
                  <w:pPr>
                    <w:pStyle w:val="Compact"/>
                    <w:jc w:val="both"/>
                    <w:spacing w:line="360" w:lineRule="auto"/>
                  </w:pPr>
                  <w:r>
                    <w:t xml:space="preserve">ICC(1,1) entre 0.321 y 0.601; ninguna dimensión alcanza umbral</w:t>
                  </w:r>
                  <w:r>
                    <w:t xml:space="preserve"> </w:t>
                  </w:r>
                  <ns1:oMath>
                    <ns1:r>
                      <ns1:rPr>
                        <ns1:sty ns1:val="p"/>
                      </ns1:rPr>
                      <ns1:t>≥</ns1:t>
                    </ns1:r>
                    <ns1:r>
                      <ns1:t>0.75</ns1:t>
                    </ns1:r>
                  </ns1:oMath>
                  <w:r>
                    <w:t xml:space="preserve"> </w:t>
                  </w:r>
                  <w:r>
                    <w:t xml:space="preserve">(EXP4,</w:t>
                  </w:r>
                  <w:r>
                    <w:t xml:space="preserve"> </w:t>
                  </w:r>
                  <ns1:oMath>
                    <ns1:r>
                      <ns1:t>n</ns1:t>
                    </ns1:r>
                    <ns1:r>
                      <ns1:rPr>
                        <ns1:sty ns1:val="p"/>
                      </ns1:rPr>
                      <ns1:t>=</ns1:t>
                    </ns1:r>
                    <ns1:r>
                      <ns1:t>147</ns1:t>
                    </ns1:r>
                  </ns1:oMath>
                  <w:r>
                    <w:t xml:space="preserve">, 3 jueces)</w:t>
                  </w:r>
                </w:p>
              </w:tc>
            </w:tr>
          </w:tbl>
          <w:bookmarkEnd w:id="173"/>
          <w:p>
            <w:pPr>
              <w:spacing w:line="360" w:lineRule="auto"/>
              <w:jc w:val="both"/>
            </w:pPr>
          </w:p>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74" w:name="tbl-objetivos"/>
          <w:p>
            <w:pPr>
              <w:jc w:val="both"/>
              <w:spacing w:line="360" w:lineRule="auto"/>
            </w:pPr>
            <w:pPr>
              <w:jc w:val="left"/>
              <w:spacing w:before="200"/>
              <w:pStyle w:val="ImageCaption"/>
            </w:pPr>
            <w:r>
              <w:t xml:space="preserve">Table 7.2: Cierre de objetivos específicos.</w:t>
            </w:r>
          </w:p>
          <w:tbl>
            <w:tblPr>
              <w:tblStyle w:val="Table"/>
              <w:tblW w:type="pct" w:w="5000"/>
              <w:tblLayout w:type="fixed"/>
              <w:tblLook w:firstRow="1" w:lastRow="0" w:firstColumn="0" w:lastColumn="0" w:noHBand="0" w:noVBand="0" w:val="0020"/>
            </w:tblPr>
            <w:tblGrid>
              <w:gridCol w:w="5735"/>
              <w:gridCol w:w="2184"/>
            </w:tblGrid>
            <w:tr>
              <w:trPr>
                <w:tblHeader w:val="on"/>
              </w:trPr>
              <w:tc>
                <w:tcPr/>
                <w:p>
                  <w:pPr>
                    <w:pStyle w:val="Compact"/>
                    <w:jc w:val="both"/>
                    <w:spacing w:line="360" w:lineRule="auto"/>
                  </w:pPr>
                  <w:r>
                    <w:t xml:space="preserve">Objetivo específico</w:t>
                  </w:r>
                </w:p>
              </w:tc>
              <w:tc>
                <w:tcPr/>
                <w:p>
                  <w:pPr>
                    <w:pStyle w:val="Compact"/>
                    <w:jc w:val="both"/>
                    <w:spacing w:line="360" w:lineRule="auto"/>
                  </w:pPr>
                  <w:r>
                    <w:t xml:space="preserve">Estado</w:t>
                  </w:r>
                </w:p>
              </w:tc>
            </w:tr>
            <w:tr>
              <w:tc>
                <w:tcPr/>
                <w:p>
                  <w:pPr>
                    <w:pStyle w:val="Compact"/>
                    <w:jc w:val="both"/>
                    <w:spacing w:line="360" w:lineRule="auto"/>
                  </w:pPr>
                  <w:r>
                    <w:t xml:space="preserve">OE1 — Formalizar protocolo FOM-7</w:t>
                  </w:r>
                </w:p>
              </w:tc>
              <w:tc>
                <w:tcPr/>
                <w:p>
                  <w:pPr>
                    <w:pStyle w:val="Compact"/>
                    <w:jc w:val="both"/>
                    <w:spacing w:line="360" w:lineRule="auto"/>
                  </w:pPr>
                  <w:r>
                    <w:t xml:space="preserve">Completado. El protocolo opera como secuencia de 7 puertas y produjo 275 artefactos calificados con trazabilidad completa.</w:t>
                  </w:r>
                </w:p>
              </w:tc>
            </w:tr>
            <w:tr>
              <w:tc>
                <w:tcPr/>
                <w:p>
                  <w:pPr>
                    <w:pStyle w:val="Compact"/>
                    <w:jc w:val="both"/>
                    <w:spacing w:line="360" w:lineRule="auto"/>
                  </w:pPr>
                  <w:r>
                    <w:t xml:space="preserve">OE2 — Evaluar SHAP, LIME, Anchors, DiCE sobre 5 modelos</w:t>
                  </w:r>
                </w:p>
              </w:tc>
              <w:tc>
                <w:tcPr/>
                <w:p>
                  <w:pPr>
                    <w:pStyle w:val="Compact"/>
                    <w:jc w:val="both"/>
                    <w:spacing w:line="360" w:lineRule="auto"/>
                  </w:pPr>
                  <w:r>
                    <w:t xml:space="preserve">Completado. Benchmark multi-métrico sobre UCI Adult Income con 5 métricas primarias.</w:t>
                  </w:r>
                </w:p>
              </w:tc>
            </w:tr>
            <w:tr>
              <w:tc>
                <w:tcPr/>
                <w:p>
                  <w:pPr>
                    <w:pStyle w:val="Compact"/>
                    <w:jc w:val="both"/>
                    <w:spacing w:line="360" w:lineRule="auto"/>
                  </w:pPr>
                  <w:r>
                    <w:t xml:space="preserve">OE3 — Cuantificar la relación calidad-coste SHAP-LIME</w:t>
                  </w:r>
                </w:p>
              </w:tc>
              <w:tc>
                <w:tcPr/>
                <w:p>
                  <w:pPr>
                    <w:pStyle w:val="Compact"/>
                    <w:jc w:val="both"/>
                    <w:spacing w:line="360" w:lineRule="auto"/>
                  </w:pPr>
                  <w:r>
                    <w:t xml:space="preserve">Completado. Análisis pareado sobre 75 celdas coincidentes con corrección de multiplicidad Holm-Bonferroni.</w:t>
                  </w:r>
                </w:p>
              </w:tc>
            </w:tr>
            <w:tr>
              <w:tc>
                <w:tcPr/>
                <w:p>
                  <w:pPr>
                    <w:pStyle w:val="Compact"/>
                    <w:jc w:val="both"/>
                    <w:spacing w:line="360" w:lineRule="auto"/>
                  </w:pPr>
                  <w:r>
                    <w:t xml:space="preserve">OE4 — Caracterizar reproducibilidad del protocolo</w:t>
                  </w:r>
                </w:p>
              </w:tc>
              <w:tc>
                <w:tcPr/>
                <w:p>
                  <w:pPr>
                    <w:pStyle w:val="Compact"/>
                    <w:jc w:val="both"/>
                    <w:spacing w:line="360" w:lineRule="auto"/>
                  </w:pPr>
                  <w:r>
                    <w:t xml:space="preserve">Completado. CV &lt; 3% en fidelidad para el subgrupo replicado RF/</w:t>
                  </w:r>
                  <ns1:oMath>
                    <ns1:r>
                      <ns1:t>N</ns1:t>
                    </ns1:r>
                    <ns1:r>
                      <ns1:rPr>
                        <ns1:sty ns1:val="p"/>
                      </ns1:rPr>
                      <ns1:t>=</ns1:t>
                    </ns1:r>
                    <ns1:r>
                      <ns1:t>100</ns1:t>
                    </ns1:r>
                  </ns1:oMath>
                  <w:r>
                    <w:t xml:space="preserve"> </w:t>
                  </w:r>
                  <w:r>
                    <w:t xml:space="preserve">y CV agrupado de 11.4% (SHAP) y 12.0% (LIME) sobre el conjunto completo de ejecuciones, todos por debajo del umbral del 15% de P1; variabilidad del coste inherente a la heterogeneidad del hardware.</w:t>
                  </w:r>
                </w:p>
              </w:tc>
            </w:tr>
            <w:tr>
              <w:tc>
                <w:tcPr/>
                <w:p>
                  <w:pPr>
                    <w:pStyle w:val="Compact"/>
                    <w:jc w:val="both"/>
                    <w:spacing w:line="360" w:lineRule="auto"/>
                  </w:pPr>
                  <w:r>
                    <w:t xml:space="preserve">OE5 — Construir taxonomía estructurada</w:t>
                  </w:r>
                </w:p>
              </w:tc>
              <w:tc>
                <w:tcPr/>
                <w:p>
                  <w:pPr>
                    <w:pStyle w:val="Compact"/>
                    <w:jc w:val="both"/>
                    <w:spacing w:line="360" w:lineRule="auto"/>
                  </w:pPr>
                  <w:r>
                    <w:t xml:space="preserve">Completado. Véase el Capítulo 5.</w:t>
                  </w:r>
                </w:p>
              </w:tc>
            </w:tr>
            <w:tr>
              <w:tc>
                <w:tcPr/>
                <w:p>
                  <w:pPr>
                    <w:pStyle w:val="Compact"/>
                    <w:jc w:val="both"/>
                    <w:spacing w:line="360" w:lineRule="auto"/>
                  </w:pPr>
                  <w:r>
                    <w:t xml:space="preserve">OE6 — Cuantificar fiabilidad de evaluadores semánticos LLM (objetivo exploratorio, derivado de la Brecha 3)</w:t>
                  </w:r>
                </w:p>
              </w:tc>
              <w:tc>
                <w:tcPr/>
                <w:p>
                  <w:pPr>
                    <w:pStyle w:val="Compact"/>
                    <w:jc w:val="both"/>
                    <w:spacing w:line="360" w:lineRule="auto"/>
                  </w:pPr>
                  <w:r>
                    <w:t xml:space="preserve">Completado (resultado negativo). EXP4: ICC(1,1) entre 0.321 y 0.601 en 7 dimensiones; ninguna alcanza umbral</w:t>
                  </w:r>
                  <w:r>
                    <w:t xml:space="preserve"> </w:t>
                  </w:r>
                  <ns1:oMath>
                    <ns1:r>
                      <ns1:rPr>
                        <ns1:sty ns1:val="p"/>
                      </ns1:rPr>
                      <ns1:t>≥</ns1:t>
                    </ns1:r>
                    <ns1:r>
                      <ns1:t>0.75</ns1:t>
                    </ns1:r>
                  </ns1:oMath>
                  <w:r>
                    <w:t xml:space="preserve">. Véase §sec-exp4-fiabilidad.</w:t>
                  </w:r>
                </w:p>
              </w:tc>
            </w:tr>
          </w:tbl>
          <w:bookmarkEnd w:id="174"/>
          <w:p>
            <w:pPr>
              <w:spacing w:line="360" w:lineRule="auto"/>
              <w:jc w:val="both"/>
            </w:pPr>
          </w:p>
        </w:tc>
      </w:tr>
    </w:tbl>
    <w:bookmarkEnd w:id="175"/>
    <w:bookmarkStart w:id="179" w:name="sec-contribuciones"/>
    <w:p>
      <w:pPr>
        <w:pStyle w:val="Ttulo2"/>
        <w:spacing w:line="360" w:lineRule="auto"/>
        <w:jc w:val="both"/>
      </w:pPr>
      <w:r>
        <w:t xml:space="preserve">Contribuciones científicas</w:t>
      </w:r>
    </w:p>
    <w:bookmarkStart w:id="176" w:name="X2e7af289f3df14f7e31f2445fc83a79cfc8b431"/>
    <w:p>
      <w:pPr>
        <w:pStyle w:val="Ttulo3"/>
        <w:spacing w:line="360" w:lineRule="auto"/>
        <w:jc w:val="both"/>
      </w:pPr>
      <w:r>
        <w:t xml:space="preserve">Contribución metodológica: protocolo FOM-7</w:t>
      </w:r>
    </w:p>
    <w:p>
      <w:pPr>
        <w:pStyle w:val="FirstParagraph"/>
        <w:spacing w:line="360" w:lineRule="auto"/>
        <w:jc w:val="both"/>
      </w:pPr>
      <w:r>
        <w:t xml:space="preserve">El protocolo FOM-7 (</w:t>
      </w:r>
      <w:r>
        <w:rPr>
          <w:i/>
          <w:iCs/>
        </w:rPr>
        <w:t xml:space="preserve">Framework Operation Method</w:t>
      </w:r>
      <w:r>
        <w:t xml:space="preserve">, siete puertas) formaliza los</w:t>
      </w:r>
      <w:r>
        <w:t xml:space="preserve"> </w:t>
      </w:r>
      <w:r>
        <w:t xml:space="preserve">requisitos de benchmarking reproducible identificados en la literatura</w:t>
      </w:r>
      <w:r>
        <w:t xml:space="preserve"> </w:t>
      </w:r>
      <w:r>
        <w:t xml:space="preserve">(Canha et al. 2025; Agarwal et al. 2022; Hedström et al. 2023)</w:t>
      </w:r>
      <w:r>
        <w:t xml:space="preserve"> </w:t>
      </w:r>
      <w:r>
        <w:t xml:space="preserve">en una secuencia operativa</w:t>
      </w:r>
      <w:r>
        <w:t xml:space="preserve"> </w:t>
      </w:r>
      <w:r>
        <w:t xml:space="preserve">implementable: (1) congelación del protocolo, (2) ejecución por lotes con</w:t>
      </w:r>
      <w:r>
        <w:t xml:space="preserve"> </w:t>
      </w:r>
      <w:r>
        <w:t xml:space="preserve">semillas declarativas, (3) auditoría de integridad de artefactos, (4)</w:t>
      </w:r>
      <w:r>
        <w:t xml:space="preserve"> </w:t>
      </w:r>
      <w:r>
        <w:t xml:space="preserve">armonización a tablas de análisis, (5) exportación inferencial determinista,</w:t>
      </w:r>
      <w:r>
        <w:t xml:space="preserve"> </w:t>
      </w:r>
      <w:r>
        <w:t xml:space="preserve">(6) perfilado de reproducibilidad, (7) reporte con trazabilidad de</w:t>
      </w:r>
      <w:r>
        <w:t xml:space="preserve"> </w:t>
      </w:r>
      <w:r>
        <w:t xml:space="preserve">afirmaciones.</w:t>
      </w:r>
    </w:p>
    <w:p>
      <w:pPr>
        <w:pStyle w:val="Textoindependiente"/>
        <w:spacing w:line="360" w:lineRule="auto"/>
        <w:jc w:val="both"/>
      </w:pPr>
      <w:r>
        <w:t xml:space="preserve">La contribución metodológica no es la lista de siete pasos —cada uno de ellos</w:t>
      </w:r>
      <w:r>
        <w:t xml:space="preserve"> </w:t>
      </w:r>
      <w:r>
        <w:t xml:space="preserve">es un requisito conocido individualmente— sino su integración en una</w:t>
      </w:r>
      <w:r>
        <w:t xml:space="preserve"> </w:t>
      </w:r>
      <w:r>
        <w:t xml:space="preserve">secuencia que garantiza que</w:t>
      </w:r>
      <w:r>
        <w:t xml:space="preserve"> </w:t>
      </w:r>
      <w:r>
        <w:rPr>
          <w:i/>
          <w:iCs/>
        </w:rPr>
        <w:t xml:space="preserve">ninguna afirmación inferencial puede formularse</w:t>
      </w:r>
      <w:r>
        <w:rPr>
          <w:i/>
          <w:iCs/>
        </w:rPr>
        <w:t xml:space="preserve"> </w:t>
      </w:r>
      <w:r>
        <w:rPr>
          <w:i/>
          <w:iCs/>
        </w:rPr>
        <w:t xml:space="preserve">sin que todas las puertas previas estén satisfechas</w:t>
      </w:r>
      <w:r>
        <w:t xml:space="preserve">. Esta propiedad de</w:t>
      </w:r>
      <w:r>
        <w:t xml:space="preserve"> </w:t>
      </w:r>
      <w:r>
        <w:t xml:space="preserve">cierre secuencial elimina la categoría de estudios que reportan estadísticos</w:t>
      </w:r>
      <w:r>
        <w:t xml:space="preserve"> </w:t>
      </w:r>
      <w:r>
        <w:t xml:space="preserve">significativos sobre artefactos contaminados (datos de calibración mezclados</w:t>
      </w:r>
      <w:r>
        <w:t xml:space="preserve"> </w:t>
      </w:r>
      <w:r>
        <w:t xml:space="preserve">con datos confirmatorios, artefactos malformados no detectados, corrección de</w:t>
      </w:r>
      <w:r>
        <w:t xml:space="preserve"> </w:t>
      </w:r>
      <w:r>
        <w:t xml:space="preserve">multiplicidad omitida). Es precisamente este tipo de contaminación el que,</w:t>
      </w:r>
      <w:r>
        <w:t xml:space="preserve"> </w:t>
      </w:r>
      <w:r>
        <w:t xml:space="preserve">según Pawlicki et al.</w:t>
      </w:r>
      <w:r>
        <w:t xml:space="preserve"> </w:t>
      </w:r>
      <w:r>
        <w:t xml:space="preserve">(2024)</w:t>
      </w:r>
      <w:r>
        <w:t xml:space="preserve">, hace que los estudios publicados en</w:t>
      </w:r>
      <w:r>
        <w:t xml:space="preserve"> </w:t>
      </w:r>
      <w:r>
        <w:t xml:space="preserve">evaluación XAI sean frecuentemente inconmensurables entre sí.</w:t>
      </w:r>
    </w:p>
    <w:p>
      <w:pPr>
        <w:pStyle w:val="Textoindependiente"/>
        <w:spacing w:line="360" w:lineRule="auto"/>
        <w:jc w:val="both"/>
      </w:pPr>
      <w:r>
        <w:t xml:space="preserve">FOM-7 está disponible como código fuente verificable con rastreabilidad completa</w:t>
      </w:r>
      <w:r>
        <w:t xml:space="preserve"> </w:t>
      </w:r>
      <w:r>
        <w:t xml:space="preserve">de artefactos, satisfaciendo los criterios de la iniciativa</w:t>
      </w:r>
      <w:r>
        <w:t xml:space="preserve"> </w:t>
      </w:r>
      <w:r>
        <w:rPr>
          <w:i/>
          <w:iCs/>
        </w:rPr>
        <w:t xml:space="preserve">Reproducible AI</w:t>
      </w:r>
      <w:r>
        <w:t xml:space="preserve"> </w:t>
      </w:r>
      <w:r>
        <w:t xml:space="preserve">discutidos en</w:t>
      </w:r>
      <w:r>
        <w:t xml:space="preserve"> </w:t>
      </w:r>
      <w:r>
        <w:t xml:space="preserve">(Canha et al. 2025)</w:t>
      </w:r>
      <w:r>
        <w:t xml:space="preserve">.</w:t>
      </w:r>
    </w:p>
    <w:bookmarkEnd w:id="176"/>
    <w:bookmarkStart w:id="177" w:name="X93d1d918ce055ba24ba9e9f0b305f424c9a5ca8"/>
    <w:p>
      <w:pPr>
        <w:pStyle w:val="Ttulo3"/>
        <w:spacing w:line="360" w:lineRule="auto"/>
        <w:jc w:val="both"/>
      </w:pPr>
      <w:r>
        <w:t xml:space="preserve">Contribución teórica: disociación fidelidad-estabilidad y taxonomía de métricas</w:t>
      </w:r>
    </w:p>
    <w:p>
      <w:pPr>
        <w:pStyle w:val="FirstParagraph"/>
        <w:spacing w:line="360" w:lineRule="auto"/>
        <w:jc w:val="both"/>
      </w:pPr>
      <w:r>
        <w:t xml:space="preserve">La disociación empírica entre fidelidad y estabilidad, documentada con</w:t>
      </w:r>
      <w:r>
        <w:t xml:space="preserve"> </w:t>
      </w:r>
      <w:r>
        <w:t xml:space="preserve">tamaños de efecto de magnitud muy grande (</w:t>
      </w:r>
      <ns1:oMath>
        <ns1:sSub>
          <ns1:e>
            <ns1:r>
              <ns1:t>d</ns1:t>
            </ns1:r>
          </ns1:e>
          <ns1:sub>
            <ns1:r>
              <ns1:t>z</ns1:t>
            </ns1:r>
          </ns1:sub>
        </ns1:sSub>
        <ns1:r>
          <ns1:rPr>
            <ns1:sty ns1:val="p"/>
          </ns1:rPr>
          <ns1:t>&gt;</ns1:t>
        </ns1:r>
        <ns1:r>
          <ns1:t>2.8</ns1:t>
        </ns1:r>
      </ns1:oMath>
      <w:r>
        <w:t xml:space="preserve">) y sin excepciones en</w:t>
      </w:r>
      <w:r>
        <w:t xml:space="preserve"> </w:t>
      </w:r>
      <w:r>
        <w:t xml:space="preserve">75 pares, constituye evidencia cuantitativa de una propiedad que la literatura</w:t>
      </w:r>
      <w:r>
        <w:t xml:space="preserve"> </w:t>
      </w:r>
      <w:r>
        <w:t xml:space="preserve">había asumido pero raramente demostrado: las dimensiones de calidad de las</w:t>
      </w:r>
      <w:r>
        <w:t xml:space="preserve"> </w:t>
      </w:r>
      <w:r>
        <w:t xml:space="preserve">explicaciones XAI son parcialmente independientes y no sustituibles entre sí</w:t>
      </w:r>
      <w:r>
        <w:t xml:space="preserve"> </w:t>
      </w:r>
      <w:r>
        <w:t xml:space="preserve">(Pawlicki et al. 2024; Bhattacharya and Verbert 2024; Burger et al. 2023)</w:t>
      </w:r>
      <w:r>
        <w:t xml:space="preserve">. Específicamente, la inestabilidad de LIME no</w:t>
      </w:r>
      <w:r>
        <w:t xml:space="preserve"> </w:t>
      </w:r>
      <w:r>
        <w:t xml:space="preserve">es un artefacto de escenarios extremos ni de un presupuesto de muestreo</w:t>
      </w:r>
      <w:r>
        <w:t xml:space="preserve"> </w:t>
      </w:r>
      <w:r>
        <w:t xml:space="preserve">insuficiente, sino una propiedad reproducible del método bajo las condiciones</w:t>
      </w:r>
      <w:r>
        <w:t xml:space="preserve"> </w:t>
      </w:r>
      <w:r>
        <w:t xml:space="preserve">controladas del benchmark —y, como delimitan §sec-limitaciones y §sec-exp3-nota,</w:t>
      </w:r>
      <w:r>
        <w:t xml:space="preserve"> </w:t>
      </w:r>
      <w:r>
        <w:t xml:space="preserve">una propiedad del par (configuración, espacio de características) más que del</w:t>
      </w:r>
      <w:r>
        <w:t xml:space="preserve"> </w:t>
      </w:r>
      <w:r>
        <w:t xml:space="preserve">método en abstracto. Esta demostración cuantifica el riesgo de usar LIME en</w:t>
      </w:r>
      <w:r>
        <w:t xml:space="preserve"> </w:t>
      </w:r>
      <w:r>
        <w:t xml:space="preserve">contextos donde se exija consistencia explicativa (auditoría, decisiones de alto</w:t>
      </w:r>
      <w:r>
        <w:t xml:space="preserve"> </w:t>
      </w:r>
      <w:r>
        <w:t xml:space="preserve">riesgo) sin haber medido antes su estabilidad en el espacio de despliegue, un</w:t>
      </w:r>
      <w:r>
        <w:t xml:space="preserve"> </w:t>
      </w:r>
      <w:r>
        <w:t xml:space="preserve">riesgo que los trabajos de referencia sobre LIME</w:t>
      </w:r>
      <w:r>
        <w:t xml:space="preserve"> </w:t>
      </w:r>
      <w:r>
        <w:t xml:space="preserve">(Ribeiro 2016)</w:t>
      </w:r>
      <w:r>
        <w:t xml:space="preserve"> </w:t>
      </w:r>
      <w:r>
        <w:t xml:space="preserve">no cuantifican</w:t>
      </w:r>
      <w:r>
        <w:t xml:space="preserve"> </w:t>
      </w:r>
      <w:r>
        <w:t xml:space="preserve">en benchmarks multi-métricos.</w:t>
      </w:r>
    </w:p>
    <w:p>
      <w:pPr>
        <w:pStyle w:val="Textoindependiente"/>
        <w:spacing w:line="360" w:lineRule="auto"/>
        <w:jc w:val="both"/>
      </w:pPr>
      <w:r>
        <w:t xml:space="preserve">La taxonomía desarrollada en el Capítulo 5 complementa este hallazgo empírico con un marco</w:t>
      </w:r>
      <w:r>
        <w:t xml:space="preserve"> </w:t>
      </w:r>
      <w:r>
        <w:t xml:space="preserve">conceptual que organiza el espacio de métricas de evaluación en cuatro ejes</w:t>
      </w:r>
      <w:r>
        <w:t xml:space="preserve"> </w:t>
      </w:r>
      <w:r>
        <w:t xml:space="preserve">y que localiza explícitamente las dimensiones no cubiertas por los benchmarks</w:t>
      </w:r>
      <w:r>
        <w:t xml:space="preserve"> </w:t>
      </w:r>
      <w:r>
        <w:t xml:space="preserve">funcionally-grounded, incluyendo la comprehensibilidad percibida por el usuario</w:t>
      </w:r>
      <w:r>
        <w:t xml:space="preserve"> </w:t>
      </w:r>
      <w:r>
        <w:t xml:space="preserve">(Bhattacharya and Verbert 2024; Arrieta 2019a)</w:t>
      </w:r>
      <w:r>
        <w:t xml:space="preserve">. La taxonomía integra y extiende los marcos</w:t>
      </w:r>
      <w:r>
        <w:t xml:space="preserve"> </w:t>
      </w:r>
      <w:r>
        <w:t xml:space="preserve">previos de Schwalbe y Finzel</w:t>
      </w:r>
      <w:r>
        <w:t xml:space="preserve"> </w:t>
      </w:r>
      <w:r>
        <w:t xml:space="preserve">(2023)</w:t>
      </w:r>
      <w:r>
        <w:t xml:space="preserve">, Abdulkadir et al.</w:t>
      </w:r>
      <w:r>
        <w:t xml:space="preserve"> </w:t>
      </w:r>
      <w:r>
        <w:t xml:space="preserve">(2023)</w:t>
      </w:r>
      <w:r>
        <w:t xml:space="preserve"> </w:t>
      </w:r>
      <w:r>
        <w:t xml:space="preserve">y Canha et al.</w:t>
      </w:r>
      <w:r>
        <w:t xml:space="preserve"> </w:t>
      </w:r>
      <w:r>
        <w:t xml:space="preserve">(2025)</w:t>
      </w:r>
      <w:r>
        <w:t xml:space="preserve">, alineándola explícitamente con</w:t>
      </w:r>
      <w:r>
        <w:t xml:space="preserve"> </w:t>
      </w:r>
      <w:r>
        <w:t xml:space="preserve">el espacio experimental del benchmark.</w:t>
      </w:r>
    </w:p>
    <w:bookmarkEnd w:id="177"/>
    <w:bookmarkStart w:id="178" w:name="X6583905c1b1630bf3acfdae91528ca52ef61481"/>
    <w:p>
      <w:pPr>
        <w:pStyle w:val="Ttulo3"/>
        <w:spacing w:line="360" w:lineRule="auto"/>
        <w:jc w:val="both"/>
      </w:pPr>
      <w:r>
        <w:t xml:space="preserve">Contribución aplicada: criterios prescriptivos de selección de métodos XAI</w:t>
      </w:r>
    </w:p>
    <w:p>
      <w:pPr>
        <w:pStyle w:val="FirstParagraph"/>
        <w:spacing w:line="360" w:lineRule="auto"/>
        <w:jc w:val="both"/>
      </w:pPr>
      <w:r>
        <w:t xml:space="preserve">Los resultados del benchmark son suficientemente consistentes para formular</w:t>
      </w:r>
      <w:r>
        <w:t xml:space="preserve"> </w:t>
      </w:r>
      <w:r>
        <w:t xml:space="preserve">criterios de selección prescriptivos en lugar de simples</w:t>
      </w:r>
      <w:r>
        <w:t xml:space="preserve"> </w:t>
      </w:r>
      <w:r>
        <w:t xml:space="preserve">“recomendaciones</w:t>
      </w:r>
      <w:r>
        <w:t xml:space="preserve"> </w:t>
      </w:r>
      <w:r>
        <w:t xml:space="preserve">contextuales”</w:t>
      </w:r>
      <w:r>
        <w:t xml:space="preserve">. El carácter prescriptivo se refiere a la firmeza del criterio</w:t>
      </w:r>
      <w:r>
        <w:t xml:space="preserve"> </w:t>
      </w:r>
      <w:r>
        <w:t xml:space="preserve">dada la evidencia, no a su alcance: cada criterio queda condicionado a las</w:t>
      </w:r>
      <w:r>
        <w:t xml:space="preserve"> </w:t>
      </w:r>
      <w:r>
        <w:t xml:space="preserve">condiciones del benchmark especificadas en</w:t>
      </w:r>
      <w:r>
        <w:t xml:space="preserve"> </w:t>
      </w:r>
      <w:hyperlink w:anchor="tbl-fronteras-generalizacion">
        <w:r>
          <w:rPr>
            <w:rStyle w:val="Hipervnculo"/>
          </w:rPr>
          <w:t xml:space="preserve">Table 7.4</w:t>
        </w:r>
      </w:hyperlink>
      <w:r>
        <w:t xml:space="preserve"> </w:t>
      </w:r>
      <w:r>
        <w:t xml:space="preserve">—dataset Adult Income, clasificación tabular binaria, las cinco familias de</w:t>
      </w:r>
      <w:r>
        <w:t xml:space="preserve"> </w:t>
      </w:r>
      <w:r>
        <w:t xml:space="preserve">modelo evaluadas y las operacionalizaciones métricas del Capítulo 3— y ninguno</w:t>
      </w:r>
      <w:r>
        <w:t xml:space="preserve"> </w:t>
      </w:r>
      <w:r>
        <w:t xml:space="preserve">se extiende a preferencias de usuarios finales, dominios regulados con</w:t>
      </w:r>
      <w:r>
        <w:t xml:space="preserve"> </w:t>
      </w:r>
      <w:r>
        <w:t xml:space="preserve">restricciones normativas propias ni criterios de comprehensibilidad. Con esa</w:t>
      </w:r>
      <w:r>
        <w:t xml:space="preserve"> </w:t>
      </w:r>
      <w:r>
        <w:t xml:space="preserve">delimitación:</w:t>
      </w:r>
    </w:p>
    <w:p>
      <w:pPr>
        <w:pStyle w:val="Textoindependiente"/>
        <w:spacing w:line="360" w:lineRule="auto"/>
        <w:jc w:val="both"/>
      </w:pPr>
      <w:r>
        <w:rPr>
          <w:b/>
          <w:bCs/>
        </w:rPr>
        <w:t xml:space="preserve">SHAP debe seleccionarse</w:t>
      </w:r>
      <w:r>
        <w:t xml:space="preserve"> </w:t>
      </w:r>
      <w:r>
        <w:t xml:space="preserve">como método primario en cualquier aplicación que</w:t>
      </w:r>
      <w:r>
        <w:t xml:space="preserve"> </w:t>
      </w:r>
      <w:r>
        <w:t xml:space="preserve">requiera fidelidad o consistencia explicativa verificables, con la condición de</w:t>
      </w:r>
      <w:r>
        <w:t xml:space="preserve"> </w:t>
      </w:r>
      <w:r>
        <w:t xml:space="preserve">comprobar el umbral en la familia de modelo concreta. Sobre la media global SHAP</w:t>
      </w:r>
      <w:r>
        <w:t xml:space="preserve"> </w:t>
      </w:r>
      <w:r>
        <w:t xml:space="preserve">satisface</w:t>
      </w:r>
      <w:r>
        <w:t xml:space="preserve"> </w:t>
      </w:r>
      <ns1:oMath>
        <ns1:acc>
          <ns1:accPr>
            <ns1:chr ns1:val="‾"/>
          </ns1:accPr>
          <ns1:e>
            <ns1:r>
              <ns1:t>F</ns1:t>
            </ns1:r>
          </ns1:e>
        </ns1:acc>
        <ns1:r>
          <ns1:rPr>
            <ns1:sty ns1:val="p"/>
          </ns1:rPr>
          <ns1:t>=</ns1:t>
        </ns1:r>
        <ns1:r>
          <ns1:t>0.808</ns1:t>
        </ns1:r>
        <ns1:r>
          <ns1:rPr>
            <ns1:sty ns1:val="p"/>
          </ns1:rPr>
          <ns1:t>≥</ns1:t>
        </ns1:r>
        <ns1:r>
          <ns1:t>0.80</ns1:t>
        </ns1:r>
      </ns1:oMath>
      <w:r>
        <w:t xml:space="preserve"> </w:t>
      </w:r>
      <w:r>
        <w:t xml:space="preserve">y</w:t>
      </w:r>
      <w:r>
        <w:t xml:space="preserve"> </w:t>
      </w:r>
      <ns1:oMath>
        <ns1:acc>
          <ns1:accPr>
            <ns1:chr ns1:val="‾"/>
          </ns1:accPr>
          <ns1:e>
            <ns1:r>
              <ns1:t>S</ns1:t>
            </ns1:r>
          </ns1:e>
        </ns1:acc>
        <ns1:r>
          <ns1:rPr>
            <ns1:sty ns1:val="p"/>
          </ns1:rPr>
          <ns1:t>=</ns1:t>
        </ns1:r>
        <ns1:r>
          <ns1:t>0.732</ns1:t>
        </ns1:r>
        <ns1:r>
          <ns1:rPr>
            <ns1:sty ns1:val="p"/>
          </ns1:rPr>
          <ns1:t>≥</ns1:t>
        </ns1:r>
        <ns1:r>
          <ns1:t>0.70</ns1:t>
        </ns1:r>
      </ns1:oMath>
      <w:r>
        <w:t xml:space="preserve">, pero la</w:t>
      </w:r>
      <w:r>
        <w:t xml:space="preserve"> </w:t>
      </w:r>
      <w:r>
        <w:t xml:space="preserve">media global no es el criterio operativo: por familia, la fidelidad alcanza</w:t>
      </w:r>
      <w:r>
        <w:t xml:space="preserve"> </w:t>
      </w:r>
      <ns1:oMath>
        <ns1:r>
          <ns1:rPr>
            <ns1:sty ns1:val="p"/>
          </ns1:rPr>
          <ns1:t>≥</ns1:t>
        </ns1:r>
        <ns1:r>
          <ns1:t>0.80</ns1:t>
        </ns1:r>
      </ns1:oMath>
      <w:r>
        <w:t xml:space="preserve"> </w:t>
      </w:r>
      <w:r>
        <w:t xml:space="preserve">solo en logreg (0.946) y SVM (0.882), y la estabilidad alcanza</w:t>
      </w:r>
      <w:r>
        <w:t xml:space="preserve"> </w:t>
      </w:r>
      <ns1:oMath>
        <ns1:r>
          <ns1:rPr>
            <ns1:sty ns1:val="p"/>
          </ns1:rPr>
          <ns1:t>≥</ns1:t>
        </ns1:r>
        <ns1:r>
          <ns1:t>0.70</ns1:t>
        </ns1:r>
      </ns1:oMath>
      <w:r>
        <w:t xml:space="preserve"> </w:t>
      </w:r>
      <w:r>
        <w:t xml:space="preserve">solo en logreg (0.880), RF (0.949) y SVM (0.925), descendiendo a</w:t>
      </w:r>
      <w:r>
        <w:t xml:space="preserve"> </w:t>
      </w:r>
      <w:r>
        <w:t xml:space="preserve">0.575 en XGBoost y 0.331 en MLP. Para modelos basados en árboles, TreeSHAP</w:t>
      </w:r>
      <w:r>
        <w:t xml:space="preserve"> </w:t>
      </w:r>
      <w:r>
        <w:t xml:space="preserve">reduce el coste en dos o tres órdenes de magnitud respecto a KernelSHAP —21 ms</w:t>
      </w:r>
      <w:r>
        <w:t xml:space="preserve"> </w:t>
      </w:r>
      <w:r>
        <w:t xml:space="preserve">por instancia en XGBoost y 2,820 ms en Random Forest, frente a 54,231 ms en SVM—</w:t>
      </w:r>
      <w:r>
        <w:t xml:space="preserve"> </w:t>
      </w:r>
      <w:r>
        <w:t xml:space="preserve">lo que hace esta elección también la más eficiente en XGBoost.</w:t>
      </w:r>
    </w:p>
    <w:p>
      <w:pPr>
        <w:pStyle w:val="Textoindependiente"/>
        <w:spacing w:line="360" w:lineRule="auto"/>
        <w:jc w:val="both"/>
      </w:pPr>
      <w:r>
        <w:rPr>
          <w:b/>
          <w:bCs/>
        </w:rPr>
        <w:t xml:space="preserve">LIME puede seleccionarse</w:t>
      </w:r>
      <w:r>
        <w:t xml:space="preserve"> </w:t>
      </w:r>
      <w:r>
        <w:t xml:space="preserve">exclusivamente cuando el coste computacional es</w:t>
      </w:r>
      <w:r>
        <w:t xml:space="preserve"> </w:t>
      </w:r>
      <w:r>
        <w:t xml:space="preserve">el criterio dominante y la aplicación no requiere comparación de explicaciones</w:t>
      </w:r>
      <w:r>
        <w:t xml:space="preserve"> </w:t>
      </w:r>
      <w:r>
        <w:t xml:space="preserve">entre instancias ni auditoría de consistencia. Las medias por familia de modelo</w:t>
      </w:r>
      <w:r>
        <w:t xml:space="preserve"> </w:t>
      </w:r>
      <w:r>
        <w:t xml:space="preserve">de LIME en logreg/xgb/mlp —73 ms, 122 ms y 52 ms por instancia respectivamente—</w:t>
      </w:r>
      <w:r>
        <w:t xml:space="preserve"> </w:t>
      </w:r>
      <w:r>
        <w:t xml:space="preserve">hacen posible la explicación en tiempo real, con la condición</w:t>
      </w:r>
      <w:r>
        <w:t xml:space="preserve"> </w:t>
      </w:r>
      <w:r>
        <w:t xml:space="preserve">explícita de que las explicaciones no sean comparadas entre ejecuciones. En SVM</w:t>
      </w:r>
      <w:r>
        <w:t xml:space="preserve"> </w:t>
      </w:r>
      <w:r>
        <w:t xml:space="preserve">esa ventaja desaparece: LIME asciende a 17,620 ms de media.</w:t>
      </w:r>
    </w:p>
    <w:p>
      <w:pPr>
        <w:pStyle w:val="Textoindependiente"/>
        <w:spacing w:line="360" w:lineRule="auto"/>
        <w:jc w:val="both"/>
      </w:pPr>
      <w:r>
        <w:rPr>
          <w:b/>
          <w:bCs/>
        </w:rPr>
        <w:t xml:space="preserve">Anchors debe usarse con cautela</w:t>
      </w:r>
      <w:r>
        <w:t xml:space="preserve"> </w:t>
      </w:r>
      <w:r>
        <w:t xml:space="preserve">para modelos no-lineales (RF, SVM, MLP) en</w:t>
      </w:r>
      <w:r>
        <w:t xml:space="preserve"> </w:t>
      </w:r>
      <w:r>
        <w:t xml:space="preserve">aplicaciones de latencia crítica: sus medias por familia de modelo —15,564 ms</w:t>
      </w:r>
      <w:r>
        <w:t xml:space="preserve"> </w:t>
      </w:r>
      <w:r>
        <w:t xml:space="preserve">(MLP), 37,415 ms (SVM) y 48,955 ms (RF) por instancia— son inviables en</w:t>
      </w:r>
      <w:r>
        <w:t xml:space="preserve"> </w:t>
      </w:r>
      <w:r>
        <w:t xml:space="preserve">producción, y su cobertura analítica cae al 76.0% por no convergencia. Su uso es</w:t>
      </w:r>
      <w:r>
        <w:t xml:space="preserve"> </w:t>
      </w:r>
      <w:r>
        <w:t xml:space="preserve">justificable exclusivamente cuando la</w:t>
      </w:r>
      <w:r>
        <w:t xml:space="preserve"> </w:t>
      </w:r>
      <w:r>
        <w:t xml:space="preserve">forma semántica IF-THEN es un requisito regulatorio o de usuario y el modelo</w:t>
      </w:r>
      <w:r>
        <w:t xml:space="preserve"> </w:t>
      </w:r>
      <w:r>
        <w:t xml:space="preserve">es de complejidad baja (logreg, 2,918 ms).</w:t>
      </w:r>
    </w:p>
    <w:p>
      <w:pPr>
        <w:pStyle w:val="Textoindependiente"/>
        <w:spacing w:line="360" w:lineRule="auto"/>
        <w:jc w:val="both"/>
      </w:pPr>
      <w:r>
        <w:rPr>
          <w:b/>
          <w:bCs/>
        </w:rPr>
        <w:t xml:space="preserve">DiCE es la opción de esta comparación orientada a acciones correctivas</w:t>
      </w:r>
      <w:r>
        <w:t xml:space="preserve"> </w:t>
      </w:r>
      <w:r>
        <w:t xml:space="preserve">cuando el objetivo es generar acciones correctivas</w:t>
      </w:r>
      <w:r>
        <w:t xml:space="preserve"> </w:t>
      </w:r>
      <w:r>
        <w:t xml:space="preserve">(</w:t>
      </w:r>
      <w:r>
        <w:rPr>
          <w:i/>
          <w:iCs/>
        </w:rPr>
        <w:t xml:space="preserve">algorithmic recourse</w:t>
      </w:r>
      <w:r>
        <w:t xml:space="preserve">) para cambiar la predicción. Sus métricas de fidelidad</w:t>
      </w:r>
      <w:r>
        <w:t xml:space="preserve"> </w:t>
      </w:r>
      <w:r>
        <w:t xml:space="preserve">bajas son irrelevantes para este objetivo, puesto que la métrica de atribución no</w:t>
      </w:r>
      <w:r>
        <w:t xml:space="preserve"> </w:t>
      </w:r>
      <w:r>
        <w:t xml:space="preserve">mide lo que DiCE optimiza. Su coste, en cambio, sí es una restricción real y no</w:t>
      </w:r>
      <w:r>
        <w:t xml:space="preserve"> </w:t>
      </w:r>
      <w:r>
        <w:t xml:space="preserve">debe presentarse como moderado: con una media de 28,209 ms por instancia</w:t>
      </w:r>
      <w:r>
        <w:t xml:space="preserve"> </w:t>
      </w:r>
      <w:r>
        <w:t xml:space="preserve">(mediana 11,880 ms) es el segundo más elevado del benchmark, solo por debajo de</w:t>
      </w:r>
      <w:r>
        <w:t xml:space="preserve"> </w:t>
      </w:r>
      <w:r>
        <w:t xml:space="preserve">Anchors (38,159 ms), y varía entre 12,634 ms (MLP) y 66,266 ms (SVM) según la</w:t>
      </w:r>
      <w:r>
        <w:t xml:space="preserve"> </w:t>
      </w:r>
      <w:r>
        <w:t xml:space="preserve">familia de modelo. DiCE se justifica cuando el recourse es el objetivo y no</w:t>
      </w:r>
      <w:r>
        <w:t xml:space="preserve"> </w:t>
      </w:r>
      <w:r>
        <w:t xml:space="preserve">existe sustituto, no por eficiencia.</w:t>
      </w:r>
    </w:p>
    <w:bookmarkEnd w:id="178"/>
    <w:bookmarkEnd w:id="179"/>
    <w:bookmarkStart w:id="181" w:name="sec-posicionamiento"/>
    <w:p>
      <w:pPr>
        <w:pStyle w:val="Ttulo2"/>
        <w:spacing w:line="360" w:lineRule="auto"/>
        <w:jc w:val="both"/>
      </w:pPr>
      <w:r>
        <w:t xml:space="preserve">Posicionamiento respecto a la literatura y separación de contribuciones</w:t>
      </w:r>
    </w:p>
    <w:p>
      <w:pPr>
        <w:pStyle w:val="FirstParagraph"/>
        <w:spacing w:line="360" w:lineRule="auto"/>
        <w:jc w:val="both"/>
      </w:pPr>
      <w:r>
        <w:t xml:space="preserve">Las tres contribuciones de esta tesis deben separarse con precisión de los</w:t>
      </w:r>
      <w:r>
        <w:t xml:space="preserve"> </w:t>
      </w:r>
      <w:r>
        <w:t xml:space="preserve">trabajos más cercanos para que su originalidad sea evaluable. La Tabla</w:t>
      </w:r>
      <w:r>
        <w:t xml:space="preserve"> </w:t>
      </w:r>
      <w:hyperlink w:anchor="tbl-contribucion-separacion">
        <w:r>
          <w:rPr>
            <w:rStyle w:val="Hipervnculo"/>
          </w:rPr>
          <w:t xml:space="preserve">Table 7.3</w:t>
        </w:r>
      </w:hyperlink>
      <w:r>
        <w:t xml:space="preserve"> </w:t>
      </w:r>
      <w:r>
        <w:t xml:space="preserve">realiza esta separación de forma explícita.</w:t>
      </w:r>
    </w:p>
    <w:tbl>
      <w:tblPr>
        <w:tblStyle w:val="Table"/>
        <w:tblW w:type="pct" w:w="5000"/>
        <w:tblLayout w:type="fixed"/>
        <w:tblLook w:firstRow="0" w:lastRow="0" w:firstColumn="0" w:lastColumn="0" w:noHBand="0" w:noVBand="0" w:val="0000"/>
      </w:tblPr>
      <w:tblGrid>
        <w:gridCol w:w="7920"/>
      </w:tblGrid>
      <w:tr>
        <w:tc>
          <w:tcPr/>
          <w:bookmarkStart w:id="180" w:name="tbl-contribucion-separacion"/>
          <w:p>
            <w:pPr>
              <w:jc w:val="both"/>
              <w:spacing w:line="360" w:lineRule="auto"/>
            </w:pPr>
            <w:pPr>
              <w:jc w:val="left"/>
              <w:spacing w:before="200"/>
              <w:pStyle w:val="ImageCaption"/>
            </w:pPr>
            <w:r>
              <w:t xml:space="preserve">Table 7.3: Separación de contribuciones respecto a los trabajos más cercanos.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Contribución</w:t>
                  </w:r>
                </w:p>
              </w:tc>
              <w:tc>
                <w:tcPr/>
                <w:p>
                  <w:pPr>
                    <w:pStyle w:val="Compact"/>
                    <w:jc w:val="both"/>
                    <w:jc w:val="center"/>
                    <w:spacing w:line="360" w:lineRule="auto"/>
                  </w:pPr>
                  <w:r>
                    <w:t xml:space="preserve">Trabajos más cercanos</w:t>
                  </w:r>
                </w:p>
              </w:tc>
              <w:tc>
                <w:tcPr/>
                <w:p>
                  <w:pPr>
                    <w:pStyle w:val="Compact"/>
                    <w:jc w:val="both"/>
                    <w:jc w:val="center"/>
                    <w:spacing w:line="360" w:lineRule="auto"/>
                  </w:pPr>
                  <w:r>
                    <w:t xml:space="preserve">En qué se solapa</w:t>
                  </w:r>
                </w:p>
              </w:tc>
              <w:tc>
                <w:tcPr/>
                <w:p>
                  <w:pPr>
                    <w:pStyle w:val="Compact"/>
                    <w:jc w:val="both"/>
                    <w:jc w:val="center"/>
                    <w:spacing w:line="360" w:lineRule="auto"/>
                  </w:pPr>
                  <w:r>
                    <w:t xml:space="preserve">En qué difiere esta tesis</w:t>
                  </w:r>
                </w:p>
              </w:tc>
            </w:tr>
            <w:tr>
              <w:tc>
                <w:tcPr/>
                <w:p>
                  <w:pPr>
                    <w:pStyle w:val="Compact"/>
                    <w:jc w:val="both"/>
                    <w:jc w:val="center"/>
                    <w:spacing w:line="360" w:lineRule="auto"/>
                  </w:pPr>
                  <w:r>
                    <w:rPr>
                      <w:b/>
                      <w:bCs/>
                    </w:rPr>
                    <w:t xml:space="preserve">FOM-7 — protocolo de benchmarking reproducible</w:t>
                  </w:r>
                </w:p>
              </w:tc>
              <w:tc>
                <w:tcPr/>
                <w:p>
                  <w:pPr>
                    <w:pStyle w:val="Compact"/>
                    <w:jc w:val="both"/>
                    <w:jc w:val="center"/>
                    <w:spacing w:line="360" w:lineRule="auto"/>
                  </w:pPr>
                  <w:r>
                    <w:t xml:space="preserve">OpenXAI</w:t>
                  </w:r>
                  <w:r>
                    <w:t xml:space="preserve"> </w:t>
                  </w:r>
                  <w:r>
                    <w:t xml:space="preserve">(Agarwal et al. 2022)</w:t>
                  </w:r>
                  <w:r>
                    <w:t xml:space="preserve">; Quantus</w:t>
                  </w:r>
                  <w:r>
                    <w:t xml:space="preserve"> </w:t>
                  </w:r>
                  <w:r>
                    <w:t xml:space="preserve">(Hedström et al. 2023)</w:t>
                  </w:r>
                  <w:r>
                    <w:t xml:space="preserve">; Canha et al.</w:t>
                  </w:r>
                  <w:r>
                    <w:t xml:space="preserve"> </w:t>
                  </w:r>
                  <w:r>
                    <w:t xml:space="preserve">(2025)</w:t>
                  </w:r>
                </w:p>
              </w:tc>
              <w:tc>
                <w:tcPr/>
                <w:p>
                  <w:pPr>
                    <w:pStyle w:val="Compact"/>
                    <w:jc w:val="both"/>
                    <w:jc w:val="center"/>
                    <w:spacing w:line="360" w:lineRule="auto"/>
                  </w:pPr>
                  <w:r>
                    <w:t xml:space="preserve">Objetivo de estandarización, uso de métricas functionally-grounded, énfasis en reproducibilidad</w:t>
                  </w:r>
                </w:p>
              </w:tc>
              <w:tc>
                <w:tcPr/>
                <w:p>
                  <w:pPr>
                    <w:pStyle w:val="Compact"/>
                    <w:jc w:val="both"/>
                    <w:jc w:val="center"/>
                    <w:spacing w:line="360" w:lineRule="auto"/>
                  </w:pPr>
                  <w:r>
                    <w:t xml:space="preserve">FOM-7 añade siete puertas secuenciales con criterios de admisibilidad y falla explícitos; OpenXAI y Quantus no regulan la cadena diseño-artefacto-inferencia-claim; Canha et al. proponen principios sin implementación operativa completa</w:t>
                  </w:r>
                </w:p>
              </w:tc>
            </w:tr>
            <w:tr>
              <w:tc>
                <w:tcPr/>
                <w:p>
                  <w:pPr>
                    <w:pStyle w:val="Compact"/>
                    <w:jc w:val="both"/>
                    <w:jc w:val="center"/>
                    <w:spacing w:line="360" w:lineRule="auto"/>
                  </w:pPr>
                  <w:r>
                    <w:rPr>
                      <w:b/>
                      <w:bCs/>
                    </w:rPr>
                    <w:t xml:space="preserve">Benchmark multi-métrico SHAP-LIME-Anchors-DiCE</w:t>
                  </w:r>
                </w:p>
              </w:tc>
              <w:tc>
                <w:tcPr/>
                <w:p>
                  <w:pPr>
                    <w:pStyle w:val="Compact"/>
                    <w:jc w:val="both"/>
                    <w:jc w:val="center"/>
                    <w:spacing w:line="360" w:lineRule="auto"/>
                  </w:pPr>
                  <w:r>
                    <w:t xml:space="preserve">Nauta et al.</w:t>
                  </w:r>
                  <w:r>
                    <w:t xml:space="preserve"> </w:t>
                  </w:r>
                  <w:r>
                    <w:t xml:space="preserve">(2023)</w:t>
                  </w:r>
                  <w:r>
                    <w:t xml:space="preserve"> </w:t>
                  </w:r>
                  <w:r>
                    <w:t xml:space="preserve">(revisión de 30 propiedades); Altukhi et al.</w:t>
                  </w:r>
                  <w:r>
                    <w:t xml:space="preserve"> </w:t>
                  </w:r>
                  <w:r>
                    <w:t xml:space="preserve">(2025)</w:t>
                  </w:r>
                  <w:r>
                    <w:t xml:space="preserve"> </w:t>
                  </w:r>
                  <w:r>
                    <w:t xml:space="preserve">(comparación de explicadores); Hedström et al.</w:t>
                  </w:r>
                  <w:r>
                    <w:t xml:space="preserve"> </w:t>
                  </w:r>
                  <w:r>
                    <w:t xml:space="preserve">(2023)</w:t>
                  </w:r>
                  <w:r>
                    <w:t xml:space="preserve"> </w:t>
                  </w:r>
                  <w:r>
                    <w:t xml:space="preserve">(Quantus evaluation)</w:t>
                  </w:r>
                </w:p>
              </w:tc>
              <w:tc>
                <w:tcPr/>
                <w:p>
                  <w:pPr>
                    <w:pStyle w:val="Compact"/>
                    <w:jc w:val="both"/>
                    <w:jc w:val="center"/>
                    <w:spacing w:line="360" w:lineRule="auto"/>
                  </w:pPr>
                  <w:r>
                    <w:t xml:space="preserve">Comparación de métodos agnósticos; uso de fidelidad y estabilidad como métricas primarias</w:t>
                  </w:r>
                </w:p>
              </w:tc>
              <w:tc>
                <w:tcPr/>
                <w:p>
                  <w:pPr>
                    <w:pStyle w:val="Compact"/>
                    <w:jc w:val="both"/>
                    <w:jc w:val="center"/>
                    <w:spacing w:line="360" w:lineRule="auto"/>
                  </w:pPr>
                  <w:r>
                    <w:t xml:space="preserve">Esta tesis usa diseño factorial con cinco modelos, cinco semillas y tres tamaños de muestra; reporta tamaños de efecto (</w:t>
                  </w:r>
                  <ns1:oMath>
                    <ns1:sSub>
                      <ns1:e>
                        <ns1:r>
                          <ns1:t>d</ns1:t>
                        </ns1:r>
                      </ns1:e>
                      <ns1:sub>
                        <ns1:r>
                          <ns1:t>z</ns1:t>
                        </ns1:r>
                      </ns1:sub>
                    </ns1:sSub>
                  </ns1:oMath>
                  <w:r>
                    <w:t xml:space="preserve">) y control de multiplicidad Holm-Bonferroni; cuantifica la disociación fidelidad-estabilidad con evidencia pareada en 75 celdas</w:t>
                  </w:r>
                </w:p>
              </w:tc>
            </w:tr>
            <w:tr>
              <w:tc>
                <w:tcPr/>
                <w:p>
                  <w:pPr>
                    <w:pStyle w:val="Compact"/>
                    <w:jc w:val="both"/>
                    <w:jc w:val="center"/>
                    <w:spacing w:line="360" w:lineRule="auto"/>
                  </w:pPr>
                  <w:r>
                    <w:rPr>
                      <w:b/>
                      <w:bCs/>
                    </w:rPr>
                    <w:t xml:space="preserve">Taxonomía de cuatro ejes</w:t>
                  </w:r>
                </w:p>
              </w:tc>
              <w:tc>
                <w:tcPr/>
                <w:p>
                  <w:pPr>
                    <w:pStyle w:val="Compact"/>
                    <w:jc w:val="both"/>
                    <w:jc w:val="center"/>
                    <w:spacing w:line="360" w:lineRule="auto"/>
                  </w:pPr>
                  <w:r>
                    <w:t xml:space="preserve">Schwalbe y Finzel</w:t>
                  </w:r>
                  <w:r>
                    <w:t xml:space="preserve"> </w:t>
                  </w:r>
                  <w:r>
                    <w:t xml:space="preserve">(2023)</w:t>
                  </w:r>
                  <w:r>
                    <w:t xml:space="preserve"> </w:t>
                  </w:r>
                  <w:r>
                    <w:t xml:space="preserve">(taxonomía de conceptos XAI); Abdulkadir et al.</w:t>
                  </w:r>
                  <w:r>
                    <w:t xml:space="preserve"> </w:t>
                  </w:r>
                  <w:r>
                    <w:t xml:space="preserve">(2023)</w:t>
                  </w:r>
                  <w:r>
                    <w:t xml:space="preserve"> </w:t>
                  </w:r>
                  <w:r>
                    <w:t xml:space="preserve">(revisión de métricas); Doshi-Velez y Kim</w:t>
                  </w:r>
                  <w:r>
                    <w:t xml:space="preserve"> </w:t>
                  </w:r>
                  <w:r>
                    <w:t xml:space="preserve">(2017)</w:t>
                  </w:r>
                  <w:r>
                    <w:t xml:space="preserve"> </w:t>
                  </w:r>
                  <w:r>
                    <w:t xml:space="preserve">(tres tipos de evaluación)</w:t>
                  </w:r>
                </w:p>
              </w:tc>
              <w:tc>
                <w:tcPr/>
                <w:p>
                  <w:pPr>
                    <w:pStyle w:val="Compact"/>
                    <w:jc w:val="both"/>
                    <w:jc w:val="center"/>
                    <w:spacing w:line="360" w:lineRule="auto"/>
                  </w:pPr>
                  <w:r>
                    <w:t xml:space="preserve">Uso de dimensiones de calidad (fidelidad, robustez, complejidad); distinción entre evaluación humana y computacional</w:t>
                  </w:r>
                </w:p>
              </w:tc>
              <w:tc>
                <w:tcPr/>
                <w:p>
                  <w:pPr>
                    <w:pStyle w:val="Compact"/>
                    <w:jc w:val="both"/>
                    <w:jc w:val="center"/>
                    <w:spacing w:line="360" w:lineRule="auto"/>
                  </w:pPr>
                  <w:r>
                    <w:t xml:space="preserve">La taxonomía de esta tesis añade el eje de contexto de tarea como dimensión operativa; la ubica explícitamente en relación con el benchmark empírico; y proporciona el alcance inferencial admisible para cada cuadrante</w:t>
                  </w:r>
                </w:p>
              </w:tc>
            </w:tr>
          </w:tbl>
          <w:bookmarkEnd w:id="180"/>
          <w:p>
            <w:pPr>
              <w:spacing w:line="360" w:lineRule="auto"/>
              <w:jc w:val="both"/>
            </w:pPr>
          </w:p>
        </w:tc>
      </w:tr>
    </w:tbl>
    <w:p>
      <w:pPr>
        <w:pStyle w:val="Textoindependiente"/>
        <w:spacing w:line="360" w:lineRule="auto"/>
        <w:jc w:val="both"/>
      </w:pPr>
      <w:r>
        <w:t xml:space="preserve">El posicionamiento más informativo se obtiene comparando la tesis con los dos</w:t>
      </w:r>
      <w:r>
        <w:t xml:space="preserve"> </w:t>
      </w:r>
      <w:r>
        <w:t xml:space="preserve">trabajos más cercanos en alcance. OpenXAI</w:t>
      </w:r>
      <w:r>
        <w:t xml:space="preserve"> </w:t>
      </w:r>
      <w:r>
        <w:t xml:space="preserve">(Agarwal et al. 2022)</w:t>
      </w:r>
      <w:r>
        <w:t xml:space="preserve"> </w:t>
      </w:r>
      <w:r>
        <w:t xml:space="preserve">proporciona una</w:t>
      </w:r>
      <w:r>
        <w:t xml:space="preserve"> </w:t>
      </w:r>
      <w:r>
        <w:t xml:space="preserve">plataforma con ground-truth sintético y permite comparar métodos bajo</w:t>
      </w:r>
      <w:r>
        <w:t xml:space="preserve"> </w:t>
      </w:r>
      <w:r>
        <w:t xml:space="preserve">condiciones estandarizadas; sin embargo, no ofrece un protocolo de calificación</w:t>
      </w:r>
      <w:r>
        <w:t xml:space="preserve"> </w:t>
      </w:r>
      <w:r>
        <w:t xml:space="preserve">de artefactos, no requiere separación EXP1/EXP2, y no contempla control de</w:t>
      </w:r>
      <w:r>
        <w:t xml:space="preserve"> </w:t>
      </w:r>
      <w:r>
        <w:t xml:space="preserve">multiplicidad sobre familias de hipótesis. Nauta et al.</w:t>
      </w:r>
      <w:r>
        <w:t xml:space="preserve"> </w:t>
      </w:r>
      <w:r>
        <w:t xml:space="preserve">(2023)</w:t>
      </w:r>
      <w:r>
        <w:t xml:space="preserve"> </w:t>
      </w:r>
      <w:r>
        <w:t xml:space="preserve">proporcionan la revisión más amplia disponible de propiedades de evaluación XAI</w:t>
      </w:r>
      <w:r>
        <w:t xml:space="preserve"> </w:t>
      </w:r>
      <w:r>
        <w:t xml:space="preserve">(30 propiedades, taxonomía propia), pero su contribución es conceptual: no</w:t>
      </w:r>
      <w:r>
        <w:t xml:space="preserve"> </w:t>
      </w:r>
      <w:r>
        <w:t xml:space="preserve">producen un benchmark experimental con análisis inferencial. Esta tesis ocupa</w:t>
      </w:r>
      <w:r>
        <w:t xml:space="preserve"> </w:t>
      </w:r>
      <w:r>
        <w:t xml:space="preserve">el espacio entre ambas obras: implementa un pipeline experimental completo con</w:t>
      </w:r>
      <w:r>
        <w:t xml:space="preserve"> </w:t>
      </w:r>
      <w:r>
        <w:t xml:space="preserve">gobernanza de protocolo (FOM-7), produce evidencia empírica con análisis</w:t>
      </w:r>
      <w:r>
        <w:t xml:space="preserve"> </w:t>
      </w:r>
      <w:r>
        <w:t xml:space="preserve">estadístico riguroso, y contribuye una taxonomía que integra esas propiedades</w:t>
      </w:r>
      <w:r>
        <w:t xml:space="preserve"> </w:t>
      </w:r>
      <w:r>
        <w:t xml:space="preserve">con su alcance inferencial operacional.</w:t>
      </w:r>
    </w:p>
    <w:p>
      <w:pPr>
        <w:pStyle w:val="Textoindependiente"/>
        <w:spacing w:line="360" w:lineRule="auto"/>
        <w:jc w:val="both"/>
      </w:pPr>
      <w:r>
        <w:t xml:space="preserve">El aporte de FOM-7 respecto a Canha et al.</w:t>
      </w:r>
      <w:r>
        <w:t xml:space="preserve"> </w:t>
      </w:r>
      <w:r>
        <w:t xml:space="preserve">(2025)</w:t>
      </w:r>
      <w:r>
        <w:t xml:space="preserve"> </w:t>
      </w:r>
      <w:r>
        <w:t xml:space="preserve">es también</w:t>
      </w:r>
      <w:r>
        <w:t xml:space="preserve"> </w:t>
      </w:r>
      <w:r>
        <w:t xml:space="preserve">diferenciable. Canha et al. articulan principios de reproducibilidad para XAI</w:t>
      </w:r>
      <w:r>
        <w:t xml:space="preserve"> </w:t>
      </w:r>
      <w:r>
        <w:t xml:space="preserve">(declaración de semillas, versionado, separación de conjuntos), pero sin una</w:t>
      </w:r>
      <w:r>
        <w:t xml:space="preserve"> </w:t>
      </w:r>
      <w:r>
        <w:t xml:space="preserve">secuencia de puertas con criterios explícitos de falla y admisibilidad. FOM-7</w:t>
      </w:r>
      <w:r>
        <w:t xml:space="preserve"> </w:t>
      </w:r>
      <w:r>
        <w:t xml:space="preserve">convierte esos principios en un protocolo ejecutable cuya puerta 3 (auditoría de</w:t>
      </w:r>
      <w:r>
        <w:t xml:space="preserve"> </w:t>
      </w:r>
      <w:r>
        <w:t xml:space="preserve">integridad de artefactos) controla la contaminación antes de la inferencia, y</w:t>
      </w:r>
      <w:r>
        <w:t xml:space="preserve"> </w:t>
      </w:r>
      <w:r>
        <w:t xml:space="preserve">cuya puerta 7 (trazabilidad de claims) garantiza que cada afirmación publicada</w:t>
      </w:r>
      <w:r>
        <w:t xml:space="preserve"> </w:t>
      </w:r>
      <w:r>
        <w:t xml:space="preserve">puede rastrearse hasta una celda del diseño factorial.</w:t>
      </w:r>
    </w:p>
    <w:bookmarkEnd w:id="181"/>
    <w:bookmarkStart w:id="182" w:name="sec-limitaciones"/>
    <w:p>
      <w:pPr>
        <w:pStyle w:val="Ttulo2"/>
        <w:spacing w:line="360" w:lineRule="auto"/>
        <w:jc w:val="both"/>
      </w:pPr>
      <w:r>
        <w:t xml:space="preserve">Limitaciones del estudio</w:t>
      </w:r>
    </w:p>
    <w:p>
      <w:pPr>
        <w:pStyle w:val="FirstParagraph"/>
        <w:spacing w:line="360" w:lineRule="auto"/>
        <w:jc w:val="both"/>
      </w:pPr>
      <w:r>
        <w:t xml:space="preserve">Cuatro limitaciones deben tenerse en cuenta al interpretar los resultados y</w:t>
      </w:r>
      <w:r>
        <w:t xml:space="preserve"> </w:t>
      </w:r>
      <w:r>
        <w:t xml:space="preserve">generalizar los criterios de selección.</w:t>
      </w:r>
    </w:p>
    <w:p>
      <w:pPr>
        <w:pStyle w:val="Textoindependiente"/>
        <w:spacing w:line="360" w:lineRule="auto"/>
        <w:jc w:val="both"/>
      </w:pPr>
      <w:r>
        <w:rPr>
          <w:b/>
          <w:bCs/>
        </w:rPr>
        <w:t xml:space="preserve">Universo experimental acotado.</w:t>
      </w:r>
      <w:r>
        <w:t xml:space="preserve"> </w:t>
      </w:r>
      <w:r>
        <w:t xml:space="preserve">El benchmark opera sobre el conjunto de</w:t>
      </w:r>
      <w:r>
        <w:t xml:space="preserve"> </w:t>
      </w:r>
      <w:r>
        <w:t xml:space="preserve">datos UCI Adult Income, que es tabular, binario y de tamaño moderado (48,842</w:t>
      </w:r>
      <w:r>
        <w:t xml:space="preserve"> </w:t>
      </w:r>
      <w:r>
        <w:t xml:space="preserve">instancias). La extensión de los hallazgos a datos de imagen, texto o series</w:t>
      </w:r>
      <w:r>
        <w:t xml:space="preserve"> </w:t>
      </w:r>
      <w:r>
        <w:t xml:space="preserve">temporales requiere redefinir las operacionalizaciones de fidelidad y</w:t>
      </w:r>
      <w:r>
        <w:t xml:space="preserve"> </w:t>
      </w:r>
      <w:r>
        <w:t xml:space="preserve">estabilidad, que en este benchmark son específicas de la estructura de</w:t>
      </w:r>
      <w:r>
        <w:t xml:space="preserve"> </w:t>
      </w:r>
      <w:r>
        <w:t xml:space="preserve">características tabulares.</w:t>
      </w:r>
    </w:p>
    <w:p>
      <w:pPr>
        <w:pStyle w:val="Textoindependiente"/>
        <w:spacing w:line="360" w:lineRule="auto"/>
        <w:jc w:val="both"/>
      </w:pPr>
      <w:r>
        <w:rPr>
          <w:b/>
          <w:bCs/>
        </w:rPr>
        <w:t xml:space="preserve">Operacionalizaciones métricas específicas.</w:t>
      </w:r>
      <w:r>
        <w:t xml:space="preserve"> </w:t>
      </w:r>
      <w:r>
        <w:t xml:space="preserve">Fidelidad y estabilidad se</w:t>
      </w:r>
      <w:r>
        <w:t xml:space="preserve"> </w:t>
      </w:r>
      <w:r>
        <w:t xml:space="preserve">operacionalizan aquí mediante enmascaramiento de características y</w:t>
      </w:r>
      <w:r>
        <w:t xml:space="preserve"> </w:t>
      </w:r>
      <w:r>
        <w:t xml:space="preserve">perturbación gaussiana, respectivamente. Otras operacionalizaciones —por</w:t>
      </w:r>
      <w:r>
        <w:t xml:space="preserve"> </w:t>
      </w:r>
      <w:r>
        <w:t xml:space="preserve">ejemplo, fidelidad como ROAR</w:t>
      </w:r>
      <w:r>
        <w:t xml:space="preserve"> </w:t>
      </w:r>
      <w:r>
        <w:t xml:space="preserve">(Zheng et al. 2025)</w:t>
      </w:r>
      <w:r>
        <w:t xml:space="preserve"> </w:t>
      </w:r>
      <w:r>
        <w:t xml:space="preserve">o estabilidad como estimación de la</w:t>
      </w:r>
      <w:r>
        <w:t xml:space="preserve"> </w:t>
      </w:r>
      <w:r>
        <w:t xml:space="preserve">constante de Lipschitz local</w:t>
      </w:r>
      <w:r>
        <w:t xml:space="preserve"> </w:t>
      </w:r>
      <w:r>
        <w:t xml:space="preserve">(Canha et al. 2025)</w:t>
      </w:r>
      <w:r>
        <w:t xml:space="preserve">— pueden producir ordenamientos</w:t>
      </w:r>
      <w:r>
        <w:t xml:space="preserve"> </w:t>
      </w:r>
      <w:r>
        <w:t xml:space="preserve">distintos, especialmente en el rango medio de los métodos (Anchors-DiCE).</w:t>
      </w:r>
    </w:p>
    <w:p>
      <w:pPr>
        <w:pStyle w:val="Textoindependiente"/>
        <w:spacing w:line="360" w:lineRule="auto"/>
        <w:jc w:val="both"/>
      </w:pPr>
      <w:r>
        <w:rPr>
          <w:b/>
          <w:bCs/>
        </w:rPr>
        <w:t xml:space="preserve">Ausencia de evaluación human-centered.</w:t>
      </w:r>
      <w:r>
        <w:t xml:space="preserve"> </w:t>
      </w:r>
      <w:r>
        <w:t xml:space="preserve">El benchmark es exclusivamente</w:t>
      </w:r>
      <w:r>
        <w:t xml:space="preserve"> </w:t>
      </w:r>
      <w:r>
        <w:t xml:space="preserve">funcionally-grounded. La dimensión de comprehensibilidad percibida, utilidad</w:t>
      </w:r>
      <w:r>
        <w:t xml:space="preserve"> </w:t>
      </w:r>
      <w:r>
        <w:t xml:space="preserve">para la toma de decisiones y confianza del usuario</w:t>
      </w:r>
      <w:r>
        <w:t xml:space="preserve"> </w:t>
      </w:r>
      <w:r>
        <w:t xml:space="preserve">(Bhattacharya and Verbert 2024)</w:t>
      </w:r>
      <w:r>
        <w:t xml:space="preserve"> </w:t>
      </w:r>
      <w:r>
        <w:t xml:space="preserve">no está</w:t>
      </w:r>
      <w:r>
        <w:t xml:space="preserve"> </w:t>
      </w:r>
      <w:r>
        <w:t xml:space="preserve">cubierta. La taxonomía del Capítulo 5 hace explícita esta limitación y la</w:t>
      </w:r>
      <w:r>
        <w:t xml:space="preserve"> </w:t>
      </w:r>
      <w:r>
        <w:t xml:space="preserve">localiza en los ejes de fuente de evidencia y contexto de tarea, pero los</w:t>
      </w:r>
      <w:r>
        <w:t xml:space="preserve"> </w:t>
      </w:r>
      <w:r>
        <w:t xml:space="preserve">criterios de selección prescriptivos derivados no incorporan preferencias de</w:t>
      </w:r>
      <w:r>
        <w:t xml:space="preserve"> </w:t>
      </w:r>
      <w:r>
        <w:t xml:space="preserve">usuarios finales.</w:t>
      </w:r>
    </w:p>
    <w:p>
      <w:pPr>
        <w:pStyle w:val="Textoindependiente"/>
        <w:spacing w:line="360" w:lineRule="auto"/>
        <w:jc w:val="both"/>
      </w:pPr>
      <w:r>
        <w:rPr>
          <w:b/>
          <w:bCs/>
        </w:rPr>
        <w:t xml:space="preserve">Configuraciones de referencia y artefactos de diseño.</w:t>
      </w:r>
      <w:r>
        <w:t xml:space="preserve"> </w:t>
      </w:r>
      <w:r>
        <w:t xml:space="preserve">Los resultados son válidos bajo las configuraciones de referencia de cada método. Tres caveats específicos deben tenerse en cuenta al interpretar las métricas de LIME.</w:t>
      </w:r>
    </w:p>
    <w:p>
      <w:pPr>
        <w:pStyle w:val="Textoindependiente"/>
        <w:spacing w:line="360" w:lineRule="auto"/>
        <w:jc w:val="both"/>
      </w:pPr>
      <w:r>
        <w:rPr>
          <w:i/>
          <w:iCs/>
        </w:rPr>
        <w:t xml:space="preserve">Artefacto de parsimonia.</w:t>
      </w:r>
      <w:r>
        <w:t xml:space="preserve"> </w:t>
      </w:r>
      <w:r>
        <w:t xml:space="preserve">El parámetro</w:t>
      </w:r>
      <w:r>
        <w:t xml:space="preserve"> </w:t>
      </w:r>
      <w:r>
        <w:rPr>
          <w:rStyle w:val="VerbatimChar"/>
        </w:rPr>
        <w:t xml:space="preserve">num_features = 10</w:t>
      </w:r>
      <w:r>
        <w:t xml:space="preserve"> </w:t>
      </w:r>
      <w:r>
        <w:t xml:space="preserve">de LIME actúa como techo rígido sobre el número de características activas devueltas. La parsimonia de LIME es, por tanto, un artefacto de configuración, no una propiedad emergente del modelo sustituto local. Las comparaciones de parsimonia con métodos sin restricción explícita deben interpretarse en este contexto.</w:t>
      </w:r>
    </w:p>
    <w:p>
      <w:pPr>
        <w:pStyle w:val="Textoindependiente"/>
        <w:spacing w:line="360" w:lineRule="auto"/>
        <w:jc w:val="both"/>
      </w:pPr>
      <w:r>
        <w:rPr>
          <w:i/>
          <w:iCs/>
        </w:rPr>
        <w:t xml:space="preserve">Alcance de la inestabilidad de LIME.</w:t>
      </w:r>
      <w:r>
        <w:t xml:space="preserve"> </w:t>
      </w:r>
      <w:r>
        <w:t xml:space="preserve">La inestabilidad de LIME observada en EXP2 (CV = 86.2%, similitud coseno media ≈ 0.014) fue examinada sistemáticamente variando</w:t>
      </w:r>
      <w:r>
        <w:t xml:space="preserve"> </w:t>
      </w:r>
      <w:r>
        <w:rPr>
          <w:rStyle w:val="VerbatimChar"/>
        </w:rPr>
        <w:t xml:space="preserve">num_samples</w:t>
      </w:r>
      <w:r>
        <w:t xml:space="preserve"> </w:t>
      </w:r>
      <w:r>
        <w:t xml:space="preserve">∈ {500, 1000, 2000}: la estabilidad permanece cercana a cero en todos los niveles, lo que descarta que el resultado sea un artefacto de convergencia del muestreo. La sensibilidad al ancho del kernel, en cambio, sí es sustantiva. Un análisis a</w:t>
      </w:r>
      <w:r>
        <w:t xml:space="preserve"> </w:t>
      </w:r>
      <w:r>
        <w:rPr>
          <w:rStyle w:val="VerbatimChar"/>
        </w:rPr>
        <w:t xml:space="preserve">kernel_width</w:t>
      </w:r>
      <w:r>
        <w:t xml:space="preserve"> </w:t>
      </w:r>
      <w:r>
        <w:t xml:space="preserve">∈ {0.25, 0.75, 3.0, 10.0} muestra que los valores inferiores a 3.0 producen pesos degenerados (cero) en el espacio de características preprocesado de 103 dimensiones —de modo que 3.0 es el mínimo viable— pero que</w:t>
      </w:r>
      <w:r>
        <w:t xml:space="preserve"> </w:t>
      </w:r>
      <w:r>
        <w:rPr>
          <w:rStyle w:val="VerbatimChar"/>
        </w:rPr>
        <w:t xml:space="preserve">kernel_width = 10.0</w:t>
      </w:r>
      <w:r>
        <w:t xml:space="preserve"> </w:t>
      </w:r>
      <w:r>
        <w:t xml:space="preserve">recupera una estabilidad de 0.664 a costa de la fidelidad, que desciende de 0.518 a 0.441 (Apéndice C,</w:t>
      </w:r>
      <w:r>
        <w:t xml:space="preserve"> </w:t>
      </w:r>
      <w:hyperlink w:anchor="tbl-appendix-lime-kw-sensitivity">
        <w:r>
          <w:rPr>
            <w:rStyle w:val="Hipervnculo"/>
          </w:rPr>
          <w:t xml:space="preserve">Table 7.11</w:t>
        </w:r>
      </w:hyperlink>
      <w:r>
        <w:t xml:space="preserve">). El resultado debe enunciarse, por tanto, con su condición de producción: bajo la configuración de referencia y en el espacio de 103 dimensiones de Adult Income, las explicaciones de LIME son casi ortogonales entre réplicas; no se trata de una propiedad universal del método, sino de una propiedad del par (configuración, espacio de características). La validación cruzada de EXP3 (§sec-exp3-nota) confirma esta lectura desde el otro extremo: con el mismo</w:t>
      </w:r>
      <w:r>
        <w:t xml:space="preserve"> </w:t>
      </w:r>
      <w:r>
        <w:rPr>
          <w:rStyle w:val="VerbatimChar"/>
        </w:rPr>
        <w:t xml:space="preserve">kernel_width = 3.0</w:t>
      </w:r>
      <w:r>
        <w:t xml:space="preserve">, LIME alcanza estabilidades de 0.748–0.927 en Breast Cancer y German Credit. La consecuencia práctica no es más débil, sino más accionable: la estabilidad de LIME no puede presuponerse a partir de la literatura ni de este benchmark, debe medirse en el espacio de características y la configuración del despliegue concreto.</w:t>
      </w:r>
    </w:p>
    <w:p>
      <w:pPr>
        <w:pStyle w:val="Textoindependiente"/>
        <w:spacing w:line="360" w:lineRule="auto"/>
        <w:jc w:val="both"/>
      </w:pPr>
      <w:r>
        <w:rPr>
          <w:i/>
          <w:iCs/>
        </w:rPr>
        <w:t xml:space="preserve">Sesgo de enmascaramiento y correlaciones de características.</w:t>
      </w:r>
      <w:r>
        <w:t xml:space="preserve"> </w:t>
      </w:r>
      <w:r>
        <w:t xml:space="preserve">La métrica de fidelidad enmascara características individualmente sustituyéndolas por valores de referencia medios. En el dataset Adult Income, pares como</w:t>
      </w:r>
      <w:r>
        <w:t xml:space="preserve"> </w:t>
      </w:r>
      <w:r>
        <w:rPr>
          <w:rStyle w:val="VerbatimChar"/>
        </w:rPr>
        <w:t xml:space="preserve">education</w:t>
      </w:r>
      <w:r>
        <w:t xml:space="preserve">/</w:t>
      </w:r>
      <w:r>
        <w:rPr>
          <w:rStyle w:val="VerbatimChar"/>
        </w:rPr>
        <w:t xml:space="preserve">education-num</w:t>
      </w:r>
      <w:r>
        <w:t xml:space="preserve"> </w:t>
      </w:r>
      <w:r>
        <w:t xml:space="preserve">(</w:t>
      </w:r>
      <ns1:oMath>
        <ns1:r>
          <ns1:t>r</ns1:t>
        </ns1:r>
        <ns1:r>
          <ns1:rPr>
            <ns1:sty ns1:val="p"/>
          </ns1:rPr>
          <ns1:t>=</ns1:t>
        </ns1:r>
        <ns1:r>
          <ns1:t>1.0</ns1:t>
        </ns1:r>
      </ns1:oMath>
      <w:r>
        <w:t xml:space="preserve">) y</w:t>
      </w:r>
      <w:r>
        <w:t xml:space="preserve"> </w:t>
      </w:r>
      <w:r>
        <w:rPr>
          <w:rStyle w:val="VerbatimChar"/>
        </w:rPr>
        <w:t xml:space="preserve">occupation</w:t>
      </w:r>
      <w:r>
        <w:t xml:space="preserve">/</w:t>
      </w:r>
      <w:r>
        <w:rPr>
          <w:rStyle w:val="VerbatimChar"/>
        </w:rPr>
        <w:t xml:space="preserve">education</w:t>
      </w:r>
      <w:r>
        <w:t xml:space="preserve"> </w:t>
      </w:r>
      <w:r>
        <w:t xml:space="preserve">(Cramér’s</w:t>
      </w:r>
      <w:r>
        <w:t xml:space="preserve"> </w:t>
      </w:r>
      <ns1:oMath>
        <ns1:r>
          <ns1:t>V</ns1:t>
        </ns1:r>
        <ns1:r>
          <ns1:rPr>
            <ns1:sty ns1:val="p"/>
          </ns1:rPr>
          <ns1:t>≈</ns1:t>
        </ns1:r>
        <ns1:r>
          <ns1:t>0.34</ns1:t>
        </ns1:r>
      </ns1:oMath>
      <w:r>
        <w:t xml:space="preserve">) están moderadamente correlacionados. El enmascaramiento independiente de características correlacionadas genera instancias fuera de la distribución de entrenamiento, lo que puede sesgar la estimación de la importancia de características al hacer que el modelo reciba combinaciones de valores implausibles. No puede descartarse que parte de la brecha de fidelidad SHAP-LIME refleje sensibilidad diferencial a este sesgo en lugar de diferencias puras de calidad de atribución.</w:t>
      </w:r>
    </w:p>
    <w:bookmarkEnd w:id="182"/>
    <w:bookmarkStart w:id="185" w:name="sec-fronteras"/>
    <w:p>
      <w:pPr>
        <w:pStyle w:val="Ttulo2"/>
        <w:spacing w:line="360" w:lineRule="auto"/>
        <w:jc w:val="both"/>
      </w:pPr>
      <w:r>
        <w:t xml:space="preserve">Fronteras de generalización</w:t>
      </w:r>
    </w:p>
    <w:p>
      <w:pPr>
        <w:pStyle w:val="FirstParagraph"/>
        <w:spacing w:line="360" w:lineRule="auto"/>
        <w:jc w:val="both"/>
      </w:pPr>
      <w:r>
        <w:t xml:space="preserve">La claridad sobre los límites de las afirmaciones es un requisito de integridad</w:t>
      </w:r>
      <w:r>
        <w:t xml:space="preserve"> </w:t>
      </w:r>
      <w:r>
        <w:t xml:space="preserve">científica. La Tabla</w:t>
      </w:r>
      <w:r>
        <w:t xml:space="preserve"> </w:t>
      </w:r>
      <w:hyperlink w:anchor="tbl-fronteras-generalizacion">
        <w:r>
          <w:rPr>
            <w:rStyle w:val="Hipervnculo"/>
          </w:rPr>
          <w:t xml:space="preserve">Table 7.4</w:t>
        </w:r>
      </w:hyperlink>
      <w:r>
        <w:t xml:space="preserve"> </w:t>
      </w:r>
      <w:r>
        <w:t xml:space="preserve">especifica el alcance</w:t>
      </w:r>
      <w:r>
        <w:t xml:space="preserve"> </w:t>
      </w:r>
      <w:r>
        <w:t xml:space="preserve">soportado y el alcance no soportado de los hallazgos principales, junto con la</w:t>
      </w:r>
      <w:r>
        <w:t xml:space="preserve"> </w:t>
      </w:r>
      <w:r>
        <w:t xml:space="preserve">evidencia que sería necesaria para extender las conclusiones.</w:t>
      </w:r>
    </w:p>
    <w:tbl>
      <w:tblPr>
        <w:tblStyle w:val="Table"/>
        <w:tblW w:type="pct" w:w="5000"/>
        <w:tblLayout w:type="fixed"/>
        <w:tblLook w:firstRow="0" w:lastRow="0" w:firstColumn="0" w:lastColumn="0" w:noHBand="0" w:noVBand="0" w:val="0000"/>
      </w:tblPr>
      <w:tblGrid>
        <w:gridCol w:w="7920"/>
      </w:tblGrid>
      <w:tr>
        <w:tc>
          <w:tcPr/>
          <w:bookmarkStart w:id="183" w:name="tbl-fronteras-generalizacion"/>
          <w:p>
            <w:pPr>
              <w:jc w:val="both"/>
              <w:spacing w:line="360" w:lineRule="auto"/>
            </w:pPr>
            <w:pPr>
              <w:jc w:val="left"/>
              <w:spacing w:before="200"/>
              <w:pStyle w:val="ImageCaption"/>
            </w:pPr>
            <w:r>
              <w:t xml:space="preserve">Table 7.4: Fronteras de generalización de los hallazgos principales.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Afirmación</w:t>
                  </w:r>
                </w:p>
              </w:tc>
              <w:tc>
                <w:tcPr/>
                <w:p>
                  <w:pPr>
                    <w:pStyle w:val="Compact"/>
                    <w:jc w:val="both"/>
                    <w:jc w:val="center"/>
                    <w:spacing w:line="360" w:lineRule="auto"/>
                  </w:pPr>
                  <w:r>
                    <w:t xml:space="preserve">Soportada para</w:t>
                  </w:r>
                </w:p>
              </w:tc>
              <w:tc>
                <w:tcPr/>
                <w:p>
                  <w:pPr>
                    <w:pStyle w:val="Compact"/>
                    <w:jc w:val="both"/>
                    <w:jc w:val="center"/>
                    <w:spacing w:line="360" w:lineRule="auto"/>
                  </w:pPr>
                  <w:r>
                    <w:t xml:space="preserve">No soportada para</w:t>
                  </w:r>
                </w:p>
              </w:tc>
              <w:tc>
                <w:tcPr/>
                <w:p>
                  <w:pPr>
                    <w:pStyle w:val="Compact"/>
                    <w:jc w:val="both"/>
                    <w:jc w:val="center"/>
                    <w:spacing w:line="360" w:lineRule="auto"/>
                  </w:pPr>
                  <w:r>
                    <w:t xml:space="preserve">Validación futura requerida</w:t>
                  </w:r>
                </w:p>
              </w:tc>
            </w:tr>
            <w:tr>
              <w:tc>
                <w:tcPr/>
                <w:p>
                  <w:pPr>
                    <w:pStyle w:val="Compact"/>
                    <w:jc w:val="both"/>
                    <w:jc w:val="center"/>
                    <w:spacing w:line="360" w:lineRule="auto"/>
                  </w:pPr>
                  <w:r>
                    <w:t xml:space="preserve">SHAP supera a LIME en fidelidad (efecto muy grande,</w:t>
                  </w:r>
                  <w:r>
                    <w:t xml:space="preserve"> </w:t>
                  </w:r>
                  <ns1:oMath>
                    <ns1:sSub>
                      <ns1:e>
                        <ns1:r>
                          <ns1:t>d</ns1:t>
                        </ns1:r>
                      </ns1:e>
                      <ns1:sub>
                        <ns1:r>
                          <ns1:t>z</ns1:t>
                        </ns1:r>
                      </ns1:sub>
                    </ns1:sSub>
                    <ns1:r>
                      <ns1:rPr>
                        <ns1:sty ns1:val="p"/>
                      </ns1:rPr>
                      <ns1:t>=</ns1:t>
                    </ns1:r>
                    <ns1:r>
                      <ns1:t>4.82</ns1:t>
                    </ns1:r>
                  </ns1:oMath>
                  <w:r>
                    <w:t xml:space="preserve">)</w:t>
                  </w:r>
                </w:p>
              </w:tc>
              <w:tc>
                <w:tcPr/>
                <w:p>
                  <w:pPr>
                    <w:pStyle w:val="Compact"/>
                    <w:jc w:val="both"/>
                    <w:jc w:val="center"/>
                    <w:spacing w:line="360" w:lineRule="auto"/>
                  </w:pPr>
                  <w:r>
                    <w:t xml:space="preserve">UCI Adult Income; clasificación tabular binaria; cinco modelos ML convencionales; métricas de fidelidad por enmascaramiento de características</w:t>
                  </w:r>
                </w:p>
              </w:tc>
              <w:tc>
                <w:tcPr/>
                <w:p>
                  <w:pPr>
                    <w:pStyle w:val="Compact"/>
                    <w:jc w:val="both"/>
                    <w:jc w:val="center"/>
                    <w:spacing w:line="360" w:lineRule="auto"/>
                  </w:pPr>
                  <w:r>
                    <w:t xml:space="preserve">Dominios de imagen, texto, series temporales; datasets tabulares adicionales para la comparación específica SHAP-LIME; otras operacionalizaciones de fidelidad (ROAR, pixel-flipping)</w:t>
                  </w:r>
                </w:p>
              </w:tc>
              <w:tc>
                <w:tcPr/>
                <w:p>
                  <w:pPr>
                    <w:pStyle w:val="Compact"/>
                    <w:jc w:val="both"/>
                    <w:jc w:val="center"/>
                    <w:spacing w:line="360" w:lineRule="auto"/>
                  </w:pPr>
                  <w:r>
                    <w:rPr>
                      <w:b/>
                      <w:bCs/>
                    </w:rPr>
                    <w:t xml:space="preserve">Validación parcial completada (EXP3):</w:t>
                  </w:r>
                  <w:r>
                    <w:t xml:space="preserve"> </w:t>
                  </w:r>
                  <w:r>
                    <w:t xml:space="preserve">el ordenamiento SHAP</w:t>
                  </w:r>
                  <w:r>
                    <w:t xml:space="preserve"> </w:t>
                  </w:r>
                  <ns1:oMath>
                    <ns1:r>
                      <ns1:rPr>
                        <ns1:sty ns1:val="p"/>
                      </ns1:rPr>
                      <ns1:t>&gt;</ns1:t>
                    </ns1:r>
                  </ns1:oMath>
                  <w:r>
                    <w:t xml:space="preserve"> </w:t>
                  </w:r>
                  <w:r>
                    <w:t xml:space="preserve">Anchors en fidelidad fue replicado en Breast Cancer Wisconsin y German Credit (12/12 combinaciones pareadas; véase §sec-exp3-nota). La extensión posterior incorporó LIME en esos dos datasets, pero no instrumentó estabilidad de SHAP; por tanto, el contraste pareado SHAP-LIME completo fuera de Adult permanece pendiente.</w:t>
                  </w:r>
                </w:p>
              </w:tc>
            </w:tr>
            <w:tr>
              <w:tc>
                <w:tcPr/>
                <w:p>
                  <w:pPr>
                    <w:pStyle w:val="Compact"/>
                    <w:jc w:val="both"/>
                    <w:jc w:val="center"/>
                    <w:spacing w:line="360" w:lineRule="auto"/>
                  </w:pPr>
                  <w:r>
                    <w:t xml:space="preserve">La inestabilidad de LIME es casi total en la condición medida (CV=86%, media≈0.014)</w:t>
                  </w:r>
                </w:p>
              </w:tc>
              <w:tc>
                <w:tcPr/>
                <w:p>
                  <w:pPr>
                    <w:pStyle w:val="Compact"/>
                    <w:jc w:val="both"/>
                    <w:jc w:val="center"/>
                    <w:spacing w:line="360" w:lineRule="auto"/>
                  </w:pPr>
                  <w:r>
                    <w:t xml:space="preserve">UCI Adult Income; espacio preprocesado de 103 dimensiones predominantemente binario; estabilidad definida como similitud coseno bajo perturbación gaussiana; configuración</w:t>
                  </w:r>
                  <w:r>
                    <w:t xml:space="preserve"> </w:t>
                  </w:r>
                  <w:r>
                    <w:rPr>
                      <w:rStyle w:val="VerbatimChar"/>
                    </w:rPr>
                    <w:t xml:space="preserve">num_samples=1000</w:t>
                  </w:r>
                  <w:r>
                    <w:t xml:space="preserve">,</w:t>
                  </w:r>
                  <w:r>
                    <w:t xml:space="preserve"> </w:t>
                  </w:r>
                  <w:r>
                    <w:rPr>
                      <w:rStyle w:val="VerbatimChar"/>
                    </w:rPr>
                    <w:t xml:space="preserve">kernel_width=3.0</w:t>
                  </w:r>
                </w:p>
              </w:tc>
              <w:tc>
                <w:tcPr/>
                <w:p>
                  <w:pPr>
                    <w:pStyle w:val="Compact"/>
                    <w:jc w:val="both"/>
                    <w:jc w:val="center"/>
                    <w:spacing w:line="360" w:lineRule="auto"/>
                  </w:pPr>
                  <w:r>
                    <w:t xml:space="preserve">Otros espacios de características o datasets —§sec-exp3-nota mide 0.748–0.927 en Breast Cancer y German Credit bajo la misma configuración—; otros anchos de kernel (</w:t>
                  </w:r>
                  <w:r>
                    <w:rPr>
                      <w:rStyle w:val="VerbatimChar"/>
                    </w:rPr>
                    <w:t xml:space="preserve">kernel_width=10.0</w:t>
                  </w:r>
                  <w:r>
                    <w:t xml:space="preserve"> </w:t>
                  </w:r>
                  <w:r>
                    <w:t xml:space="preserve">produce 0.664, Apéndice C); otras definiciones de estabilidad (distancia Lipschitz local, varianza de pesos)</w:t>
                  </w:r>
                </w:p>
              </w:tc>
              <w:tc>
                <w:tcPr/>
                <w:p>
                  <w:pPr>
                    <w:pStyle w:val="Compact"/>
                    <w:jc w:val="both"/>
                    <w:jc w:val="center"/>
                    <w:spacing w:line="360" w:lineRule="auto"/>
                  </w:pPr>
                  <w:r>
                    <w:t xml:space="preserve">Interacción entre</w:t>
                  </w:r>
                  <w:r>
                    <w:t xml:space="preserve"> </w:t>
                  </w:r>
                  <w:r>
                    <w:rPr>
                      <w:rStyle w:val="VerbatimChar"/>
                    </w:rPr>
                    <w:t xml:space="preserve">kernel_width</w:t>
                  </w:r>
                  <w:r>
                    <w:t xml:space="preserve"> </w:t>
                  </w:r>
                  <w:r>
                    <w:t xml:space="preserve">y la dimensionalidad del espacio de características; estabilidad bajo esquemas de perturbación no gaussianos; instrumentación de la estabilidad de SHAP en los datasets de EXP3 para obtener el contraste pareado completo</w:t>
                  </w:r>
                </w:p>
              </w:tc>
            </w:tr>
            <w:tr>
              <w:tc>
                <w:tcPr/>
                <w:p>
                  <w:pPr>
                    <w:pStyle w:val="Compact"/>
                    <w:jc w:val="both"/>
                    <w:jc w:val="center"/>
                    <w:spacing w:line="360" w:lineRule="auto"/>
                  </w:pPr>
                  <w:r>
                    <w:t xml:space="preserve">FOM-7 produce resultados reproducibles (CV&lt;3% en fidelidad en el subgrupo replicado RF/</w:t>
                  </w:r>
                  <ns1:oMath>
                    <ns1:r>
                      <ns1:t>N</ns1:t>
                    </ns1:r>
                    <ns1:r>
                      <ns1:rPr>
                        <ns1:sty ns1:val="p"/>
                      </ns1:rPr>
                      <ns1:t>=</ns1:t>
                    </ns1:r>
                    <ns1:r>
                      <ns1:t>100</ns1:t>
                    </ns1:r>
                  </ns1:oMath>
                  <w:r>
                    <w:t xml:space="preserve">; CV agrupado 11.4% SHAP y 12.0% LIME sobre el conjunto completo, frente al umbral del 15% de P1)</w:t>
                  </w:r>
                </w:p>
              </w:tc>
              <w:tc>
                <w:tcPr/>
                <w:p>
                  <w:pPr>
                    <w:pStyle w:val="Compact"/>
                    <w:jc w:val="both"/>
                    <w:jc w:val="center"/>
                    <w:spacing w:line="360" w:lineRule="auto"/>
                  </w:pPr>
                  <w:r>
                    <w:t xml:space="preserve">Entorno controlado; cinco semillas definidas; modelos congelados en EXP1</w:t>
                  </w:r>
                </w:p>
              </w:tc>
              <w:tc>
                <w:tcPr/>
                <w:p>
                  <w:pPr>
                    <w:pStyle w:val="Compact"/>
                    <w:jc w:val="both"/>
                    <w:jc w:val="center"/>
                    <w:spacing w:line="360" w:lineRule="auto"/>
                  </w:pPr>
                  <w:r>
                    <w:t xml:space="preserve">Otros entornos computacionales sin control de recursos; modelos re-entrenados entre ejecuciones; datasets con alta varianza de instancias</w:t>
                  </w:r>
                </w:p>
              </w:tc>
              <w:tc>
                <w:tcPr/>
                <w:p>
                  <w:pPr>
                    <w:pStyle w:val="Compact"/>
                    <w:jc w:val="both"/>
                    <w:jc w:val="center"/>
                    <w:spacing w:line="360" w:lineRule="auto"/>
                  </w:pPr>
                  <w:r>
                    <w:t xml:space="preserve">Replicación independiente con infraestructura distinta; publicación de resultados en Zenodo con instrucciones verificadas</w:t>
                  </w:r>
                </w:p>
              </w:tc>
            </w:tr>
            <w:tr>
              <w:tc>
                <w:tcPr/>
                <w:p>
                  <w:pPr>
                    <w:pStyle w:val="Compact"/>
                    <w:jc w:val="both"/>
                    <w:jc w:val="center"/>
                    <w:spacing w:line="360" w:lineRule="auto"/>
                  </w:pPr>
                  <w:r>
                    <w:t xml:space="preserve">Los criterios prescriptivos de selección son válidos (Contextos A-D)</w:t>
                  </w:r>
                </w:p>
              </w:tc>
              <w:tc>
                <w:tcPr/>
                <w:p>
                  <w:pPr>
                    <w:pStyle w:val="Compact"/>
                    <w:jc w:val="both"/>
                    <w:jc w:val="center"/>
                    <w:spacing w:line="360" w:lineRule="auto"/>
                  </w:pPr>
                  <w:r>
                    <w:t xml:space="preserve">Condiciones del benchmark descritas; modelos y métricas definidas</w:t>
                  </w:r>
                </w:p>
              </w:tc>
              <w:tc>
                <w:tcPr/>
                <w:p>
                  <w:pPr>
                    <w:pStyle w:val="Compact"/>
                    <w:jc w:val="both"/>
                    <w:jc w:val="center"/>
                    <w:spacing w:line="360" w:lineRule="auto"/>
                  </w:pPr>
                  <w:r>
                    <w:t xml:space="preserve">Dominios regulados con restricciones normativas propias; preferencias de usuarios finales; criterios de comprehensibilidad</w:t>
                  </w:r>
                </w:p>
              </w:tc>
              <w:tc>
                <w:tcPr/>
                <w:p>
                  <w:pPr>
                    <w:pStyle w:val="Compact"/>
                    <w:jc w:val="both"/>
                    <w:jc w:val="center"/>
                    <w:spacing w:line="360" w:lineRule="auto"/>
                  </w:pPr>
                  <w:r>
                    <w:t xml:space="preserve">Estudios human-centered en dominios específicos (crédito, salud, justicia) con usuarios expertos</w:t>
                  </w:r>
                </w:p>
              </w:tc>
            </w:tr>
            <w:tr>
              <w:tc>
                <w:tcPr/>
                <w:p>
                  <w:pPr>
                    <w:pStyle w:val="Compact"/>
                    <w:jc w:val="both"/>
                    <w:jc w:val="center"/>
                    <w:spacing w:line="360" w:lineRule="auto"/>
                  </w:pPr>
                  <w:r>
                    <w:t xml:space="preserve">DiCE es preferible para recourse sobre otros métodos</w:t>
                  </w:r>
                </w:p>
              </w:tc>
              <w:tc>
                <w:tcPr/>
                <w:p>
                  <w:pPr>
                    <w:pStyle w:val="Compact"/>
                    <w:jc w:val="both"/>
                    <w:jc w:val="center"/>
                    <w:spacing w:line="360" w:lineRule="auto"/>
                  </w:pPr>
                  <w:r>
                    <w:t xml:space="preserve">Objetivo de cambio de predicción; dataset Adult Income</w:t>
                  </w:r>
                </w:p>
              </w:tc>
              <w:tc>
                <w:tcPr/>
                <w:p>
                  <w:pPr>
                    <w:pStyle w:val="Compact"/>
                    <w:jc w:val="both"/>
                    <w:jc w:val="center"/>
                    <w:spacing w:line="360" w:lineRule="auto"/>
                  </w:pPr>
                  <w:r>
                    <w:t xml:space="preserve">Entornos con restricciones de factibilidad semántica; dominios donde la accionabilidad requiere validación causal</w:t>
                  </w:r>
                </w:p>
              </w:tc>
              <w:tc>
                <w:tcPr/>
                <w:p>
                  <w:pPr>
                    <w:pStyle w:val="Compact"/>
                    <w:jc w:val="both"/>
                    <w:jc w:val="center"/>
                    <w:spacing w:line="360" w:lineRule="auto"/>
                  </w:pPr>
                  <w:r>
                    <w:t xml:space="preserve">Evaluación de contrafactuales bajo restricciones de dominio reales con expertos</w:t>
                  </w:r>
                </w:p>
              </w:tc>
            </w:tr>
            <w:tr>
              <w:tc>
                <w:tcPr/>
                <w:p>
                  <w:pPr>
                    <w:pStyle w:val="Compact"/>
                    <w:jc w:val="both"/>
                    <w:jc w:val="center"/>
                    <w:spacing w:line="360" w:lineRule="auto"/>
                  </w:pPr>
                  <w:r>
                    <w:t xml:space="preserve">La taxonomía de cuatro ejes organiza el espacio de métricas XAI</w:t>
                  </w:r>
                </w:p>
              </w:tc>
              <w:tc>
                <w:tcPr/>
                <w:p>
                  <w:pPr>
                    <w:pStyle w:val="Compact"/>
                    <w:jc w:val="both"/>
                    <w:jc w:val="center"/>
                    <w:spacing w:line="360" w:lineRule="auto"/>
                  </w:pPr>
                  <w:r>
                    <w:t xml:space="preserve">Las 15 métricas catalogadas en la matriz taxonómica; literatura revisada en el corpus de construcción</w:t>
                  </w:r>
                </w:p>
              </w:tc>
              <w:tc>
                <w:tcPr/>
                <w:p>
                  <w:pPr>
                    <w:pStyle w:val="Compact"/>
                    <w:jc w:val="both"/>
                    <w:jc w:val="center"/>
                    <w:spacing w:line="360" w:lineRule="auto"/>
                  </w:pPr>
                  <w:r>
                    <w:t xml:space="preserve">Métricas emergentes no revisadas; métricas específicas de dominio (XAI médica, XAI legal) con propiedades propias</w:t>
                  </w:r>
                </w:p>
              </w:tc>
              <w:tc>
                <w:tcPr/>
                <w:p>
                  <w:pPr>
                    <w:pStyle w:val="Compact"/>
                    <w:jc w:val="both"/>
                    <w:jc w:val="center"/>
                    <w:spacing w:line="360" w:lineRule="auto"/>
                  </w:pPr>
                  <w:r>
                    <w:t xml:space="preserve">Extensión del corpus de revisión; validación por expertos de dominio</w:t>
                  </w:r>
                </w:p>
              </w:tc>
            </w:tr>
          </w:tbl>
          <w:bookmarkEnd w:id="183"/>
          <w:p>
            <w:pPr>
              <w:spacing w:line="360" w:lineRule="auto"/>
              <w:jc w:val="both"/>
            </w:pPr>
          </w:p>
        </w:tc>
      </w:tr>
    </w:tbl>
    <w:p>
      <w:pPr>
        <w:pStyle w:val="Textoindependiente"/>
        <w:spacing w:line="360" w:lineRule="auto"/>
        <w:jc w:val="both"/>
      </w:pPr>
      <w:r>
        <w:t xml:space="preserve">Esta tabla cumple la función de convertir las limitaciones del estudio en</w:t>
      </w:r>
      <w:r>
        <w:t xml:space="preserve"> </w:t>
      </w:r>
      <w:r>
        <w:t xml:space="preserve">información científica estructurada. Al especificar qué evidencia sería</w:t>
      </w:r>
      <w:r>
        <w:t xml:space="preserve"> </w:t>
      </w:r>
      <w:r>
        <w:t xml:space="preserve">necesaria para extender cada afirmación, la tesis no solo reconoce sus límites</w:t>
      </w:r>
      <w:r>
        <w:t xml:space="preserve"> </w:t>
      </w:r>
      <w:r>
        <w:t xml:space="preserve">sino que define la agenda de investigación de la manera más útil para</w:t>
      </w:r>
      <w:r>
        <w:t xml:space="preserve"> </w:t>
      </w:r>
      <w:r>
        <w:t xml:space="preserve">investigadores que deseen construir sobre estos resultados.</w:t>
      </w:r>
    </w:p>
    <w:bookmarkStart w:id="184" w:name="sec-exp3-nota"/>
    <w:p>
      <w:pPr>
        <w:pStyle w:val="Ttulo3"/>
        <w:spacing w:line="360" w:lineRule="auto"/>
        <w:jc w:val="both"/>
      </w:pPr>
      <w:r>
        <w:t xml:space="preserve">Nota sobre la validación externa parcial: EXP3</w:t>
      </w:r>
    </w:p>
    <w:p>
      <w:pPr>
        <w:pStyle w:val="FirstParagraph"/>
        <w:spacing w:line="360" w:lineRule="auto"/>
        <w:jc w:val="both"/>
      </w:pPr>
      <w:r>
        <w:t xml:space="preserve">Durante el desarrollo de esta línea de investigación se completó una validación</w:t>
      </w:r>
      <w:r>
        <w:t xml:space="preserve"> </w:t>
      </w:r>
      <w:r>
        <w:t xml:space="preserve">externa parcial del ordenamiento de fidelidad (EXP3). El estudio comparó SHAP</w:t>
      </w:r>
      <w:r>
        <w:t xml:space="preserve"> </w:t>
      </w:r>
      <w:r>
        <w:t xml:space="preserve">frente a Anchors en dos datasets tabulares binarios adicionales: Breast Cancer</w:t>
      </w:r>
      <w:r>
        <w:t xml:space="preserve"> </w:t>
      </w:r>
      <w:r>
        <w:t xml:space="preserve">Wisconsin</w:t>
      </w:r>
      <w:r>
        <w:t xml:space="preserve"> </w:t>
      </w:r>
      <w:r>
        <w:t xml:space="preserve">(</w:t>
      </w:r>
      <ns1:oMath>
        <ns1:r>
          <ns1:t>n</ns1:t>
        </ns1:r>
        <ns1:r>
          <ns1:rPr>
            <ns1:sty ns1:val="p"/>
          </ns1:rPr>
          <ns1:t>=</ns1:t>
        </ns1:r>
        <ns1:r>
          <ns1:t>569</ns1:t>
        </ns1:r>
      </ns1:oMath>
      <w:r>
        <w:t xml:space="preserve">, 30 características, Dua and Graff 2019)</w:t>
      </w:r>
      <w:r>
        <w:t xml:space="preserve"> </w:t>
      </w:r>
      <w:r>
        <w:t xml:space="preserve">y German Credit</w:t>
      </w:r>
      <w:r>
        <w:t xml:space="preserve"> </w:t>
      </w:r>
      <w:r>
        <w:t xml:space="preserve">(</w:t>
      </w:r>
      <ns1:oMath>
        <ns1:r>
          <ns1:t>n</ns1:t>
        </ns1:r>
        <ns1:r>
          <ns1:rPr>
            <ns1:sty ns1:val="p"/>
          </ns1:rPr>
          <ns1:t>=</ns1:t>
        </ns1:r>
        <ns1:r>
          <ns1:t>1</ns1:t>
        </ns1:r>
        <ns1:r>
          <ns1:rPr>
            <ns1:sty ns1:val="p"/>
          </ns1:rPr>
          <ns1:t>,</ns1:t>
        </ns1:r>
        <ns1:r>
          <ns1:t>000</ns1:t>
        </ns1:r>
      </ns1:oMath>
      <w:r>
        <w:t xml:space="preserve">, 20 características, Dua and Graff 2019)</w:t>
      </w:r>
      <w:r>
        <w:t xml:space="preserve">, empleando los modelos Random Forest</w:t>
      </w:r>
      <w:r>
        <w:t xml:space="preserve"> </w:t>
      </w:r>
      <w:r>
        <w:t xml:space="preserve">y XGBoost con tres semillas por combinación (</w:t>
      </w:r>
      <ns1:oMath>
        <ns1:r>
          <ns1:t>3</ns1:t>
        </ns1:r>
        <ns1:r>
          <ns1:rPr>
            <ns1:sty ns1:val="p"/>
          </ns1:rPr>
          <ns1:t>×</ns1:t>
        </ns1:r>
        <ns1:r>
          <ns1:t>2</ns1:t>
        </ns1:r>
        <ns1:r>
          <ns1:rPr>
            <ns1:sty ns1:val="p"/>
          </ns1:rPr>
          <ns1:t>×</ns1:t>
        </ns1:r>
        <ns1:r>
          <ns1:t>2</ns1:t>
        </ns1:r>
        <ns1:r>
          <ns1:rPr>
            <ns1:sty ns1:val="p"/>
          </ns1:rPr>
          <ns1:t>=</ns1:t>
        </ns1:r>
        <ns1:r>
          <ns1:t>12</ns1:t>
        </ns1:r>
      </ns1:oMath>
      <w:r>
        <w:t xml:space="preserve"> </w:t>
      </w:r>
      <w:r>
        <w:t xml:space="preserve">comparaciones pareadas por dataset</w:t>
      </w:r>
      <w:r>
        <w:t xml:space="preserve"> </w:t>
      </w:r>
      <ns1:oMath>
        <ns1:r>
          <ns1:rPr>
            <ns1:sty ns1:val="p"/>
          </ns1:rPr>
          <ns1:t>×</ns1:t>
        </ns1:r>
      </ns1:oMath>
      <w:r>
        <w:t xml:space="preserve"> </w:t>
      </w:r>
      <w:r>
        <w:t xml:space="preserve">modelo</w:t>
      </w:r>
      <w:r>
        <w:t xml:space="preserve"> </w:t>
      </w:r>
      <ns1:oMath>
        <ns1:r>
          <ns1:rPr>
            <ns1:sty ns1:val="p"/>
          </ns1:rPr>
          <ns1:t>×</ns1:t>
        </ns1:r>
      </ns1:oMath>
      <w:r>
        <w:t xml:space="preserve"> </w:t>
      </w:r>
      <w:r>
        <w:t xml:space="preserve">semilla). SHAP</w:t>
      </w:r>
      <w:r>
        <w:t xml:space="preserve"> </w:t>
      </w:r>
      <w:r>
        <w:t xml:space="preserve">superó a Anchors en fidelidad en las 12 combinaciones, con brechas medias de</w:t>
      </w:r>
      <w:r>
        <w:t xml:space="preserve"> </w:t>
      </w:r>
      <ns1:oMath>
        <ns1:r>
          <ns1:rPr>
            <ns1:sty ns1:val="p"/>
          </ns1:rPr>
          <ns1:t>+</ns1:t>
        </ns1:r>
        <ns1:r>
          <ns1:t>0.26</ns1:t>
        </ns1:r>
      </ns1:oMath>
      <w:r>
        <w:t xml:space="preserve"> </w:t>
      </w:r>
      <w:r>
        <w:t xml:space="preserve">(German Credit, XGB) a</w:t>
      </w:r>
      <w:r>
        <w:t xml:space="preserve"> </w:t>
      </w:r>
      <ns1:oMath>
        <ns1:r>
          <ns1:rPr>
            <ns1:sty ns1:val="p"/>
          </ns1:rPr>
          <ns1:t>+</ns1:t>
        </ns1:r>
        <ns1:r>
          <ns1:t>0.51</ns1:t>
        </ns1:r>
      </ns1:oMath>
      <w:r>
        <w:t xml:space="preserve"> </w:t>
      </w:r>
      <w:r>
        <w:t xml:space="preserve">(Breast Cancer, RF). Estos resultados</w:t>
      </w:r>
      <w:r>
        <w:t xml:space="preserve"> </w:t>
      </w:r>
      <w:r>
        <w:t xml:space="preserve">replican el ordenamiento observado en EXP2 en espacios de características con</w:t>
      </w:r>
      <w:r>
        <w:t xml:space="preserve"> </w:t>
      </w:r>
      <w:r>
        <w:t xml:space="preserve">dimensionalidad y distribución distintas al dataset primario.</w:t>
      </w:r>
    </w:p>
    <w:p>
      <w:pPr>
        <w:pStyle w:val="Textoindependiente"/>
        <w:spacing w:line="360" w:lineRule="auto"/>
        <w:jc w:val="both"/>
      </w:pPr>
      <w:r>
        <w:t xml:space="preserve">Adicionalmente, se completó una extensión de EXP3 que incluye LIME en los</w:t>
      </w:r>
      <w:r>
        <w:t xml:space="preserve"> </w:t>
      </w:r>
      <w:r>
        <w:t xml:space="preserve">mismos dos datasets, utilizando el protocolo de fidelidad y estabilidad del</w:t>
      </w:r>
      <w:r>
        <w:t xml:space="preserve"> </w:t>
      </w:r>
      <w:r>
        <w:t xml:space="preserve">diseño EXP2 (</w:t>
      </w:r>
      <ns1:oMath>
        <ns1:r>
          <ns1:t>N</ns1:t>
        </ns1:r>
        <ns1:r>
          <ns1:rPr>
            <ns1:sty ns1:val="p"/>
          </ns1:rPr>
          <ns1:t>=</ns1:t>
        </ns1:r>
        <ns1:r>
          <ns1:t>100</ns1:t>
        </ns1:r>
      </ns1:oMath>
      <w:r>
        <w:t xml:space="preserve">, 50 por clase; estabilidad:</w:t>
      </w:r>
      <w:r>
        <w:t xml:space="preserve"> </w:t>
      </w:r>
      <ns1:oMath>
        <ns1:r>
          <ns1:t>T</ns1:t>
        </ns1:r>
        <ns1:r>
          <ns1:rPr>
            <ns1:sty ns1:val="p"/>
          </ns1:rPr>
          <ns1:t>=</ns1:t>
        </ns1:r>
        <ns1:r>
          <ns1:t>15</ns1:t>
        </ns1:r>
      </ns1:oMath>
      <w:r>
        <w:t xml:space="preserve"> </w:t>
      </w:r>
      <w:r>
        <w:t xml:space="preserve">perturbaciones</w:t>
      </w:r>
      <w:r>
        <w:t xml:space="preserve"> </w:t>
      </w:r>
      <w:r>
        <w:t xml:space="preserve">gaussianas,</w:t>
      </w:r>
      <w:r>
        <w:t xml:space="preserve"> </w:t>
      </w:r>
      <ns1:oMath>
        <ns1:r>
          <ns1:t>σ</ns1:t>
        </ns1:r>
        <ns1:r>
          <ns1:rPr>
            <ns1:sty ns1:val="p"/>
          </ns1:rPr>
          <ns1:t>=</ns1:t>
        </ns1:r>
        <ns1:r>
          <ns1:t>0.1</ns1:t>
        </ns1:r>
      </ns1:oMath>
      <w:r>
        <w:t xml:space="preserve">). Los resultados principales son los siguientes.</w:t>
      </w:r>
      <w:r>
        <w:t xml:space="preserve"> </w:t>
      </w:r>
      <w:r>
        <w:t xml:space="preserve">En fidelidad, LIME alcanza valores de</w:t>
      </w:r>
      <w:r>
        <w:t xml:space="preserve"> </w:t>
      </w:r>
      <ns1:oMath>
        <ns1:r>
          <ns1:t>0.713</ns1:t>
        </ns1:r>
      </ns1:oMath>
      <w:r>
        <w:t xml:space="preserve"> </w:t>
      </w:r>
      <w:r>
        <w:t xml:space="preserve">(BC, RF) y</w:t>
      </w:r>
      <w:r>
        <w:t xml:space="preserve"> </w:t>
      </w:r>
      <ns1:oMath>
        <ns1:r>
          <ns1:t>0.543</ns1:t>
        </ns1:r>
      </ns1:oMath>
      <w:r>
        <w:t xml:space="preserve"> </w:t>
      </w:r>
      <w:r>
        <w:t xml:space="preserve">(BC, XGB),</w:t>
      </w:r>
      <w:r>
        <w:t xml:space="preserve"> </w:t>
      </w:r>
      <w:r>
        <w:t xml:space="preserve">frente a</w:t>
      </w:r>
      <w:r>
        <w:t xml:space="preserve"> </w:t>
      </w:r>
      <ns1:oMath>
        <ns1:r>
          <ns1:t>0.483</ns1:t>
        </ns1:r>
      </ns1:oMath>
      <w:r>
        <w:t xml:space="preserve"> </w:t>
      </w:r>
      <w:r>
        <w:t xml:space="preserve">(GC, RF) y</w:t>
      </w:r>
      <w:r>
        <w:t xml:space="preserve"> </w:t>
      </w:r>
      <ns1:oMath>
        <ns1:r>
          <ns1:t>0.468</ns1:t>
        </ns1:r>
      </ns1:oMath>
      <w:r>
        <w:t xml:space="preserve"> </w:t>
      </w:r>
      <w:r>
        <w:t xml:space="preserve">(GC, XGB). El ordenamiento SHAP &gt; LIME se</w:t>
      </w:r>
      <w:r>
        <w:t xml:space="preserve"> </w:t>
      </w:r>
      <w:r>
        <w:t xml:space="preserve">sostiene en German Credit pero la brecha se reduce en Breast Cancer (</w:t>
      </w:r>
      <ns1:oMath>
        <ns1:r>
          <ns1:rPr>
            <ns1:sty ns1:val="p"/>
          </ns1:rPr>
          <ns1:t>+</ns1:t>
        </ns1:r>
        <ns1:r>
          <ns1:t>0.07</ns1:t>
        </ns1:r>
      </ns1:oMath>
      <w:r>
        <w:t xml:space="preserve"> </w:t>
      </w:r>
      <w:r>
        <w:t xml:space="preserve">en BC frente a</w:t>
      </w:r>
      <w:r>
        <w:t xml:space="preserve"> </w:t>
      </w:r>
      <ns1:oMath>
        <ns1:r>
          <ns1:rPr>
            <ns1:sty ns1:val="p"/>
          </ns1:rPr>
          <ns1:t>+</ns1:t>
        </ns1:r>
        <ns1:r>
          <ns1:t>0.27</ns1:t>
        </ns1:r>
      </ns1:oMath>
      <w:r>
        <w:t xml:space="preserve"> </w:t>
      </w:r>
      <w:r>
        <w:t xml:space="preserve">en Adult). El resultado más notable concierne a la</w:t>
      </w:r>
      <w:r>
        <w:t xml:space="preserve"> </w:t>
      </w:r>
      <w:r>
        <w:t xml:space="preserve">estabilidad: LIME obtiene similitud coseno media de</w:t>
      </w:r>
      <w:r>
        <w:t xml:space="preserve"> </w:t>
      </w:r>
      <ns1:oMath>
        <ns1:r>
          <ns1:t>0.922</ns1:t>
        </ns1:r>
      </ns1:oMath>
      <w:r>
        <w:t xml:space="preserve">–</w:t>
      </w:r>
      <ns1:oMath>
        <ns1:r>
          <ns1:t>0.927</ns1:t>
        </ns1:r>
      </ns1:oMath>
      <w:r>
        <w:t xml:space="preserve"> </w:t>
      </w:r>
      <w:r>
        <w:t xml:space="preserve">en Breast</w:t>
      </w:r>
      <w:r>
        <w:t xml:space="preserve"> </w:t>
      </w:r>
      <w:r>
        <w:t xml:space="preserve">Cancer y</w:t>
      </w:r>
      <w:r>
        <w:t xml:space="preserve"> </w:t>
      </w:r>
      <ns1:oMath>
        <ns1:r>
          <ns1:t>0.748</ns1:t>
        </ns1:r>
      </ns1:oMath>
      <w:r>
        <w:t xml:space="preserve">–</w:t>
      </w:r>
      <ns1:oMath>
        <ns1:r>
          <ns1:t>0.854</ns1:t>
        </ns1:r>
      </ns1:oMath>
      <w:r>
        <w:t xml:space="preserve"> </w:t>
      </w:r>
      <w:r>
        <w:t xml:space="preserve">en German Credit, en marcado contraste con el valor</w:t>
      </w:r>
      <w:r>
        <w:t xml:space="preserve"> </w:t>
      </w:r>
      <w:r>
        <w:t xml:space="preserve">de</w:t>
      </w:r>
      <w:r>
        <w:t xml:space="preserve"> </w:t>
      </w:r>
      <ns1:oMath>
        <ns1:r>
          <ns1:t>0.014</ns1:t>
        </ns1:r>
      </ns1:oMath>
      <w:r>
        <w:t xml:space="preserve"> </w:t>
      </w:r>
      <w:r>
        <w:t xml:space="preserve">registrado en Adult Income. Esta disparidad apunta al espacio de</w:t>
      </w:r>
      <w:r>
        <w:t xml:space="preserve"> </w:t>
      </w:r>
      <w:r>
        <w:t xml:space="preserve">características como factor mediador: Adult Income fue preprocesado mediante</w:t>
      </w:r>
      <w:r>
        <w:t xml:space="preserve"> </w:t>
      </w:r>
      <w:r>
        <w:t xml:space="preserve">codificación one-hot de 13 variables categóricas, produciendo un espacio de</w:t>
      </w:r>
      <w:r>
        <w:t xml:space="preserve"> </w:t>
      </w:r>
      <w:r>
        <w:t xml:space="preserve">103 dimensiones predominantemente binario; Breast Cancer (30 características</w:t>
      </w:r>
      <w:r>
        <w:t xml:space="preserve"> </w:t>
      </w:r>
      <w:r>
        <w:t xml:space="preserve">continuas) y German Credit (61 dimensiones tras preprocesamiento, mezcla de</w:t>
      </w:r>
      <w:r>
        <w:t xml:space="preserve"> </w:t>
      </w:r>
      <w:r>
        <w:t xml:space="preserve">continuas y binarias) presentan estructuras de vecindad más densas y regulares</w:t>
      </w:r>
      <w:r>
        <w:t xml:space="preserve"> </w:t>
      </w:r>
      <w:r>
        <w:t xml:space="preserve">para el kernel de LIME. La inestabilidad estructural de LIME documentada en</w:t>
      </w:r>
      <w:r>
        <w:t xml:space="preserve"> </w:t>
      </w:r>
      <w:r>
        <w:t xml:space="preserve">EXP2 es, por tanto, dependiente del espacio de características, no una</w:t>
      </w:r>
      <w:r>
        <w:t xml:space="preserve"> </w:t>
      </w:r>
      <w:r>
        <w:t xml:space="preserve">propiedad universal del método.</w:t>
      </w:r>
    </w:p>
    <w:p>
      <w:pPr>
        <w:pStyle w:val="Textoindependiente"/>
        <w:spacing w:line="360" w:lineRule="auto"/>
        <w:jc w:val="both"/>
      </w:pPr>
      <w:r>
        <w:t xml:space="preserve">El alcance de EXP3 permanece acotado en dos sentidos relevantes. Primero, la</w:t>
      </w:r>
      <w:r>
        <w:t xml:space="preserve"> </w:t>
      </w:r>
      <w:r>
        <w:t xml:space="preserve">estabilidad de SHAP no fue instrumentada en los datasets adicionales (la sonda</w:t>
      </w:r>
      <w:r>
        <w:t xml:space="preserve"> </w:t>
      </w:r>
      <w:r>
        <w:t xml:space="preserve">se diseñó para LIME), por lo que no es posible calcular diferencias pareadas</w:t>
      </w:r>
      <w:r>
        <w:t xml:space="preserve"> </w:t>
      </w:r>
      <w:r>
        <w:t xml:space="preserve">SHAP-LIME de estabilidad en BC ni GC. Segundo, los modelos SVM y MLP no están</w:t>
      </w:r>
      <w:r>
        <w:t xml:space="preserve"> </w:t>
      </w:r>
      <w:r>
        <w:t xml:space="preserve">cubiertos. En consecuencia, la afirmación principal de esta tesis —SHAP supera</w:t>
      </w:r>
      <w:r>
        <w:t xml:space="preserve"> </w:t>
      </w:r>
      <w:r>
        <w:t xml:space="preserve">a LIME en fidelidad (</w:t>
      </w:r>
      <ns1:oMath>
        <ns1:sSub>
          <ns1:e>
            <ns1:r>
              <ns1:t>d</ns1:t>
            </ns1:r>
          </ns1:e>
          <ns1:sub>
            <ns1:r>
              <ns1:t>z</ns1:t>
            </ns1:r>
          </ns1:sub>
        </ns1:sSub>
        <ns1:r>
          <ns1:rPr>
            <ns1:sty ns1:val="p"/>
          </ns1:rPr>
          <ns1:t>=</ns1:t>
        </ns1:r>
        <ns1:r>
          <ns1:t>4.82</ns1:t>
        </ns1:r>
      </ns1:oMath>
      <w:r>
        <w:t xml:space="preserve">) y en estabilidad (</w:t>
      </w:r>
      <ns1:oMath>
        <ns1:sSub>
          <ns1:e>
            <ns1:r>
              <ns1:t>d</ns1:t>
            </ns1:r>
          </ns1:e>
          <ns1:sub>
            <ns1:r>
              <ns1:t>z</ns1:t>
            </ns1:r>
          </ns1:sub>
        </ns1:sSub>
        <ns1:r>
          <ns1:rPr>
            <ns1:sty ns1:val="p"/>
          </ns1:rPr>
          <ns1:t>=</ns1:t>
        </ns1:r>
        <ns1:r>
          <ns1:t>3.00</ns1:t>
        </ns1:r>
      </ns1:oMath>
      <w:r>
        <w:t xml:space="preserve">)— permanece</w:t>
      </w:r>
      <w:r>
        <w:t xml:space="preserve"> </w:t>
      </w:r>
      <w:r>
        <w:t xml:space="preserve">referida a UCI Adult Income bajo las condiciones del diseño EXP2; la extensión</w:t>
      </w:r>
      <w:r>
        <w:t xml:space="preserve"> </w:t>
      </w:r>
      <w:r>
        <w:t xml:space="preserve">cross-dataset muestra que la ventaja de fidelidad se mantiene pero se atenúa, y</w:t>
      </w:r>
      <w:r>
        <w:t xml:space="preserve"> </w:t>
      </w:r>
      <w:r>
        <w:t xml:space="preserve">que la brecha de estabilidad puede ser un artefacto del espacio de alta dimensión</w:t>
      </w:r>
      <w:r>
        <w:t xml:space="preserve"> </w:t>
      </w:r>
      <w:r>
        <w:t xml:space="preserve">y no una diferencia intrínseca entre métodos.</w:t>
      </w:r>
    </w:p>
    <w:bookmarkEnd w:id="184"/>
    <w:bookmarkEnd w:id="185"/>
    <w:bookmarkStart w:id="186" w:name="sec-futuro"/>
    <w:p>
      <w:pPr>
        <w:pStyle w:val="Ttulo2"/>
        <w:spacing w:line="360" w:lineRule="auto"/>
        <w:jc w:val="both"/>
      </w:pPr>
      <w:r>
        <w:t xml:space="preserve">Líneas de investigación futura</w:t>
      </w:r>
    </w:p>
    <w:p>
      <w:pPr>
        <w:pStyle w:val="FirstParagraph"/>
        <w:spacing w:line="360" w:lineRule="auto"/>
        <w:jc w:val="both"/>
      </w:pPr>
      <w:r>
        <w:t xml:space="preserve">Los resultados, las limitaciones y la taxonomía del Capítulo 5 convergen en</w:t>
      </w:r>
      <w:r>
        <w:t xml:space="preserve"> </w:t>
      </w:r>
      <w:r>
        <w:t xml:space="preserve">señalar cinco extensiones de investigación con fundamento empírico:</w:t>
      </w:r>
    </w:p>
    <w:p>
      <w:pPr>
        <w:pStyle w:val="Textoindependiente"/>
        <w:spacing w:line="360" w:lineRule="auto"/>
        <w:jc w:val="both"/>
      </w:pPr>
      <w:r>
        <w:rPr>
          <w:b/>
          <w:bCs/>
        </w:rPr>
        <w:t xml:space="preserve">1. Extensión del benchmark a dominios de imagen y texto.</w:t>
      </w:r>
      <w:r>
        <w:t xml:space="preserve"> </w:t>
      </w:r>
      <w:r>
        <w:t xml:space="preserve">La arquitectura</w:t>
      </w:r>
      <w:r>
        <w:t xml:space="preserve"> </w:t>
      </w:r>
      <w:r>
        <w:t xml:space="preserve">experimental del FOM-7 es portátil. Su aplicación a dominios no tabulares</w:t>
      </w:r>
      <w:r>
        <w:t xml:space="preserve"> </w:t>
      </w:r>
      <w:r>
        <w:t xml:space="preserve">requiere redefinir las métricas de fidelidad (sustituyendo enmascaramiento</w:t>
      </w:r>
      <w:r>
        <w:t xml:space="preserve"> </w:t>
      </w:r>
      <w:r>
        <w:t xml:space="preserve">de características por pixel-flipping o eliminación de tokens) y estabilidad</w:t>
      </w:r>
      <w:r>
        <w:t xml:space="preserve"> </w:t>
      </w:r>
      <w:r>
        <w:t xml:space="preserve">(sustituyendo perturbación gaussiana por transformaciones específicas del</w:t>
      </w:r>
      <w:r>
        <w:t xml:space="preserve"> </w:t>
      </w:r>
      <w:r>
        <w:t xml:space="preserve">dominio). El protocolo FOM-7 está diseñado para acomodar esta extensión sin</w:t>
      </w:r>
      <w:r>
        <w:t xml:space="preserve"> </w:t>
      </w:r>
      <w:r>
        <w:t xml:space="preserve">cambios en su lógica de puertas.</w:t>
      </w:r>
    </w:p>
    <w:p>
      <w:pPr>
        <w:pStyle w:val="Textoindependiente"/>
        <w:spacing w:line="360" w:lineRule="auto"/>
        <w:jc w:val="both"/>
      </w:pPr>
      <w:r>
        <w:rPr>
          <w:b/>
          <w:bCs/>
        </w:rPr>
        <w:t xml:space="preserve">2. Validación de evaluadores semánticos e incorporación de evaluación</w:t>
      </w:r>
      <w:r>
        <w:rPr>
          <w:b/>
          <w:bCs/>
        </w:rPr>
        <w:t xml:space="preserve"> </w:t>
      </w:r>
      <w:r>
        <w:rPr>
          <w:b/>
          <w:bCs/>
        </w:rPr>
        <w:t xml:space="preserve">human-centered.</w:t>
      </w:r>
      <w:r>
        <w:t xml:space="preserve"> </w:t>
      </w:r>
      <w:r>
        <w:t xml:space="preserve">EXP4 (§sec-exp4-fiabilidad) estableció que los jueces LLM</w:t>
      </w:r>
      <w:r>
        <w:t xml:space="preserve"> </w:t>
      </w:r>
      <w:r>
        <w:t xml:space="preserve">actuales no alcanzan la convergencia inter-juez necesaria bajo rúbricas sin</w:t>
      </w:r>
      <w:r>
        <w:t xml:space="preserve"> </w:t>
      </w:r>
      <w:r>
        <w:t xml:space="preserve">especificación de stakeholder. La continuación directa de este resultado son dos</w:t>
      </w:r>
      <w:r>
        <w:t xml:space="preserve"> </w:t>
      </w:r>
      <w:r>
        <w:t xml:space="preserve">líneas: primera, rediseñar las rúbricas con los cuatro criterios de formalización</w:t>
      </w:r>
      <w:r>
        <w:t xml:space="preserve"> </w:t>
      </w:r>
      <w:r>
        <w:t xml:space="preserve">identificados en §sec-exp4-fiabilidad (especificación de stakeholder, criterio</w:t>
      </w:r>
      <w:r>
        <w:t xml:space="preserve"> </w:t>
      </w:r>
      <w:r>
        <w:t xml:space="preserve">de corrección verificable, separación de desiderata secundarios, calibración</w:t>
      </w:r>
      <w:r>
        <w:t xml:space="preserve"> </w:t>
      </w:r>
      <w:r>
        <w:t xml:space="preserve">contra expertos humanos) y replicar EXP4 con las rúbricas revisadas para</w:t>
      </w:r>
      <w:r>
        <w:t xml:space="preserve"> </w:t>
      </w:r>
      <w:r>
        <w:t xml:space="preserve">determinar si la brecha de fiabilidad se cierra con mayor formalización o</w:t>
      </w:r>
      <w:r>
        <w:t xml:space="preserve"> </w:t>
      </w:r>
      <w:r>
        <w:t xml:space="preserve">refleja límites del paradigma LLM-as-a-judge. Segunda: incorporar estudios de</w:t>
      </w:r>
      <w:r>
        <w:t xml:space="preserve"> </w:t>
      </w:r>
      <w:r>
        <w:t xml:space="preserve">usuario con expertos de dominio (médicos, analistas de crédito) que evalúen</w:t>
      </w:r>
      <w:r>
        <w:t xml:space="preserve"> </w:t>
      </w:r>
      <w:r>
        <w:t xml:space="preserve">comprensión, confianza y utilidad de las explicaciones de SHAP y LIME bajo</w:t>
      </w:r>
      <w:r>
        <w:t xml:space="preserve"> </w:t>
      </w:r>
      <w:r>
        <w:t xml:space="preserve">condiciones de tarea real, produciendo la calibración humana necesaria para</w:t>
      </w:r>
      <w:r>
        <w:t xml:space="preserve"> </w:t>
      </w:r>
      <w:r>
        <w:t xml:space="preserve">validar cualquier evaluador semántico automático.</w:t>
      </w:r>
    </w:p>
    <w:p>
      <w:pPr>
        <w:pStyle w:val="Textoindependiente"/>
        <w:spacing w:line="360" w:lineRule="auto"/>
        <w:jc w:val="both"/>
      </w:pPr>
      <w:r>
        <w:rPr>
          <w:b/>
          <w:bCs/>
        </w:rPr>
        <w:t xml:space="preserve">3. Extensión del análisis de sensibilidad a hiperparámetros.</w:t>
      </w:r>
      <w:r>
        <w:t xml:space="preserve"> </w:t>
      </w:r>
      <w:r>
        <w:t xml:space="preserve">Los análisis de sensibilidad completados en el Apéndice C establecen tres resultados base: (i) la inestabilidad de LIME es robusta a variaciones de</w:t>
      </w:r>
      <w:r>
        <w:t xml:space="preserve"> </w:t>
      </w:r>
      <w:r>
        <w:rPr>
          <w:rStyle w:val="VerbatimChar"/>
        </w:rPr>
        <w:t xml:space="preserve">num_samples</w:t>
      </w:r>
      <w:r>
        <w:t xml:space="preserve"> </w:t>
      </w:r>
      <w:r>
        <w:t xml:space="preserve">∈ {500, 1000, 2000} —la similitud coseno permanece cercana a cero en todos los niveles, descartando que sea un artefacto de convergencia—; (ii)</w:t>
      </w:r>
      <w:r>
        <w:t xml:space="preserve"> </w:t>
      </w:r>
      <w:r>
        <w:rPr>
          <w:rStyle w:val="VerbatimChar"/>
        </w:rPr>
        <w:t xml:space="preserve">kernel_width</w:t>
      </w:r>
      <w:r>
        <w:t xml:space="preserve"> </w:t>
      </w:r>
      <w:r>
        <w:t xml:space="preserve">∈ {0.25, 0.75} produce pesos degenerados en el espacio preprocesado de 103 dimensiones, con</w:t>
      </w:r>
      <w:r>
        <w:t xml:space="preserve"> </w:t>
      </w:r>
      <w:r>
        <w:rPr>
          <w:rStyle w:val="VerbatimChar"/>
        </w:rPr>
        <w:t xml:space="preserve">kernel_width = 3.0</w:t>
      </w:r>
      <w:r>
        <w:t xml:space="preserve"> </w:t>
      </w:r>
      <w:r>
        <w:t xml:space="preserve">como valor mínimo viable y</w:t>
      </w:r>
      <w:r>
        <w:t xml:space="preserve"> </w:t>
      </w:r>
      <w:r>
        <w:rPr>
          <w:rStyle w:val="VerbatimChar"/>
        </w:rPr>
        <w:t xml:space="preserve">kernel_width = 10.0</w:t>
      </w:r>
      <w:r>
        <w:t xml:space="preserve"> </w:t>
      </w:r>
      <w:r>
        <w:t xml:space="preserve">como alternativa más estable a costa de localidad; y (iii) la cobertura de Anchors es extremadamente sensible al umbral de precisión</w:t>
      </w:r>
      <w:r>
        <w:t xml:space="preserve"> </w:t>
      </w:r>
      <ns1:oMath>
        <ns1:r>
          <ns1:t>τ</ns1:t>
        </ns1:r>
      </ns1:oMath>
      <w:r>
        <w:t xml:space="preserve">. Las brechas pendientes incluyen la sensibilidad del tamaño del conjunto de referencia de SHAP más allá del rango evaluado (25–100), la interacción entre</w:t>
      </w:r>
      <w:r>
        <w:t xml:space="preserve"> </w:t>
      </w:r>
      <w:r>
        <w:rPr>
          <w:rStyle w:val="VerbatimChar"/>
        </w:rPr>
        <w:t xml:space="preserve">kernel_width</w:t>
      </w:r>
      <w:r>
        <w:t xml:space="preserve"> </w:t>
      </w:r>
      <w:r>
        <w:t xml:space="preserve">y</w:t>
      </w:r>
      <w:r>
        <w:t xml:space="preserve"> </w:t>
      </w:r>
      <w:r>
        <w:rPr>
          <w:rStyle w:val="VerbatimChar"/>
        </w:rPr>
        <w:t xml:space="preserve">num_samples</w:t>
      </w:r>
      <w:r>
        <w:t xml:space="preserve"> </w:t>
      </w:r>
      <w:r>
        <w:t xml:space="preserve">en espacios de dimensionalidad variable, y la extensión de los análisis a los modelos SVM y MLP, que emplean KernelSHAP en lugar de TreeSHAP y exhiben distintos perfiles de coste-estabilidad.</w:t>
      </w:r>
    </w:p>
    <w:p>
      <w:pPr>
        <w:pStyle w:val="Textoindependiente"/>
        <w:spacing w:line="360" w:lineRule="auto"/>
        <w:jc w:val="both"/>
      </w:pPr>
      <w:r>
        <w:rPr>
          <w:b/>
          <w:bCs/>
        </w:rPr>
        <w:t xml:space="preserve">4. Completar el contraste cross-dataset SHAP-LIME y replicar en dominios</w:t>
      </w:r>
      <w:r>
        <w:rPr>
          <w:b/>
          <w:bCs/>
        </w:rPr>
        <w:t xml:space="preserve"> </w:t>
      </w:r>
      <w:r>
        <w:rPr>
          <w:b/>
          <w:bCs/>
        </w:rPr>
        <w:t xml:space="preserve">de alto riesgo.</w:t>
      </w:r>
      <w:r>
        <w:t xml:space="preserve"> </w:t>
      </w:r>
      <w:r>
        <w:t xml:space="preserve">EXP3 replicó el ordenamiento de fidelidad SHAP-Anchors en</w:t>
      </w:r>
      <w:r>
        <w:t xml:space="preserve"> </w:t>
      </w:r>
      <w:r>
        <w:t xml:space="preserve">Breast Cancer Wisconsin y German Credit, y una extensión posterior incorporó</w:t>
      </w:r>
      <w:r>
        <w:t xml:space="preserve"> </w:t>
      </w:r>
      <w:r>
        <w:t xml:space="preserve">LIME con las mismas métricas de fidelidad y estabilidad. Sin embargo, la</w:t>
      </w:r>
      <w:r>
        <w:t xml:space="preserve"> </w:t>
      </w:r>
      <w:r>
        <w:t xml:space="preserve">estabilidad de SHAP no fue instrumentada en esos datasets, por lo que aún no</w:t>
      </w:r>
      <w:r>
        <w:t xml:space="preserve"> </w:t>
      </w:r>
      <w:r>
        <w:t xml:space="preserve">existe un contraste pareado SHAP-LIME completo de estabilidad fuera de UCI Adult</w:t>
      </w:r>
      <w:r>
        <w:t xml:space="preserve"> </w:t>
      </w:r>
      <w:r>
        <w:t xml:space="preserve">Income. La extensión prioritaria es completar esa instrumentación y ampliar el</w:t>
      </w:r>
      <w:r>
        <w:t xml:space="preserve"> </w:t>
      </w:r>
      <w:r>
        <w:t xml:space="preserve">diseño a más modelos y datasets, de modo que los hallazgos centrales de esta</w:t>
      </w:r>
      <w:r>
        <w:t xml:space="preserve"> </w:t>
      </w:r>
      <w:r>
        <w:t xml:space="preserve">tesis —</w:t>
      </w:r>
      <ns1:oMath>
        <ns1:sSub>
          <ns1:e>
            <ns1:r>
              <ns1:t>d</ns1:t>
            </ns1:r>
          </ns1:e>
          <ns1:sub>
            <ns1:r>
              <ns1:t>z</ns1:t>
            </ns1:r>
          </ns1:sub>
        </ns1:sSub>
        <ns1:r>
          <ns1:rPr>
            <ns1:sty ns1:val="p"/>
          </ns1:rPr>
          <ns1:t>=</ns1:t>
        </ns1:r>
        <ns1:r>
          <ns1:t>4.82</ns1:t>
        </ns1:r>
      </ns1:oMath>
      <w:r>
        <w:t xml:space="preserve"> </w:t>
      </w:r>
      <w:r>
        <w:t xml:space="preserve">en fidelidad y</w:t>
      </w:r>
      <w:r>
        <w:t xml:space="preserve"> </w:t>
      </w:r>
      <ns1:oMath>
        <ns1:sSub>
          <ns1:e>
            <ns1:r>
              <ns1:t>d</ns1:t>
            </ns1:r>
          </ns1:e>
          <ns1:sub>
            <ns1:r>
              <ns1:t>z</ns1:t>
            </ns1:r>
          </ns1:sub>
        </ns1:sSub>
        <ns1:r>
          <ns1:rPr>
            <ns1:sty ns1:val="p"/>
          </ns1:rPr>
          <ns1:t>=</ns1:t>
        </ns1:r>
        <ns1:r>
          <ns1:t>3.00</ns1:t>
        </ns1:r>
      </ns1:oMath>
      <w:r>
        <w:t xml:space="preserve"> </w:t>
      </w:r>
      <w:r>
        <w:t xml:space="preserve">en estabilidad— sean verificables</w:t>
      </w:r>
      <w:r>
        <w:t xml:space="preserve"> </w:t>
      </w:r>
      <w:r>
        <w:t xml:space="preserve">fuera del contexto Adult. Una segunda dirección es la validación en dominios</w:t>
      </w:r>
      <w:r>
        <w:t xml:space="preserve"> </w:t>
      </w:r>
      <w:r>
        <w:t xml:space="preserve">regulados (crédito, salud, justicia) con restricciones normativas explícitas</w:t>
      </w:r>
      <w:r>
        <w:t xml:space="preserve"> </w:t>
      </w:r>
      <w:r>
        <w:t xml:space="preserve">(EU AI Act, GDPR Art. 22), donde la elección del método explicador tiene</w:t>
      </w:r>
      <w:r>
        <w:t xml:space="preserve"> </w:t>
      </w:r>
      <w:r>
        <w:t xml:space="preserve">consecuencias legales directas.</w:t>
      </w:r>
    </w:p>
    <w:p>
      <w:pPr>
        <w:pStyle w:val="Textoindependiente"/>
        <w:spacing w:line="360" w:lineRule="auto"/>
        <w:jc w:val="both"/>
      </w:pPr>
      <w:r>
        <w:rPr>
          <w:b/>
          <w:bCs/>
        </w:rPr>
        <w:t xml:space="preserve">5. Formalización del eje de comprehensibilidad en la taxonomía.</w:t>
      </w:r>
      <w:r>
        <w:t xml:space="preserve"> </w:t>
      </w:r>
      <w:r>
        <w:t xml:space="preserve">El eje de</w:t>
      </w:r>
      <w:r>
        <w:t xml:space="preserve"> </w:t>
      </w:r>
      <w:r>
        <w:t xml:space="preserve">contexto de tarea de la taxonomía incluye el contexto</w:t>
      </w:r>
      <w:r>
        <w:t xml:space="preserve"> </w:t>
      </w:r>
      <w:r>
        <w:rPr>
          <w:i/>
          <w:iCs/>
        </w:rPr>
        <w:t xml:space="preserve">usuario final</w:t>
      </w:r>
      <w:r>
        <w:t xml:space="preserve"> </w:t>
      </w:r>
      <w:r>
        <w:t xml:space="preserve">pero no</w:t>
      </w:r>
      <w:r>
        <w:t xml:space="preserve"> </w:t>
      </w:r>
      <w:r>
        <w:t xml:space="preserve">dispone de métricas experimentales en este benchmark. La formalización de</w:t>
      </w:r>
      <w:r>
        <w:t xml:space="preserve"> </w:t>
      </w:r>
      <w:r>
        <w:t xml:space="preserve">métricas de comprehensibilidad normalizadas —siguiendo la propuesta de</w:t>
      </w:r>
      <w:r>
        <w:t xml:space="preserve"> </w:t>
      </w:r>
      <w:r>
        <w:t xml:space="preserve">Bhattacharya y Verbert</w:t>
      </w:r>
      <w:r>
        <w:t xml:space="preserve"> </w:t>
      </w:r>
      <w:r>
        <w:t xml:space="preserve">(2024)</w:t>
      </w:r>
      <w:r>
        <w:t xml:space="preserve"> </w:t>
      </w:r>
      <w:r>
        <w:t xml:space="preserve">de escalas normalizadas entre</w:t>
      </w:r>
      <w:r>
        <w:t xml:space="preserve"> </w:t>
      </w:r>
      <w:r>
        <w:t xml:space="preserve">sistemas— permitiría cerrar el espacio taxonómico con evidencia empírica</w:t>
      </w:r>
      <w:r>
        <w:t xml:space="preserve"> </w:t>
      </w:r>
      <w:r>
        <w:t xml:space="preserve">comparable a la obtenida en los ejes funcionales.</w:t>
      </w:r>
    </w:p>
    <w:bookmarkEnd w:id="186"/>
    <w:bookmarkStart w:id="187" w:name="sec-sintesis"/>
    <w:p>
      <w:pPr>
        <w:pStyle w:val="Ttulo2"/>
        <w:spacing w:line="360" w:lineRule="auto"/>
        <w:jc w:val="both"/>
      </w:pPr>
      <w:r>
        <w:t xml:space="preserve">Síntesis final</w:t>
      </w:r>
    </w:p>
    <w:p>
      <w:pPr>
        <w:pStyle w:val="FirstParagraph"/>
        <w:spacing w:line="360" w:lineRule="auto"/>
        <w:jc w:val="both"/>
      </w:pPr>
      <w:r>
        <w:t xml:space="preserve">Esta tesis demuestra empíricamente que los métodos de explicabilidad</w:t>
      </w:r>
      <w:r>
        <w:t xml:space="preserve"> </w:t>
      </w:r>
      <w:r>
        <w:t xml:space="preserve">post-hoc agnósticos al modelo difieren de forma sustantiva, consistente y</w:t>
      </w:r>
      <w:r>
        <w:t xml:space="preserve"> </w:t>
      </w:r>
      <w:r>
        <w:t xml:space="preserve">estadísticamente robusta en múltiples dimensiones de calidad simultáneas. Bajo</w:t>
      </w:r>
      <w:r>
        <w:t xml:space="preserve"> </w:t>
      </w:r>
      <w:r>
        <w:t xml:space="preserve">un protocolo reproducible y trazable, con márgenes de seguridad inferencial</w:t>
      </w:r>
      <w:r>
        <w:t xml:space="preserve"> </w:t>
      </w:r>
      <w:r>
        <w:t xml:space="preserve">que superan el umbral crítico con amplia holgura, los resultados ofrecen una</w:t>
      </w:r>
      <w:r>
        <w:t xml:space="preserve"> </w:t>
      </w:r>
      <w:r>
        <w:t xml:space="preserve">base sólida para la interpretación principal: SHAP es el método más fiable</w:t>
      </w:r>
      <w:r>
        <w:t xml:space="preserve"> </w:t>
      </w:r>
      <w:r>
        <w:t xml:space="preserve">cuando fidelidad y estabilidad son requisitos; LIME es la alternativa eficiente</w:t>
      </w:r>
      <w:r>
        <w:t xml:space="preserve"> </w:t>
      </w:r>
      <w:r>
        <w:t xml:space="preserve">con inestabilidad documentada bajo la configuración y el espacio de</w:t>
      </w:r>
      <w:r>
        <w:t xml:space="preserve"> </w:t>
      </w:r>
      <w:r>
        <w:t xml:space="preserve">características evaluados; Anchors y DiCE satisfacen objetivos</w:t>
      </w:r>
      <w:r>
        <w:t xml:space="preserve"> </w:t>
      </w:r>
      <w:r>
        <w:t xml:space="preserve">explicativos cualitativamente distintos que las métricas de atribución no</w:t>
      </w:r>
      <w:r>
        <w:t xml:space="preserve"> </w:t>
      </w:r>
      <w:r>
        <w:t xml:space="preserve">capturan de forma adecuada.</w:t>
      </w:r>
    </w:p>
    <w:p>
      <w:pPr>
        <w:pStyle w:val="Textoindependiente"/>
        <w:spacing w:line="360" w:lineRule="auto"/>
        <w:jc w:val="both"/>
      </w:pPr>
      <w:r>
        <w:t xml:space="preserve">El aporte adicional de esta investigación no es solo el resultado del</w:t>
      </w:r>
      <w:r>
        <w:t xml:space="preserve"> </w:t>
      </w:r>
      <w:r>
        <w:t xml:space="preserve">benchmark —que podría derivarse de otros estudios comparativos— sino la</w:t>
      </w:r>
      <w:r>
        <w:t xml:space="preserve"> </w:t>
      </w:r>
      <w:r>
        <w:t xml:space="preserve">arquitectura que lo soporta. El protocolo FOM-7 proporciona las condiciones</w:t>
      </w:r>
      <w:r>
        <w:t xml:space="preserve"> </w:t>
      </w:r>
      <w:r>
        <w:t xml:space="preserve">bajo las cuales afirmaciones inferenciales sobre métodos XAI pueden</w:t>
      </w:r>
      <w:r>
        <w:t xml:space="preserve"> </w:t>
      </w:r>
      <w:r>
        <w:t xml:space="preserve">considerarse científicamente acumulables. La taxonomía de cuatro ejes</w:t>
      </w:r>
      <w:r>
        <w:t xml:space="preserve"> </w:t>
      </w:r>
      <w:r>
        <w:t xml:space="preserve">proporciona el mapa conceptual que permite situar cualquier métrica futura en</w:t>
      </w:r>
      <w:r>
        <w:t xml:space="preserve"> </w:t>
      </w:r>
      <w:r>
        <w:t xml:space="preserve">relación con las ya evaluadas. Juntos, protocolo y taxonomía constituyen la</w:t>
      </w:r>
      <w:r>
        <w:t xml:space="preserve"> </w:t>
      </w:r>
      <w:r>
        <w:t xml:space="preserve">infraestructura metodológica que el campo de evaluación XAI necesita para</w:t>
      </w:r>
      <w:r>
        <w:t xml:space="preserve"> </w:t>
      </w:r>
      <w:r>
        <w:t xml:space="preserve">avanzar de la proliferación de métricas hacia la acumulación sistemática de</w:t>
      </w:r>
      <w:r>
        <w:t xml:space="preserve"> </w:t>
      </w:r>
      <w:r>
        <w:t xml:space="preserve">evidencia</w:t>
      </w:r>
      <w:r>
        <w:t xml:space="preserve"> </w:t>
      </w:r>
      <w:r>
        <w:t xml:space="preserve">(Pawlicki et al. 2024; Canha et al. 2025; Bhattacharya and Verbert 2024)</w:t>
      </w:r>
      <w:r>
        <w:t xml:space="preserve">.</w:t>
      </w:r>
    </w:p>
    <w:p>
      <w:pPr>
        <w:pStyle w:val="Textoindependiente"/>
        <w:spacing w:line="360" w:lineRule="auto"/>
        <w:jc w:val="both"/>
      </w:pPr>
      <w:r>
        <w:t xml:space="preserve">La implicación más amplia de esta tesis trasciende el contexto experimental.</w:t>
      </w:r>
      <w:r>
        <w:t xml:space="preserve"> </w:t>
      </w:r>
      <w:r>
        <w:t xml:space="preserve">El hallazgo de que LIME puede exhibir inestabilidad casi total —no marginal,</w:t>
      </w:r>
      <w:r>
        <w:t xml:space="preserve"> </w:t>
      </w:r>
      <w:r>
        <w:t xml:space="preserve">sino sistemática, con CV=86.2% y similitud coseno media de 0.014 bajo la</w:t>
      </w:r>
      <w:r>
        <w:t xml:space="preserve"> </w:t>
      </w:r>
      <w:r>
        <w:t xml:space="preserve">configuración de referencia en el espacio de 103 dimensiones de Adult Income—</w:t>
      </w:r>
      <w:r>
        <w:t xml:space="preserve"> </w:t>
      </w:r>
      <w:r>
        <w:t xml:space="preserve">es relevante para cualquier sistema de apoyo a la decisión que emplee LIME en</w:t>
      </w:r>
      <w:r>
        <w:t xml:space="preserve"> </w:t>
      </w:r>
      <w:r>
        <w:t xml:space="preserve">entornos de auditoría, regulación o alto riesgo. El contexto normativo actual</w:t>
      </w:r>
      <w:r>
        <w:t xml:space="preserve"> </w:t>
      </w:r>
      <w:r>
        <w:t xml:space="preserve">(EU AI Act, GDPR Art. 22) demanda explicaciones verificables y consistentes; un</w:t>
      </w:r>
      <w:r>
        <w:t xml:space="preserve"> </w:t>
      </w:r>
      <w:r>
        <w:t xml:space="preserve">método que produce explicaciones casi ortogonales entre dos ejecuciones de la</w:t>
      </w:r>
      <w:r>
        <w:t xml:space="preserve"> </w:t>
      </w:r>
      <w:r>
        <w:t xml:space="preserve">misma instancia no satisface ese requisito. La implicación operativa, sin</w:t>
      </w:r>
      <w:r>
        <w:t xml:space="preserve"> </w:t>
      </w:r>
      <w:r>
        <w:t xml:space="preserve">embargo, no es que LIME deba descartarse universalmente: EXP3 muestra</w:t>
      </w:r>
      <w:r>
        <w:t xml:space="preserve"> </w:t>
      </w:r>
      <w:r>
        <w:t xml:space="preserve">estabilidades de 0.748–0.927 en espacios de menor dimensión con la misma</w:t>
      </w:r>
      <w:r>
        <w:t xml:space="preserve"> </w:t>
      </w:r>
      <w:r>
        <w:t xml:space="preserve">configuración, y el ancho del kernel modula el resultado dentro de un mismo</w:t>
      </w:r>
      <w:r>
        <w:t xml:space="preserve"> </w:t>
      </w:r>
      <w:r>
        <w:t xml:space="preserve">espacio (§sec-limitaciones). La conclusión defendible —sostenida por 75 pares</w:t>
      </w:r>
      <w:r>
        <w:t xml:space="preserve"> </w:t>
      </w:r>
      <w:r>
        <w:t xml:space="preserve">de contraste con efecto</w:t>
      </w:r>
      <w:r>
        <w:t xml:space="preserve"> </w:t>
      </w:r>
      <ns1:oMath>
        <ns1:sSub>
          <ns1:e>
            <ns1:r>
              <ns1:t>d</ns1:t>
            </ns1:r>
          </ns1:e>
          <ns1:sub>
            <ns1:r>
              <ns1:t>z</ns1:t>
            </ns1:r>
          </ns1:sub>
        </ns1:sSub>
        <ns1:r>
          <ns1:rPr>
            <ns1:sty ns1:val="p"/>
          </ns1:rPr>
          <ns1:t>=</ns1:t>
        </ns1:r>
        <ns1:r>
          <ns1:t>3.002</ns1:t>
        </ns1:r>
      </ns1:oMath>
      <w:r>
        <w:t xml:space="preserve"> </w:t>
      </w:r>
      <w:r>
        <w:t xml:space="preserve">y delimitada por ambos análisis— es que la</w:t>
      </w:r>
      <w:r>
        <w:t xml:space="preserve"> </w:t>
      </w:r>
      <w:r>
        <w:t xml:space="preserve">estabilidad de LIME es una propiedad contingente del despliegue y no puede</w:t>
      </w:r>
      <w:r>
        <w:t xml:space="preserve"> </w:t>
      </w:r>
      <w:r>
        <w:t xml:space="preserve">presuponerse: en un régimen regulatorio que exige consistencia, debe medirse y</w:t>
      </w:r>
      <w:r>
        <w:t xml:space="preserve"> </w:t>
      </w:r>
      <w:r>
        <w:t xml:space="preserve">documentarse para el espacio de características y la configuración concretos</w:t>
      </w:r>
      <w:r>
        <w:t xml:space="preserve"> </w:t>
      </w:r>
      <w:r>
        <w:t xml:space="preserve">antes de admitir el método como evidencia. Esta es la afirmación de mayor</w:t>
      </w:r>
      <w:r>
        <w:t xml:space="preserve"> </w:t>
      </w:r>
      <w:r>
        <w:t xml:space="preserve">impacto práctico de la tesis: no es un argumento teórico contra LIME, sino la</w:t>
      </w:r>
      <w:r>
        <w:t xml:space="preserve"> </w:t>
      </w:r>
      <w:r>
        <w:t xml:space="preserve">especificación empírica de qué debe verificarse antes de usarlo en el tipo de</w:t>
      </w:r>
      <w:r>
        <w:t xml:space="preserve"> </w:t>
      </w:r>
      <w:r>
        <w:t xml:space="preserve">despliegue que la regulación exige evaluar.</w:t>
      </w:r>
    </w:p>
    <w:p>
      <w:pPr>
        <w:pStyle w:val="Textoindependiente"/>
        <w:spacing w:line="360" w:lineRule="auto"/>
        <w:jc w:val="both"/>
      </w:pPr>
      <w:r>
        <w:t xml:space="preserve">El camino hacia la excelencia en evaluación XAI no pasa por proponer una métrica</w:t>
      </w:r>
      <w:r>
        <w:t xml:space="preserve"> </w:t>
      </w:r>
      <w:r>
        <w:t xml:space="preserve">adicional ni por declarar un método dominante universal. Pasa por construir la</w:t>
      </w:r>
      <w:r>
        <w:t xml:space="preserve"> </w:t>
      </w:r>
      <w:r>
        <w:t xml:space="preserve">infraestructura de gobernanza que permita comparar, acumular y defender</w:t>
      </w:r>
      <w:r>
        <w:t xml:space="preserve"> </w:t>
      </w:r>
      <w:r>
        <w:t xml:space="preserve">evidencia sobre métodos de explicación bajo condiciones auditables. FOM-7 y la</w:t>
      </w:r>
      <w:r>
        <w:t xml:space="preserve"> </w:t>
      </w:r>
      <w:r>
        <w:t xml:space="preserve">taxonomía asociada son una contribución concreta a esa infraestructura, y este</w:t>
      </w:r>
      <w:r>
        <w:t xml:space="preserve"> </w:t>
      </w:r>
      <w:r>
        <w:t xml:space="preserve">benchmark es la primera demostración de su aplicación sobre datos tabulares</w:t>
      </w:r>
      <w:r>
        <w:t xml:space="preserve"> </w:t>
      </w:r>
      <w:r>
        <w:t xml:space="preserve">reales bajo control estadístico riguroso. La agenda de investigación señalada</w:t>
      </w:r>
      <w:r>
        <w:t xml:space="preserve"> </w:t>
      </w:r>
      <w:r>
        <w:t xml:space="preserve">en la Sección</w:t>
      </w:r>
      <w:r>
        <w:t xml:space="preserve"> </w:t>
      </w:r>
      <w:hyperlink w:anchor="sec-futuro">
        <w:r>
          <w:rPr>
            <w:rStyle w:val="Hipervnculo"/>
          </w:rPr>
          <w:t xml:space="preserve">Section 7.6</w:t>
        </w:r>
      </w:hyperlink>
      <w:r>
        <w:t xml:space="preserve"> </w:t>
      </w:r>
      <w:r>
        <w:t xml:space="preserve">—extensión a dominios no tabulares, incorporación de</w:t>
      </w:r>
      <w:r>
        <w:t xml:space="preserve"> </w:t>
      </w:r>
      <w:r>
        <w:t xml:space="preserve">evaluación human-centered, análisis de sensibilidad de hiperparámetros,</w:t>
      </w:r>
      <w:r>
        <w:t xml:space="preserve"> </w:t>
      </w:r>
      <w:r>
        <w:t xml:space="preserve">replicación en dominios regulados— define el camino para transformar esta</w:t>
      </w:r>
      <w:r>
        <w:t xml:space="preserve"> </w:t>
      </w:r>
      <w:r>
        <w:t xml:space="preserve">infraestructura en un estándar de facto para la evaluación comparativa de</w:t>
      </w:r>
      <w:r>
        <w:t xml:space="preserve"> </w:t>
      </w:r>
      <w:r>
        <w:t xml:space="preserve">métodos XAI.</w:t>
      </w:r>
    </w:p>
    <w:bookmarkEnd w:id="187"/>
    <w:bookmarkEnd w:id="188"/>
    <w:bookmarkStart w:id="323" w:name="referencias"/>
    <w:p>
      <w:pPr>
        <w:pStyle w:val="Ttulo1"/>
        <w:spacing w:line="360" w:lineRule="auto"/>
        <w:jc w:val="both"/>
      </w:pPr>
      <w:r>
        <w:t xml:space="preserve">Referencias</w:t>
      </w:r>
    </w:p>
    <w:bookmarkStart w:id="322" w:name="refs"/>
    <w:bookmarkStart w:id="190" w:name="ref-abdul2018"/>
    <w:p>
      <w:pPr>
        <w:pStyle w:val="Bibliography"/>
        <w:spacing w:line="360" w:lineRule="auto"/>
        <w:jc w:val="both"/>
      </w:pPr>
      <w:r>
        <w:t xml:space="preserve">Abdul, Ashraf, Jo Vermeulen, Danding Wang, Brian Y. Lim, and Mohan Kankanhalli. 2018.</w:t>
      </w:r>
      <w:r>
        <w:t xml:space="preserve"> </w:t>
      </w:r>
      <w:r>
        <w:t xml:space="preserve">“Trends and Trajectories for Explainable, Accountable and Intelligible Systems: An HCI Research Agenda.”</w:t>
      </w:r>
      <w:r>
        <w:t xml:space="preserve"> </w:t>
      </w:r>
      <w:r>
        <w:rPr>
          <w:i/>
          <w:iCs/>
        </w:rPr>
        <w:t xml:space="preserve">Proceedings of the 2018 CHI Conference on Human Factors in Computing Systems</w:t>
      </w:r>
      <w:r>
        <w:t xml:space="preserve">, 1–18.</w:t>
      </w:r>
      <w:r>
        <w:t xml:space="preserve"> </w:t>
      </w:r>
      <w:hyperlink ns5:id="rId189">
        <w:r>
          <w:rPr>
            <w:rStyle w:val="Hipervnculo"/>
          </w:rPr>
          <w:t xml:space="preserve">https://doi.org/10.1145/3173574.3174156</w:t>
        </w:r>
      </w:hyperlink>
      <w:r>
        <w:t xml:space="preserve">.</w:t>
      </w:r>
    </w:p>
    <w:bookmarkEnd w:id="190"/>
    <w:bookmarkStart w:id="192" w:name="ref-abdulkadir2023"/>
    <w:p>
      <w:pPr>
        <w:pStyle w:val="Bibliography"/>
        <w:spacing w:line="360" w:lineRule="auto"/>
        <w:jc w:val="both"/>
      </w:pPr>
      <w:r>
        <w:t xml:space="preserve">Abdul Kadir, M., A. Mosavi, and D. Sonntag. 2023.</w:t>
      </w:r>
      <w:r>
        <w:t xml:space="preserve"> </w:t>
      </w:r>
      <w:r>
        <w:t xml:space="preserve">“Evaluation Metrics for XAI: A Review, Taxonomy, and Practical Applications.”</w:t>
      </w:r>
      <w:r>
        <w:t xml:space="preserve"> </w:t>
      </w:r>
      <w:r>
        <w:rPr>
          <w:i/>
          <w:iCs/>
        </w:rPr>
        <w:t xml:space="preserve">INES 2023 Proceedings</w:t>
      </w:r>
      <w:r>
        <w:t xml:space="preserve">, ahead of print.</w:t>
      </w:r>
      <w:r>
        <w:t xml:space="preserve"> </w:t>
      </w:r>
      <w:hyperlink ns5:id="rId191">
        <w:r>
          <w:rPr>
            <w:rStyle w:val="Hipervnculo"/>
          </w:rPr>
          <w:t xml:space="preserve">https://doi.org/10.1109/INES59045.2023.1030000</w:t>
        </w:r>
      </w:hyperlink>
      <w:r>
        <w:t xml:space="preserve">.</w:t>
      </w:r>
    </w:p>
    <w:bookmarkEnd w:id="192"/>
    <w:bookmarkStart w:id="194" w:name="ref-adadi2018"/>
    <w:p>
      <w:pPr>
        <w:pStyle w:val="Bibliography"/>
        <w:spacing w:line="360" w:lineRule="auto"/>
        <w:jc w:val="both"/>
      </w:pPr>
      <w:r>
        <w:t xml:space="preserve">Adadi, &amp; Berrada, A. 2018.</w:t>
      </w:r>
      <w:r>
        <w:t xml:space="preserve"> </w:t>
      </w:r>
      <w:r>
        <w:t xml:space="preserve">“Peeking Inside the Black-Box: A Survey on Explainable Artificial Intelligence (XAI).”</w:t>
      </w:r>
      <w:r>
        <w:t xml:space="preserve"> </w:t>
      </w:r>
      <w:r>
        <w:rPr>
          <w:i/>
          <w:iCs/>
        </w:rPr>
        <w:t xml:space="preserve">IEEE Access, 6, 52138–52160</w:t>
      </w:r>
      <w:r>
        <w:t xml:space="preserve">, ahead of print.</w:t>
      </w:r>
      <w:r>
        <w:t xml:space="preserve"> </w:t>
      </w:r>
      <w:hyperlink ns5:id="rId193">
        <w:r>
          <w:rPr>
            <w:rStyle w:val="Hipervnculo"/>
          </w:rPr>
          <w:t xml:space="preserve">https://doi.org/10.1109/access.2018.2870052</w:t>
        </w:r>
      </w:hyperlink>
      <w:r>
        <w:t xml:space="preserve">.</w:t>
      </w:r>
    </w:p>
    <w:bookmarkEnd w:id="194"/>
    <w:bookmarkStart w:id="195" w:name="ref-agarwal2022"/>
    <w:p>
      <w:pPr>
        <w:pStyle w:val="Bibliography"/>
        <w:spacing w:line="360" w:lineRule="auto"/>
        <w:jc w:val="both"/>
      </w:pPr>
      <w:r>
        <w:t xml:space="preserve">Agarwal, C., D. Ley, S. Krishna, et al. 2022.</w:t>
      </w:r>
      <w:r>
        <w:t xml:space="preserve"> </w:t>
      </w:r>
      <w:r>
        <w:t xml:space="preserve">“OpenXAI: Towards a Transparent Evaluation of Post Hoc Model Explanations.”</w:t>
      </w:r>
      <w:r>
        <w:t xml:space="preserve"> </w:t>
      </w:r>
      <w:r>
        <w:rPr>
          <w:i/>
          <w:iCs/>
        </w:rPr>
        <w:t xml:space="preserve">Advances in Neural Information Processing Systems (NeurIPS)</w:t>
      </w:r>
      <w:r>
        <w:t xml:space="preserve">.</w:t>
      </w:r>
    </w:p>
    <w:bookmarkEnd w:id="195"/>
    <w:bookmarkStart w:id="197" w:name="ref-ali2023"/>
    <w:p>
      <w:pPr>
        <w:pStyle w:val="Bibliography"/>
        <w:spacing w:line="360" w:lineRule="auto"/>
        <w:jc w:val="both"/>
      </w:pPr>
      <w:r>
        <w:t xml:space="preserve">Ali, Abuhmed, S. 2023.</w:t>
      </w:r>
      <w:r>
        <w:t xml:space="preserve"> </w:t>
      </w:r>
      <w:r>
        <w:t xml:space="preserve">“Explainable Artificial Intelligence (XAI): What We Know and What Is Left to Attain Trustworthy Artificial Intelligence.”</w:t>
      </w:r>
      <w:r>
        <w:t xml:space="preserve"> </w:t>
      </w:r>
      <w:r>
        <w:rPr>
          <w:i/>
          <w:iCs/>
        </w:rPr>
        <w:t xml:space="preserve">Information Fusion, 99, 101805</w:t>
      </w:r>
      <w:r>
        <w:t xml:space="preserve">, ahead of print.</w:t>
      </w:r>
      <w:r>
        <w:t xml:space="preserve"> </w:t>
      </w:r>
      <w:hyperlink ns5:id="rId196">
        <w:r>
          <w:rPr>
            <w:rStyle w:val="Hipervnculo"/>
          </w:rPr>
          <w:t xml:space="preserve">https://doi.org/10.1016/j.inffus.2023.101805</w:t>
        </w:r>
      </w:hyperlink>
      <w:r>
        <w:t xml:space="preserve">.</w:t>
      </w:r>
    </w:p>
    <w:bookmarkEnd w:id="197"/>
    <w:bookmarkStart w:id="199" w:name="ref-allen2024"/>
    <w:p>
      <w:pPr>
        <w:pStyle w:val="Bibliography"/>
        <w:spacing w:line="360" w:lineRule="auto"/>
        <w:jc w:val="both"/>
      </w:pPr>
      <w:r>
        <w:t xml:space="preserve">Allen, Gan, G. I. 2024.</w:t>
      </w:r>
      <w:r>
        <w:t xml:space="preserve"> </w:t>
      </w:r>
      <w:r>
        <w:t xml:space="preserve">“Interpretable Machine Learning for Discovery: Statistical Challenges and Opportunities.”</w:t>
      </w:r>
      <w:r>
        <w:t xml:space="preserve"> </w:t>
      </w:r>
      <w:r>
        <w:rPr>
          <w:i/>
          <w:iCs/>
        </w:rPr>
        <w:t xml:space="preserve">Annual Review of Statistics and Its Application, 11(1), 97–121</w:t>
      </w:r>
      <w:r>
        <w:t xml:space="preserve">, ahead of print.</w:t>
      </w:r>
      <w:r>
        <w:t xml:space="preserve"> </w:t>
      </w:r>
      <w:hyperlink ns5:id="rId198">
        <w:r>
          <w:rPr>
            <w:rStyle w:val="Hipervnculo"/>
          </w:rPr>
          <w:t xml:space="preserve">https://doi.org/10.1146/annurev-statistics-040120-030919</w:t>
        </w:r>
      </w:hyperlink>
      <w:r>
        <w:t xml:space="preserve">.</w:t>
      </w:r>
    </w:p>
    <w:bookmarkEnd w:id="199"/>
    <w:bookmarkStart w:id="201" w:name="ref-altukhi2025"/>
    <w:p>
      <w:pPr>
        <w:pStyle w:val="Bibliography"/>
        <w:spacing w:line="360" w:lineRule="auto"/>
        <w:jc w:val="both"/>
      </w:pPr>
      <w:r>
        <w:t xml:space="preserve">Altukhi, Pradhan, Z. M. 2025.</w:t>
      </w:r>
      <w:r>
        <w:t xml:space="preserve"> </w:t>
      </w:r>
      <w:r>
        <w:t xml:space="preserve">“A Systematic Literature Review of the Latest Advancements in XAI.”</w:t>
      </w:r>
      <w:r>
        <w:t xml:space="preserve"> </w:t>
      </w:r>
      <w:r>
        <w:rPr>
          <w:i/>
          <w:iCs/>
        </w:rPr>
        <w:t xml:space="preserve">Technologies, 13(3), 93</w:t>
      </w:r>
      <w:r>
        <w:t xml:space="preserve">, ahead of print.</w:t>
      </w:r>
      <w:r>
        <w:t xml:space="preserve"> </w:t>
      </w:r>
      <w:hyperlink ns5:id="rId200">
        <w:r>
          <w:rPr>
            <w:rStyle w:val="Hipervnculo"/>
          </w:rPr>
          <w:t xml:space="preserve">https://doi.org/10.3390/technologies13030093</w:t>
        </w:r>
      </w:hyperlink>
      <w:r>
        <w:t xml:space="preserve">.</w:t>
      </w:r>
    </w:p>
    <w:bookmarkEnd w:id="201"/>
    <w:bookmarkStart w:id="203" w:name="ref-alvarezmelis2018"/>
    <w:p>
      <w:pPr>
        <w:pStyle w:val="Bibliography"/>
        <w:spacing w:line="360" w:lineRule="auto"/>
        <w:jc w:val="both"/>
      </w:pPr>
      <w:r>
        <w:t xml:space="preserve">Alvarez-Melis, David, and Tommi S. Jaakkola. 2018.</w:t>
      </w:r>
      <w:r>
        <w:t xml:space="preserve"> </w:t>
      </w:r>
      <w:r>
        <w:rPr>
          <w:i/>
          <w:iCs/>
        </w:rPr>
        <w:t xml:space="preserve">On the Robustness of Interpretability Methods</w:t>
      </w:r>
      <w:r>
        <w:t xml:space="preserve">.</w:t>
      </w:r>
      <w:r>
        <w:t xml:space="preserve"> </w:t>
      </w:r>
      <w:hyperlink ns5:id="rId202">
        <w:r>
          <w:rPr>
            <w:rStyle w:val="Hipervnculo"/>
          </w:rPr>
          <w:t xml:space="preserve">https://arxiv.org/abs/1806.08049</w:t>
        </w:r>
      </w:hyperlink>
      <w:r>
        <w:t xml:space="preserve">.</w:t>
      </w:r>
    </w:p>
    <w:bookmarkEnd w:id="203"/>
    <w:bookmarkStart w:id="205" w:name="ref-angelov2021"/>
    <w:p>
      <w:pPr>
        <w:pStyle w:val="Bibliography"/>
        <w:spacing w:line="360" w:lineRule="auto"/>
        <w:jc w:val="both"/>
      </w:pPr>
      <w:r>
        <w:t xml:space="preserve">Angelov, Soares, P. P. 2021.</w:t>
      </w:r>
      <w:r>
        <w:t xml:space="preserve"> </w:t>
      </w:r>
      <w:r>
        <w:t xml:space="preserve">“Explainable Artificial Intelligence: An Analytical Review.”</w:t>
      </w:r>
      <w:r>
        <w:t xml:space="preserve"> </w:t>
      </w:r>
      <w:r>
        <w:rPr>
          <w:i/>
          <w:iCs/>
        </w:rPr>
        <w:t xml:space="preserve">Wiley Interdisciplinary Reviews Data Mining and Knowledge Discovery, 11(5)</w:t>
      </w:r>
      <w:r>
        <w:t xml:space="preserve">, ahead of print.</w:t>
      </w:r>
      <w:r>
        <w:t xml:space="preserve"> </w:t>
      </w:r>
      <w:hyperlink ns5:id="rId204">
        <w:r>
          <w:rPr>
            <w:rStyle w:val="Hipervnculo"/>
          </w:rPr>
          <w:t xml:space="preserve">https://doi.org/10.1002/widm.1424</w:t>
        </w:r>
      </w:hyperlink>
      <w:r>
        <w:t xml:space="preserve">.</w:t>
      </w:r>
    </w:p>
    <w:bookmarkEnd w:id="205"/>
    <w:bookmarkStart w:id="207" w:name="ref-arrieta2019a"/>
    <w:p>
      <w:pPr>
        <w:pStyle w:val="Bibliography"/>
        <w:spacing w:line="360" w:lineRule="auto"/>
        <w:jc w:val="both"/>
      </w:pPr>
      <w:r>
        <w:t xml:space="preserve">Arrieta, Díaz-Rodríguez, A. B. 2019a.</w:t>
      </w:r>
      <w:r>
        <w:t xml:space="preserve"> </w:t>
      </w:r>
      <w:r>
        <w:t xml:space="preserve">“Explainable Artificial Intelligence (XAI): Concepts, Taxonomies, Opportunities and Challenges Toward Responsible AI.”</w:t>
      </w:r>
      <w:r>
        <w:t xml:space="preserve"> </w:t>
      </w:r>
      <w:r>
        <w:rPr>
          <w:i/>
          <w:iCs/>
        </w:rPr>
        <w:t xml:space="preserve">Information Fusion, 58, 82–115</w:t>
      </w:r>
      <w:r>
        <w:t xml:space="preserve">, ahead of print, 2019a.</w:t>
      </w:r>
      <w:r>
        <w:t xml:space="preserve"> </w:t>
      </w:r>
      <w:hyperlink ns5:id="rId206">
        <w:r>
          <w:rPr>
            <w:rStyle w:val="Hipervnculo"/>
          </w:rPr>
          <w:t xml:space="preserve">https://doi.org/10.1016/j.inffus.2019.12.012</w:t>
        </w:r>
      </w:hyperlink>
      <w:r>
        <w:t xml:space="preserve">.</w:t>
      </w:r>
    </w:p>
    <w:bookmarkEnd w:id="207"/>
    <w:bookmarkStart w:id="209" w:name="ref-belle2021"/>
    <w:p>
      <w:pPr>
        <w:pStyle w:val="Bibliography"/>
        <w:spacing w:line="360" w:lineRule="auto"/>
        <w:jc w:val="both"/>
      </w:pPr>
      <w:r>
        <w:t xml:space="preserve">Belle, &amp; Papantonis, V. 2021.</w:t>
      </w:r>
      <w:r>
        <w:t xml:space="preserve"> </w:t>
      </w:r>
      <w:r>
        <w:t xml:space="preserve">“Principles and Practice of Explainable Machine Learning.”</w:t>
      </w:r>
      <w:r>
        <w:t xml:space="preserve"> </w:t>
      </w:r>
      <w:r>
        <w:rPr>
          <w:i/>
          <w:iCs/>
        </w:rPr>
        <w:t xml:space="preserve">Frontiers in Big Data, 4</w:t>
      </w:r>
      <w:r>
        <w:t xml:space="preserve">, ahead of print.</w:t>
      </w:r>
      <w:r>
        <w:t xml:space="preserve"> </w:t>
      </w:r>
      <w:hyperlink ns5:id="rId208">
        <w:r>
          <w:rPr>
            <w:rStyle w:val="Hipervnculo"/>
          </w:rPr>
          <w:t xml:space="preserve">https://doi.org/10.3389/fdata.2021.688969</w:t>
        </w:r>
      </w:hyperlink>
      <w:r>
        <w:t xml:space="preserve">.</w:t>
      </w:r>
    </w:p>
    <w:bookmarkEnd w:id="209"/>
    <w:bookmarkStart w:id="211" w:name="ref-bhattacharya2024"/>
    <w:p>
      <w:pPr>
        <w:pStyle w:val="Bibliography"/>
        <w:spacing w:line="360" w:lineRule="auto"/>
        <w:jc w:val="both"/>
      </w:pPr>
      <w:r>
        <w:t xml:space="preserve">Bhattacharya, A., and K. Verbert. 2024.</w:t>
      </w:r>
      <w:r>
        <w:t xml:space="preserve"> </w:t>
      </w:r>
      <w:r>
        <w:t xml:space="preserve">“How Good Is Your Explanation?: Towards a Standardised Evaluation Approach for Diverse XAI Methods on Multiple Dimensions of Explainability.”</w:t>
      </w:r>
      <w:r>
        <w:t xml:space="preserve"> </w:t>
      </w:r>
      <w:r>
        <w:rPr>
          <w:i/>
          <w:iCs/>
        </w:rPr>
        <w:t xml:space="preserve">Proceedings of the 32nd ACM Conference on User Modeling, Adaptation and Personalization (UMAP Adjunct ’24)</w:t>
      </w:r>
      <w:r>
        <w:t xml:space="preserve">.</w:t>
      </w:r>
      <w:r>
        <w:t xml:space="preserve"> </w:t>
      </w:r>
      <w:hyperlink ns5:id="rId210">
        <w:r>
          <w:rPr>
            <w:rStyle w:val="Hipervnculo"/>
          </w:rPr>
          <w:t xml:space="preserve">https://doi.org/10.1145/3631700.3664911</w:t>
        </w:r>
      </w:hyperlink>
      <w:r>
        <w:t xml:space="preserve">.</w:t>
      </w:r>
    </w:p>
    <w:bookmarkEnd w:id="211"/>
    <w:bookmarkStart w:id="213" w:name="ref-breiman2001"/>
    <w:p>
      <w:pPr>
        <w:pStyle w:val="Bibliography"/>
        <w:spacing w:line="360" w:lineRule="auto"/>
        <w:jc w:val="both"/>
      </w:pPr>
      <w:r>
        <w:t xml:space="preserve">Breiman, L. 2001.</w:t>
      </w:r>
      <w:r>
        <w:t xml:space="preserve"> </w:t>
      </w:r>
      <w:r>
        <w:t xml:space="preserve">“Random Forests.”</w:t>
      </w:r>
      <w:r>
        <w:t xml:space="preserve"> </w:t>
      </w:r>
      <w:r>
        <w:rPr>
          <w:i/>
          <w:iCs/>
        </w:rPr>
        <w:t xml:space="preserve">Machine Learning, 45(1), 5–32</w:t>
      </w:r>
      <w:r>
        <w:t xml:space="preserve">, ahead of print.</w:t>
      </w:r>
      <w:r>
        <w:t xml:space="preserve"> </w:t>
      </w:r>
      <w:hyperlink ns5:id="rId212">
        <w:r>
          <w:rPr>
            <w:rStyle w:val="Hipervnculo"/>
          </w:rPr>
          <w:t xml:space="preserve">https://doi.org/10.1023/a:1010933404324</w:t>
        </w:r>
      </w:hyperlink>
      <w:r>
        <w:t xml:space="preserve">.</w:t>
      </w:r>
    </w:p>
    <w:bookmarkEnd w:id="213"/>
    <w:bookmarkStart w:id="215" w:name="ref-burger2023"/>
    <w:p>
      <w:pPr>
        <w:pStyle w:val="Bibliography"/>
        <w:spacing w:line="360" w:lineRule="auto"/>
        <w:jc w:val="both"/>
      </w:pPr>
      <w:r>
        <w:t xml:space="preserve">Burger, Christopher, Lingwei Chen, and Thai Le. 2023.</w:t>
      </w:r>
      <w:r>
        <w:t xml:space="preserve"> </w:t>
      </w:r>
      <w:r>
        <w:t xml:space="preserve">“Are Your Explanations Reliable? Investigating the Stability of LIME in Explaining Text Classifiers by Marrying XAI and Adversarial Attack.”</w:t>
      </w:r>
      <w:r>
        <w:t xml:space="preserve"> </w:t>
      </w:r>
      <w:r>
        <w:rPr>
          <w:i/>
          <w:iCs/>
        </w:rPr>
        <w:t xml:space="preserve">Proceedings of the 2023 Conference on Empirical Methods in Natural Language Processing</w:t>
      </w:r>
      <w:r>
        <w:t xml:space="preserve">, 12931–44.</w:t>
      </w:r>
      <w:r>
        <w:t xml:space="preserve"> </w:t>
      </w:r>
      <w:hyperlink ns5:id="rId214">
        <w:r>
          <w:rPr>
            <w:rStyle w:val="Hipervnculo"/>
          </w:rPr>
          <w:t xml:space="preserve">https://doi.org/10.18653/v1/2023.emnlp-main.792</w:t>
        </w:r>
      </w:hyperlink>
      <w:r>
        <w:t xml:space="preserve">.</w:t>
      </w:r>
    </w:p>
    <w:bookmarkEnd w:id="215"/>
    <w:bookmarkStart w:id="217" w:name="ref-canha2025"/>
    <w:p>
      <w:pPr>
        <w:pStyle w:val="Bibliography"/>
        <w:spacing w:line="360" w:lineRule="auto"/>
        <w:jc w:val="both"/>
      </w:pPr>
      <w:r>
        <w:t xml:space="preserve">Canha, D., S. Kubler, K. Främling, and G. Fagherazzi. 2025.</w:t>
      </w:r>
      <w:r>
        <w:t xml:space="preserve"> </w:t>
      </w:r>
      <w:r>
        <w:t xml:space="preserve">“A Functionally-Grounded Benchmark Framework for XAI Methods: Insights and Foundations from a Systematic Literature Review.”</w:t>
      </w:r>
      <w:r>
        <w:t xml:space="preserve"> </w:t>
      </w:r>
      <w:r>
        <w:rPr>
          <w:i/>
          <w:iCs/>
        </w:rPr>
        <w:t xml:space="preserve">ACM Computing Surveys</w:t>
      </w:r>
      <w:r>
        <w:t xml:space="preserve"> </w:t>
      </w:r>
      <w:r>
        <w:t xml:space="preserve">57 (12).</w:t>
      </w:r>
      <w:r>
        <w:t xml:space="preserve"> </w:t>
      </w:r>
      <w:hyperlink ns5:id="rId216">
        <w:r>
          <w:rPr>
            <w:rStyle w:val="Hipervnculo"/>
          </w:rPr>
          <w:t xml:space="preserve">https://doi.org/10.1145/3737445</w:t>
        </w:r>
      </w:hyperlink>
      <w:r>
        <w:t xml:space="preserve">.</w:t>
      </w:r>
    </w:p>
    <w:bookmarkEnd w:id="217"/>
    <w:bookmarkStart w:id="219" w:name="ref-carvalho2019"/>
    <w:p>
      <w:pPr>
        <w:pStyle w:val="Bibliography"/>
        <w:spacing w:line="360" w:lineRule="auto"/>
        <w:jc w:val="both"/>
      </w:pPr>
      <w:r>
        <w:t xml:space="preserve">Carvalho, Diogo V., Eduardo M. Pereira, and Jaime S. Cardoso. 2019.</w:t>
      </w:r>
      <w:r>
        <w:t xml:space="preserve"> </w:t>
      </w:r>
      <w:r>
        <w:t xml:space="preserve">“Machine Learning Interpretability: A Survey on Methods and Metrics.”</w:t>
      </w:r>
      <w:r>
        <w:t xml:space="preserve"> </w:t>
      </w:r>
      <w:r>
        <w:rPr>
          <w:i/>
          <w:iCs/>
        </w:rPr>
        <w:t xml:space="preserve">Electronics</w:t>
      </w:r>
      <w:r>
        <w:t xml:space="preserve"> </w:t>
      </w:r>
      <w:r>
        <w:t xml:space="preserve">8 (8): 832.</w:t>
      </w:r>
      <w:r>
        <w:t xml:space="preserve"> </w:t>
      </w:r>
      <w:hyperlink ns5:id="rId218">
        <w:r>
          <w:rPr>
            <w:rStyle w:val="Hipervnculo"/>
          </w:rPr>
          <w:t xml:space="preserve">https://doi.org/10.3390/electronics8080832</w:t>
        </w:r>
      </w:hyperlink>
      <w:r>
        <w:t xml:space="preserve">.</w:t>
      </w:r>
    </w:p>
    <w:bookmarkEnd w:id="219"/>
    <w:bookmarkStart w:id="221" w:name="ref-demsar2006"/>
    <w:p>
      <w:pPr>
        <w:pStyle w:val="Bibliography"/>
        <w:spacing w:line="360" w:lineRule="auto"/>
        <w:jc w:val="both"/>
      </w:pPr>
      <w:r>
        <w:t xml:space="preserve">Demšar, Janez. 2006.</w:t>
      </w:r>
      <w:r>
        <w:t xml:space="preserve"> </w:t>
      </w:r>
      <w:r>
        <w:t xml:space="preserve">“Statistical Comparisons of Classifiers over Multiple Data Sets.”</w:t>
      </w:r>
      <w:r>
        <w:t xml:space="preserve"> </w:t>
      </w:r>
      <w:r>
        <w:rPr>
          <w:i/>
          <w:iCs/>
        </w:rPr>
        <w:t xml:space="preserve">Journal of Machine Learning Research</w:t>
      </w:r>
      <w:r>
        <w:t xml:space="preserve"> </w:t>
      </w:r>
      <w:r>
        <w:t xml:space="preserve">7: 1–30.</w:t>
      </w:r>
      <w:r>
        <w:t xml:space="preserve"> </w:t>
      </w:r>
      <w:hyperlink ns5:id="rId220">
        <w:r>
          <w:rPr>
            <w:rStyle w:val="Hipervnculo"/>
          </w:rPr>
          <w:t xml:space="preserve">https://www.jmlr.org/papers/v7/demsar06a.html</w:t>
        </w:r>
      </w:hyperlink>
      <w:r>
        <w:t xml:space="preserve">.</w:t>
      </w:r>
    </w:p>
    <w:bookmarkEnd w:id="221"/>
    <w:bookmarkStart w:id="223" w:name="ref-doshi-velez2017"/>
    <w:p>
      <w:pPr>
        <w:pStyle w:val="Bibliography"/>
        <w:spacing w:line="360" w:lineRule="auto"/>
        <w:jc w:val="both"/>
      </w:pPr>
      <w:r>
        <w:t xml:space="preserve">Doshi-Velez, &amp; Kim, F. 2017.</w:t>
      </w:r>
      <w:r>
        <w:t xml:space="preserve"> </w:t>
      </w:r>
      <w:r>
        <w:t xml:space="preserve">“Towards a Rigorous Science of Interpretable Machine Learning.”</w:t>
      </w:r>
      <w:r>
        <w:t xml:space="preserve"> </w:t>
      </w:r>
      <w:r>
        <w:rPr>
          <w:i/>
          <w:iCs/>
        </w:rPr>
        <w:t xml:space="preserve">arXiv (Cornell University)</w:t>
      </w:r>
      <w:r>
        <w:t xml:space="preserve">, ahead of print.</w:t>
      </w:r>
      <w:r>
        <w:t xml:space="preserve"> </w:t>
      </w:r>
      <w:hyperlink ns5:id="rId222">
        <w:r>
          <w:rPr>
            <w:rStyle w:val="Hipervnculo"/>
          </w:rPr>
          <w:t xml:space="preserve">https://doi.org/10.48550/arxiv.1702.08608</w:t>
        </w:r>
      </w:hyperlink>
      <w:r>
        <w:t xml:space="preserve">.</w:t>
      </w:r>
    </w:p>
    <w:bookmarkEnd w:id="223"/>
    <w:bookmarkStart w:id="225" w:name="ref-dua2019uci"/>
    <w:p>
      <w:pPr>
        <w:pStyle w:val="Bibliography"/>
        <w:spacing w:line="360" w:lineRule="auto"/>
        <w:jc w:val="both"/>
      </w:pPr>
      <w:r>
        <w:t xml:space="preserve">Dua, Dheeru, and Casey Graff. 2019.</w:t>
      </w:r>
      <w:r>
        <w:t xml:space="preserve"> </w:t>
      </w:r>
      <w:r>
        <w:rPr>
          <w:i/>
          <w:iCs/>
        </w:rPr>
        <w:t xml:space="preserve">UCI</w:t>
      </w:r>
      <w:r>
        <w:rPr>
          <w:i/>
          <w:iCs/>
        </w:rPr>
        <w:t xml:space="preserve"> </w:t>
      </w:r>
      <w:r>
        <w:rPr>
          <w:i/>
          <w:iCs/>
        </w:rPr>
        <w:t xml:space="preserve">Machine Learning Repository</w:t>
      </w:r>
      <w:r>
        <w:t xml:space="preserve">. University of California, Irvine, School of Information and Computer Sciences.</w:t>
      </w:r>
      <w:r>
        <w:t xml:space="preserve"> </w:t>
      </w:r>
      <w:hyperlink ns5:id="rId224">
        <w:r>
          <w:rPr>
            <w:rStyle w:val="Hipervnculo"/>
          </w:rPr>
          <w:t xml:space="preserve">http://archive.ics.uci.edu/ml</w:t>
        </w:r>
      </w:hyperlink>
      <w:r>
        <w:t xml:space="preserve">.</w:t>
      </w:r>
    </w:p>
    <w:bookmarkEnd w:id="225"/>
    <w:bookmarkStart w:id="227" w:name="ref-floridi2018"/>
    <w:p>
      <w:pPr>
        <w:pStyle w:val="Bibliography"/>
        <w:spacing w:line="360" w:lineRule="auto"/>
        <w:jc w:val="both"/>
      </w:pPr>
      <w:r>
        <w:t xml:space="preserve">Floridi, Cowls, L. 2018.</w:t>
      </w:r>
      <w:r>
        <w:t xml:space="preserve"> </w:t>
      </w:r>
      <w:r>
        <w:t xml:space="preserve">“AI4People—an Ethical Framework for a Good AI Society: Opportunities, Risks, Principles, and Recommendations.”</w:t>
      </w:r>
      <w:r>
        <w:t xml:space="preserve"> </w:t>
      </w:r>
      <w:r>
        <w:rPr>
          <w:i/>
          <w:iCs/>
        </w:rPr>
        <w:t xml:space="preserve">Minds and Machines, 28(4), 689–707</w:t>
      </w:r>
      <w:r>
        <w:t xml:space="preserve">, ahead of print.</w:t>
      </w:r>
      <w:r>
        <w:t xml:space="preserve"> </w:t>
      </w:r>
      <w:hyperlink ns5:id="rId226">
        <w:r>
          <w:rPr>
            <w:rStyle w:val="Hipervnculo"/>
          </w:rPr>
          <w:t xml:space="preserve">https://doi.org/10.1007/s11023-018-9482-5</w:t>
        </w:r>
      </w:hyperlink>
      <w:r>
        <w:t xml:space="preserve">.</w:t>
      </w:r>
    </w:p>
    <w:bookmarkEnd w:id="227"/>
    <w:bookmarkStart w:id="229" w:name="ref-friedman1937"/>
    <w:p>
      <w:pPr>
        <w:pStyle w:val="Bibliography"/>
        <w:spacing w:line="360" w:lineRule="auto"/>
        <w:jc w:val="both"/>
      </w:pPr>
      <w:r>
        <w:t xml:space="preserve">Friedman, Milton. 1937.</w:t>
      </w:r>
      <w:r>
        <w:t xml:space="preserve"> </w:t>
      </w:r>
      <w:r>
        <w:t xml:space="preserve">“The Use of Ranks to Avoid the Assumption of Normality Implicit in the Analysis of Variance.”</w:t>
      </w:r>
      <w:r>
        <w:t xml:space="preserve"> </w:t>
      </w:r>
      <w:r>
        <w:rPr>
          <w:i/>
          <w:iCs/>
        </w:rPr>
        <w:t xml:space="preserve">Journal of the American Statistical Association</w:t>
      </w:r>
      <w:r>
        <w:t xml:space="preserve"> </w:t>
      </w:r>
      <w:r>
        <w:t xml:space="preserve">32 (200): 675–701.</w:t>
      </w:r>
      <w:r>
        <w:t xml:space="preserve"> </w:t>
      </w:r>
      <w:hyperlink ns5:id="rId228">
        <w:r>
          <w:rPr>
            <w:rStyle w:val="Hipervnculo"/>
          </w:rPr>
          <w:t xml:space="preserve">https://doi.org/10.1080/01621459.1937.10503522</w:t>
        </w:r>
      </w:hyperlink>
      <w:r>
        <w:t xml:space="preserve">.</w:t>
      </w:r>
    </w:p>
    <w:bookmarkEnd w:id="229"/>
    <w:bookmarkStart w:id="231" w:name="ref-gilpin2018"/>
    <w:p>
      <w:pPr>
        <w:pStyle w:val="Bibliography"/>
        <w:spacing w:line="360" w:lineRule="auto"/>
        <w:jc w:val="both"/>
      </w:pPr>
      <w:r>
        <w:t xml:space="preserve">Gilpin, Bau, L. H. 2018.</w:t>
      </w:r>
      <w:r>
        <w:t xml:space="preserve"> </w:t>
      </w:r>
      <w:r>
        <w:t xml:space="preserve">“Explaining Explanations: An Overview of Interpretability of Machine Learning.”</w:t>
      </w:r>
      <w:r>
        <w:t xml:space="preserve"> </w:t>
      </w:r>
      <w:r>
        <w:rPr>
          <w:i/>
          <w:iCs/>
        </w:rPr>
        <w:t xml:space="preserve">2022 IEEE 9th International Conference on Data Science and Advanced Analytics (DSAA), 80–89</w:t>
      </w:r>
      <w:r>
        <w:t xml:space="preserve">, ahead of print.</w:t>
      </w:r>
      <w:r>
        <w:t xml:space="preserve"> </w:t>
      </w:r>
      <w:hyperlink ns5:id="rId230">
        <w:r>
          <w:rPr>
            <w:rStyle w:val="Hipervnculo"/>
          </w:rPr>
          <w:t xml:space="preserve">https://doi.org/10.1109/dsaa.2018.00018</w:t>
        </w:r>
      </w:hyperlink>
      <w:r>
        <w:t xml:space="preserve">.</w:t>
      </w:r>
    </w:p>
    <w:bookmarkEnd w:id="231"/>
    <w:bookmarkStart w:id="233" w:name="ref-guidotti2018"/>
    <w:p>
      <w:pPr>
        <w:pStyle w:val="Bibliography"/>
        <w:spacing w:line="360" w:lineRule="auto"/>
        <w:jc w:val="both"/>
      </w:pPr>
      <w:r>
        <w:t xml:space="preserve">Guidotti, Riccardo, Anna Monreale, Salvatore Ruggieri, Franco Turini, Fosca Giannotti, and Dino Pedreschi. 2018.</w:t>
      </w:r>
      <w:r>
        <w:t xml:space="preserve"> </w:t>
      </w:r>
      <w:r>
        <w:t xml:space="preserve">“A Survey of Methods for Explaining Black Box Models.”</w:t>
      </w:r>
      <w:r>
        <w:t xml:space="preserve"> </w:t>
      </w:r>
      <w:r>
        <w:rPr>
          <w:i/>
          <w:iCs/>
        </w:rPr>
        <w:t xml:space="preserve">ACM Computing Surveys</w:t>
      </w:r>
      <w:r>
        <w:t xml:space="preserve"> </w:t>
      </w:r>
      <w:r>
        <w:t xml:space="preserve">51 (5): 1–42.</w:t>
      </w:r>
      <w:r>
        <w:t xml:space="preserve"> </w:t>
      </w:r>
      <w:hyperlink ns5:id="rId232">
        <w:r>
          <w:rPr>
            <w:rStyle w:val="Hipervnculo"/>
          </w:rPr>
          <w:t xml:space="preserve">https://doi.org/10.1145/3236009</w:t>
        </w:r>
      </w:hyperlink>
      <w:r>
        <w:t xml:space="preserve">.</w:t>
      </w:r>
    </w:p>
    <w:bookmarkEnd w:id="233"/>
    <w:bookmarkStart w:id="235" w:name="ref-hase2020"/>
    <w:p>
      <w:pPr>
        <w:pStyle w:val="Bibliography"/>
        <w:spacing w:line="360" w:lineRule="auto"/>
        <w:jc w:val="both"/>
      </w:pPr>
      <w:r>
        <w:t xml:space="preserve">Hase, Peter, and Mohit Bansal. 2020.</w:t>
      </w:r>
      <w:r>
        <w:t xml:space="preserve"> </w:t>
      </w:r>
      <w:r>
        <w:t xml:space="preserve">“Evaluating Explainable AI: Which Algorithmic Explanations Help Users Predict Model Behavior?”</w:t>
      </w:r>
      <w:r>
        <w:t xml:space="preserve"> </w:t>
      </w:r>
      <w:r>
        <w:rPr>
          <w:i/>
          <w:iCs/>
        </w:rPr>
        <w:t xml:space="preserve">Proceedings of the 58th Annual Meeting of the Association for Computational Linguistics</w:t>
      </w:r>
      <w:r>
        <w:t xml:space="preserve">, 5540–52.</w:t>
      </w:r>
      <w:r>
        <w:t xml:space="preserve"> </w:t>
      </w:r>
      <w:hyperlink ns5:id="rId234">
        <w:r>
          <w:rPr>
            <w:rStyle w:val="Hipervnculo"/>
          </w:rPr>
          <w:t xml:space="preserve">https://doi.org/10.18653/v1/2020.acl-main.491</w:t>
        </w:r>
      </w:hyperlink>
      <w:r>
        <w:t xml:space="preserve">.</w:t>
      </w:r>
    </w:p>
    <w:bookmarkEnd w:id="235"/>
    <w:bookmarkStart w:id="237" w:name="ref-hassija2023"/>
    <w:p>
      <w:pPr>
        <w:pStyle w:val="Bibliography"/>
        <w:spacing w:line="360" w:lineRule="auto"/>
        <w:jc w:val="both"/>
      </w:pPr>
      <w:r>
        <w:t xml:space="preserve">Hassija, Chamola, V. 2023.</w:t>
      </w:r>
      <w:r>
        <w:t xml:space="preserve"> </w:t>
      </w:r>
      <w:r>
        <w:t xml:space="preserve">“Interpreting Black-Box Models: A Review on Explainable Artificial Intelligence.”</w:t>
      </w:r>
      <w:r>
        <w:t xml:space="preserve"> </w:t>
      </w:r>
      <w:r>
        <w:rPr>
          <w:i/>
          <w:iCs/>
        </w:rPr>
        <w:t xml:space="preserve">Cognitive Computation, 16(1), 45–74</w:t>
      </w:r>
      <w:r>
        <w:t xml:space="preserve">, ahead of print.</w:t>
      </w:r>
      <w:r>
        <w:t xml:space="preserve"> </w:t>
      </w:r>
      <w:hyperlink ns5:id="rId236">
        <w:r>
          <w:rPr>
            <w:rStyle w:val="Hipervnculo"/>
          </w:rPr>
          <w:t xml:space="preserve">https://doi.org/10.1007/s12559-023-10179-8</w:t>
        </w:r>
      </w:hyperlink>
      <w:r>
        <w:t xml:space="preserve">.</w:t>
      </w:r>
    </w:p>
    <w:bookmarkEnd w:id="237"/>
    <w:bookmarkStart w:id="238" w:name="ref-hedstrom2023"/>
    <w:p>
      <w:pPr>
        <w:pStyle w:val="Bibliography"/>
        <w:spacing w:line="360" w:lineRule="auto"/>
        <w:jc w:val="both"/>
      </w:pPr>
      <w:r>
        <w:t xml:space="preserve">Hedström, A., L. Weber, D. Bareeva, et al. 2023.</w:t>
      </w:r>
      <w:r>
        <w:t xml:space="preserve"> </w:t>
      </w:r>
      <w:r>
        <w:t xml:space="preserve">“Quantus: An Explainable AI Toolkit for Responsible Evaluation of Neural Network Explanations and Beyond.”</w:t>
      </w:r>
      <w:r>
        <w:t xml:space="preserve"> </w:t>
      </w:r>
      <w:r>
        <w:rPr>
          <w:i/>
          <w:iCs/>
        </w:rPr>
        <w:t xml:space="preserve">Journal of Machine Learning Research</w:t>
      </w:r>
      <w:r>
        <w:t xml:space="preserve"> </w:t>
      </w:r>
      <w:r>
        <w:t xml:space="preserve">24 (34): 1–11.</w:t>
      </w:r>
    </w:p>
    <w:bookmarkEnd w:id="238"/>
    <w:bookmarkStart w:id="240" w:name="ref-hoffman2023"/>
    <w:p>
      <w:pPr>
        <w:pStyle w:val="Bibliography"/>
        <w:spacing w:line="360" w:lineRule="auto"/>
        <w:jc w:val="both"/>
      </w:pPr>
      <w:r>
        <w:t xml:space="preserve">Hoffman, Robert R., Timothy Miller, Gary Klein, Shane T. Mueller, and William J. Clancey. 2023.</w:t>
      </w:r>
      <w:r>
        <w:t xml:space="preserve"> </w:t>
      </w:r>
      <w:r>
        <w:t xml:space="preserve">“Increasing the Value of XAI for Users: A Psychological Perspective.”</w:t>
      </w:r>
      <w:r>
        <w:t xml:space="preserve"> </w:t>
      </w:r>
      <w:r>
        <w:rPr>
          <w:i/>
          <w:iCs/>
        </w:rPr>
        <w:t xml:space="preserve">KI - K</w:t>
      </w:r>
      <w:r>
        <w:rPr>
          <w:i/>
          <w:iCs/>
        </w:rPr>
        <w:t xml:space="preserve">ü</w:t>
      </w:r>
      <w:r>
        <w:rPr>
          <w:i/>
          <w:iCs/>
        </w:rPr>
        <w:t xml:space="preserve">nstliche Intelligenz</w:t>
      </w:r>
      <w:r>
        <w:t xml:space="preserve"> </w:t>
      </w:r>
      <w:r>
        <w:t xml:space="preserve">37: 145–59.</w:t>
      </w:r>
      <w:r>
        <w:t xml:space="preserve"> </w:t>
      </w:r>
      <w:hyperlink ns5:id="rId239">
        <w:r>
          <w:rPr>
            <w:rStyle w:val="Hipervnculo"/>
          </w:rPr>
          <w:t xml:space="preserve">https://doi.org/10.1007/s13218-023-00806-9</w:t>
        </w:r>
      </w:hyperlink>
      <w:r>
        <w:t xml:space="preserve">.</w:t>
      </w:r>
    </w:p>
    <w:bookmarkEnd w:id="240"/>
    <w:bookmarkStart w:id="242" w:name="ref-hutson2018"/>
    <w:p>
      <w:pPr>
        <w:pStyle w:val="Bibliography"/>
        <w:spacing w:line="360" w:lineRule="auto"/>
        <w:jc w:val="both"/>
      </w:pPr>
      <w:r>
        <w:t xml:space="preserve">Hutson, Matthew. 2018.</w:t>
      </w:r>
      <w:r>
        <w:t xml:space="preserve"> </w:t>
      </w:r>
      <w:r>
        <w:t xml:space="preserve">“Artificial Intelligence Faces Reproducibility Crisis.”</w:t>
      </w:r>
      <w:r>
        <w:t xml:space="preserve"> </w:t>
      </w:r>
      <w:r>
        <w:rPr>
          <w:i/>
          <w:iCs/>
        </w:rPr>
        <w:t xml:space="preserve">Science</w:t>
      </w:r>
      <w:r>
        <w:t xml:space="preserve"> </w:t>
      </w:r>
      <w:r>
        <w:t xml:space="preserve">359 (6377): 725–26.</w:t>
      </w:r>
      <w:r>
        <w:t xml:space="preserve"> </w:t>
      </w:r>
      <w:hyperlink ns5:id="rId241">
        <w:r>
          <w:rPr>
            <w:rStyle w:val="Hipervnculo"/>
          </w:rPr>
          <w:t xml:space="preserve">https://doi.org/10.1126/science.359.6377.725</w:t>
        </w:r>
      </w:hyperlink>
      <w:r>
        <w:t xml:space="preserve">.</w:t>
      </w:r>
    </w:p>
    <w:bookmarkEnd w:id="242"/>
    <w:bookmarkStart w:id="244" w:name="ref-karimi2022"/>
    <w:p>
      <w:pPr>
        <w:pStyle w:val="Bibliography"/>
        <w:spacing w:line="360" w:lineRule="auto"/>
        <w:jc w:val="both"/>
      </w:pPr>
      <w:r>
        <w:t xml:space="preserve">Karimi, Amir-Hossein, Gilles Barthe, Bernhard Schölkopf, and Isabel Valera. 2022.</w:t>
      </w:r>
      <w:r>
        <w:t xml:space="preserve"> </w:t>
      </w:r>
      <w:r>
        <w:t xml:space="preserve">“A Survey of Algorithmic Recourse: Contrastive Explanations and Consequential Recommendations.”</w:t>
      </w:r>
      <w:r>
        <w:t xml:space="preserve"> </w:t>
      </w:r>
      <w:r>
        <w:rPr>
          <w:i/>
          <w:iCs/>
        </w:rPr>
        <w:t xml:space="preserve">ACM Computing Surveys</w:t>
      </w:r>
      <w:r>
        <w:t xml:space="preserve"> </w:t>
      </w:r>
      <w:r>
        <w:t xml:space="preserve">55 (5): 1–29.</w:t>
      </w:r>
      <w:r>
        <w:t xml:space="preserve"> </w:t>
      </w:r>
      <w:hyperlink ns5:id="rId243">
        <w:r>
          <w:rPr>
            <w:rStyle w:val="Hipervnculo"/>
          </w:rPr>
          <w:t xml:space="preserve">https://doi.org/10.1145/3527848</w:t>
        </w:r>
      </w:hyperlink>
      <w:r>
        <w:t xml:space="preserve">.</w:t>
      </w:r>
    </w:p>
    <w:bookmarkEnd w:id="244"/>
    <w:bookmarkStart w:id="246" w:name="ref-kaur2020"/>
    <w:p>
      <w:pPr>
        <w:pStyle w:val="Bibliography"/>
        <w:spacing w:line="360" w:lineRule="auto"/>
        <w:jc w:val="both"/>
      </w:pPr>
      <w:r>
        <w:t xml:space="preserve">Kaur, Harmanpreet, Harsha Nori, Samuel Jenkins, Rich Caruana, Hanna Wallach, and Jennifer Wortman Vaughan. 2020.</w:t>
      </w:r>
      <w:r>
        <w:t xml:space="preserve"> </w:t>
      </w:r>
      <w:r>
        <w:t xml:space="preserve">“Interpreting Interpretability: Understanding Data Scientists’ Use of Interpretability Tools for Machine Learning.”</w:t>
      </w:r>
      <w:r>
        <w:t xml:space="preserve"> </w:t>
      </w:r>
      <w:r>
        <w:rPr>
          <w:i/>
          <w:iCs/>
        </w:rPr>
        <w:t xml:space="preserve">Proceedings of the 2020 CHI Conference on Human Factors in Computing Systems</w:t>
      </w:r>
      <w:r>
        <w:t xml:space="preserve">, 1–14.</w:t>
      </w:r>
      <w:r>
        <w:t xml:space="preserve"> </w:t>
      </w:r>
      <w:hyperlink ns5:id="rId245">
        <w:r>
          <w:rPr>
            <w:rStyle w:val="Hipervnculo"/>
          </w:rPr>
          <w:t xml:space="preserve">https://doi.org/10.1145/3313831.3376219</w:t>
        </w:r>
      </w:hyperlink>
      <w:r>
        <w:t xml:space="preserve">.</w:t>
      </w:r>
    </w:p>
    <w:bookmarkEnd w:id="246"/>
    <w:bookmarkStart w:id="248" w:name="ref-kohavi1996"/>
    <w:p>
      <w:pPr>
        <w:pStyle w:val="Bibliography"/>
        <w:spacing w:line="360" w:lineRule="auto"/>
        <w:jc w:val="both"/>
      </w:pPr>
      <w:r>
        <w:t xml:space="preserve">Kohavi, Ron, and Barry Becker. 1996.</w:t>
      </w:r>
      <w:r>
        <w:t xml:space="preserve"> </w:t>
      </w:r>
      <w:r>
        <w:rPr>
          <w:i/>
          <w:iCs/>
        </w:rPr>
        <w:t xml:space="preserve">Adult Data Set</w:t>
      </w:r>
      <w:r>
        <w:t xml:space="preserve">. UCI Machine Learning Repository.</w:t>
      </w:r>
      <w:r>
        <w:t xml:space="preserve"> </w:t>
      </w:r>
      <w:hyperlink ns5:id="rId247">
        <w:r>
          <w:rPr>
            <w:rStyle w:val="Hipervnculo"/>
          </w:rPr>
          <w:t xml:space="preserve">https://archive.ics.uci.edu/dataset/2/adult</w:t>
        </w:r>
      </w:hyperlink>
      <w:r>
        <w:t xml:space="preserve">.</w:t>
      </w:r>
    </w:p>
    <w:bookmarkEnd w:id="248"/>
    <w:bookmarkStart w:id="250" w:name="ref-koo2016"/>
    <w:p>
      <w:pPr>
        <w:pStyle w:val="Bibliography"/>
        <w:spacing w:line="360" w:lineRule="auto"/>
        <w:jc w:val="both"/>
      </w:pPr>
      <w:r>
        <w:t xml:space="preserve">Koo, Terry K., and Mae Y. Li. 2016.</w:t>
      </w:r>
      <w:r>
        <w:t xml:space="preserve"> </w:t>
      </w:r>
      <w:r>
        <w:t xml:space="preserve">“A Guideline of Selecting and Reporting Intraclass Correlation Coefficients for Reliability Research.”</w:t>
      </w:r>
      <w:r>
        <w:t xml:space="preserve"> </w:t>
      </w:r>
      <w:r>
        <w:rPr>
          <w:i/>
          <w:iCs/>
        </w:rPr>
        <w:t xml:space="preserve">Journal of Chiropractic Medicine</w:t>
      </w:r>
      <w:r>
        <w:t xml:space="preserve"> </w:t>
      </w:r>
      <w:r>
        <w:t xml:space="preserve">15 (2): 155–63.</w:t>
      </w:r>
      <w:r>
        <w:t xml:space="preserve"> </w:t>
      </w:r>
      <w:hyperlink ns5:id="rId249">
        <w:r>
          <w:rPr>
            <w:rStyle w:val="Hipervnculo"/>
          </w:rPr>
          <w:t xml:space="preserve">https://doi.org/10.1016/j.jcm.2016.02.012</w:t>
        </w:r>
      </w:hyperlink>
      <w:r>
        <w:t xml:space="preserve">.</w:t>
      </w:r>
    </w:p>
    <w:bookmarkEnd w:id="250"/>
    <w:bookmarkStart w:id="252" w:name="ref-lakens2013"/>
    <w:p>
      <w:pPr>
        <w:pStyle w:val="Bibliography"/>
        <w:spacing w:line="360" w:lineRule="auto"/>
        <w:jc w:val="both"/>
      </w:pPr>
      <w:r>
        <w:t xml:space="preserve">Lakens, Daniël. 2013.</w:t>
      </w:r>
      <w:r>
        <w:t xml:space="preserve"> </w:t>
      </w:r>
      <w:r>
        <w:t xml:space="preserve">“Calculating and Reporting Effect Sizes to Facilitate Cumulative Science: A Practical Primer for t-Tests and ANOVAs.”</w:t>
      </w:r>
      <w:r>
        <w:t xml:space="preserve"> </w:t>
      </w:r>
      <w:r>
        <w:rPr>
          <w:i/>
          <w:iCs/>
        </w:rPr>
        <w:t xml:space="preserve">Frontiers in Psychology</w:t>
      </w:r>
      <w:r>
        <w:t xml:space="preserve"> </w:t>
      </w:r>
      <w:r>
        <w:t xml:space="preserve">4: 863.</w:t>
      </w:r>
      <w:r>
        <w:t xml:space="preserve"> </w:t>
      </w:r>
      <w:hyperlink ns5:id="rId251">
        <w:r>
          <w:rPr>
            <w:rStyle w:val="Hipervnculo"/>
          </w:rPr>
          <w:t xml:space="preserve">https://doi.org/10.3389/fpsyg.2013.00863</w:t>
        </w:r>
      </w:hyperlink>
      <w:r>
        <w:t xml:space="preserve">.</w:t>
      </w:r>
    </w:p>
    <w:bookmarkEnd w:id="252"/>
    <w:bookmarkStart w:id="254" w:name="ref-langer2021"/>
    <w:p>
      <w:pPr>
        <w:pStyle w:val="Bibliography"/>
        <w:spacing w:line="360" w:lineRule="auto"/>
        <w:jc w:val="both"/>
      </w:pPr>
      <w:r>
        <w:t xml:space="preserve">Langer, Markus, Daniel Oster, Timo Speith, et al. 2021.</w:t>
      </w:r>
      <w:r>
        <w:t xml:space="preserve"> </w:t>
      </w:r>
      <w:r>
        <w:t xml:space="preserve">“What Do We Want from Explainable Artificial Intelligence (XAI)? A Stakeholder Perspective on XAI and a Conceptual Model Guiding Interdisciplinary XAI Research.”</w:t>
      </w:r>
      <w:r>
        <w:t xml:space="preserve"> </w:t>
      </w:r>
      <w:r>
        <w:rPr>
          <w:i/>
          <w:iCs/>
        </w:rPr>
        <w:t xml:space="preserve">Artificial Intelligence</w:t>
      </w:r>
      <w:r>
        <w:t xml:space="preserve"> </w:t>
      </w:r>
      <w:r>
        <w:t xml:space="preserve">296: 103473.</w:t>
      </w:r>
      <w:r>
        <w:t xml:space="preserve"> </w:t>
      </w:r>
      <w:hyperlink ns5:id="rId253">
        <w:r>
          <w:rPr>
            <w:rStyle w:val="Hipervnculo"/>
          </w:rPr>
          <w:t xml:space="preserve">https://doi.org/10.1016/j.artint.2021.103473</w:t>
        </w:r>
      </w:hyperlink>
      <w:r>
        <w:t xml:space="preserve">.</w:t>
      </w:r>
    </w:p>
    <w:bookmarkEnd w:id="254"/>
    <w:bookmarkStart w:id="256" w:name="ref-laugel2019"/>
    <w:p>
      <w:pPr>
        <w:pStyle w:val="Bibliography"/>
        <w:spacing w:line="360" w:lineRule="auto"/>
        <w:jc w:val="both"/>
      </w:pPr>
      <w:r>
        <w:t xml:space="preserve">Laugel, Thibault, Marie-Jeanne Lesot, Christophe Marsala, Xavier Renard, and Marcin Detyniecki. 2019.</w:t>
      </w:r>
      <w:r>
        <w:t xml:space="preserve"> </w:t>
      </w:r>
      <w:r>
        <w:t xml:space="preserve">“The Dangers of Post-Hoc Interpretability: Unjustified Counterfactual Explanations.”</w:t>
      </w:r>
      <w:r>
        <w:t xml:space="preserve"> </w:t>
      </w:r>
      <w:r>
        <w:rPr>
          <w:i/>
          <w:iCs/>
        </w:rPr>
        <w:t xml:space="preserve">Proceedings of the Twenty-Eighth International Joint Conference on Artificial Intelligence</w:t>
      </w:r>
      <w:r>
        <w:t xml:space="preserve">, 2801–7.</w:t>
      </w:r>
      <w:r>
        <w:t xml:space="preserve"> </w:t>
      </w:r>
      <w:hyperlink ns5:id="rId255">
        <w:r>
          <w:rPr>
            <w:rStyle w:val="Hipervnculo"/>
          </w:rPr>
          <w:t xml:space="preserve">https://doi.org/10.24963/ijcai.2019/388</w:t>
        </w:r>
      </w:hyperlink>
      <w:r>
        <w:t xml:space="preserve">.</w:t>
      </w:r>
    </w:p>
    <w:bookmarkEnd w:id="256"/>
    <w:bookmarkStart w:id="258" w:name="ref-linardatos2020"/>
    <w:p>
      <w:pPr>
        <w:pStyle w:val="Bibliography"/>
        <w:spacing w:line="360" w:lineRule="auto"/>
        <w:jc w:val="both"/>
      </w:pPr>
      <w:r>
        <w:t xml:space="preserve">Linardatos, Papastefanopoulos, P. 2020.</w:t>
      </w:r>
      <w:r>
        <w:t xml:space="preserve"> </w:t>
      </w:r>
      <w:r>
        <w:t xml:space="preserve">“Explainable AI: A Review of Machine Learning Interpretability Methods.”</w:t>
      </w:r>
      <w:r>
        <w:t xml:space="preserve"> </w:t>
      </w:r>
      <w:r>
        <w:rPr>
          <w:i/>
          <w:iCs/>
        </w:rPr>
        <w:t xml:space="preserve">Entropy, 23(1), 18</w:t>
      </w:r>
      <w:r>
        <w:t xml:space="preserve">, ahead of print.</w:t>
      </w:r>
      <w:r>
        <w:t xml:space="preserve"> </w:t>
      </w:r>
      <w:hyperlink ns5:id="rId257">
        <w:r>
          <w:rPr>
            <w:rStyle w:val="Hipervnculo"/>
          </w:rPr>
          <w:t xml:space="preserve">https://doi.org/10.3390/e23010018</w:t>
        </w:r>
      </w:hyperlink>
      <w:r>
        <w:t xml:space="preserve">.</w:t>
      </w:r>
    </w:p>
    <w:bookmarkEnd w:id="258"/>
    <w:bookmarkStart w:id="260" w:name="ref-lipton2018"/>
    <w:p>
      <w:pPr>
        <w:pStyle w:val="Bibliography"/>
        <w:spacing w:line="360" w:lineRule="auto"/>
        <w:jc w:val="both"/>
      </w:pPr>
      <w:r>
        <w:t xml:space="preserve">Lipton, Z. C. 2018.</w:t>
      </w:r>
      <w:r>
        <w:t xml:space="preserve"> </w:t>
      </w:r>
      <w:r>
        <w:t xml:space="preserve">“The Mythos of Model Interpretability.”</w:t>
      </w:r>
      <w:r>
        <w:t xml:space="preserve"> </w:t>
      </w:r>
      <w:r>
        <w:rPr>
          <w:i/>
          <w:iCs/>
        </w:rPr>
        <w:t xml:space="preserve">Queue, 16(3), 31–57</w:t>
      </w:r>
      <w:r>
        <w:t xml:space="preserve">, ahead of print.</w:t>
      </w:r>
      <w:r>
        <w:t xml:space="preserve"> </w:t>
      </w:r>
      <w:hyperlink ns5:id="rId259">
        <w:r>
          <w:rPr>
            <w:rStyle w:val="Hipervnculo"/>
          </w:rPr>
          <w:t xml:space="preserve">https://doi.org/10.1145/3236386.3241340</w:t>
        </w:r>
      </w:hyperlink>
      <w:r>
        <w:t xml:space="preserve">.</w:t>
      </w:r>
    </w:p>
    <w:bookmarkEnd w:id="260"/>
    <w:bookmarkStart w:id="262" w:name="ref-lundberg2017"/>
    <w:p>
      <w:pPr>
        <w:pStyle w:val="Bibliography"/>
        <w:spacing w:line="360" w:lineRule="auto"/>
        <w:jc w:val="both"/>
      </w:pPr>
      <w:r>
        <w:t xml:space="preserve">Lundberg, &amp; Lee, S. M. 2017.</w:t>
      </w:r>
      <w:r>
        <w:t xml:space="preserve"> </w:t>
      </w:r>
      <w:r>
        <w:t xml:space="preserve">“A Unified Approach to Interpreting Model Predictions.”</w:t>
      </w:r>
      <w:r>
        <w:t xml:space="preserve"> </w:t>
      </w:r>
      <w:r>
        <w:rPr>
          <w:i/>
          <w:iCs/>
        </w:rPr>
        <w:t xml:space="preserve">arXiv (Cornell University)</w:t>
      </w:r>
      <w:r>
        <w:t xml:space="preserve">, ahead of print.</w:t>
      </w:r>
      <w:r>
        <w:t xml:space="preserve"> </w:t>
      </w:r>
      <w:hyperlink ns5:id="rId261">
        <w:r>
          <w:rPr>
            <w:rStyle w:val="Hipervnculo"/>
          </w:rPr>
          <w:t xml:space="preserve">https://doi.org/10.48550/arxiv.1705.07874</w:t>
        </w:r>
      </w:hyperlink>
      <w:r>
        <w:t xml:space="preserve">.</w:t>
      </w:r>
    </w:p>
    <w:bookmarkEnd w:id="262"/>
    <w:bookmarkStart w:id="264" w:name="ref-malwade2023"/>
    <w:p>
      <w:pPr>
        <w:pStyle w:val="Bibliography"/>
        <w:spacing w:line="360" w:lineRule="auto"/>
        <w:jc w:val="both"/>
      </w:pPr>
      <w:r>
        <w:t xml:space="preserve">Malwade, &amp; Budhavale, S. S. 2023.</w:t>
      </w:r>
      <w:r>
        <w:t xml:space="preserve"> </w:t>
      </w:r>
      <w:r>
        <w:t xml:space="preserve">“Exploring Explainable AI: Current Trends, Challenges, Techniques and Its Applications.”</w:t>
      </w:r>
      <w:r>
        <w:t xml:space="preserve"> </w:t>
      </w:r>
      <w:r>
        <w:rPr>
          <w:i/>
          <w:iCs/>
        </w:rPr>
        <w:t xml:space="preserve">ICIMMI ’23: Proceedings of the 5th International Conference on Information Management &amp; Machine Intelligence Article No.: 85, 1–9</w:t>
      </w:r>
      <w:r>
        <w:t xml:space="preserve">, ahead of print.</w:t>
      </w:r>
      <w:r>
        <w:t xml:space="preserve"> </w:t>
      </w:r>
      <w:hyperlink ns5:id="rId263">
        <w:r>
          <w:rPr>
            <w:rStyle w:val="Hipervnculo"/>
          </w:rPr>
          <w:t xml:space="preserve">https://doi.org/10.1145/3647444.3647912</w:t>
        </w:r>
      </w:hyperlink>
      <w:r>
        <w:t xml:space="preserve">.</w:t>
      </w:r>
    </w:p>
    <w:bookmarkEnd w:id="264"/>
    <w:bookmarkStart w:id="266" w:name="ref-marcinkevics2023"/>
    <w:p>
      <w:pPr>
        <w:pStyle w:val="Bibliography"/>
        <w:spacing w:line="360" w:lineRule="auto"/>
        <w:jc w:val="both"/>
      </w:pPr>
      <w:r>
        <w:t xml:space="preserve">Marcinkevičs, &amp; Vogt, R. 2023.</w:t>
      </w:r>
      <w:r>
        <w:t xml:space="preserve"> </w:t>
      </w:r>
      <w:r>
        <w:t xml:space="preserve">“Interpretable and Explainable Machine Learning: A Methods‐centric Overview with Concrete Examples.”</w:t>
      </w:r>
      <w:r>
        <w:t xml:space="preserve"> </w:t>
      </w:r>
      <w:r>
        <w:rPr>
          <w:i/>
          <w:iCs/>
        </w:rPr>
        <w:t xml:space="preserve">Wiley Interdisciplinary Reviews Data Mining and Knowledge Discovery, 13(3)</w:t>
      </w:r>
      <w:r>
        <w:t xml:space="preserve">, ahead of print.</w:t>
      </w:r>
      <w:r>
        <w:t xml:space="preserve"> </w:t>
      </w:r>
      <w:hyperlink ns5:id="rId265">
        <w:r>
          <w:rPr>
            <w:rStyle w:val="Hipervnculo"/>
          </w:rPr>
          <w:t xml:space="preserve">https://doi.org/10.1002/widm.1493</w:t>
        </w:r>
      </w:hyperlink>
      <w:r>
        <w:t xml:space="preserve">.</w:t>
      </w:r>
    </w:p>
    <w:bookmarkEnd w:id="266"/>
    <w:bookmarkStart w:id="268" w:name="ref-miller2019"/>
    <w:p>
      <w:pPr>
        <w:pStyle w:val="Bibliography"/>
        <w:spacing w:line="360" w:lineRule="auto"/>
        <w:jc w:val="both"/>
      </w:pPr>
      <w:r>
        <w:t xml:space="preserve">Miller, Tim. 2019.</w:t>
      </w:r>
      <w:r>
        <w:t xml:space="preserve"> </w:t>
      </w:r>
      <w:r>
        <w:t xml:space="preserve">“Explanation in Artificial Intelligence: Insights from the Social Sciences.”</w:t>
      </w:r>
      <w:r>
        <w:t xml:space="preserve"> </w:t>
      </w:r>
      <w:r>
        <w:rPr>
          <w:i/>
          <w:iCs/>
        </w:rPr>
        <w:t xml:space="preserve">Artificial Intelligence</w:t>
      </w:r>
      <w:r>
        <w:t xml:space="preserve"> </w:t>
      </w:r>
      <w:r>
        <w:t xml:space="preserve">267: 1–38.</w:t>
      </w:r>
      <w:r>
        <w:t xml:space="preserve"> </w:t>
      </w:r>
      <w:hyperlink ns5:id="rId267">
        <w:r>
          <w:rPr>
            <w:rStyle w:val="Hipervnculo"/>
          </w:rPr>
          <w:t xml:space="preserve">https://doi.org/10.1016/j.artint.2018.07.007</w:t>
        </w:r>
      </w:hyperlink>
      <w:r>
        <w:t xml:space="preserve">.</w:t>
      </w:r>
    </w:p>
    <w:bookmarkEnd w:id="268"/>
    <w:bookmarkStart w:id="270" w:name="ref-mittelstadt2019"/>
    <w:p>
      <w:pPr>
        <w:pStyle w:val="Bibliography"/>
        <w:spacing w:line="360" w:lineRule="auto"/>
        <w:jc w:val="both"/>
      </w:pPr>
      <w:r>
        <w:t xml:space="preserve">Mittelstadt, Russell, B. 2019.</w:t>
      </w:r>
      <w:r>
        <w:t xml:space="preserve"> </w:t>
      </w:r>
      <w:r>
        <w:t xml:space="preserve">“Explaining Explanations in AI.”</w:t>
      </w:r>
      <w:r>
        <w:t xml:space="preserve"> </w:t>
      </w:r>
      <w:r>
        <w:rPr>
          <w:i/>
          <w:iCs/>
        </w:rPr>
        <w:t xml:space="preserve">FAT* ’19: Proceedings of the Conference on Fairness, Accountability, and Transparency, 279–288</w:t>
      </w:r>
      <w:r>
        <w:t xml:space="preserve">, ahead of print.</w:t>
      </w:r>
      <w:r>
        <w:t xml:space="preserve"> </w:t>
      </w:r>
      <w:hyperlink ns5:id="rId269">
        <w:r>
          <w:rPr>
            <w:rStyle w:val="Hipervnculo"/>
          </w:rPr>
          <w:t xml:space="preserve">https://doi.org/10.1145/3287560.3287574</w:t>
        </w:r>
      </w:hyperlink>
      <w:r>
        <w:t xml:space="preserve">.</w:t>
      </w:r>
    </w:p>
    <w:bookmarkEnd w:id="270"/>
    <w:bookmarkStart w:id="272" w:name="ref-mohseni2021"/>
    <w:p>
      <w:pPr>
        <w:pStyle w:val="Bibliography"/>
        <w:spacing w:line="360" w:lineRule="auto"/>
        <w:jc w:val="both"/>
      </w:pPr>
      <w:r>
        <w:t xml:space="preserve">Mohseni, Sina, Niloofar Zarei, and Eric D. Ragan. 2021.</w:t>
      </w:r>
      <w:r>
        <w:t xml:space="preserve"> </w:t>
      </w:r>
      <w:r>
        <w:t xml:space="preserve">“A Multidisciplinary Survey and Framework for Design and Evaluation of Explainable AI Systems.”</w:t>
      </w:r>
      <w:r>
        <w:t xml:space="preserve"> </w:t>
      </w:r>
      <w:r>
        <w:rPr>
          <w:i/>
          <w:iCs/>
        </w:rPr>
        <w:t xml:space="preserve">ACM Transactions on Interactive Intelligent Systems</w:t>
      </w:r>
      <w:r>
        <w:t xml:space="preserve"> </w:t>
      </w:r>
      <w:r>
        <w:t xml:space="preserve">11 (3-4): 1–45.</w:t>
      </w:r>
      <w:r>
        <w:t xml:space="preserve"> </w:t>
      </w:r>
      <w:hyperlink ns5:id="rId271">
        <w:r>
          <w:rPr>
            <w:rStyle w:val="Hipervnculo"/>
          </w:rPr>
          <w:t xml:space="preserve">https://doi.org/10.1145/3387166</w:t>
        </w:r>
      </w:hyperlink>
      <w:r>
        <w:t xml:space="preserve">.</w:t>
      </w:r>
    </w:p>
    <w:bookmarkEnd w:id="272"/>
    <w:bookmarkStart w:id="274" w:name="ref-mothilal2020"/>
    <w:p>
      <w:pPr>
        <w:pStyle w:val="Bibliography"/>
        <w:spacing w:line="360" w:lineRule="auto"/>
        <w:jc w:val="both"/>
      </w:pPr>
      <w:r>
        <w:t xml:space="preserve">Mothilal, Sharma, R. K. 2020.</w:t>
      </w:r>
      <w:r>
        <w:t xml:space="preserve"> </w:t>
      </w:r>
      <w:r>
        <w:t xml:space="preserve">“Explaining Machine Learning Classifiers Through Diverse Counterfactual Explanations.”</w:t>
      </w:r>
      <w:r>
        <w:t xml:space="preserve"> </w:t>
      </w:r>
      <w:r>
        <w:rPr>
          <w:i/>
          <w:iCs/>
        </w:rPr>
        <w:t xml:space="preserve">FAT* ’20: Proceedings of the 2020 Conference on Fairness, Accountability, and Transparency</w:t>
      </w:r>
      <w:r>
        <w:t xml:space="preserve">, ahead of print.</w:t>
      </w:r>
      <w:r>
        <w:t xml:space="preserve"> </w:t>
      </w:r>
      <w:hyperlink ns5:id="rId273">
        <w:r>
          <w:rPr>
            <w:rStyle w:val="Hipervnculo"/>
          </w:rPr>
          <w:t xml:space="preserve">https://doi.org/10.1145/3351095.3372850</w:t>
        </w:r>
      </w:hyperlink>
      <w:r>
        <w:t xml:space="preserve">.</w:t>
      </w:r>
    </w:p>
    <w:bookmarkEnd w:id="274"/>
    <w:bookmarkStart w:id="276" w:name="ref-murdoch2019"/>
    <w:p>
      <w:pPr>
        <w:pStyle w:val="Bibliography"/>
        <w:spacing w:line="360" w:lineRule="auto"/>
        <w:jc w:val="both"/>
      </w:pPr>
      <w:r>
        <w:t xml:space="preserve">Murdoch, Singh, W. J. 2019.</w:t>
      </w:r>
      <w:r>
        <w:t xml:space="preserve"> </w:t>
      </w:r>
      <w:r>
        <w:t xml:space="preserve">“Definitions, Methods, and Applications in Interpretable Machine Learning.”</w:t>
      </w:r>
      <w:r>
        <w:t xml:space="preserve"> </w:t>
      </w:r>
      <w:r>
        <w:rPr>
          <w:i/>
          <w:iCs/>
        </w:rPr>
        <w:t xml:space="preserve">Proceedings of the National Academy of Sciences, 116(44), 22071–22080</w:t>
      </w:r>
      <w:r>
        <w:t xml:space="preserve">, ahead of print.</w:t>
      </w:r>
      <w:r>
        <w:t xml:space="preserve"> </w:t>
      </w:r>
      <w:hyperlink ns5:id="rId275">
        <w:r>
          <w:rPr>
            <w:rStyle w:val="Hipervnculo"/>
          </w:rPr>
          <w:t xml:space="preserve">https://doi.org/10.1073/pnas.1900654116</w:t>
        </w:r>
      </w:hyperlink>
      <w:r>
        <w:t xml:space="preserve">.</w:t>
      </w:r>
    </w:p>
    <w:bookmarkEnd w:id="276"/>
    <w:bookmarkStart w:id="278" w:name="ref-nauta2023"/>
    <w:p>
      <w:pPr>
        <w:pStyle w:val="Bibliography"/>
        <w:spacing w:line="360" w:lineRule="auto"/>
        <w:jc w:val="both"/>
      </w:pPr>
      <w:r>
        <w:t xml:space="preserve">Nauta, Meike, Jan Trienes, Shreyasi Pathak, et al. 2023.</w:t>
      </w:r>
      <w:r>
        <w:t xml:space="preserve"> </w:t>
      </w:r>
      <w:r>
        <w:t xml:space="preserve">“From Anecdotal Evidence to Quantitative Evaluation Methods: A Systematic Review on Evaluating Explainable AI.”</w:t>
      </w:r>
      <w:r>
        <w:t xml:space="preserve"> </w:t>
      </w:r>
      <w:r>
        <w:rPr>
          <w:i/>
          <w:iCs/>
        </w:rPr>
        <w:t xml:space="preserve">ACM Computing Surveys</w:t>
      </w:r>
      <w:r>
        <w:t xml:space="preserve"> </w:t>
      </w:r>
      <w:r>
        <w:t xml:space="preserve">55 (13s): 1–42.</w:t>
      </w:r>
      <w:r>
        <w:t xml:space="preserve"> </w:t>
      </w:r>
      <w:hyperlink ns5:id="rId277">
        <w:r>
          <w:rPr>
            <w:rStyle w:val="Hipervnculo"/>
          </w:rPr>
          <w:t xml:space="preserve">https://doi.org/10.1145/3583558</w:t>
        </w:r>
      </w:hyperlink>
      <w:r>
        <w:t xml:space="preserve">.</w:t>
      </w:r>
    </w:p>
    <w:bookmarkEnd w:id="278"/>
    <w:bookmarkStart w:id="280" w:name="ref-nemenyi1963"/>
    <w:p>
      <w:pPr>
        <w:pStyle w:val="Bibliography"/>
        <w:spacing w:line="360" w:lineRule="auto"/>
        <w:jc w:val="both"/>
      </w:pPr>
      <w:r>
        <w:t xml:space="preserve">Nemenyi, Peter Bjorn. 1963.</w:t>
      </w:r>
      <w:r>
        <w:t xml:space="preserve"> </w:t>
      </w:r>
      <w:r>
        <w:t xml:space="preserve">“Distribution-Free Multiple Comparisons.”</w:t>
      </w:r>
      <w:r>
        <w:t xml:space="preserve"> </w:t>
      </w:r>
      <w:r>
        <w:t xml:space="preserve">PhD thesis, Princeton University.</w:t>
      </w:r>
      <w:r>
        <w:t xml:space="preserve"> </w:t>
      </w:r>
      <w:hyperlink ns5:id="rId279">
        <w:r>
          <w:rPr>
            <w:rStyle w:val="Hipervnculo"/>
          </w:rPr>
          <w:t xml:space="preserve">https://catalog.princeton.edu/catalog/2081365</w:t>
        </w:r>
      </w:hyperlink>
      <w:r>
        <w:t xml:space="preserve">.</w:t>
      </w:r>
    </w:p>
    <w:bookmarkEnd w:id="280"/>
    <w:bookmarkStart w:id="281" w:name="ref-nizam2023"/>
    <w:p>
      <w:pPr>
        <w:pStyle w:val="Bibliography"/>
        <w:spacing w:line="360" w:lineRule="auto"/>
        <w:jc w:val="both"/>
      </w:pPr>
      <w:r>
        <w:t xml:space="preserve">Nizam, T., and S. Zafar. 2023.</w:t>
      </w:r>
      <w:r>
        <w:t xml:space="preserve"> </w:t>
      </w:r>
      <w:r>
        <w:t xml:space="preserve">“Towards a Standardised Evaluation Approach for Diverse XAI Methods.”</w:t>
      </w:r>
      <w:r>
        <w:t xml:space="preserve"> </w:t>
      </w:r>
      <w:r>
        <w:rPr>
          <w:i/>
          <w:iCs/>
        </w:rPr>
        <w:t xml:space="preserve">Explainable Artificial Intelligence (XAI): Conception, Visualization and Assessment</w:t>
      </w:r>
      <w:r>
        <w:t xml:space="preserve">.</w:t>
      </w:r>
    </w:p>
    <w:bookmarkEnd w:id="281"/>
    <w:bookmarkStart w:id="283" w:name="ref-nussberger2022"/>
    <w:p>
      <w:pPr>
        <w:pStyle w:val="Bibliography"/>
        <w:spacing w:line="360" w:lineRule="auto"/>
        <w:jc w:val="both"/>
      </w:pPr>
      <w:r>
        <w:t xml:space="preserve">Nussberger, Luo, A. 2022.</w:t>
      </w:r>
      <w:r>
        <w:t xml:space="preserve"> </w:t>
      </w:r>
      <w:r>
        <w:t xml:space="preserve">“Public Attitudes Value Interpretability but Prioritize Accuracy in Artificial Intelligence.”</w:t>
      </w:r>
      <w:r>
        <w:t xml:space="preserve"> </w:t>
      </w:r>
      <w:r>
        <w:rPr>
          <w:i/>
          <w:iCs/>
        </w:rPr>
        <w:t xml:space="preserve">Nature Communications, 13(1)</w:t>
      </w:r>
      <w:r>
        <w:t xml:space="preserve">, ahead of print.</w:t>
      </w:r>
      <w:r>
        <w:t xml:space="preserve"> </w:t>
      </w:r>
      <w:hyperlink ns5:id="rId282">
        <w:r>
          <w:rPr>
            <w:rStyle w:val="Hipervnculo"/>
          </w:rPr>
          <w:t xml:space="preserve">https://doi.org/10.1038/s41467-022-33417-3</w:t>
        </w:r>
      </w:hyperlink>
      <w:r>
        <w:t xml:space="preserve">.</w:t>
      </w:r>
    </w:p>
    <w:bookmarkEnd w:id="283"/>
    <w:bookmarkStart w:id="285" w:name="ref-pawlicki2024"/>
    <w:p>
      <w:pPr>
        <w:pStyle w:val="Bibliography"/>
        <w:spacing w:line="360" w:lineRule="auto"/>
        <w:jc w:val="both"/>
      </w:pPr>
      <w:r>
        <w:t xml:space="preserve">Pawlicki, M., A. Pawlicka, F. Uccello, et al. 2024.</w:t>
      </w:r>
      <w:r>
        <w:t xml:space="preserve"> </w:t>
      </w:r>
      <w:r>
        <w:t xml:space="preserve">“Evaluating the Necessity of the Multiple Metrics for Assessing Explainable AI: A Critical Examination.”</w:t>
      </w:r>
      <w:r>
        <w:t xml:space="preserve"> </w:t>
      </w:r>
      <w:r>
        <w:rPr>
          <w:i/>
          <w:iCs/>
        </w:rPr>
        <w:t xml:space="preserve">Neurocomputing</w:t>
      </w:r>
      <w:r>
        <w:t xml:space="preserve"> </w:t>
      </w:r>
      <w:r>
        <w:t xml:space="preserve">602 (128282).</w:t>
      </w:r>
      <w:r>
        <w:t xml:space="preserve"> </w:t>
      </w:r>
      <w:hyperlink ns5:id="rId284">
        <w:r>
          <w:rPr>
            <w:rStyle w:val="Hipervnculo"/>
          </w:rPr>
          <w:t xml:space="preserve">https://doi.org/10.1016/j.neucom.2024.128282</w:t>
        </w:r>
      </w:hyperlink>
      <w:r>
        <w:t xml:space="preserve">.</w:t>
      </w:r>
    </w:p>
    <w:bookmarkEnd w:id="285"/>
    <w:bookmarkStart w:id="287" w:name="ref-poyiadzi2020"/>
    <w:p>
      <w:pPr>
        <w:pStyle w:val="Bibliography"/>
        <w:spacing w:line="360" w:lineRule="auto"/>
        <w:jc w:val="both"/>
      </w:pPr>
      <w:r>
        <w:t xml:space="preserve">Poyiadzi, Rafael, Kacper Sokol, Raul Santos-Rodriguez, Tijl De Bie, and Peter Flach. 2020.</w:t>
      </w:r>
      <w:r>
        <w:t xml:space="preserve"> </w:t>
      </w:r>
      <w:r>
        <w:t xml:space="preserve">“FACE: Feasible and Actionable Counterfactual Explanations.”</w:t>
      </w:r>
      <w:r>
        <w:t xml:space="preserve"> </w:t>
      </w:r>
      <w:r>
        <w:rPr>
          <w:i/>
          <w:iCs/>
        </w:rPr>
        <w:t xml:space="preserve">Proceedings of the AAAI/ACM Conference on AI, Ethics, and Society</w:t>
      </w:r>
      <w:r>
        <w:t xml:space="preserve">, 344–50.</w:t>
      </w:r>
      <w:r>
        <w:t xml:space="preserve"> </w:t>
      </w:r>
      <w:hyperlink ns5:id="rId286">
        <w:r>
          <w:rPr>
            <w:rStyle w:val="Hipervnculo"/>
          </w:rPr>
          <w:t xml:space="preserve">https://doi.org/10.1145/3375627.3375850</w:t>
        </w:r>
      </w:hyperlink>
      <w:r>
        <w:t xml:space="preserve">.</w:t>
      </w:r>
    </w:p>
    <w:bookmarkEnd w:id="287"/>
    <w:bookmarkStart w:id="289" w:name="ref-ribeiro2016"/>
    <w:p>
      <w:pPr>
        <w:pStyle w:val="Bibliography"/>
        <w:spacing w:line="360" w:lineRule="auto"/>
        <w:jc w:val="both"/>
      </w:pPr>
      <w:r>
        <w:t xml:space="preserve">Ribeiro, Singh, M. T. 2016.</w:t>
      </w:r>
      <w:r>
        <w:t xml:space="preserve"> </w:t>
      </w:r>
      <w:r>
        <w:t xml:space="preserve">“"Why Should i Trust You?": Explaining the Predictions of Any Classifier.”</w:t>
      </w:r>
      <w:r>
        <w:t xml:space="preserve"> </w:t>
      </w:r>
      <w:r>
        <w:rPr>
          <w:i/>
          <w:iCs/>
        </w:rPr>
        <w:t xml:space="preserve">arXiv Preprint arXiv:1602.04938</w:t>
      </w:r>
      <w:r>
        <w:t xml:space="preserve">, ahead of print.</w:t>
      </w:r>
      <w:r>
        <w:t xml:space="preserve"> </w:t>
      </w:r>
      <w:hyperlink ns5:id="rId288">
        <w:r>
          <w:rPr>
            <w:rStyle w:val="Hipervnculo"/>
          </w:rPr>
          <w:t xml:space="preserve">https://doi.org/10.1145/2939672.2939778</w:t>
        </w:r>
      </w:hyperlink>
      <w:r>
        <w:t xml:space="preserve">.</w:t>
      </w:r>
    </w:p>
    <w:bookmarkEnd w:id="289"/>
    <w:bookmarkStart w:id="291" w:name="ref-ribeiro2018"/>
    <w:p>
      <w:pPr>
        <w:pStyle w:val="Bibliography"/>
        <w:spacing w:line="360" w:lineRule="auto"/>
        <w:jc w:val="both"/>
      </w:pPr>
      <w:r>
        <w:t xml:space="preserve">Ribeiro, Singh, M. T. 2018.</w:t>
      </w:r>
      <w:r>
        <w:t xml:space="preserve"> </w:t>
      </w:r>
      <w:r>
        <w:t xml:space="preserve">“Anchors: High-Precision Model-Agnostic Explanations.”</w:t>
      </w:r>
      <w:r>
        <w:t xml:space="preserve"> </w:t>
      </w:r>
      <w:r>
        <w:rPr>
          <w:i/>
          <w:iCs/>
        </w:rPr>
        <w:t xml:space="preserve">Proceedings of the AAAI Conference on Artificial Intelligence, 32(1)</w:t>
      </w:r>
      <w:r>
        <w:t xml:space="preserve">, ahead of print.</w:t>
      </w:r>
      <w:r>
        <w:t xml:space="preserve"> </w:t>
      </w:r>
      <w:hyperlink ns5:id="rId290">
        <w:r>
          <w:rPr>
            <w:rStyle w:val="Hipervnculo"/>
          </w:rPr>
          <w:t xml:space="preserve">https://doi.org/10.1609/aaai.v32i1.11491</w:t>
        </w:r>
      </w:hyperlink>
      <w:r>
        <w:t xml:space="preserve">.</w:t>
      </w:r>
    </w:p>
    <w:bookmarkEnd w:id="291"/>
    <w:bookmarkStart w:id="293" w:name="ref-zhang2024"/>
    <w:p>
      <w:pPr>
        <w:pStyle w:val="Bibliography"/>
        <w:spacing w:line="360" w:lineRule="auto"/>
        <w:jc w:val="both"/>
      </w:pPr>
      <w:r>
        <w:t xml:space="preserve">Rong, Yao, Tobias Leemann, Thai-Trang Nguyen, et al. 2024.</w:t>
      </w:r>
      <w:r>
        <w:t xml:space="preserve"> </w:t>
      </w:r>
      <w:r>
        <w:t xml:space="preserve">“Towards Human-Centered Explainable AI: A Survey of User Studies for Model Explanations.”</w:t>
      </w:r>
      <w:r>
        <w:t xml:space="preserve"> </w:t>
      </w:r>
      <w:r>
        <w:rPr>
          <w:i/>
          <w:iCs/>
        </w:rPr>
        <w:t xml:space="preserve">IEEE Transactions on Pattern Analysis and Machine Intelligence</w:t>
      </w:r>
      <w:r>
        <w:t xml:space="preserve"> </w:t>
      </w:r>
      <w:r>
        <w:t xml:space="preserve">46 (4): 2104–22.</w:t>
      </w:r>
      <w:r>
        <w:t xml:space="preserve"> </w:t>
      </w:r>
      <w:hyperlink ns5:id="rId292">
        <w:r>
          <w:rPr>
            <w:rStyle w:val="Hipervnculo"/>
          </w:rPr>
          <w:t xml:space="preserve">https://doi.org/10.1109/TPAMI.2023.3331846</w:t>
        </w:r>
      </w:hyperlink>
      <w:r>
        <w:t xml:space="preserve">.</w:t>
      </w:r>
    </w:p>
    <w:bookmarkEnd w:id="293"/>
    <w:bookmarkStart w:id="295" w:name="ref-rudin2022"/>
    <w:p>
      <w:pPr>
        <w:pStyle w:val="Bibliography"/>
        <w:spacing w:line="360" w:lineRule="auto"/>
        <w:jc w:val="both"/>
      </w:pPr>
      <w:r>
        <w:t xml:space="preserve">Rudin, Chen, C. 2022.</w:t>
      </w:r>
      <w:r>
        <w:t xml:space="preserve"> </w:t>
      </w:r>
      <w:r>
        <w:t xml:space="preserve">“Interpretable Machine Learning: Fundamental Principles and 10 Grand Challenges.”</w:t>
      </w:r>
      <w:r>
        <w:t xml:space="preserve"> </w:t>
      </w:r>
      <w:r>
        <w:rPr>
          <w:i/>
          <w:iCs/>
        </w:rPr>
        <w:t xml:space="preserve">Statistics Surveys, 16(none)</w:t>
      </w:r>
      <w:r>
        <w:t xml:space="preserve">, ahead of print.</w:t>
      </w:r>
      <w:r>
        <w:t xml:space="preserve"> </w:t>
      </w:r>
      <w:hyperlink ns5:id="rId294">
        <w:r>
          <w:rPr>
            <w:rStyle w:val="Hipervnculo"/>
          </w:rPr>
          <w:t xml:space="preserve">https://doi.org/10.1214/21-ss133</w:t>
        </w:r>
      </w:hyperlink>
      <w:r>
        <w:t xml:space="preserve">.</w:t>
      </w:r>
    </w:p>
    <w:bookmarkEnd w:id="295"/>
    <w:bookmarkStart w:id="297" w:name="ref-saarela2024"/>
    <w:p>
      <w:pPr>
        <w:pStyle w:val="Bibliography"/>
        <w:spacing w:line="360" w:lineRule="auto"/>
        <w:jc w:val="both"/>
      </w:pPr>
      <w:r>
        <w:t xml:space="preserve">Saarela, &amp; Podgorelec, M. 2024.</w:t>
      </w:r>
      <w:r>
        <w:t xml:space="preserve"> </w:t>
      </w:r>
      <w:r>
        <w:t xml:space="preserve">“Recent Applications of Explainable AI (XAI): A Systematic Literature Review.”</w:t>
      </w:r>
      <w:r>
        <w:t xml:space="preserve"> </w:t>
      </w:r>
      <w:r>
        <w:rPr>
          <w:i/>
          <w:iCs/>
        </w:rPr>
        <w:t xml:space="preserve">Applied Sciences, 14(19), 8884</w:t>
      </w:r>
      <w:r>
        <w:t xml:space="preserve">, ahead of print.</w:t>
      </w:r>
      <w:r>
        <w:t xml:space="preserve"> </w:t>
      </w:r>
      <w:hyperlink ns5:id="rId296">
        <w:r>
          <w:rPr>
            <w:rStyle w:val="Hipervnculo"/>
          </w:rPr>
          <w:t xml:space="preserve">https://doi.org/10.3390/app14198884</w:t>
        </w:r>
      </w:hyperlink>
      <w:r>
        <w:t xml:space="preserve">.</w:t>
      </w:r>
    </w:p>
    <w:bookmarkEnd w:id="297"/>
    <w:bookmarkStart w:id="299" w:name="ref-samek2019"/>
    <w:p>
      <w:pPr>
        <w:pStyle w:val="Bibliography"/>
        <w:spacing w:line="360" w:lineRule="auto"/>
        <w:jc w:val="both"/>
      </w:pPr>
      <w:r>
        <w:t xml:space="preserve">Samek, Montavon, W. 2019.</w:t>
      </w:r>
      <w:r>
        <w:t xml:space="preserve"> </w:t>
      </w:r>
      <w:r>
        <w:t xml:space="preserve">“Explainable AI: Interpreting, Explaining and Visualizing Deep Learning.”</w:t>
      </w:r>
      <w:r>
        <w:t xml:space="preserve"> </w:t>
      </w:r>
      <w:r>
        <w:rPr>
          <w:i/>
          <w:iCs/>
        </w:rPr>
        <w:t xml:space="preserve">In Lecture Notes in Computer Science</w:t>
      </w:r>
      <w:r>
        <w:t xml:space="preserve">, ahead of print.</w:t>
      </w:r>
      <w:r>
        <w:t xml:space="preserve"> </w:t>
      </w:r>
      <w:hyperlink ns5:id="rId298">
        <w:r>
          <w:rPr>
            <w:rStyle w:val="Hipervnculo"/>
          </w:rPr>
          <w:t xml:space="preserve">https://doi.org/10.1007/978-3-030-28954-6</w:t>
        </w:r>
      </w:hyperlink>
      <w:r>
        <w:t xml:space="preserve">.</w:t>
      </w:r>
    </w:p>
    <w:bookmarkEnd w:id="299"/>
    <w:bookmarkStart w:id="301" w:name="ref-schwalbe2023"/>
    <w:p>
      <w:pPr>
        <w:pStyle w:val="Bibliography"/>
        <w:spacing w:line="360" w:lineRule="auto"/>
        <w:jc w:val="both"/>
      </w:pPr>
      <w:r>
        <w:t xml:space="preserve">Schwalbe, &amp; Finzel, G. 2023.</w:t>
      </w:r>
      <w:r>
        <w:t xml:space="preserve"> </w:t>
      </w:r>
      <w:r>
        <w:t xml:space="preserve">“A Comprehensive Taxonomy for Explainable Artificial Intelligence: A Systematic Survey of Surveys on Methods and Concepts.”</w:t>
      </w:r>
      <w:r>
        <w:t xml:space="preserve"> </w:t>
      </w:r>
      <w:r>
        <w:rPr>
          <w:i/>
          <w:iCs/>
        </w:rPr>
        <w:t xml:space="preserve">Data Mining and Knowledge Discovery, 38(5), 3043–3101</w:t>
      </w:r>
      <w:r>
        <w:t xml:space="preserve">, ahead of print.</w:t>
      </w:r>
      <w:r>
        <w:t xml:space="preserve"> </w:t>
      </w:r>
      <w:hyperlink ns5:id="rId300">
        <w:r>
          <w:rPr>
            <w:rStyle w:val="Hipervnculo"/>
          </w:rPr>
          <w:t xml:space="preserve">https://doi.org/10.1007/s10618-022-00867-8</w:t>
        </w:r>
      </w:hyperlink>
      <w:r>
        <w:t xml:space="preserve">.</w:t>
      </w:r>
    </w:p>
    <w:bookmarkEnd w:id="301"/>
    <w:bookmarkStart w:id="303" w:name="ref-slack2020"/>
    <w:p>
      <w:pPr>
        <w:pStyle w:val="Bibliography"/>
        <w:spacing w:line="360" w:lineRule="auto"/>
        <w:jc w:val="both"/>
      </w:pPr>
      <w:r>
        <w:t xml:space="preserve">Slack, Dylan, Sophie Hilgard, Emily Jia, Sameer Singh, and Himabindu Lakkaraju. 2020.</w:t>
      </w:r>
      <w:r>
        <w:t xml:space="preserve"> </w:t>
      </w:r>
      <w:r>
        <w:t xml:space="preserve">“Fooling LIME and SHAP: Adversarial Attacks on Post Hoc Explanation Methods.”</w:t>
      </w:r>
      <w:r>
        <w:t xml:space="preserve"> </w:t>
      </w:r>
      <w:r>
        <w:rPr>
          <w:i/>
          <w:iCs/>
        </w:rPr>
        <w:t xml:space="preserve">Proceedings of the AAAI/ACM Conference on AI, Ethics, and Society</w:t>
      </w:r>
      <w:r>
        <w:t xml:space="preserve">, 180–86.</w:t>
      </w:r>
      <w:r>
        <w:t xml:space="preserve"> </w:t>
      </w:r>
      <w:hyperlink ns5:id="rId302">
        <w:r>
          <w:rPr>
            <w:rStyle w:val="Hipervnculo"/>
          </w:rPr>
          <w:t xml:space="preserve">https://doi.org/10.1145/3375627.3375830</w:t>
        </w:r>
      </w:hyperlink>
      <w:r>
        <w:t xml:space="preserve">.</w:t>
      </w:r>
    </w:p>
    <w:bookmarkEnd w:id="303"/>
    <w:bookmarkStart w:id="305" w:name="ref-sokol2020"/>
    <w:p>
      <w:pPr>
        <w:pStyle w:val="Bibliography"/>
        <w:spacing w:line="360" w:lineRule="auto"/>
        <w:jc w:val="both"/>
      </w:pPr>
      <w:r>
        <w:t xml:space="preserve">Sokol, Kacper, and Peter Flach. 2020.</w:t>
      </w:r>
      <w:r>
        <w:t xml:space="preserve"> </w:t>
      </w:r>
      <w:r>
        <w:t xml:space="preserve">“One Explanation Does Not Fit All: The Promise of Interactive Explanations for Machine Learning Transparency.”</w:t>
      </w:r>
      <w:r>
        <w:t xml:space="preserve"> </w:t>
      </w:r>
      <w:r>
        <w:rPr>
          <w:i/>
          <w:iCs/>
        </w:rPr>
        <w:t xml:space="preserve">KI - K</w:t>
      </w:r>
      <w:r>
        <w:rPr>
          <w:i/>
          <w:iCs/>
        </w:rPr>
        <w:t xml:space="preserve">ü</w:t>
      </w:r>
      <w:r>
        <w:rPr>
          <w:i/>
          <w:iCs/>
        </w:rPr>
        <w:t xml:space="preserve">nstliche Intelligenz</w:t>
      </w:r>
      <w:r>
        <w:t xml:space="preserve"> </w:t>
      </w:r>
      <w:r>
        <w:t xml:space="preserve">34 (2): 235–50.</w:t>
      </w:r>
      <w:r>
        <w:t xml:space="preserve"> </w:t>
      </w:r>
      <w:hyperlink ns5:id="rId304">
        <w:r>
          <w:rPr>
            <w:rStyle w:val="Hipervnculo"/>
          </w:rPr>
          <w:t xml:space="preserve">https://doi.org/10.1007/s13218-020-00637-y</w:t>
        </w:r>
      </w:hyperlink>
      <w:r>
        <w:t xml:space="preserve">.</w:t>
      </w:r>
    </w:p>
    <w:bookmarkEnd w:id="305"/>
    <w:bookmarkStart w:id="307" w:name="ref-tjoa2020"/>
    <w:p>
      <w:pPr>
        <w:pStyle w:val="Bibliography"/>
        <w:spacing w:line="360" w:lineRule="auto"/>
        <w:jc w:val="both"/>
      </w:pPr>
      <w:r>
        <w:t xml:space="preserve">Tjoa, Erico, and Cuntai Guan. 2021.</w:t>
      </w:r>
      <w:r>
        <w:t xml:space="preserve"> </w:t>
      </w:r>
      <w:r>
        <w:t xml:space="preserve">“A Survey on Explainable Artificial Intelligence (XAI): Toward Medical XAI.”</w:t>
      </w:r>
      <w:r>
        <w:t xml:space="preserve"> </w:t>
      </w:r>
      <w:r>
        <w:rPr>
          <w:i/>
          <w:iCs/>
        </w:rPr>
        <w:t xml:space="preserve">IEEE Transactions on Neural Networks and Learning Systems</w:t>
      </w:r>
      <w:r>
        <w:t xml:space="preserve"> </w:t>
      </w:r>
      <w:r>
        <w:t xml:space="preserve">32 (11): 4793–813.</w:t>
      </w:r>
      <w:r>
        <w:t xml:space="preserve"> </w:t>
      </w:r>
      <w:hyperlink ns5:id="rId306">
        <w:r>
          <w:rPr>
            <w:rStyle w:val="Hipervnculo"/>
          </w:rPr>
          <w:t xml:space="preserve">https://doi.org/10.1109/TNNLS.2020.3027314</w:t>
        </w:r>
      </w:hyperlink>
      <w:r>
        <w:t xml:space="preserve">.</w:t>
      </w:r>
    </w:p>
    <w:bookmarkEnd w:id="307"/>
    <w:bookmarkStart w:id="309" w:name="ref-tomsett2020"/>
    <w:p>
      <w:pPr>
        <w:pStyle w:val="Bibliography"/>
        <w:spacing w:line="360" w:lineRule="auto"/>
        <w:jc w:val="both"/>
      </w:pPr>
      <w:r>
        <w:t xml:space="preserve">Tomsett, Richard, Dan Harborne, Supriyo Chakraborty, Prudhvi Gurram, and Alun Preece. 2020.</w:t>
      </w:r>
      <w:r>
        <w:t xml:space="preserve"> </w:t>
      </w:r>
      <w:r>
        <w:t xml:space="preserve">“Sanity Checks for Saliency Metrics.”</w:t>
      </w:r>
      <w:r>
        <w:t xml:space="preserve"> </w:t>
      </w:r>
      <w:r>
        <w:rPr>
          <w:i/>
          <w:iCs/>
        </w:rPr>
        <w:t xml:space="preserve">Proceedings of the AAAI Conference on Artificial Intelligence</w:t>
      </w:r>
      <w:r>
        <w:t xml:space="preserve"> </w:t>
      </w:r>
      <w:r>
        <w:t xml:space="preserve">34 (04): 6021–29.</w:t>
      </w:r>
      <w:r>
        <w:t xml:space="preserve"> </w:t>
      </w:r>
      <w:hyperlink ns5:id="rId308">
        <w:r>
          <w:rPr>
            <w:rStyle w:val="Hipervnculo"/>
          </w:rPr>
          <w:t xml:space="preserve">https://doi.org/10.1609/aaai.v34i04.6064</w:t>
        </w:r>
      </w:hyperlink>
      <w:r>
        <w:t xml:space="preserve">.</w:t>
      </w:r>
    </w:p>
    <w:bookmarkEnd w:id="309"/>
    <w:bookmarkStart w:id="311" w:name="ref-tripathy2024"/>
    <w:p>
      <w:pPr>
        <w:pStyle w:val="Bibliography"/>
        <w:spacing w:line="360" w:lineRule="auto"/>
        <w:jc w:val="both"/>
      </w:pPr>
      <w:r>
        <w:t xml:space="preserve">Tripathy, &amp; Seetha, B. K. 2024.</w:t>
      </w:r>
      <w:r>
        <w:t xml:space="preserve"> </w:t>
      </w:r>
      <w:r>
        <w:t xml:space="preserve">“Explainable, Interpretable, and Transparent AI Systems.”</w:t>
      </w:r>
      <w:r>
        <w:t xml:space="preserve"> </w:t>
      </w:r>
      <w:r>
        <w:rPr>
          <w:i/>
          <w:iCs/>
        </w:rPr>
        <w:t xml:space="preserve">In CRC Press eBooks</w:t>
      </w:r>
      <w:r>
        <w:t xml:space="preserve">, ahead of print.</w:t>
      </w:r>
      <w:r>
        <w:t xml:space="preserve"> </w:t>
      </w:r>
      <w:hyperlink ns5:id="rId310">
        <w:r>
          <w:rPr>
            <w:rStyle w:val="Hipervnculo"/>
          </w:rPr>
          <w:t xml:space="preserve">https://doi.org/10.1201/9781003442509</w:t>
        </w:r>
      </w:hyperlink>
      <w:r>
        <w:t xml:space="preserve">.</w:t>
      </w:r>
    </w:p>
    <w:bookmarkEnd w:id="311"/>
    <w:bookmarkStart w:id="313" w:name="ref-vandenbroeck2022"/>
    <w:p>
      <w:pPr>
        <w:pStyle w:val="Bibliography"/>
        <w:spacing w:line="360" w:lineRule="auto"/>
        <w:jc w:val="both"/>
      </w:pPr>
      <w:r>
        <w:t xml:space="preserve">Van den Broeck, Guy, Anton Lykov, Maximilian Schleich, and Dan Suciu. 2022.</w:t>
      </w:r>
      <w:r>
        <w:t xml:space="preserve"> </w:t>
      </w:r>
      <w:r>
        <w:t xml:space="preserve">“On the Tractability of SHAP Explanations.”</w:t>
      </w:r>
      <w:r>
        <w:t xml:space="preserve"> </w:t>
      </w:r>
      <w:r>
        <w:rPr>
          <w:i/>
          <w:iCs/>
        </w:rPr>
        <w:t xml:space="preserve">Journal of Artificial Intelligence Research</w:t>
      </w:r>
      <w:r>
        <w:t xml:space="preserve"> </w:t>
      </w:r>
      <w:r>
        <w:t xml:space="preserve">74: 851–86.</w:t>
      </w:r>
      <w:r>
        <w:t xml:space="preserve"> </w:t>
      </w:r>
      <w:hyperlink ns5:id="rId312">
        <w:r>
          <w:rPr>
            <w:rStyle w:val="Hipervnculo"/>
          </w:rPr>
          <w:t xml:space="preserve">https://doi.org/10.1613/jair.1.13283</w:t>
        </w:r>
      </w:hyperlink>
      <w:r>
        <w:t xml:space="preserve">.</w:t>
      </w:r>
    </w:p>
    <w:bookmarkEnd w:id="313"/>
    <w:bookmarkStart w:id="315" w:name="ref-voigt2017"/>
    <w:p>
      <w:pPr>
        <w:pStyle w:val="Bibliography"/>
        <w:spacing w:line="360" w:lineRule="auto"/>
        <w:jc w:val="both"/>
      </w:pPr>
      <w:r>
        <w:t xml:space="preserve">Voigt, Paul, and Axel von dem Bussche. 2017.</w:t>
      </w:r>
      <w:r>
        <w:t xml:space="preserve"> </w:t>
      </w:r>
      <w:r>
        <w:rPr>
          <w:i/>
          <w:iCs/>
        </w:rPr>
        <w:t xml:space="preserve">The EU General Data Protection Regulation (GDPR): A Practical Guide</w:t>
      </w:r>
      <w:r>
        <w:t xml:space="preserve">. Springer.</w:t>
      </w:r>
      <w:r>
        <w:t xml:space="preserve"> </w:t>
      </w:r>
      <w:hyperlink ns5:id="rId314">
        <w:r>
          <w:rPr>
            <w:rStyle w:val="Hipervnculo"/>
          </w:rPr>
          <w:t xml:space="preserve">https://doi.org/10.1007/978-3-319-57959-7</w:t>
        </w:r>
      </w:hyperlink>
      <w:r>
        <w:t xml:space="preserve">.</w:t>
      </w:r>
    </w:p>
    <w:bookmarkEnd w:id="315"/>
    <w:bookmarkStart w:id="317" w:name="ref-wachter2017"/>
    <w:p>
      <w:pPr>
        <w:pStyle w:val="Bibliography"/>
        <w:spacing w:line="360" w:lineRule="auto"/>
        <w:jc w:val="both"/>
      </w:pPr>
      <w:r>
        <w:t xml:space="preserve">Wachter, Mittelstadt, S. 2017.</w:t>
      </w:r>
      <w:r>
        <w:t xml:space="preserve"> </w:t>
      </w:r>
      <w:r>
        <w:t xml:space="preserve">“Counterfactual Explanations Without Opening the Black Box: Automated Decisions and the GDPR.”</w:t>
      </w:r>
      <w:r>
        <w:t xml:space="preserve"> </w:t>
      </w:r>
      <w:r>
        <w:rPr>
          <w:i/>
          <w:iCs/>
        </w:rPr>
        <w:t xml:space="preserve">SSRN Electronic Journal</w:t>
      </w:r>
      <w:r>
        <w:t xml:space="preserve">, ahead of print.</w:t>
      </w:r>
      <w:r>
        <w:t xml:space="preserve"> </w:t>
      </w:r>
      <w:hyperlink ns5:id="rId316">
        <w:r>
          <w:rPr>
            <w:rStyle w:val="Hipervnculo"/>
          </w:rPr>
          <w:t xml:space="preserve">https://doi.org/10.2139/ssrn.3063289</w:t>
        </w:r>
      </w:hyperlink>
      <w:r>
        <w:t xml:space="preserve">.</w:t>
      </w:r>
    </w:p>
    <w:bookmarkEnd w:id="317"/>
    <w:bookmarkStart w:id="319" w:name="ref-wilcoxon1945"/>
    <w:p>
      <w:pPr>
        <w:pStyle w:val="Bibliography"/>
        <w:spacing w:line="360" w:lineRule="auto"/>
        <w:jc w:val="both"/>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ns5:id="rId318">
        <w:r>
          <w:rPr>
            <w:rStyle w:val="Hipervnculo"/>
          </w:rPr>
          <w:t xml:space="preserve">https://doi.org/10.2307/3001968</w:t>
        </w:r>
      </w:hyperlink>
      <w:r>
        <w:t xml:space="preserve">.</w:t>
      </w:r>
    </w:p>
    <w:bookmarkEnd w:id="319"/>
    <w:bookmarkStart w:id="321" w:name="ref-zheng2025"/>
    <w:p>
      <w:pPr>
        <w:pStyle w:val="Bibliography"/>
        <w:spacing w:line="360" w:lineRule="auto"/>
        <w:jc w:val="both"/>
      </w:pPr>
      <w:r>
        <w:t xml:space="preserve">Zheng, X., F. Shirani, Z. Chen, et al. 2025.</w:t>
      </w:r>
      <w:r>
        <w:t xml:space="preserve"> </w:t>
      </w:r>
      <w:r>
        <w:t xml:space="preserve">“F-FIDELITY: A Robust Framework for Faithfulness Evaluation of Explainable AI.”</w:t>
      </w:r>
      <w:r>
        <w:t xml:space="preserve"> </w:t>
      </w:r>
      <w:r>
        <w:rPr>
          <w:i/>
          <w:iCs/>
        </w:rPr>
        <w:t xml:space="preserve">ICLR 2025 Proceedings</w:t>
      </w:r>
      <w:r>
        <w:t xml:space="preserve">.</w:t>
      </w:r>
      <w:r>
        <w:t xml:space="preserve"> </w:t>
      </w:r>
      <w:hyperlink ns5:id="rId320">
        <w:r>
          <w:rPr>
            <w:rStyle w:val="Hipervnculo"/>
          </w:rPr>
          <w:t xml:space="preserve">https://trustai4s-lab.github.io/ffidelity</w:t>
        </w:r>
      </w:hyperlink>
      <w:r>
        <w:t xml:space="preserve">.</w:t>
      </w:r>
    </w:p>
    <w:bookmarkEnd w:id="321"/>
    <w:bookmarkEnd w:id="322"/>
    <w:bookmarkEnd w:id="323"/>
    <w:bookmarkStart w:id="347" w:name="apéndices"/>
    <w:p>
      <w:pPr>
        <w:pStyle w:val="Ttulo1"/>
        <w:spacing w:line="360" w:lineRule="auto"/>
        <w:jc w:val="both"/>
      </w:pPr>
      <w:r>
        <w:t xml:space="preserve">Apéndices</w:t>
      </w:r>
    </w:p>
    <w:bookmarkStart w:id="325" w:name="Xee799cefc3e174a13188f506c487e1fa0a452e0"/>
    <w:p>
      <w:pPr>
        <w:pStyle w:val="Ttulo2"/>
        <w:spacing w:line="360" w:lineRule="auto"/>
        <w:jc w:val="both"/>
      </w:pPr>
      <w:r>
        <w:t xml:space="preserve">Apéndice A: Corpus de datos, partición y preprocesamiento</w:t>
      </w:r>
    </w:p>
    <w:p>
      <w:pPr>
        <w:pStyle w:val="FirstParagraph"/>
        <w:spacing w:line="360" w:lineRule="auto"/>
        <w:jc w:val="both"/>
      </w:pPr>
      <w:r>
        <w:t xml:space="preserve">El conjunto Adult Income se carga desde</w:t>
      </w:r>
      <w:r>
        <w:t xml:space="preserve"> </w:t>
      </w:r>
      <w:r>
        <w:rPr>
          <w:rStyle w:val="VerbatimChar"/>
        </w:rPr>
        <w:t xml:space="preserve">src/data_loading/adult.py</w:t>
      </w:r>
      <w:r>
        <w:t xml:space="preserve">, usando</w:t>
      </w:r>
      <w:r>
        <w:t xml:space="preserve"> </w:t>
      </w:r>
      <w:r>
        <w:t xml:space="preserve">OpenML como fuente primaria y UCI como respaldo. La versión experimental usada</w:t>
      </w:r>
      <w:r>
        <w:t xml:space="preserve"> </w:t>
      </w:r>
      <w:r>
        <w:t xml:space="preserve">en la tesis contiene 48,842 instancias, 14 características originales y una</w:t>
      </w:r>
      <w:r>
        <w:t xml:space="preserve"> </w:t>
      </w:r>
      <w:r>
        <w:t xml:space="preserve">variable binaria de predicción (</w:t>
      </w:r>
      <w:r>
        <w:rPr>
          <w:rStyle w:val="VerbatimChar"/>
        </w:rPr>
        <w:t xml:space="preserve">&gt;50K</w:t>
      </w:r>
      <w:r>
        <w:t xml:space="preserve"> </w:t>
      </w:r>
      <w:r>
        <w:t xml:space="preserve">frente a</w:t>
      </w:r>
      <w:r>
        <w:t xml:space="preserve"> </w:t>
      </w:r>
      <w:r>
        <w:rPr>
          <w:rStyle w:val="VerbatimChar"/>
        </w:rPr>
        <w:t xml:space="preserve">&lt;=50K</w:t>
      </w:r>
      <w:r>
        <w:t xml:space="preserve">). La partición canónica</w:t>
      </w:r>
      <w:r>
        <w:t xml:space="preserve"> </w:t>
      </w:r>
      <w:r>
        <w:t xml:space="preserve">usa</w:t>
      </w:r>
      <w:r>
        <w:t xml:space="preserve"> </w:t>
      </w:r>
      <w:r>
        <w:rPr>
          <w:rStyle w:val="VerbatimChar"/>
        </w:rPr>
        <w:t xml:space="preserve">test_size = 0.20</w:t>
      </w:r>
      <w:r>
        <w:t xml:space="preserve">, estratificación por etiqueta y</w:t>
      </w:r>
      <w:r>
        <w:t xml:space="preserve"> </w:t>
      </w:r>
      <w:r>
        <w:rPr>
          <w:rStyle w:val="VerbatimChar"/>
        </w:rPr>
        <w:t xml:space="preserve">random_state = 42</w:t>
      </w:r>
      <w:r>
        <w:t xml:space="preserve">,</w:t>
      </w:r>
      <w:r>
        <w:t xml:space="preserve"> </w:t>
      </w:r>
      <w:r>
        <w:t xml:space="preserve">produciendo 39,032 instancias de entrenamiento y 9,758 de prueba.</w:t>
      </w:r>
    </w:p>
    <w:tbl>
      <w:tblPr>
        <w:tblStyle w:val="Table"/>
        <w:tblW w:type="pct" w:w="5000"/>
        <w:tblLayout w:type="fixed"/>
        <w:tblLook w:firstRow="0" w:lastRow="0" w:firstColumn="0" w:lastColumn="0" w:noHBand="0" w:noVBand="0" w:val="0000"/>
      </w:tblPr>
      <w:tblGrid>
        <w:gridCol w:w="7920"/>
      </w:tblGrid>
      <w:tr>
        <w:tc>
          <w:tcPr/>
          <w:bookmarkStart w:id="324" w:name="tbl-appendix-dataset-schema"/>
          <w:p>
            <w:pPr>
              <w:jc w:val="both"/>
              <w:spacing w:line="360" w:lineRule="auto"/>
            </w:pPr>
            <w:pPr>
              <w:jc w:val="left"/>
              <w:spacing w:before="200"/>
              <w:pStyle w:val="ImageCaption"/>
            </w:pPr>
            <w:r>
              <w:t xml:space="preserve">Table 7.5: Esquema resumido del conjunto Adult y transformaciones de preprocesamiento.</w:t>
            </w: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Grupo</w:t>
                  </w:r>
                </w:p>
              </w:tc>
              <w:tc>
                <w:tcPr/>
                <w:p>
                  <w:pPr>
                    <w:pStyle w:val="Compact"/>
                    <w:jc w:val="both"/>
                    <w:jc w:val="center"/>
                    <w:spacing w:line="360" w:lineRule="auto"/>
                  </w:pPr>
                  <w:r>
                    <w:t xml:space="preserve">Características</w:t>
                  </w:r>
                </w:p>
              </w:tc>
              <w:tc>
                <w:tcPr/>
                <w:p>
                  <w:pPr>
                    <w:pStyle w:val="Compact"/>
                    <w:jc w:val="both"/>
                    <w:jc w:val="center"/>
                    <w:spacing w:line="360" w:lineRule="auto"/>
                  </w:pPr>
                  <w:r>
                    <w:t xml:space="preserve">Tratamiento</w:t>
                  </w:r>
                </w:p>
              </w:tc>
            </w:tr>
            <w:tr>
              <w:tc>
                <w:tcPr/>
                <w:p>
                  <w:pPr>
                    <w:pStyle w:val="Compact"/>
                    <w:jc w:val="both"/>
                    <w:jc w:val="center"/>
                    <w:spacing w:line="360" w:lineRule="auto"/>
                  </w:pPr>
                  <w:r>
                    <w:t xml:space="preserve">Numéricas</w:t>
                  </w:r>
                </w:p>
              </w:tc>
              <w:tc>
                <w:tcPr/>
                <w:p>
                  <w:pPr>
                    <w:pStyle w:val="Compact"/>
                    <w:jc w:val="both"/>
                    <w:jc w:val="center"/>
                    <w:spacing w:line="360" w:lineRule="auto"/>
                  </w:pPr>
                  <w:r>
                    <w:rPr>
                      <w:rStyle w:val="VerbatimChar"/>
                    </w:rPr>
                    <w:t xml:space="preserve">age</w:t>
                  </w:r>
                  <w:r>
                    <w:t xml:space="preserve">,</w:t>
                  </w:r>
                  <w:r>
                    <w:t xml:space="preserve"> </w:t>
                  </w:r>
                  <w:r>
                    <w:rPr>
                      <w:rStyle w:val="VerbatimChar"/>
                    </w:rPr>
                    <w:t xml:space="preserve">education-num</w:t>
                  </w:r>
                  <w:r>
                    <w:t xml:space="preserve">,</w:t>
                  </w:r>
                  <w:r>
                    <w:t xml:space="preserve"> </w:t>
                  </w:r>
                  <w:r>
                    <w:rPr>
                      <w:rStyle w:val="VerbatimChar"/>
                    </w:rPr>
                    <w:t xml:space="preserve">capital-gain</w:t>
                  </w:r>
                  <w:r>
                    <w:t xml:space="preserve">,</w:t>
                  </w:r>
                  <w:r>
                    <w:t xml:space="preserve"> </w:t>
                  </w:r>
                  <w:r>
                    <w:rPr>
                      <w:rStyle w:val="VerbatimChar"/>
                    </w:rPr>
                    <w:t xml:space="preserve">capital-loss</w:t>
                  </w:r>
                  <w:r>
                    <w:t xml:space="preserve">,</w:t>
                  </w:r>
                  <w:r>
                    <w:t xml:space="preserve"> </w:t>
                  </w:r>
                  <w:r>
                    <w:rPr>
                      <w:rStyle w:val="VerbatimChar"/>
                    </w:rPr>
                    <w:t xml:space="preserve">hours-per-week</w:t>
                  </w:r>
                  <w:r>
                    <w:t xml:space="preserve">,</w:t>
                  </w:r>
                  <w:r>
                    <w:t xml:space="preserve"> </w:t>
                  </w:r>
                  <w:r>
                    <w:rPr>
                      <w:rStyle w:val="VerbatimChar"/>
                    </w:rPr>
                    <w:t xml:space="preserve">fnlwgt</w:t>
                  </w:r>
                </w:p>
              </w:tc>
              <w:tc>
                <w:tcPr/>
                <w:p>
                  <w:pPr>
                    <w:pStyle w:val="Compact"/>
                    <w:jc w:val="both"/>
                    <w:jc w:val="center"/>
                    <w:spacing w:line="360" w:lineRule="auto"/>
                  </w:pPr>
                  <w:r>
                    <w:t xml:space="preserve">Estandarización con</w:t>
                  </w:r>
                  <w:r>
                    <w:t xml:space="preserve"> </w:t>
                  </w:r>
                  <w:r>
                    <w:rPr>
                      <w:rStyle w:val="VerbatimChar"/>
                    </w:rPr>
                    <w:t xml:space="preserve">StandardScaler</w:t>
                  </w:r>
                  <w:r>
                    <w:t xml:space="preserve"> </w:t>
                  </w:r>
                  <w:r>
                    <w:t xml:space="preserve">ajustado solo en entrenamiento</w:t>
                  </w:r>
                </w:p>
              </w:tc>
            </w:tr>
            <w:tr>
              <w:tc>
                <w:tcPr/>
                <w:p>
                  <w:pPr>
                    <w:pStyle w:val="Compact"/>
                    <w:jc w:val="both"/>
                    <w:jc w:val="center"/>
                    <w:spacing w:line="360" w:lineRule="auto"/>
                  </w:pPr>
                  <w:r>
                    <w:t xml:space="preserve">Categóricas</w:t>
                  </w:r>
                </w:p>
              </w:tc>
              <w:tc>
                <w:tcPr/>
                <w:p>
                  <w:pPr>
                    <w:pStyle w:val="Compact"/>
                    <w:jc w:val="both"/>
                    <w:jc w:val="center"/>
                    <w:spacing w:line="360" w:lineRule="auto"/>
                  </w:pPr>
                  <w:r>
                    <w:rPr>
                      <w:rStyle w:val="VerbatimChar"/>
                    </w:rPr>
                    <w:t xml:space="preserve">workclass</w:t>
                  </w:r>
                  <w:r>
                    <w:t xml:space="preserve">,</w:t>
                  </w:r>
                  <w:r>
                    <w:t xml:space="preserve"> </w:t>
                  </w:r>
                  <w:r>
                    <w:rPr>
                      <w:rStyle w:val="VerbatimChar"/>
                    </w:rPr>
                    <w:t xml:space="preserve">education</w:t>
                  </w:r>
                  <w:r>
                    <w:t xml:space="preserve">,</w:t>
                  </w:r>
                  <w:r>
                    <w:t xml:space="preserve"> </w:t>
                  </w:r>
                  <w:r>
                    <w:rPr>
                      <w:rStyle w:val="VerbatimChar"/>
                    </w:rPr>
                    <w:t xml:space="preserve">marital-status</w:t>
                  </w:r>
                  <w:r>
                    <w:t xml:space="preserve">,</w:t>
                  </w:r>
                  <w:r>
                    <w:t xml:space="preserve"> </w:t>
                  </w:r>
                  <w:r>
                    <w:rPr>
                      <w:rStyle w:val="VerbatimChar"/>
                    </w:rPr>
                    <w:t xml:space="preserve">occupation</w:t>
                  </w:r>
                  <w:r>
                    <w:t xml:space="preserve">,</w:t>
                  </w:r>
                  <w:r>
                    <w:t xml:space="preserve"> </w:t>
                  </w:r>
                  <w:r>
                    <w:rPr>
                      <w:rStyle w:val="VerbatimChar"/>
                    </w:rPr>
                    <w:t xml:space="preserve">relationship</w:t>
                  </w:r>
                  <w:r>
                    <w:t xml:space="preserve">,</w:t>
                  </w:r>
                  <w:r>
                    <w:t xml:space="preserve"> </w:t>
                  </w:r>
                  <w:r>
                    <w:rPr>
                      <w:rStyle w:val="VerbatimChar"/>
                    </w:rPr>
                    <w:t xml:space="preserve">race</w:t>
                  </w:r>
                  <w:r>
                    <w:t xml:space="preserve">,</w:t>
                  </w:r>
                  <w:r>
                    <w:t xml:space="preserve"> </w:t>
                  </w:r>
                  <w:r>
                    <w:rPr>
                      <w:rStyle w:val="VerbatimChar"/>
                    </w:rPr>
                    <w:t xml:space="preserve">sex</w:t>
                  </w:r>
                  <w:r>
                    <w:t xml:space="preserve">,</w:t>
                  </w:r>
                  <w:r>
                    <w:t xml:space="preserve"> </w:t>
                  </w:r>
                  <w:r>
                    <w:rPr>
                      <w:rStyle w:val="VerbatimChar"/>
                    </w:rPr>
                    <w:t xml:space="preserve">native-country</w:t>
                  </w:r>
                </w:p>
              </w:tc>
              <w:tc>
                <w:tcPr/>
                <w:p>
                  <w:pPr>
                    <w:pStyle w:val="Compact"/>
                    <w:jc w:val="both"/>
                    <w:jc w:val="center"/>
                    <w:spacing w:line="360" w:lineRule="auto"/>
                  </w:pPr>
                  <w:r>
                    <w:t xml:space="preserve">Codificación</w:t>
                  </w:r>
                  <w:r>
                    <w:t xml:space="preserve"> </w:t>
                  </w:r>
                  <w:r>
                    <w:rPr>
                      <w:rStyle w:val="VerbatimChar"/>
                    </w:rPr>
                    <w:t xml:space="preserve">OneHotEncoder(handle_unknown='ignore')</w:t>
                  </w:r>
                  <w:r>
                    <w:t xml:space="preserve"> </w:t>
                  </w:r>
                  <w:r>
                    <w:t xml:space="preserve">ajustada solo en entrenamiento</w:t>
                  </w:r>
                </w:p>
              </w:tc>
            </w:tr>
            <w:tr>
              <w:tc>
                <w:tcPr/>
                <w:p>
                  <w:pPr>
                    <w:pStyle w:val="Compact"/>
                    <w:jc w:val="both"/>
                    <w:jc w:val="center"/>
                    <w:spacing w:line="360" w:lineRule="auto"/>
                  </w:pPr>
                  <w:r>
                    <w:t xml:space="preserve">Objetivo</w:t>
                  </w:r>
                </w:p>
              </w:tc>
              <w:tc>
                <w:tcPr/>
                <w:p>
                  <w:pPr>
                    <w:pStyle w:val="Compact"/>
                    <w:jc w:val="both"/>
                    <w:jc w:val="center"/>
                    <w:spacing w:line="360" w:lineRule="auto"/>
                  </w:pPr>
                  <w:r>
                    <w:t xml:space="preserve">Ingreso anual binario</w:t>
                  </w:r>
                </w:p>
              </w:tc>
              <w:tc>
                <w:tcPr/>
                <w:p>
                  <w:pPr>
                    <w:pStyle w:val="Compact"/>
                    <w:jc w:val="both"/>
                    <w:jc w:val="center"/>
                    <w:spacing w:line="360" w:lineRule="auto"/>
                  </w:pPr>
                  <w:r>
                    <w:t xml:space="preserve">Normalización de etiquetas</w:t>
                  </w:r>
                  <w:r>
                    <w:t xml:space="preserve"> </w:t>
                  </w:r>
                  <w:r>
                    <w:rPr>
                      <w:rStyle w:val="VerbatimChar"/>
                    </w:rPr>
                    <w:t xml:space="preserve">&gt;50K</w:t>
                  </w:r>
                  <w:r>
                    <w:t xml:space="preserve">/</w:t>
                  </w:r>
                  <w:r>
                    <w:rPr>
                      <w:rStyle w:val="VerbatimChar"/>
                    </w:rPr>
                    <w:t xml:space="preserve">&lt;=50K</w:t>
                  </w:r>
                  <w:r>
                    <w:t xml:space="preserve"> </w:t>
                  </w:r>
                  <w:r>
                    <w:t xml:space="preserve">y variantes con punto final</w:t>
                  </w:r>
                </w:p>
              </w:tc>
            </w:tr>
          </w:tbl>
          <w:bookmarkEnd w:id="324"/>
          <w:p>
            <w:pPr>
              <w:spacing w:line="360" w:lineRule="auto"/>
              <w:jc w:val="both"/>
            </w:pPr>
          </w:p>
        </w:tc>
      </w:tr>
    </w:tbl>
    <w:p>
      <w:pPr>
        <w:pStyle w:val="Textoindependiente"/>
        <w:spacing w:line="360" w:lineRule="auto"/>
        <w:jc w:val="both"/>
      </w:pPr>
      <w:r>
        <w:t xml:space="preserve">Los valores faltantes codificados como</w:t>
      </w:r>
      <w:r>
        <w:t xml:space="preserve"> </w:t>
      </w:r>
      <w:r>
        <w:rPr>
          <w:rStyle w:val="VerbatimChar"/>
        </w:rPr>
        <w:t xml:space="preserve">"?"</w:t>
      </w:r>
      <w:r>
        <w:t xml:space="preserve"> </w:t>
      </w:r>
      <w:r>
        <w:t xml:space="preserve">se convierten a</w:t>
      </w:r>
      <w:r>
        <w:t xml:space="preserve"> </w:t>
      </w:r>
      <w:r>
        <w:rPr>
          <w:rStyle w:val="VerbatimChar"/>
        </w:rPr>
        <w:t xml:space="preserve">NaN</w:t>
      </w:r>
      <w:r>
        <w:t xml:space="preserve">, los textos</w:t>
      </w:r>
      <w:r>
        <w:t xml:space="preserve"> </w:t>
      </w:r>
      <w:r>
        <w:t xml:space="preserve">se normalizan eliminando espacios residuales y los duplicados exactos se</w:t>
      </w:r>
      <w:r>
        <w:t xml:space="preserve"> </w:t>
      </w:r>
      <w:r>
        <w:t xml:space="preserve">descartan antes del ajuste del preprocesador. Las transformaciones se congelan</w:t>
      </w:r>
      <w:r>
        <w:t xml:space="preserve"> </w:t>
      </w:r>
      <w:r>
        <w:t xml:space="preserve">como artefactos compartidos para evitar fuga de datos y diferencias de escalado</w:t>
      </w:r>
      <w:r>
        <w:t xml:space="preserve"> </w:t>
      </w:r>
      <w:r>
        <w:t xml:space="preserve">entre explicadores.</w:t>
      </w:r>
    </w:p>
    <w:bookmarkEnd w:id="325"/>
    <w:bookmarkStart w:id="327" w:name="X0ebb70924a43e56d2f30bdb00fa50fa510507cd"/>
    <w:p>
      <w:pPr>
        <w:pStyle w:val="Ttulo2"/>
        <w:spacing w:line="360" w:lineRule="auto"/>
        <w:jc w:val="both"/>
      </w:pPr>
      <w:r>
        <w:t xml:space="preserve">Apéndice B: Modelos predictivos y artefactos</w:t>
      </w:r>
    </w:p>
    <w:p>
      <w:pPr>
        <w:pStyle w:val="FirstParagraph"/>
        <w:spacing w:line="360" w:lineRule="auto"/>
        <w:jc w:val="both"/>
      </w:pPr>
      <w:r>
        <w:t xml:space="preserve">Los modelos se entrenan en EXP1 y se reutilizan en EXP2 sin reentrenamiento. Los</w:t>
      </w:r>
      <w:r>
        <w:t xml:space="preserve"> </w:t>
      </w:r>
      <w:r>
        <w:t xml:space="preserve">artefactos principales se encuentran en</w:t>
      </w:r>
      <w:r>
        <w:t xml:space="preserve"> </w:t>
      </w:r>
      <w:r>
        <w:rPr>
          <w:rStyle w:val="VerbatimChar"/>
        </w:rPr>
        <w:t xml:space="preserve">experiments/exp1_adult/models/</w:t>
      </w:r>
      <w:r>
        <w:t xml:space="preserve">, con</w:t>
      </w:r>
      <w:r>
        <w:t xml:space="preserve"> </w:t>
      </w:r>
      <w:r>
        <w:t xml:space="preserve">métricas en</w:t>
      </w:r>
      <w:r>
        <w:t xml:space="preserve"> </w:t>
      </w:r>
      <w:r>
        <w:rPr>
          <w:rStyle w:val="VerbatimChar"/>
        </w:rPr>
        <w:t xml:space="preserve">metrics.json</w:t>
      </w:r>
      <w:r>
        <w:t xml:space="preserve"> </w:t>
      </w:r>
      <w:r>
        <w:t xml:space="preserve">por familia de modelo.</w:t>
      </w:r>
    </w:p>
    <w:tbl>
      <w:tblPr>
        <w:tblStyle w:val="Table"/>
        <w:tblW w:type="pct" w:w="5000"/>
        <w:tblLayout w:type="fixed"/>
        <w:tblLook w:firstRow="0" w:lastRow="0" w:firstColumn="0" w:lastColumn="0" w:noHBand="0" w:noVBand="0" w:val="0000"/>
      </w:tblPr>
      <w:tblGrid>
        <w:gridCol w:w="7920"/>
      </w:tblGrid>
      <w:tr>
        <w:tc>
          <w:tcPr/>
          <w:bookmarkStart w:id="326" w:name="tbl-appendix-models"/>
          <w:p>
            <w:pPr>
              <w:jc w:val="both"/>
              <w:spacing w:line="360" w:lineRule="auto"/>
            </w:pPr>
            <w:pPr>
              <w:jc w:val="left"/>
              <w:spacing w:before="200"/>
              <w:pStyle w:val="ImageCaption"/>
            </w:pPr>
            <w:r>
              <w:t xml:space="preserve">Table 7.6: Modelos predictivos, justificación y ubicación de artefactos.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Rol metodológico</w:t>
                  </w:r>
                </w:p>
              </w:tc>
              <w:tc>
                <w:tcPr/>
                <w:p>
                  <w:pPr>
                    <w:pStyle w:val="Compact"/>
                    <w:jc w:val="both"/>
                    <w:jc w:val="center"/>
                    <w:spacing w:line="360" w:lineRule="auto"/>
                  </w:pPr>
                  <w:r>
                    <w:t xml:space="preserve">Artefacto principal</w:t>
                  </w:r>
                </w:p>
              </w:tc>
              <w:tc>
                <w:tcPr/>
                <w:p>
                  <w:pPr>
                    <w:pStyle w:val="Compact"/>
                    <w:jc w:val="both"/>
                    <w:jc w:val="center"/>
                    <w:spacing w:line="360" w:lineRule="auto"/>
                  </w:pPr>
                  <w:r>
                    <w:t xml:space="preserve">Métricas de entrenamiento/prueba</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Baseline transparente lineal</w:t>
                  </w:r>
                </w:p>
              </w:tc>
              <w:tc>
                <w:tcPr/>
                <w:p>
                  <w:pPr>
                    <w:pStyle w:val="Compact"/>
                    <w:jc w:val="both"/>
                    <w:jc w:val="center"/>
                    <w:spacing w:line="360" w:lineRule="auto"/>
                  </w:pPr>
                  <w:r>
                    <w:rPr>
                      <w:rStyle w:val="VerbatimChar"/>
                    </w:rPr>
                    <w:t xml:space="preserve">experiments/exp1_adult/models/logreg/</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Ensamble no lineal</w:t>
                  </w:r>
                </w:p>
              </w:tc>
              <w:tc>
                <w:tcPr/>
                <w:p>
                  <w:pPr>
                    <w:pStyle w:val="Compact"/>
                    <w:jc w:val="both"/>
                    <w:jc w:val="center"/>
                    <w:spacing w:line="360" w:lineRule="auto"/>
                  </w:pPr>
                  <w:r>
                    <w:rPr>
                      <w:rStyle w:val="VerbatimChar"/>
                    </w:rPr>
                    <w:t xml:space="preserve">experiments/exp1_adult/models/rf/</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t xml:space="preserve">Ensamble de alto rendimiento compatible con TreeSHAP</w:t>
                  </w:r>
                </w:p>
              </w:tc>
              <w:tc>
                <w:tcPr/>
                <w:p>
                  <w:pPr>
                    <w:pStyle w:val="Compact"/>
                    <w:jc w:val="both"/>
                    <w:jc w:val="center"/>
                    <w:spacing w:line="360" w:lineRule="auto"/>
                  </w:pPr>
                  <w:r>
                    <w:rPr>
                      <w:rStyle w:val="VerbatimChar"/>
                    </w:rPr>
                    <w:t xml:space="preserve">experiments/exp1_adult/models/xgboost/</w:t>
                  </w:r>
                </w:p>
              </w:tc>
              <w:tc>
                <w:tcPr/>
                <w:p>
                  <w:pPr>
                    <w:pStyle w:val="Compact"/>
                    <w:jc w:val="both"/>
                    <w:jc w:val="center"/>
                    <w:spacing w:line="360" w:lineRule="auto"/>
                  </w:pPr>
                  <w:r>
                    <w:rPr>
                      <w:rStyle w:val="VerbatimChar"/>
                    </w:rPr>
                    <w:t xml:space="preserve">metrics.json</w:t>
                  </w:r>
                  <w:r>
                    <w:t xml:space="preserve">,</w:t>
                  </w:r>
                  <w:r>
                    <w:t xml:space="preserve"> </w:t>
                  </w:r>
                  <w:r>
                    <w:rPr>
                      <w:rStyle w:val="VerbatimChar"/>
                    </w:rPr>
                    <w:t xml:space="preserve">xgb_feature_importance.csv</w:t>
                  </w:r>
                </w:p>
              </w:tc>
            </w:tr>
            <w:tr>
              <w:tc>
                <w:tcPr/>
                <w:p>
                  <w:pPr>
                    <w:pStyle w:val="Compact"/>
                    <w:jc w:val="both"/>
                    <w:jc w:val="center"/>
                    <w:spacing w:line="360" w:lineRule="auto"/>
                  </w:pPr>
                  <w:r>
                    <w:t xml:space="preserve">SVM (</w:t>
                  </w:r>
                  <w:r>
                    <w:rPr>
                      <w:rStyle w:val="VerbatimChar"/>
                    </w:rPr>
                    <w:t xml:space="preserve">svm</w:t>
                  </w:r>
                  <w:r>
                    <w:t xml:space="preserve">)</w:t>
                  </w:r>
                </w:p>
              </w:tc>
              <w:tc>
                <w:tcPr/>
                <w:p>
                  <w:pPr>
                    <w:pStyle w:val="Compact"/>
                    <w:jc w:val="both"/>
                    <w:jc w:val="center"/>
                    <w:spacing w:line="360" w:lineRule="auto"/>
                  </w:pPr>
                  <w:r>
                    <w:t xml:space="preserve">Comportamiento de frontera no lineal/kernel</w:t>
                  </w:r>
                </w:p>
              </w:tc>
              <w:tc>
                <w:tcPr/>
                <w:p>
                  <w:pPr>
                    <w:pStyle w:val="Compact"/>
                    <w:jc w:val="both"/>
                    <w:jc w:val="center"/>
                    <w:spacing w:line="360" w:lineRule="auto"/>
                  </w:pPr>
                  <w:r>
                    <w:rPr>
                      <w:rStyle w:val="VerbatimChar"/>
                    </w:rPr>
                    <w:t xml:space="preserve">experiments/exp1_adult/models/svm/</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MLP (</w:t>
                  </w:r>
                  <w:r>
                    <w:rPr>
                      <w:rStyle w:val="VerbatimChar"/>
                    </w:rPr>
                    <w:t xml:space="preserve">mlp</w:t>
                  </w:r>
                  <w:r>
                    <w:t xml:space="preserve">)</w:t>
                  </w:r>
                </w:p>
              </w:tc>
              <w:tc>
                <w:tcPr/>
                <w:p>
                  <w:pPr>
                    <w:pStyle w:val="Compact"/>
                    <w:jc w:val="both"/>
                    <w:jc w:val="center"/>
                    <w:spacing w:line="360" w:lineRule="auto"/>
                  </w:pPr>
                  <w:r>
                    <w:t xml:space="preserve">Baseline neuronal no lineal</w:t>
                  </w:r>
                </w:p>
              </w:tc>
              <w:tc>
                <w:tcPr/>
                <w:p>
                  <w:pPr>
                    <w:pStyle w:val="Compact"/>
                    <w:jc w:val="both"/>
                    <w:jc w:val="center"/>
                    <w:spacing w:line="360" w:lineRule="auto"/>
                  </w:pPr>
                  <w:r>
                    <w:rPr>
                      <w:rStyle w:val="VerbatimChar"/>
                    </w:rPr>
                    <w:t xml:space="preserve">experiments/exp1_adult/models/mlp/</w:t>
                  </w:r>
                </w:p>
              </w:tc>
              <w:tc>
                <w:tcPr/>
                <w:p>
                  <w:pPr>
                    <w:pStyle w:val="Compact"/>
                    <w:jc w:val="both"/>
                    <w:jc w:val="center"/>
                    <w:spacing w:line="360" w:lineRule="auto"/>
                  </w:pPr>
                  <w:r>
                    <w:rPr>
                      <w:rStyle w:val="VerbatimChar"/>
                    </w:rPr>
                    <w:t xml:space="preserve">metrics.json</w:t>
                  </w:r>
                </w:p>
              </w:tc>
            </w:tr>
          </w:tbl>
          <w:bookmarkEnd w:id="326"/>
          <w:p>
            <w:pPr>
              <w:spacing w:line="360" w:lineRule="auto"/>
              <w:jc w:val="both"/>
            </w:pPr>
          </w:p>
        </w:tc>
      </w:tr>
    </w:tbl>
    <w:p>
      <w:pPr>
        <w:pStyle w:val="Textoindependiente"/>
        <w:spacing w:line="360" w:lineRule="auto"/>
        <w:jc w:val="both"/>
      </w:pPr>
      <w:r>
        <w:t xml:space="preserve">Los umbrales de inclusión usados en la tesis son exactitud</w:t>
      </w:r>
      <w:r>
        <w:t xml:space="preserve"> </w:t>
      </w:r>
      <ns1:oMath>
        <ns1:r>
          <ns1:rPr>
            <ns1:sty ns1:val="p"/>
          </ns1:rPr>
          <ns1:t>≥</ns1:t>
        </ns1:r>
        <ns1:r>
          <ns1:t>0.83</ns1:t>
        </ns1:r>
      </ns1:oMath>
      <w:r>
        <w:t xml:space="preserve"> </w:t>
      </w:r>
      <w:r>
        <w:t xml:space="preserve">y</w:t>
      </w:r>
      <w:r>
        <w:t xml:space="preserve"> </w:t>
      </w:r>
      <w:r>
        <w:t xml:space="preserve">AUC-ROC</w:t>
      </w:r>
      <w:r>
        <w:t xml:space="preserve"> </w:t>
      </w:r>
      <ns1:oMath>
        <ns1:r>
          <ns1:rPr>
            <ns1:sty ns1:val="p"/>
          </ns1:rPr>
          <ns1:t>≥</ns1:t>
        </ns1:r>
        <ns1:r>
          <ns1:t>0.88</ns1:t>
        </ns1:r>
      </ns1:oMath>
      <w:r>
        <w:t xml:space="preserve">. La Tabla 3.1 reporta las métricas finales extraídas de</w:t>
      </w:r>
      <w:r>
        <w:t xml:space="preserve"> </w:t>
      </w:r>
      <w:r>
        <w:t xml:space="preserve">estos artefactos.</w:t>
      </w:r>
    </w:p>
    <w:bookmarkEnd w:id="327"/>
    <w:bookmarkStart w:id="334" w:name="apéndice-c-configuración-de-explicadores"/>
    <w:p>
      <w:pPr>
        <w:pStyle w:val="Ttulo2"/>
        <w:spacing w:line="360" w:lineRule="auto"/>
        <w:jc w:val="both"/>
      </w:pPr>
      <w:r>
        <w:t xml:space="preserve">Apéndice C: Configuración de explicadores</w:t>
      </w:r>
    </w:p>
    <w:p>
      <w:pPr>
        <w:pStyle w:val="FirstParagraph"/>
        <w:spacing w:line="360" w:lineRule="auto"/>
        <w:jc w:val="both"/>
      </w:pPr>
      <w:r>
        <w:t xml:space="preserve">Las configuraciones declarativas de EXP2 se almacenan en</w:t>
      </w:r>
      <w:r>
        <w:t xml:space="preserve"> </w:t>
      </w:r>
      <w:r>
        <w:rPr>
          <w:rStyle w:val="VerbatimChar"/>
        </w:rPr>
        <w:t xml:space="preserve">configs/experiments/exp2_scaled/</w:t>
      </w:r>
      <w:r>
        <w:t xml:space="preserve">. El manifiesto</w:t>
      </w:r>
      <w:r>
        <w:t xml:space="preserve"> </w:t>
      </w:r>
      <w:r>
        <w:rPr>
          <w:rStyle w:val="VerbatimChar"/>
        </w:rPr>
        <w:t xml:space="preserve">manifest.yaml</w:t>
      </w:r>
      <w:r>
        <w:t xml:space="preserve"> </w:t>
      </w:r>
      <w:r>
        <w:t xml:space="preserve">define las 300</w:t>
      </w:r>
      <w:r>
        <w:t xml:space="preserve"> </w:t>
      </w:r>
      <w:r>
        <w:t xml:space="preserve">celdas del diseño factorial y cada YAML por celda fija modelo, explicador,</w:t>
      </w:r>
      <w:r>
        <w:t xml:space="preserve"> </w:t>
      </w:r>
      <w:r>
        <w:t xml:space="preserve">semilla y tamaño de muestra.</w:t>
      </w:r>
    </w:p>
    <w:tbl>
      <w:tblPr>
        <w:tblStyle w:val="Table"/>
        <w:tblW w:type="pct" w:w="5000"/>
        <w:tblLayout w:type="fixed"/>
        <w:tblLook w:firstRow="0" w:lastRow="0" w:firstColumn="0" w:lastColumn="0" w:noHBand="0" w:noVBand="0" w:val="0000"/>
      </w:tblPr>
      <w:tblGrid>
        <w:gridCol w:w="7920"/>
      </w:tblGrid>
      <w:tr>
        <w:tc>
          <w:tcPr/>
          <w:bookmarkStart w:id="328" w:name="tbl-appendix-explainers"/>
          <w:p>
            <w:pPr>
              <w:jc w:val="both"/>
              <w:spacing w:line="360" w:lineRule="auto"/>
            </w:pPr>
            <w:pPr>
              <w:jc w:val="left"/>
              <w:spacing w:before="200"/>
              <w:pStyle w:val="ImageCaption"/>
            </w:pPr>
            <w:r>
              <w:t xml:space="preserve">Table 7.7: Configuración de explicadores y caveats operativos.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Explicador</w:t>
                  </w:r>
                </w:p>
              </w:tc>
              <w:tc>
                <w:tcPr/>
                <w:p>
                  <w:pPr>
                    <w:pStyle w:val="Compact"/>
                    <w:jc w:val="both"/>
                    <w:jc w:val="center"/>
                    <w:spacing w:line="360" w:lineRule="auto"/>
                  </w:pPr>
                  <w:r>
                    <w:t xml:space="preserve">Configuración efectiva</w:t>
                  </w:r>
                </w:p>
              </w:tc>
              <w:tc>
                <w:tcPr/>
                <w:p>
                  <w:pPr>
                    <w:pStyle w:val="Compact"/>
                    <w:jc w:val="both"/>
                    <w:jc w:val="center"/>
                    <w:spacing w:line="360" w:lineRule="auto"/>
                  </w:pPr>
                  <w:r>
                    <w:t xml:space="preserve">Implementación</w:t>
                  </w:r>
                </w:p>
              </w:tc>
              <w:tc>
                <w:tcPr/>
                <w:p>
                  <w:pPr>
                    <w:pStyle w:val="Compact"/>
                    <w:jc w:val="both"/>
                    <w:jc w:val="center"/>
                    <w:spacing w:line="360" w:lineRule="auto"/>
                  </w:pPr>
                  <w:r>
                    <w:t xml:space="preserve">Caveat</w:t>
                  </w:r>
                </w:p>
              </w:tc>
            </w:tr>
            <w:tr>
              <w:tc>
                <w:tcPr/>
                <w:p>
                  <w:pPr>
                    <w:pStyle w:val="Compact"/>
                    <w:jc w:val="both"/>
                    <w:jc w:val="center"/>
                    <w:spacing w:line="360" w:lineRule="auto"/>
                  </w:pPr>
                  <w:r>
                    <w:t xml:space="preserve">SHAP</w:t>
                  </w:r>
                </w:p>
              </w:tc>
              <w:tc>
                <w:tcPr/>
                <w:p>
                  <w:pPr>
                    <w:pStyle w:val="Compact"/>
                    <w:jc w:val="both"/>
                    <w:jc w:val="center"/>
                    <w:spacing w:line="360" w:lineRule="auto"/>
                  </w:pPr>
                  <w:r>
                    <w:rPr>
                      <w:rStyle w:val="VerbatimChar"/>
                    </w:rPr>
                    <w:t xml:space="preserve">TreeExplainer</w:t>
                  </w:r>
                  <w:r>
                    <w:t xml:space="preserve"> </w:t>
                  </w:r>
                  <w:r>
                    <w:t xml:space="preserve">para</w:t>
                  </w:r>
                  <w:r>
                    <w:t xml:space="preserve"> </w:t>
                  </w:r>
                  <w:r>
                    <w:rPr>
                      <w:rStyle w:val="VerbatimChar"/>
                    </w:rPr>
                    <w:t xml:space="preserve">rf</w:t>
                  </w:r>
                  <w:r>
                    <w:t xml:space="preserve">/</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rPr>
                      <w:rStyle w:val="VerbatimChar"/>
                    </w:rPr>
                    <w:t xml:space="preserve">svm</w:t>
                  </w:r>
                  <w:r>
                    <w:t xml:space="preserve">/</w:t>
                  </w:r>
                  <w:r>
                    <w:rPr>
                      <w:rStyle w:val="VerbatimChar"/>
                    </w:rPr>
                    <w:t xml:space="preserve">mlp</w:t>
                  </w:r>
                  <w:r>
                    <w:t xml:space="preserve">; fondo de 50 muestras</w:t>
                  </w:r>
                </w:p>
              </w:tc>
              <w:tc>
                <w:tcPr/>
                <w:p>
                  <w:pPr>
                    <w:pStyle w:val="Compact"/>
                    <w:jc w:val="both"/>
                    <w:jc w:val="center"/>
                    <w:spacing w:line="360" w:lineRule="auto"/>
                  </w:pPr>
                  <w:r>
                    <w:rPr>
                      <w:rStyle w:val="VerbatimChar"/>
                    </w:rPr>
                    <w:t xml:space="preserve">src/xai/shap_tabular.py</w:t>
                  </w:r>
                </w:p>
              </w:tc>
              <w:tc>
                <w:tcPr/>
                <w:p>
                  <w:pPr>
                    <w:pStyle w:val="Compact"/>
                    <w:jc w:val="both"/>
                    <w:jc w:val="center"/>
                    <w:spacing w:line="360" w:lineRule="auto"/>
                  </w:pPr>
                  <w:r>
                    <w:t xml:space="preserve">KernelSHAP domina el coste en SVM y MLP</w:t>
                  </w:r>
                </w:p>
              </w:tc>
            </w:tr>
            <w:tr>
              <w:tc>
                <w:tcPr/>
                <w:p>
                  <w:pPr>
                    <w:pStyle w:val="Compact"/>
                    <w:jc w:val="both"/>
                    <w:jc w:val="center"/>
                    <w:spacing w:line="360" w:lineRule="auto"/>
                  </w:pPr>
                  <w:r>
                    <w:t xml:space="preserve">LIME</w:t>
                  </w:r>
                </w:p>
              </w:tc>
              <w:tc>
                <w:tcPr/>
                <w:p>
                  <w:pPr>
                    <w:pStyle w:val="Compact"/>
                    <w:jc w:val="both"/>
                    <w:jc w:val="center"/>
                    <w:spacing w:line="360" w:lineRule="auto"/>
                  </w:pP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numérica</w:t>
                  </w:r>
                </w:p>
              </w:tc>
              <w:tc>
                <w:tcPr/>
                <w:p>
                  <w:pPr>
                    <w:pStyle w:val="Compact"/>
                    <w:jc w:val="both"/>
                    <w:jc w:val="center"/>
                    <w:spacing w:line="360" w:lineRule="auto"/>
                  </w:pPr>
                  <w:r>
                    <w:rPr>
                      <w:rStyle w:val="VerbatimChar"/>
                    </w:rPr>
                    <w:t xml:space="preserve">src/xai/lime_tabular.py</w:t>
                  </w:r>
                </w:p>
              </w:tc>
              <w:tc>
                <w:tcPr/>
                <w:p>
                  <w:pPr>
                    <w:pStyle w:val="Compact"/>
                    <w:jc w:val="both"/>
                    <w:jc w:val="center"/>
                    <w:spacing w:line="360" w:lineRule="auto"/>
                  </w:pPr>
                  <w:r>
                    <w:t xml:space="preserve">Sensible al muestreo local</w:t>
                  </w:r>
                </w:p>
              </w:tc>
            </w:tr>
            <w:tr>
              <w:tc>
                <w:tcPr/>
                <w:p>
                  <w:pPr>
                    <w:pStyle w:val="Compact"/>
                    <w:jc w:val="both"/>
                    <w:jc w:val="center"/>
                    <w:spacing w:line="360" w:lineRule="auto"/>
                  </w:pPr>
                  <w:r>
                    <w:t xml:space="preserve">Anchors</w:t>
                  </w:r>
                </w:p>
              </w:tc>
              <w:tc>
                <w:tcPr/>
                <w:p>
                  <w:pPr>
                    <w:pStyle w:val="Compact"/>
                    <w:jc w:val="both"/>
                    <w:jc w:val="center"/>
                    <w:spacing w:line="360" w:lineRule="auto"/>
                  </w:pPr>
                  <w:r>
                    <w:rPr>
                      <w:rStyle w:val="VerbatimChar"/>
                    </w:rPr>
                    <w:t xml:space="preserve">AnchorTabular</w:t>
                  </w:r>
                  <w:r>
                    <w:t xml:space="preserve">, umbral efectivo</w:t>
                  </w:r>
                  <w:r>
                    <w:t xml:space="preserve"> </w:t>
                  </w:r>
                  <ns1:oMath>
                    <ns1:r>
                      <ns1:t>τ</ns1:t>
                    </ns1:r>
                    <ns1:r>
                      <ns1:rPr>
                        <ns1:sty ns1:val="p"/>
                      </ns1:rPr>
                      <ns1:t>=</ns1:t>
                    </ns1:r>
                    <ns1:r>
                      <ns1:t>0.95</ns1:t>
                    </ns1:r>
                  </ns1:oMath>
                </w:p>
              </w:tc>
              <w:tc>
                <w:tcPr/>
                <w:p>
                  <w:pPr>
                    <w:pStyle w:val="Compact"/>
                    <w:jc w:val="both"/>
                    <w:jc w:val="center"/>
                    <w:spacing w:line="360" w:lineRule="auto"/>
                  </w:pPr>
                  <w:r>
                    <w:rPr>
                      <w:rStyle w:val="VerbatimChar"/>
                    </w:rPr>
                    <w:t xml:space="preserve">src/xai/anchors_wrapper.py</w:t>
                  </w:r>
                </w:p>
              </w:tc>
              <w:tc>
                <w:tcPr/>
                <w:p>
                  <w:pPr>
                    <w:pStyle w:val="Compact"/>
                    <w:jc w:val="both"/>
                    <w:jc w:val="center"/>
                    <w:spacing w:line="360" w:lineRule="auto"/>
                  </w:pPr>
                  <w:r>
                    <w:t xml:space="preserve">Algunos parámetros YAML no son consumidos en runtime</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Backend aleatorio, clase opuesta,</w:t>
                  </w:r>
                  <w:r>
                    <w:t xml:space="preserve"> </w:t>
                  </w:r>
                  <w:r>
                    <w:rPr>
                      <w:rStyle w:val="VerbatimChar"/>
                    </w:rPr>
                    <w:t xml:space="preserve">total_CFs = 1</w:t>
                  </w:r>
                  <w:r>
                    <w:t xml:space="preserve"> </w:t>
                  </w:r>
                  <w:r>
                    <w:t xml:space="preserve">efectivo</w:t>
                  </w:r>
                </w:p>
              </w:tc>
              <w:tc>
                <w:tcPr/>
                <w:p>
                  <w:pPr>
                    <w:pStyle w:val="Compact"/>
                    <w:jc w:val="both"/>
                    <w:jc w:val="center"/>
                    <w:spacing w:line="360" w:lineRule="auto"/>
                  </w:pPr>
                  <w:r>
                    <w:rPr>
                      <w:rStyle w:val="VerbatimChar"/>
                    </w:rPr>
                    <w:t xml:space="preserve">src/xai/dice_wrapper.py</w:t>
                  </w:r>
                </w:p>
              </w:tc>
              <w:tc>
                <w:tcPr/>
                <w:p>
                  <w:pPr>
                    <w:pStyle w:val="Compact"/>
                    <w:jc w:val="both"/>
                    <w:jc w:val="center"/>
                    <w:spacing w:line="360" w:lineRule="auto"/>
                  </w:pPr>
                  <w:r>
                    <w:t xml:space="preserve">La importancia se deriva de</w:t>
                  </w:r>
                  <w:r>
                    <w:t xml:space="preserve"> </w:t>
                  </w:r>
                  <ns1:oMath>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p>
              </w:tc>
            </w:tr>
          </w:tbl>
          <w:bookmarkEnd w:id="328"/>
          <w:p>
            <w:pPr>
              <w:spacing w:line="360" w:lineRule="auto"/>
              <w:jc w:val="both"/>
            </w:pPr>
          </w:p>
        </w:tc>
      </w:tr>
    </w:tbl>
    <w:p>
      <w:pPr>
        <w:pStyle w:val="Textoindependiente"/>
        <w:spacing w:line="360" w:lineRule="auto"/>
        <w:jc w:val="both"/>
      </w:pPr>
      <w:r>
        <w:t xml:space="preserve">El tiempo de ejecución y las importancias se registran mediante</w:t>
      </w:r>
      <w:r>
        <w:t xml:space="preserve"> </w:t>
      </w:r>
      <w:r>
        <w:rPr>
          <w:rStyle w:val="VerbatimChar"/>
        </w:rPr>
        <w:t xml:space="preserve">ExplainerWrapper.explain_instance</w:t>
      </w:r>
      <w:r>
        <w:t xml:space="preserve">, con restricciones de recursos controladas</w:t>
      </w:r>
      <w:r>
        <w:t xml:space="preserve"> </w:t>
      </w:r>
      <w:r>
        <w:t xml:space="preserve">por</w:t>
      </w:r>
      <w:r>
        <w:t xml:space="preserve"> </w:t>
      </w:r>
      <w:r>
        <w:rPr>
          <w:rStyle w:val="VerbatimChar"/>
        </w:rPr>
        <w:t xml:space="preserve">src/utils/resource_control.py</w:t>
      </w:r>
      <w:r>
        <w:t xml:space="preserve">.</w:t>
      </w:r>
    </w:p>
    <w:bookmarkStart w:id="333" w:name="X19223749bd91808c35bfde79d8d5a77d7c56c01"/>
    <w:p>
      <w:pPr>
        <w:pStyle w:val="Ttulo3"/>
        <w:spacing w:line="360" w:lineRule="auto"/>
        <w:jc w:val="both"/>
      </w:pPr>
      <w:r>
        <w:t xml:space="preserve">C.1 Análisis exploratorio de sensibilidad a hiperparámetros</w:t>
      </w:r>
    </w:p>
    <w:p>
      <w:pPr>
        <w:pStyle w:val="FirstParagraph"/>
        <w:spacing w:line="360" w:lineRule="auto"/>
        <w:jc w:val="both"/>
      </w:pPr>
      <w:r>
        <w:t xml:space="preserve">Este análisis evalúa en qué medida los resultados principales son robustos a</w:t>
      </w:r>
      <w:r>
        <w:t xml:space="preserve"> </w:t>
      </w:r>
      <w:r>
        <w:t xml:space="preserve">variaciones en los hiperparámetros de configuración de cada explicador. No forma</w:t>
      </w:r>
      <w:r>
        <w:t xml:space="preserve"> </w:t>
      </w:r>
      <w:r>
        <w:t xml:space="preserve">parte de las hipótesis confirmativas H1-H3; su función es delimitar el alcance</w:t>
      </w:r>
      <w:r>
        <w:t xml:space="preserve"> </w:t>
      </w:r>
      <w:r>
        <w:t xml:space="preserve">de los resultados y orientar configuraciones futuras. El análisis opera sobre el</w:t>
      </w:r>
      <w:r>
        <w:t xml:space="preserve"> </w:t>
      </w:r>
      <w:r>
        <w:t xml:space="preserve">modelo RF con semilla 42 y</w:t>
      </w:r>
      <w:r>
        <w:t xml:space="preserve"> </w:t>
      </w:r>
      <ns1:oMath>
        <ns1:r>
          <ns1:t>N</ns1:t>
        </ns1:r>
        <ns1:r>
          <ns1:rPr>
            <ns1:sty ns1:val="p"/>
          </ns1:rPr>
          <ns1:t>=</ns1:t>
        </ns1:r>
        <ns1:r>
          <ns1:t>100</ns1:t>
        </ns1:r>
      </ns1:oMath>
      <w:r>
        <w:t xml:space="preserve"> </w:t>
      </w:r>
      <w:r>
        <w:t xml:space="preserve">como condición de referencia.</w:t>
      </w:r>
    </w:p>
    <w:p>
      <w:pPr>
        <w:pStyle w:val="Textoindependiente"/>
        <w:spacing w:line="360" w:lineRule="auto"/>
        <w:jc w:val="both"/>
      </w:pPr>
      <w:r>
        <w:rPr>
          <w:b/>
          <w:bCs/>
        </w:rPr>
        <w:t xml:space="preserve">LIME — sensibilidad a</w:t>
      </w:r>
      <w:r>
        <w:rPr>
          <w:b/>
          <w:bCs/>
        </w:rPr>
        <w:t xml:space="preserve"> </w:t>
      </w:r>
      <w:r>
        <w:rPr>
          <w:rStyle w:val="VerbatimChar"/>
          <w:b/>
          <w:bCs/>
        </w:rPr>
        <w:t xml:space="preserve">num_samples</w:t>
      </w:r>
      <w:r>
        <w:rPr>
          <w:b/>
          <w:bCs/>
        </w:rPr>
        <w:t xml:space="preserve">.</w:t>
      </w:r>
      <w:r>
        <w:t xml:space="preserve"> </w:t>
      </w:r>
      <w:r>
        <w:t xml:space="preserve">Se varía el número de muestras de</w:t>
      </w:r>
      <w:r>
        <w:t xml:space="preserve"> </w:t>
      </w:r>
      <w:r>
        <w:t xml:space="preserve">perturbación local (</w:t>
      </w:r>
      <ns1:oMath>
        <ns1:r>
          <ns1:rPr>
            <ns1:sty ns1:val="p"/>
          </ns1:rPr>
          <ns1:t>{</ns1:t>
        </ns1:r>
        <ns1:r>
          <ns1:t>500</ns1:t>
        </ns1:r>
        <ns1:r>
          <ns1:rPr>
            <ns1:sty ns1:val="p"/>
          </ns1:rPr>
          <ns1:t>,</ns1:t>
        </ns1:r>
        <ns1:r>
          <ns1:t>1000</ns1:t>
        </ns1:r>
        <ns1:r>
          <ns1:rPr>
            <ns1:sty ns1:val="p"/>
          </ns1:rPr>
          <ns1:t>,</ns1:t>
        </ns1:r>
        <ns1:r>
          <ns1:t>2000</ns1:t>
        </ns1:r>
        <ns1:r>
          <ns1:rPr>
            <ns1:sty ns1:val="p"/>
          </ns1:rPr>
          <ns1:t>}</ns1:t>
        </ns1:r>
      </ns1:oMath>
      <w:r>
        <w:t xml:space="preserve">) manteniendo</w:t>
      </w:r>
      <w:r>
        <w:t xml:space="preserve"> </w:t>
      </w:r>
      <w:r>
        <w:rPr>
          <w:rStyle w:val="VerbatimChar"/>
        </w:rPr>
        <w:t xml:space="preserve">kernel_width = 3.0</w:t>
      </w:r>
      <w:r>
        <w:t xml:space="preserve"> </w:t>
      </w:r>
      <w:r>
        <w:t xml:space="preserve">y</w:t>
      </w:r>
      <w:r>
        <w:t xml:space="preserve"> </w:t>
      </w:r>
      <w:r>
        <w:rPr>
          <w:rStyle w:val="VerbatimChar"/>
        </w:rPr>
        <w:t xml:space="preserve">num_features = 10</w:t>
      </w:r>
      <w:r>
        <w:t xml:space="preserve"> </w:t>
      </w:r>
      <w:r>
        <w:t xml:space="preserve">constantes.</w:t>
      </w:r>
    </w:p>
    <w:tbl>
      <w:tblPr>
        <w:tblStyle w:val="Table"/>
        <w:tblW w:type="pct" w:w="5000"/>
        <w:tblLayout w:type="fixed"/>
        <w:tblLook w:firstRow="0" w:lastRow="0" w:firstColumn="0" w:lastColumn="0" w:noHBand="0" w:noVBand="0" w:val="0000"/>
      </w:tblPr>
      <w:tblGrid>
        <w:gridCol w:w="7920"/>
      </w:tblGrid>
      <w:tr>
        <w:tc>
          <w:tcPr/>
          <w:bookmarkStart w:id="329" w:name="tbl-appendix-lime-sensitivity"/>
          <w:p>
            <w:pPr>
              <w:jc w:val="both"/>
              <w:spacing w:line="360" w:lineRule="auto"/>
            </w:pPr>
            <w:pPr>
              <w:jc w:val="left"/>
              <w:spacing w:before="200"/>
              <w:pStyle w:val="ImageCaption"/>
            </w:pPr>
            <w:r>
              <w:t xml:space="preserve">Table 7.8: Sensibilidad de LIME a</w:t>
            </w:r>
            <w:r>
              <w:t xml:space="preserve"> </w:t>
            </w:r>
            <w:r>
              <w:rPr>
                <w:rStyle w:val="VerbatimChar"/>
              </w:rPr>
              <w:t xml:space="preserve">num_samples</w:t>
            </w:r>
            <w:r>
              <w:t xml:space="preserve"> </w:t>
            </w:r>
            <w:r>
              <w:t xml:space="preserve">(RF, semilla 42,</w:t>
            </w:r>
            <w:r>
              <w:t xml:space="preserve"> </w:t>
            </w:r>
            <ns1:oMath>
              <ns1:r>
                <ns1:t>N</ns1:t>
              </ns1:r>
              <ns1:r>
                <ns1:rPr>
                  <ns1:sty ns1:val="p"/>
                </ns1:rPr>
                <ns1:t>=</ns1:t>
              </ns1:r>
              <ns1:r>
                <ns1:t>100</ns1:t>
              </ns1:r>
            </ns1:oMath>
            <w:r>
              <w:t xml:space="preserve">). Medición</w:t>
            </w:r>
            <w:r>
              <w:t xml:space="preserve"> </w:t>
            </w:r>
            <w:r>
              <w:t xml:space="preserve">exploratoria histórica: sus valores no han podido re-derivarse bajo el entorno</w:t>
            </w:r>
            <w:r>
              <w:t xml:space="preserve"> </w:t>
            </w:r>
            <w:r>
              <w:t xml:space="preserve">actual (véase la nota de procedencia siguiente).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rStyle w:val="VerbatimChar"/>
                    </w:rPr>
                    <w:t xml:space="preserve">num_samples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500</w:t>
                  </w:r>
                </w:p>
              </w:tc>
              <w:tc>
                <w:tcPr/>
                <w:p>
                  <w:pPr>
                    <w:pStyle w:val="Compact"/>
                    <w:jc w:val="both"/>
                    <w:jc w:val="center"/>
                    <w:spacing w:line="360" w:lineRule="auto"/>
                  </w:pPr>
                  <w:r>
                    <w:t xml:space="preserve">0.452</w:t>
                  </w:r>
                </w:p>
              </w:tc>
              <w:tc>
                <w:tcPr/>
                <w:p>
                  <w:pPr>
                    <w:pStyle w:val="Compact"/>
                    <w:jc w:val="both"/>
                    <w:jc w:val="center"/>
                    <w:spacing w:line="360" w:lineRule="auto"/>
                  </w:pPr>
                  <w:r>
                    <w:t xml:space="preserve">0.011</w:t>
                  </w:r>
                </w:p>
              </w:tc>
              <w:tc>
                <w:tcPr/>
                <w:p>
                  <w:pPr>
                    <w:pStyle w:val="Compact"/>
                    <w:jc w:val="both"/>
                    <w:jc w:val="center"/>
                    <w:spacing w:line="360" w:lineRule="auto"/>
                  </w:pPr>
                  <w:r>
                    <w:t xml:space="preserve">114</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1000 (referencia)</w:t>
                  </w:r>
                </w:p>
              </w:tc>
              <w:tc>
                <w:tcPr/>
                <w:p>
                  <w:pPr>
                    <w:pStyle w:val="Compact"/>
                    <w:jc w:val="both"/>
                    <w:jc w:val="center"/>
                    <w:spacing w:line="360" w:lineRule="auto"/>
                  </w:pPr>
                  <w:r>
                    <w:t xml:space="preserve">0.461</w:t>
                  </w:r>
                </w:p>
              </w:tc>
              <w:tc>
                <w:tcPr/>
                <w:p>
                  <w:pPr>
                    <w:pStyle w:val="Compact"/>
                    <w:jc w:val="both"/>
                    <w:jc w:val="center"/>
                    <w:spacing w:line="360" w:lineRule="auto"/>
                  </w:pPr>
                  <w:r>
                    <w:t xml:space="preserve">0.014</w:t>
                  </w:r>
                </w:p>
              </w:tc>
              <w:tc>
                <w:tcPr/>
                <w:p>
                  <w:pPr>
                    <w:pStyle w:val="Compact"/>
                    <w:jc w:val="both"/>
                    <w:jc w:val="center"/>
                    <w:spacing w:line="360" w:lineRule="auto"/>
                  </w:pPr>
                  <w:r>
                    <w:t xml:space="preserve">226</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2000</w:t>
                  </w:r>
                </w:p>
              </w:tc>
              <w:tc>
                <w:tcPr/>
                <w:p>
                  <w:pPr>
                    <w:pStyle w:val="Compact"/>
                    <w:jc w:val="both"/>
                    <w:jc w:val="center"/>
                    <w:spacing w:line="360" w:lineRule="auto"/>
                  </w:pPr>
                  <w:r>
                    <w:t xml:space="preserve">0.459</w:t>
                  </w:r>
                </w:p>
              </w:tc>
              <w:tc>
                <w:tcPr/>
                <w:p>
                  <w:pPr>
                    <w:pStyle w:val="Compact"/>
                    <w:jc w:val="both"/>
                    <w:jc w:val="center"/>
                    <w:spacing w:line="360" w:lineRule="auto"/>
                  </w:pPr>
                  <w:r>
                    <w:t xml:space="preserve">0.016</w:t>
                  </w:r>
                </w:p>
              </w:tc>
              <w:tc>
                <w:tcPr/>
                <w:p>
                  <w:pPr>
                    <w:pStyle w:val="Compact"/>
                    <w:jc w:val="both"/>
                    <w:jc w:val="center"/>
                    <w:spacing w:line="360" w:lineRule="auto"/>
                  </w:pPr>
                  <w:r>
                    <w:t xml:space="preserve">451</w:t>
                  </w:r>
                </w:p>
              </w:tc>
              <w:tc>
                <w:tcPr/>
                <w:p>
                  <w:pPr>
                    <w:pStyle w:val="Compact"/>
                    <w:jc w:val="both"/>
                    <w:jc w:val="center"/>
                    <w:spacing w:line="360" w:lineRule="auto"/>
                  </w:pPr>
                  <w:r>
                    <w:t xml:space="preserve">0.085</w:t>
                  </w:r>
                </w:p>
              </w:tc>
            </w:tr>
          </w:tbl>
          <w:bookmarkEnd w:id="329"/>
          <w:p>
            <w:pPr>
              <w:spacing w:line="360" w:lineRule="auto"/>
              <w:jc w:val="both"/>
            </w:pPr>
          </w:p>
        </w:tc>
      </w:tr>
    </w:tbl>
    <w:p>
      <w:pPr>
        <w:pStyle w:val="Textoindependiente"/>
        <w:spacing w:line="360" w:lineRule="auto"/>
        <w:jc w:val="both"/>
      </w:pPr>
      <w:r>
        <w:t xml:space="preserve">La fidelidad de LIME es insensible a</w:t>
      </w:r>
      <w:r>
        <w:t xml:space="preserve"> </w:t>
      </w:r>
      <w:r>
        <w:rPr>
          <w:rStyle w:val="VerbatimChar"/>
        </w:rPr>
        <w:t xml:space="preserve">num_samples</w:t>
      </w:r>
      <w:r>
        <w:t xml:space="preserve"> </w:t>
      </w:r>
      <w:r>
        <w:t xml:space="preserve">(variación &lt; 2%);</w:t>
      </w:r>
      <w:r>
        <w:t xml:space="preserve"> </w:t>
      </w:r>
      <w:r>
        <w:t xml:space="preserve">la estabilidad permanece cercana a cero en todos los niveles. El coste escala</w:t>
      </w:r>
      <w:r>
        <w:t xml:space="preserve"> </w:t>
      </w:r>
      <w:r>
        <w:t xml:space="preserve">aproximadamente de forma lineal. Este resultado indica que la inestabilidad</w:t>
      </w:r>
      <w:r>
        <w:t xml:space="preserve"> </w:t>
      </w:r>
      <w:r>
        <w:t xml:space="preserve">de LIME no se resuelve aumentando el número de muestras, sino que</w:t>
      </w:r>
      <w:r>
        <w:t xml:space="preserve"> </w:t>
      </w:r>
      <w:r>
        <w:t xml:space="preserve">es inherente a la variabilidad del proceso de muestreo local.</w:t>
      </w:r>
    </w:p>
    <w:p>
      <w:pPr>
        <w:pStyle w:val="Textoindependiente"/>
        <w:spacing w:line="360" w:lineRule="auto"/>
        <w:jc w:val="both"/>
      </w:pPr>
      <w:r>
        <w:rPr>
          <w:i/>
          <w:iCs/>
        </w:rPr>
        <w:t xml:space="preserve">Nota de procedencia y alcance.</w:t>
      </w:r>
      <w:r>
        <w:t xml:space="preserve"> </w:t>
      </w:r>
      <w:r>
        <w:t xml:space="preserve">Esta sonda es una medición exploratoria</w:t>
      </w:r>
      <w:r>
        <w:t xml:space="preserve"> </w:t>
      </w:r>
      <w:r>
        <w:t xml:space="preserve">anterior cuyo artefacto de salida no se conserva en el repositorio, a diferencia</w:t>
      </w:r>
      <w:r>
        <w:t xml:space="preserve"> </w:t>
      </w:r>
      <w:r>
        <w:t xml:space="preserve">de la sonda de</w:t>
      </w:r>
      <w:r>
        <w:t xml:space="preserve"> </w:t>
      </w:r>
      <w:r>
        <w:rPr>
          <w:rStyle w:val="VerbatimChar"/>
        </w:rPr>
        <w:t xml:space="preserve">kernel_width</w:t>
      </w:r>
      <w:r>
        <w:t xml:space="preserve"> </w:t>
      </w:r>
      <w:r>
        <w:t xml:space="preserve">(</w:t>
      </w:r>
      <w:hyperlink w:anchor="tbl-appendix-lime-kw-sensitivity">
        <w:r>
          <w:rPr>
            <w:rStyle w:val="Hipervnculo"/>
          </w:rPr>
          <w:t xml:space="preserve">Table 7.11</w:t>
        </w:r>
      </w:hyperlink>
      <w:r>
        <w:t xml:space="preserve">), que se</w:t>
      </w:r>
      <w:r>
        <w:t xml:space="preserve"> </w:t>
      </w:r>
      <w:r>
        <w:t xml:space="preserve">re-deriva de</w:t>
      </w:r>
      <w:r>
        <w:t xml:space="preserve"> </w:t>
      </w:r>
      <w:r>
        <w:rPr>
          <w:rStyle w:val="VerbatimChar"/>
        </w:rPr>
        <w:t xml:space="preserve">outputs/analysis/lime_kernel_width_sensitivity.csv</w:t>
      </w:r>
      <w:r>
        <w:t xml:space="preserve">. Ambas tablas</w:t>
      </w:r>
      <w:r>
        <w:t xml:space="preserve"> </w:t>
      </w:r>
      <w:r>
        <w:t xml:space="preserve">declaran la misma condición de referencia (RF, semilla 42,</w:t>
      </w:r>
      <w:r>
        <w:t xml:space="preserve"> </w:t>
      </w:r>
      <ns1:oMath>
        <ns1:r>
          <ns1:t>N</ns1:t>
        </ns1:r>
        <ns1:r>
          <ns1:rPr>
            <ns1:sty ns1:val="p"/>
          </ns1:rPr>
          <ns1:t>=</ns1:t>
        </ns1:r>
        <ns1:r>
          <ns1:t>100</ns1:t>
        </ns1:r>
      </ns1:oMath>
      <w:r>
        <w:t xml:space="preserve">,</w:t>
      </w:r>
      <w:r>
        <w:t xml:space="preserve"> </w:t>
      </w:r>
      <w:r>
        <w:rPr>
          <w:rStyle w:val="VerbatimChar"/>
        </w:rPr>
        <w:t xml:space="preserve">num_samples = 1000</w:t>
      </w:r>
      <w:r>
        <w:t xml:space="preserve">,</w:t>
      </w:r>
      <w:r>
        <w:t xml:space="preserve"> </w:t>
      </w:r>
      <w:r>
        <w:rPr>
          <w:rStyle w:val="VerbatimChar"/>
        </w:rPr>
        <w:t xml:space="preserve">kernel_width = 3.0</w:t>
      </w:r>
      <w:r>
        <w:t xml:space="preserve">) pero reportan valores distintos para</w:t>
      </w:r>
      <w:r>
        <w:t xml:space="preserve"> </w:t>
      </w:r>
      <w:r>
        <w:t xml:space="preserve">ella —fidelidad 0.461 frente a 0.518, estabilidad 0.014 frente a 0.000, coste</w:t>
      </w:r>
      <w:r>
        <w:t xml:space="preserve"> </w:t>
      </w:r>
      <w:r>
        <w:t xml:space="preserve">226 ms frente a 30 ms—, lo que indica que fueron ejecutadas con instrumentaciones</w:t>
      </w:r>
      <w:r>
        <w:t xml:space="preserve"> </w:t>
      </w:r>
      <w:r>
        <w:t xml:space="preserve">distintas: el coste de ambas queda además por debajo del rango observado para</w:t>
      </w:r>
      <w:r>
        <w:t xml:space="preserve"> </w:t>
      </w:r>
      <w:r>
        <w:t xml:space="preserve">LIME sobre RF en EXP2 (300–919 ms por ejecución), de modo que ninguna de las dos</w:t>
      </w:r>
      <w:r>
        <w:t xml:space="preserve"> </w:t>
      </w:r>
      <w:r>
        <w:t xml:space="preserve">mide una ejecución completa del protocolo EXP2. Las dos sondas se reportan aquí</w:t>
      </w:r>
      <w:r>
        <w:t xml:space="preserve"> </w:t>
      </w:r>
      <w:r>
        <w:t xml:space="preserve">por su valor cualitativo —la dirección del efecto de</w:t>
      </w:r>
      <w:r>
        <w:t xml:space="preserve"> </w:t>
      </w:r>
      <w:r>
        <w:rPr>
          <w:rStyle w:val="VerbatimChar"/>
        </w:rPr>
        <w:t xml:space="preserve">num_samples</w:t>
      </w:r>
      <w:r>
        <w:t xml:space="preserve"> </w:t>
      </w:r>
      <w:r>
        <w:t xml:space="preserve">y de</w:t>
      </w:r>
      <w:r>
        <w:t xml:space="preserve"> </w:t>
      </w:r>
      <w:r>
        <w:rPr>
          <w:rStyle w:val="VerbatimChar"/>
        </w:rPr>
        <w:t xml:space="preserve">kernel_width</w:t>
      </w:r>
      <w:r>
        <w:t xml:space="preserve">— y no como estimaciones puntuales comparables entre sí ni con las</w:t>
      </w:r>
      <w:r>
        <w:t xml:space="preserve"> </w:t>
      </w:r>
      <w:r>
        <w:t xml:space="preserve">medias de EXP2. La conclusión que ambas sostienen conjuntamente, y que sí es</w:t>
      </w:r>
      <w:r>
        <w:t xml:space="preserve"> </w:t>
      </w:r>
      <w:r>
        <w:t xml:space="preserve">robusta a esta discrepancia, es direccional: aumentar</w:t>
      </w:r>
      <w:r>
        <w:t xml:space="preserve"> </w:t>
      </w:r>
      <w:r>
        <w:rPr>
          <w:rStyle w:val="VerbatimChar"/>
        </w:rPr>
        <w:t xml:space="preserve">num_samples</w:t>
      </w:r>
      <w:r>
        <w:t xml:space="preserve"> </w:t>
      </w:r>
      <w:r>
        <w:t xml:space="preserve">no recupera</w:t>
      </w:r>
      <w:r>
        <w:t xml:space="preserve"> </w:t>
      </w:r>
      <w:r>
        <w:t xml:space="preserve">estabilidad, mientras que ampliar</w:t>
      </w:r>
      <w:r>
        <w:t xml:space="preserve"> </w:t>
      </w:r>
      <w:r>
        <w:rPr>
          <w:rStyle w:val="VerbatimChar"/>
        </w:rPr>
        <w:t xml:space="preserve">kernel_width</w:t>
      </w:r>
      <w:r>
        <w:t xml:space="preserve"> </w:t>
      </w:r>
      <w:r>
        <w:t xml:space="preserve">sí lo hace a costa de fidelidad.</w:t>
      </w:r>
      <w:r>
        <w:t xml:space="preserve"> </w:t>
      </w:r>
      <w:r>
        <w:t xml:space="preserve">Re-ejecutar la sonda de</w:t>
      </w:r>
      <w:r>
        <w:t xml:space="preserve"> </w:t>
      </w:r>
      <w:r>
        <w:rPr>
          <w:rStyle w:val="VerbatimChar"/>
        </w:rPr>
        <w:t xml:space="preserve">num_samples</w:t>
      </w:r>
      <w:r>
        <w:t xml:space="preserve"> </w:t>
      </w:r>
      <w:r>
        <w:t xml:space="preserve">produciría una medición nueva y no una</w:t>
      </w:r>
      <w:r>
        <w:t xml:space="preserve"> </w:t>
      </w:r>
      <w:r>
        <w:t xml:space="preserve">reproducción de esta tabla, dado que el script de sensibilidad conservado</w:t>
      </w:r>
      <w:r>
        <w:t xml:space="preserve"> </w:t>
      </w:r>
      <w:r>
        <w:t xml:space="preserve">(</w:t>
      </w:r>
      <w:r>
        <w:rPr>
          <w:rStyle w:val="VerbatimChar"/>
        </w:rPr>
        <w:t xml:space="preserve">src/scripts/run_sensitivity_analysis.py</w:t>
      </w:r>
      <w:r>
        <w:t xml:space="preserve">) recorre una rejilla distinta</w:t>
      </w:r>
      <w:r>
        <w:t xml:space="preserve"> </w:t>
      </w:r>
      <w:r>
        <w:t xml:space="preserve">(</w:t>
      </w:r>
      <ns1:oMath>
        <ns1:r>
          <ns1:rPr>
            <ns1:sty ns1:val="p"/>
          </ns1:rPr>
          <ns1:t>{</ns1:t>
        </ns1:r>
        <ns1:r>
          <ns1:t>500</ns1:t>
        </ns1:r>
        <ns1:r>
          <ns1:rPr>
            <ns1:sty ns1:val="p"/>
          </ns1:rPr>
          <ns1:t>,</ns1:t>
        </ns1:r>
        <ns1:r>
          <ns1:t>1000</ns1:t>
        </ns1:r>
        <ns1:r>
          <ns1:rPr>
            <ns1:sty ns1:val="p"/>
          </ns1:rPr>
          <ns1:t>,</ns1:t>
        </ns1:r>
        <ns1:r>
          <ns1:t>2000</ns1:t>
        </ns1:r>
        <ns1:r>
          <ns1:rPr>
            <ns1:sty ns1:val="p"/>
          </ns1:rPr>
          <ns1:t>,</ns1:t>
        </ns1:r>
        <ns1:r>
          <ns1:t>5000</ns1:t>
        </ns1:r>
        <ns1:r>
          <ns1:rPr>
            <ns1:sty ns1:val="p"/>
          </ns1:rPr>
          <ns1:t>,</ns1:t>
        </ns1:r>
        <ns1:r>
          <ns1:t>10000</ns1:t>
        </ns1:r>
        <ns1:r>
          <ns1:rPr>
            <ns1:sty ns1:val="p"/>
          </ns1:rPr>
          <ns1:t>}</ns1:t>
        </ns1:r>
      </ns1:oMath>
      <w:r>
        <w:t xml:space="preserve">) sobre la configuración base de EXP1.</w:t>
      </w:r>
    </w:p>
    <w:p>
      <w:pPr>
        <w:pStyle w:val="Textoindependiente"/>
        <w:spacing w:line="360" w:lineRule="auto"/>
        <w:jc w:val="both"/>
      </w:pPr>
      <w:r>
        <w:rPr>
          <w:b/>
          <w:bCs/>
        </w:rPr>
        <w:t xml:space="preserve">SHAP — sensibilidad al tamaño del conjunto de referencia.</w:t>
      </w:r>
      <w:r>
        <w:t xml:space="preserve"> </w:t>
      </w:r>
      <w:r>
        <w:t xml:space="preserve">Se varía el</w:t>
      </w:r>
      <w:r>
        <w:t xml:space="preserve"> </w:t>
      </w:r>
      <w:r>
        <w:t xml:space="preserve">número de instancias de referencia del</w:t>
      </w:r>
      <w:r>
        <w:t xml:space="preserve"> </w:t>
      </w:r>
      <w:r>
        <w:rPr>
          <w:rStyle w:val="VerbatimChar"/>
        </w:rPr>
        <w:t xml:space="preserve">KernelExplainer</w:t>
      </w:r>
      <w:r>
        <w:t xml:space="preserve"> </w:t>
      </w:r>
      <w:r>
        <w:t xml:space="preserve">(</w:t>
      </w:r>
      <ns1:oMath>
        <ns1:r>
          <ns1:rPr>
            <ns1:sty ns1:val="p"/>
          </ns1:rPr>
          <ns1:t>{</ns1:t>
        </ns1:r>
        <ns1:r>
          <ns1:t>25</ns1:t>
        </ns1:r>
        <ns1:r>
          <ns1:rPr>
            <ns1:sty ns1:val="p"/>
          </ns1:rPr>
          <ns1:t>,</ns1:t>
        </ns1:r>
        <ns1:r>
          <ns1:t>50</ns1:t>
        </ns1:r>
        <ns1:r>
          <ns1:rPr>
            <ns1:sty ns1:val="p"/>
          </ns1:rPr>
          <ns1:t>,</ns1:t>
        </ns1:r>
        <ns1:r>
          <ns1:t>100</ns1:t>
        </ns1:r>
        <ns1:r>
          <ns1:rPr>
            <ns1:sty ns1:val="p"/>
          </ns1:rPr>
          <ns1:t>}</ns1:t>
        </ns1:r>
      </ns1:oMath>
      <w:r>
        <w:t xml:space="preserve">)</w:t>
      </w:r>
      <w:r>
        <w:t xml:space="preserve"> </w:t>
      </w:r>
      <w:r>
        <w:t xml:space="preserve">para el modelo SVM (donde KernelSHAP es el método de cálculo).</w:t>
      </w:r>
    </w:p>
    <w:tbl>
      <w:tblPr>
        <w:tblStyle w:val="Table"/>
        <w:tblW w:type="pct" w:w="5000"/>
        <w:tblLayout w:type="fixed"/>
        <w:tblLook w:firstRow="0" w:lastRow="0" w:firstColumn="0" w:lastColumn="0" w:noHBand="0" w:noVBand="0" w:val="0000"/>
      </w:tblPr>
      <w:tblGrid>
        <w:gridCol w:w="7920"/>
      </w:tblGrid>
      <w:tr>
        <w:tc>
          <w:tcPr/>
          <w:bookmarkStart w:id="330" w:name="tbl-appendix-shap-sensitivity"/>
          <w:p>
            <w:pPr>
              <w:jc w:val="both"/>
              <w:spacing w:line="360" w:lineRule="auto"/>
            </w:pPr>
            <w:pPr>
              <w:jc w:val="left"/>
              <w:spacing w:before="200"/>
              <w:pStyle w:val="ImageCaption"/>
            </w:pPr>
            <w:r>
              <w:t xml:space="preserve">Table 7.9: Sensibilidad de KernelSHAP al tamaño del conjunto de referencia (SVM,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Referencia (</w:t>
                  </w:r>
                  <ns1:oMath>
                    <ns1:r>
                      <ns1:t>k</ns1:t>
                    </ns1:r>
                  </ns1:oMath>
                  <w:r>
                    <w:t xml:space="preserve">)</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25</w:t>
                  </w:r>
                </w:p>
              </w:tc>
              <w:tc>
                <w:tcPr/>
                <w:p>
                  <w:pPr>
                    <w:pStyle w:val="Compact"/>
                    <w:jc w:val="both"/>
                    <w:jc w:val="center"/>
                    <w:spacing w:line="360" w:lineRule="auto"/>
                  </w:pPr>
                  <w:r>
                    <w:t xml:space="preserve">0.921</w:t>
                  </w:r>
                </w:p>
              </w:tc>
              <w:tc>
                <w:tcPr/>
                <w:p>
                  <w:pPr>
                    <w:pStyle w:val="Compact"/>
                    <w:jc w:val="both"/>
                    <w:jc w:val="center"/>
                    <w:spacing w:line="360" w:lineRule="auto"/>
                  </w:pPr>
                  <w:r>
                    <w:t xml:space="preserve">0.728</w:t>
                  </w:r>
                </w:p>
              </w:tc>
              <w:tc>
                <w:tcPr/>
                <w:p>
                  <w:pPr>
                    <w:pStyle w:val="Compact"/>
                    <w:jc w:val="both"/>
                    <w:jc w:val="center"/>
                    <w:spacing w:line="360" w:lineRule="auto"/>
                  </w:pPr>
                  <w:r>
                    <w:t xml:space="preserve">41,233</w:t>
                  </w:r>
                </w:p>
              </w:tc>
            </w:tr>
            <w:tr>
              <w:tc>
                <w:tcPr/>
                <w:p>
                  <w:pPr>
                    <w:pStyle w:val="Compact"/>
                    <w:jc w:val="both"/>
                    <w:jc w:val="center"/>
                    <w:spacing w:line="360" w:lineRule="auto"/>
                  </w:pPr>
                  <w:r>
                    <w:t xml:space="preserve">50 (referencia)</w:t>
                  </w:r>
                </w:p>
              </w:tc>
              <w:tc>
                <w:tcPr/>
                <w:p>
                  <w:pPr>
                    <w:pStyle w:val="Compact"/>
                    <w:jc w:val="both"/>
                    <w:jc w:val="center"/>
                    <w:spacing w:line="360" w:lineRule="auto"/>
                  </w:pPr>
                  <w:r>
                    <w:t xml:space="preserve">0.928</w:t>
                  </w:r>
                </w:p>
              </w:tc>
              <w:tc>
                <w:tcPr/>
                <w:p>
                  <w:pPr>
                    <w:pStyle w:val="Compact"/>
                    <w:jc w:val="both"/>
                    <w:jc w:val="center"/>
                    <w:spacing w:line="360" w:lineRule="auto"/>
                  </w:pPr>
                  <w:r>
                    <w:t xml:space="preserve">0.731</w:t>
                  </w:r>
                </w:p>
              </w:tc>
              <w:tc>
                <w:tcPr/>
                <w:p>
                  <w:pPr>
                    <w:pStyle w:val="Compact"/>
                    <w:jc w:val="both"/>
                    <w:jc w:val="center"/>
                    <w:spacing w:line="360" w:lineRule="auto"/>
                  </w:pPr>
                  <w:r>
                    <w:t xml:space="preserve">159,059</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0.929</w:t>
                  </w:r>
                </w:p>
              </w:tc>
              <w:tc>
                <w:tcPr/>
                <w:p>
                  <w:pPr>
                    <w:pStyle w:val="Compact"/>
                    <w:jc w:val="both"/>
                    <w:jc w:val="center"/>
                    <w:spacing w:line="360" w:lineRule="auto"/>
                  </w:pPr>
                  <w:r>
                    <w:t xml:space="preserve">0.730</w:t>
                  </w:r>
                </w:p>
              </w:tc>
              <w:tc>
                <w:tcPr/>
                <w:p>
                  <w:pPr>
                    <w:pStyle w:val="Compact"/>
                    <w:jc w:val="both"/>
                    <w:jc w:val="center"/>
                    <w:spacing w:line="360" w:lineRule="auto"/>
                  </w:pPr>
                  <w:r>
                    <w:t xml:space="preserve">614,820</w:t>
                  </w:r>
                </w:p>
              </w:tc>
            </w:tr>
          </w:tbl>
          <w:bookmarkEnd w:id="330"/>
          <w:p>
            <w:pPr>
              <w:spacing w:line="360" w:lineRule="auto"/>
              <w:jc w:val="both"/>
            </w:pPr>
          </w:p>
        </w:tc>
      </w:tr>
    </w:tbl>
    <w:p>
      <w:pPr>
        <w:pStyle w:val="Textoindependiente"/>
        <w:spacing w:line="360" w:lineRule="auto"/>
        <w:jc w:val="both"/>
      </w:pPr>
      <w:r>
        <w:t xml:space="preserve">La fidelidad y estabilidad de SHAP son robustas al tamaño del conjunto de</w:t>
      </w:r>
      <w:r>
        <w:t xml:space="preserve"> </w:t>
      </w:r>
      <w:r>
        <w:t xml:space="preserve">referencia en los niveles evaluados (variación &lt; 1%); el coste crece de forma</w:t>
      </w:r>
      <w:r>
        <w:t xml:space="preserve"> </w:t>
      </w:r>
      <w:r>
        <w:t xml:space="preserve">supralineal con</w:t>
      </w:r>
      <w:r>
        <w:t xml:space="preserve"> </w:t>
      </w:r>
      <ns1:oMath>
        <ns1:r>
          <ns1:t>k</ns1:t>
        </ns1:r>
      </ns1:oMath>
      <w:r>
        <w:t xml:space="preserve">. Este resultado sugiere que el conjunto de referencia de 50</w:t>
      </w:r>
      <w:r>
        <w:t xml:space="preserve"> </w:t>
      </w:r>
      <w:r>
        <w:t xml:space="preserve">instancias usado en la tesis es suficiente para obtener atribuciones estables</w:t>
      </w:r>
      <w:r>
        <w:t xml:space="preserve"> </w:t>
      </w:r>
      <w:r>
        <w:t xml:space="preserve">sin incurrir en el coste computacional de referencias mayores.</w:t>
      </w:r>
    </w:p>
    <w:p>
      <w:pPr>
        <w:pStyle w:val="Textoindependiente"/>
        <w:spacing w:line="360" w:lineRule="auto"/>
        <w:jc w:val="both"/>
      </w:pPr>
      <w:r>
        <w:rPr>
          <w:b/>
          <w:bCs/>
        </w:rPr>
        <w:t xml:space="preserve">Anchors — sensibilidad al umbral de precisión</w:t>
      </w:r>
      <w:r>
        <w:rPr>
          <w:b/>
          <w:bCs/>
        </w:rPr>
        <w:t xml:space="preserve"> </w:t>
      </w:r>
      <ns1:oMath>
        <ns1:r>
          <ns1:t>τ</ns1:t>
        </ns1:r>
      </ns1:oMath>
      <w:r>
        <w:rPr>
          <w:b/>
          <w:bCs/>
        </w:rPr>
        <w:t xml:space="preserve">.</w:t>
      </w:r>
      <w:r>
        <w:t xml:space="preserve"> </w:t>
      </w:r>
      <w:r>
        <w:t xml:space="preserve">Se varía el umbral</w:t>
      </w:r>
      <w:r>
        <w:t xml:space="preserve"> </w:t>
      </w:r>
      <w:r>
        <w:t xml:space="preserve">de precisión mínima para aceptar una regla (</w:t>
      </w:r>
      <ns1:oMath>
        <ns1:r>
          <ns1:rPr>
            <ns1:sty ns1:val="p"/>
          </ns1:rPr>
          <ns1:t>{</ns1:t>
        </ns1:r>
        <ns1:r>
          <ns1:t>0.90</ns1:t>
        </ns1:r>
        <ns1:r>
          <ns1:rPr>
            <ns1:sty ns1:val="p"/>
          </ns1:rPr>
          <ns1:t>,</ns1:t>
        </ns1:r>
        <ns1:r>
          <ns1:t>0.95</ns1:t>
        </ns1:r>
        <ns1:r>
          <ns1:rPr>
            <ns1:sty ns1:val="p"/>
          </ns1:rPr>
          <ns1:t>,</ns1:t>
        </ns1:r>
        <ns1:r>
          <ns1:t>0.99</ns1:t>
        </ns1:r>
        <ns1:r>
          <ns1:rPr>
            <ns1:sty ns1:val="p"/>
          </ns1:rPr>
          <ns1:t>}</ns1:t>
        </ns1:r>
      </ns1:oMath>
      <w:r>
        <w:t xml:space="preserve">) sobre el</w:t>
      </w:r>
      <w:r>
        <w:t xml:space="preserve"> </w:t>
      </w:r>
      <w:r>
        <w:t xml:space="preserve">modelo RF.</w:t>
      </w:r>
    </w:p>
    <w:tbl>
      <w:tblPr>
        <w:tblStyle w:val="Table"/>
        <w:tblW w:type="pct" w:w="5000"/>
        <w:tblLayout w:type="fixed"/>
        <w:tblLook w:firstRow="0" w:lastRow="0" w:firstColumn="0" w:lastColumn="0" w:noHBand="0" w:noVBand="0" w:val="0000"/>
      </w:tblPr>
      <w:tblGrid>
        <w:gridCol w:w="7920"/>
      </w:tblGrid>
      <w:tr>
        <w:tc>
          <w:tcPr/>
          <w:bookmarkStart w:id="331" w:name="tbl-appendix-anchors-sensitivity"/>
          <w:p>
            <w:pPr>
              <w:jc w:val="both"/>
              <w:spacing w:line="360" w:lineRule="auto"/>
            </w:pPr>
            <w:pPr>
              <w:jc w:val="left"/>
              <w:spacing w:before="200"/>
              <w:pStyle w:val="ImageCaption"/>
            </w:pPr>
            <w:r>
              <w:t xml:space="preserve">Table 7.10: Sensibilidad de Anchors al umbral de precisión</w:t>
            </w:r>
            <w:r>
              <w:t xml:space="preserve"> </w:t>
            </w:r>
            <ns1:oMath>
              <ns1:r>
                <ns1:t>τ</ns1:t>
              </ns1:r>
            </ns1:oMath>
            <w:r>
              <w:t xml:space="preserve">.</w:t>
            </w:r>
            <w:r>
              <w:t xml:space="preserve"> </w:t>
            </w:r>
            <w:r>
              <w:rPr>
                <w:b/>
                <w:bCs/>
              </w:rPr>
              <w:t xml:space="preserve">Las dos columnas</w:t>
            </w:r>
            <w:r>
              <w:rPr>
                <w:b/>
                <w:bCs/>
              </w:rPr>
              <w:t xml:space="preserve"> </w:t>
            </w:r>
            <w:r>
              <w:rPr>
                <w:b/>
                <w:bCs/>
              </w:rPr>
              <w:t xml:space="preserve">tienen alcances distintos</w:t>
            </w:r>
            <w:r>
              <w:t xml:space="preserve">: la cobertura se computa sobre las 75 celdas del</w:t>
            </w:r>
            <w:r>
              <w:t xml:space="preserve"> </w:t>
            </w:r>
            <w:r>
              <w:t xml:space="preserve">diseño completo de Anchors (5 modelos</w:t>
            </w:r>
            <w:r>
              <w:t xml:space="preserve"> </w:t>
            </w:r>
            <ns1:oMath>
              <ns1:r>
                <ns1:rPr>
                  <ns1:sty ns1:val="p"/>
                </ns1:rPr>
                <ns1:t>×</ns1:t>
              </ns1:r>
            </ns1:oMath>
            <w:r>
              <w:t xml:space="preserve"> </w:t>
            </w:r>
            <w:r>
              <w:t xml:space="preserve">5 semillas</w:t>
            </w:r>
            <w:r>
              <w:t xml:space="preserve"> </w:t>
            </w:r>
            <ns1:oMath>
              <ns1:r>
                <ns1:rPr>
                  <ns1:sty ns1:val="p"/>
                </ns1:rPr>
                <ns1:t>×</ns1:t>
              </ns1:r>
            </ns1:oMath>
            <w:r>
              <w:t xml:space="preserve"> </w:t>
            </w:r>
            <w:r>
              <w:t xml:space="preserve">3 tamaños) —de</w:t>
            </w:r>
            <w:r>
              <w:t xml:space="preserve"> </w:t>
            </w:r>
            <w:r>
              <w:t xml:space="preserve">ahí que la fila de referencia coincida exactamente con el 57/75 = 76.0% de</w:t>
            </w:r>
            <w:r>
              <w:t xml:space="preserve"> </w:t>
            </w:r>
            <w:hyperlink w:anchor="tbl-coverage-method">
              <w:r>
                <w:rPr>
                  <w:rStyle w:val="Hipervnculo"/>
                </w:rPr>
                <w:t xml:space="preserve">Table 4.5</w:t>
              </w:r>
            </w:hyperlink>
            <w:r>
              <w:t xml:space="preserve">—, mientras que la fidelidad y el coste corresponden a la</w:t>
            </w:r>
            <w:r>
              <w:t xml:space="preserve"> </w:t>
            </w:r>
            <w:r>
              <w:t xml:space="preserve">condición de sondeo RF, semilla 42.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ns1:oMath>
                    <ns1:r>
                      <ns1:t>τ</ns1:t>
                    </ns1:r>
                  </ns1:oMath>
                </w:p>
              </w:tc>
              <w:tc>
                <w:tcPr/>
                <w:p>
                  <w:pPr>
                    <w:pStyle w:val="Compact"/>
                    <w:jc w:val="both"/>
                    <w:jc w:val="center"/>
                    <w:spacing w:line="360" w:lineRule="auto"/>
                  </w:pPr>
                  <w:r>
                    <w:t xml:space="preserve">Cobertura del diseño completo (75 celdas)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0.90</w:t>
                  </w:r>
                </w:p>
              </w:tc>
              <w:tc>
                <w:tcPr/>
                <w:p>
                  <w:pPr>
                    <w:pStyle w:val="Compact"/>
                    <w:jc w:val="both"/>
                    <w:jc w:val="center"/>
                    <w:spacing w:line="360" w:lineRule="auto"/>
                  </w:pPr>
                  <w:r>
                    <w:t xml:space="preserve">72/75 (96%)</w:t>
                  </w:r>
                </w:p>
              </w:tc>
              <w:tc>
                <w:tcPr/>
                <w:p>
                  <w:pPr>
                    <w:pStyle w:val="Compact"/>
                    <w:jc w:val="both"/>
                    <w:jc w:val="center"/>
                    <w:spacing w:line="360" w:lineRule="auto"/>
                  </w:pPr>
                  <w:r>
                    <w:t xml:space="preserve">0.421</w:t>
                  </w:r>
                </w:p>
              </w:tc>
              <w:tc>
                <w:tcPr/>
                <w:p>
                  <w:pPr>
                    <w:pStyle w:val="Compact"/>
                    <w:jc w:val="both"/>
                    <w:jc w:val="center"/>
                    <w:spacing w:line="360" w:lineRule="auto"/>
                  </w:pPr>
                  <w:r>
                    <w:t xml:space="preserve">9,843</w:t>
                  </w:r>
                </w:p>
              </w:tc>
            </w:tr>
            <w:tr>
              <w:tc>
                <w:tcPr/>
                <w:p>
                  <w:pPr>
                    <w:pStyle w:val="Compact"/>
                    <w:jc w:val="both"/>
                    <w:jc w:val="center"/>
                    <w:spacing w:line="360" w:lineRule="auto"/>
                  </w:pPr>
                  <w:r>
                    <w:t xml:space="preserve">0.95 (referencia)</w:t>
                  </w:r>
                </w:p>
              </w:tc>
              <w:tc>
                <w:tcPr/>
                <w:p>
                  <w:pPr>
                    <w:pStyle w:val="Compact"/>
                    <w:jc w:val="both"/>
                    <w:jc w:val="center"/>
                    <w:spacing w:line="360" w:lineRule="auto"/>
                  </w:pPr>
                  <w:r>
                    <w:t xml:space="preserve">57/75 (76%)</w:t>
                  </w:r>
                </w:p>
              </w:tc>
              <w:tc>
                <w:tcPr/>
                <w:p>
                  <w:pPr>
                    <w:pStyle w:val="Compact"/>
                    <w:jc w:val="both"/>
                    <w:jc w:val="center"/>
                    <w:spacing w:line="360" w:lineRule="auto"/>
                  </w:pPr>
                  <w:r>
                    <w:t xml:space="preserve">0.386</w:t>
                  </w:r>
                </w:p>
              </w:tc>
              <w:tc>
                <w:tcPr/>
                <w:p>
                  <w:pPr>
                    <w:pStyle w:val="Compact"/>
                    <w:jc w:val="both"/>
                    <w:jc w:val="center"/>
                    <w:spacing w:line="360" w:lineRule="auto"/>
                  </w:pPr>
                  <w:r>
                    <w:t xml:space="preserve">16,000</w:t>
                  </w:r>
                </w:p>
              </w:tc>
            </w:tr>
            <w:tr>
              <w:tc>
                <w:tcPr/>
                <w:p>
                  <w:pPr>
                    <w:pStyle w:val="Compact"/>
                    <w:jc w:val="both"/>
                    <w:jc w:val="center"/>
                    <w:spacing w:line="360" w:lineRule="auto"/>
                  </w:pPr>
                  <w:r>
                    <w:t xml:space="preserve">0.99</w:t>
                  </w:r>
                </w:p>
              </w:tc>
              <w:tc>
                <w:tcPr/>
                <w:p>
                  <w:pPr>
                    <w:pStyle w:val="Compact"/>
                    <w:jc w:val="both"/>
                    <w:jc w:val="center"/>
                    <w:spacing w:line="360" w:lineRule="auto"/>
                  </w:pPr>
                  <w:r>
                    <w:t xml:space="preserve">31/75 (41%)</w:t>
                  </w:r>
                </w:p>
              </w:tc>
              <w:tc>
                <w:tcPr/>
                <w:p>
                  <w:pPr>
                    <w:pStyle w:val="Compact"/>
                    <w:jc w:val="both"/>
                    <w:jc w:val="center"/>
                    <w:spacing w:line="360" w:lineRule="auto"/>
                  </w:pPr>
                  <w:r>
                    <w:t xml:space="preserve">0.411</w:t>
                  </w:r>
                </w:p>
              </w:tc>
              <w:tc>
                <w:tcPr/>
                <w:p>
                  <w:pPr>
                    <w:pStyle w:val="Compact"/>
                    <w:jc w:val="both"/>
                    <w:jc w:val="center"/>
                    <w:spacing w:line="360" w:lineRule="auto"/>
                  </w:pPr>
                  <w:r>
                    <w:t xml:space="preserve">28,721</w:t>
                  </w:r>
                </w:p>
              </w:tc>
            </w:tr>
          </w:tbl>
          <w:bookmarkEnd w:id="331"/>
          <w:p>
            <w:pPr>
              <w:spacing w:line="360" w:lineRule="auto"/>
              <w:jc w:val="both"/>
            </w:pPr>
          </w:p>
        </w:tc>
      </w:tr>
    </w:tbl>
    <w:p>
      <w:pPr>
        <w:pStyle w:val="Textoindependiente"/>
        <w:spacing w:line="360" w:lineRule="auto"/>
        <w:jc w:val="both"/>
      </w:pPr>
      <w:r>
        <w:t xml:space="preserve">La cobertura de Anchors es extremadamente sensible a</w:t>
      </w:r>
      <w:r>
        <w:t xml:space="preserve"> </w:t>
      </w:r>
      <ns1:oMath>
        <ns1:r>
          <ns1:t>τ</ns1:t>
        </ns1:r>
      </ns1:oMath>
      <w:r>
        <w:t xml:space="preserve">: reducir el umbral</w:t>
      </w:r>
      <w:r>
        <w:t xml:space="preserve"> </w:t>
      </w:r>
      <w:r>
        <w:t xml:space="preserve">a 0.90 aumenta la cobertura de 76% a 96%, mientras que elevar a 0.99 la reduce</w:t>
      </w:r>
      <w:r>
        <w:t xml:space="preserve"> </w:t>
      </w:r>
      <w:r>
        <w:t xml:space="preserve">a 41%. Este resultado indica que la elección de</w:t>
      </w:r>
      <w:r>
        <w:t xml:space="preserve"> </w:t>
      </w:r>
      <ns1:oMath>
        <ns1:r>
          <ns1:t>τ</ns1:t>
        </ns1:r>
      </ns1:oMath>
      <w:r>
        <w:t xml:space="preserve"> </w:t>
      </w:r>
      <w:r>
        <w:t xml:space="preserve">es la decisión de</w:t>
      </w:r>
      <w:r>
        <w:t xml:space="preserve"> </w:t>
      </w:r>
      <w:r>
        <w:t xml:space="preserve">configuración de mayor impacto en Anchors y debe documentarse explícitamente en</w:t>
      </w:r>
      <w:r>
        <w:t xml:space="preserve"> </w:t>
      </w:r>
      <w:r>
        <w:t xml:space="preserve">cualquier benchmark que incluya este método. La fidelidad no mejora</w:t>
      </w:r>
      <w:r>
        <w:t xml:space="preserve"> </w:t>
      </w:r>
      <w:r>
        <w:t xml:space="preserve">monotónicamente con</w:t>
      </w:r>
      <w:r>
        <w:t xml:space="preserve"> </w:t>
      </w:r>
      <ns1:oMath>
        <ns1:r>
          <ns1:t>τ</ns1:t>
        </ns1:r>
      </ns1:oMath>
      <w:r>
        <w:t xml:space="preserve">, dado que reglas de mayor precisión no</w:t>
      </w:r>
      <w:r>
        <w:t xml:space="preserve"> </w:t>
      </w:r>
      <w:r>
        <w:t xml:space="preserve">necesariamente son más informativas bajo la métrica de correlación de</w:t>
      </w:r>
      <w:r>
        <w:t xml:space="preserve"> </w:t>
      </w:r>
      <w:r>
        <w:t xml:space="preserve">importancias.</w:t>
      </w:r>
    </w:p>
    <w:p>
      <w:pPr>
        <w:pStyle w:val="Textoindependiente"/>
        <w:spacing w:line="360" w:lineRule="auto"/>
        <w:jc w:val="both"/>
      </w:pPr>
      <w:r>
        <w:rPr>
          <w:b/>
          <w:bCs/>
        </w:rPr>
        <w:t xml:space="preserve">LIME — sensibilidad a</w:t>
      </w:r>
      <w:r>
        <w:rPr>
          <w:b/>
          <w:bCs/>
        </w:rPr>
        <w:t xml:space="preserve"> </w:t>
      </w:r>
      <w:r>
        <w:rPr>
          <w:rStyle w:val="VerbatimChar"/>
          <w:b/>
          <w:bCs/>
        </w:rPr>
        <w:t xml:space="preserve">kernel_width</w:t>
      </w:r>
      <w:r>
        <w:rPr>
          <w:b/>
          <w:bCs/>
        </w:rPr>
        <w:t xml:space="preserve">.</w:t>
      </w:r>
      <w:r>
        <w:t xml:space="preserve"> </w:t>
      </w:r>
      <w:r>
        <w:t xml:space="preserve">Se varía el ancho del kernel exponencial (</w:t>
      </w:r>
      <ns1:oMath>
        <ns1:r>
          <ns1:rPr>
            <ns1:sty ns1:val="p"/>
          </ns1:rPr>
          <ns1:t>{</ns1:t>
        </ns1:r>
        <ns1:r>
          <ns1:t>0.25</ns1:t>
        </ns1:r>
        <ns1:r>
          <ns1:rPr>
            <ns1:sty ns1:val="p"/>
          </ns1:rPr>
          <ns1:t>,</ns1:t>
        </ns1:r>
        <ns1:r>
          <ns1:t>0.75</ns1:t>
        </ns1:r>
        <ns1:r>
          <ns1:rPr>
            <ns1:sty ns1:val="p"/>
          </ns1:rPr>
          <ns1:t>,</ns1:t>
        </ns1:r>
        <ns1:r>
          <ns1:t>3.0</ns1:t>
        </ns1:r>
        <ns1:r>
          <ns1:rPr>
            <ns1:sty ns1:val="p"/>
          </ns1:rPr>
          <ns1:t>,</ns1:t>
        </ns1:r>
        <ns1:r>
          <ns1:t>10.0</ns1:t>
        </ns1:r>
        <ns1:r>
          <ns1:rPr>
            <ns1:sty ns1:val="p"/>
          </ns1:rPr>
          <ns1:t>}</ns1:t>
        </ns1:r>
      </ns1:oMath>
      <w:r>
        <w:t xml:space="preserve">) manteniendo</w:t>
      </w:r>
      <w:r>
        <w:t xml:space="preserve"> </w:t>
      </w:r>
      <w:r>
        <w:rPr>
          <w:rStyle w:val="VerbatimChar"/>
        </w:rPr>
        <w:t xml:space="preserve">num_samples = 1000</w:t>
      </w:r>
      <w:r>
        <w:t xml:space="preserve"> </w:t>
      </w:r>
      <w:r>
        <w:t xml:space="preserve">y</w:t>
      </w:r>
      <w:r>
        <w:t xml:space="preserve"> </w:t>
      </w:r>
      <w:r>
        <w:rPr>
          <w:rStyle w:val="VerbatimChar"/>
        </w:rPr>
        <w:t xml:space="preserve">num_features = 10</w:t>
      </w:r>
      <w:r>
        <w:t xml:space="preserve"> </w:t>
      </w:r>
      <w:r>
        <w:t xml:space="preserve">constantes. La condición de referencia (</w:t>
      </w:r>
      <w:r>
        <w:rPr>
          <w:rStyle w:val="VerbatimChar"/>
        </w:rPr>
        <w:t xml:space="preserve">kernel_width = 3.0</w:t>
      </w:r>
      <w:r>
        <w:t xml:space="preserve">) corresponde a la configuración EXP2. Se reportan instancias válidas (al menos un peso no nulo), fidelidad y estabilidad media, y coste unitario (RF,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0" w:lastRow="0" w:firstColumn="0" w:lastColumn="0" w:noHBand="0" w:noVBand="0" w:val="0000"/>
      </w:tblPr>
      <w:tblGrid>
        <w:gridCol w:w="7920"/>
      </w:tblGrid>
      <w:tr>
        <w:tc>
          <w:tcPr/>
          <w:bookmarkStart w:id="332" w:name="tbl-appendix-lime-kw-sensitivity"/>
          <w:p>
            <w:pPr>
              <w:jc w:val="both"/>
              <w:spacing w:line="360" w:lineRule="auto"/>
            </w:pPr>
            <w:pPr>
              <w:jc w:val="left"/>
              <w:spacing w:before="200"/>
              <w:pStyle w:val="ImageCaption"/>
            </w:pPr>
            <w:r>
              <w:t xml:space="preserve">Table 7.11: Sensibilidad de LIME a</w:t>
            </w:r>
            <w:r>
              <w:t xml:space="preserve"> </w:t>
            </w:r>
            <w:r>
              <w:rPr>
                <w:rStyle w:val="VerbatimChar"/>
              </w:rPr>
              <w:t xml:space="preserve">kernel_width</w:t>
            </w:r>
            <w:r>
              <w:t xml:space="preserve"> </w:t>
            </w:r>
            <w:r>
              <w:t xml:space="preserve">(RF,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rStyle w:val="VerbatimChar"/>
                    </w:rPr>
                    <w:t xml:space="preserve">kernel_width</w:t>
                  </w:r>
                </w:p>
              </w:tc>
              <w:tc>
                <w:tcPr/>
                <w:p>
                  <w:pPr>
                    <w:pStyle w:val="Compact"/>
                    <w:jc w:val="both"/>
                    <w:jc w:val="center"/>
                    <w:spacing w:line="360" w:lineRule="auto"/>
                  </w:pPr>
                  <w:r>
                    <w:t xml:space="preserve">Instancias válidas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0.25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0.75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3.0 (referencia)</w:t>
                  </w:r>
                </w:p>
              </w:tc>
              <w:tc>
                <w:tcPr/>
                <w:p>
                  <w:pPr>
                    <w:pStyle w:val="Compact"/>
                    <w:jc w:val="both"/>
                    <w:jc w:val="center"/>
                    <w:spacing w:line="360" w:lineRule="auto"/>
                  </w:pPr>
                  <w:r>
                    <w:t xml:space="preserve">96 / 100</w:t>
                  </w:r>
                </w:p>
              </w:tc>
              <w:tc>
                <w:tcPr/>
                <w:p>
                  <w:pPr>
                    <w:pStyle w:val="Compact"/>
                    <w:jc w:val="both"/>
                    <w:jc w:val="center"/>
                    <w:spacing w:line="360" w:lineRule="auto"/>
                  </w:pPr>
                  <w:r>
                    <w:t xml:space="preserve">0.518</w:t>
                  </w:r>
                </w:p>
              </w:tc>
              <w:tc>
                <w:tcPr/>
                <w:p>
                  <w:pPr>
                    <w:pStyle w:val="Compact"/>
                    <w:jc w:val="both"/>
                    <w:jc w:val="center"/>
                    <w:spacing w:line="360" w:lineRule="auto"/>
                  </w:pPr>
                  <w:r>
                    <w:t xml:space="preserve">0.000</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0.087</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100 / 100</w:t>
                  </w:r>
                </w:p>
              </w:tc>
              <w:tc>
                <w:tcPr/>
                <w:p>
                  <w:pPr>
                    <w:pStyle w:val="Compact"/>
                    <w:jc w:val="both"/>
                    <w:jc w:val="center"/>
                    <w:spacing w:line="360" w:lineRule="auto"/>
                  </w:pPr>
                  <w:r>
                    <w:t xml:space="preserve">0.441</w:t>
                  </w:r>
                </w:p>
              </w:tc>
              <w:tc>
                <w:tcPr/>
                <w:p>
                  <w:pPr>
                    <w:pStyle w:val="Compact"/>
                    <w:jc w:val="both"/>
                    <w:jc w:val="center"/>
                    <w:spacing w:line="360" w:lineRule="auto"/>
                  </w:pPr>
                  <w:r>
                    <w:t xml:space="preserve">0.664</w:t>
                  </w:r>
                </w:p>
              </w:tc>
              <w:tc>
                <w:tcPr/>
                <w:p>
                  <w:pPr>
                    <w:pStyle w:val="Compact"/>
                    <w:jc w:val="both"/>
                    <w:jc w:val="center"/>
                    <w:spacing w:line="360" w:lineRule="auto"/>
                  </w:pPr>
                  <w:r>
                    <w:t xml:space="preserve">32</w:t>
                  </w:r>
                </w:p>
              </w:tc>
              <w:tc>
                <w:tcPr/>
                <w:p>
                  <w:pPr>
                    <w:pStyle w:val="Compact"/>
                    <w:jc w:val="both"/>
                    <w:jc w:val="center"/>
                    <w:spacing w:line="360" w:lineRule="auto"/>
                  </w:pPr>
                  <w:r>
                    <w:t xml:space="preserve">0.093</w:t>
                  </w:r>
                </w:p>
              </w:tc>
            </w:tr>
          </w:tbl>
          <w:bookmarkEnd w:id="332"/>
          <w:p>
            <w:pPr>
              <w:spacing w:line="360" w:lineRule="auto"/>
              <w:jc w:val="both"/>
            </w:pPr>
          </w:p>
        </w:tc>
      </w:tr>
    </w:tbl>
    <w:p>
      <w:pPr>
        <w:pStyle w:val="Textoindependiente"/>
        <w:spacing w:line="360" w:lineRule="auto"/>
        <w:jc w:val="both"/>
      </w:pPr>
      <w:r>
        <w:t xml:space="preserve">Los valores 0.25 y 0.75 son completamente degenerados en el espacio de características preprocesado de 103 dimensiones: el radio del vecindario es inferior a las distancias típicas entre instancias una vez aplicada la codificación one-hot y la estandarización, y LIME no puede ajustar ningún modelo sustituto local con señal apreciable. La referencia (</w:t>
      </w:r>
      <w:r>
        <w:rPr>
          <w:rStyle w:val="VerbatimChar"/>
        </w:rPr>
        <w:t xml:space="preserve">kernel_width = 3.0</w:t>
      </w:r>
      <w:r>
        <w:t xml:space="preserve">) produce pesos no nulos en el 96% de las instancias y una fidelidad de 0.518, pero la estabilidad bajo perturbaciones de</w:t>
      </w:r>
      <w:r>
        <w:t xml:space="preserve"> </w:t>
      </w:r>
      <ns1:oMath>
        <ns1:r>
          <ns1:t>σ</ns1:t>
        </ns1:r>
        <ns1:r>
          <ns1:rPr>
            <ns1:sty ns1:val="p"/>
          </ns1:rPr>
          <ns1:t>=</ns1:t>
        </ns1:r>
        <ns1:r>
          <ns1:t>0.1</ns1:t>
        </ns1:r>
      </ns1:oMath>
      <w:r>
        <w:t xml:space="preserve"> </w:t>
      </w:r>
      <w:r>
        <w:t xml:space="preserve">es prácticamente nula (consistente con los hallazgos de EXP2). El valor</w:t>
      </w:r>
      <w:r>
        <w:t xml:space="preserve"> </w:t>
      </w:r>
      <w:r>
        <w:rPr>
          <w:rStyle w:val="VerbatimChar"/>
        </w:rPr>
        <w:t xml:space="preserve">kernel_width = 10.0</w:t>
      </w:r>
      <w:r>
        <w:t xml:space="preserve"> </w:t>
      </w:r>
      <w:r>
        <w:t xml:space="preserve">produce explicaciones válidas en el 100% de las instancias y una estabilidad de 0.664, pero a costa de menor fidelidad (0.441) porque el vecindario más amplio promedia regiones de decisión heterogéneas. Estos resultados delimitan el alcance del hallazgo de EXP2 en dos direcciones. Por un lado, la inestabilidad observada bajo la configuración de referencia no se debe a una calibración deficiente del kernel: reducir el ancho no la corrige, sino que degenera las explicaciones, y</w:t>
      </w:r>
      <w:r>
        <w:t xml:space="preserve"> </w:t>
      </w:r>
      <w:r>
        <w:rPr>
          <w:rStyle w:val="VerbatimChar"/>
        </w:rPr>
        <w:t xml:space="preserve">kernel_width = 3.0</w:t>
      </w:r>
      <w:r>
        <w:t xml:space="preserve"> </w:t>
      </w:r>
      <w:r>
        <w:t xml:space="preserve">es el valor mínimo viable en este espacio. Por otro, tampoco es independiente de ese parámetro: ampliar el kernel a 10.0 recupera una estabilidad de 0.664 a costa de localidad y de fidelidad. La lectura conjunta es que la estabilidad de LIME en datos tabulares de alta dimensión depende del par (ancho de kernel, espacio de características) y debe medirse para la configuración concreta de despliegue, no presuponerse.</w:t>
      </w:r>
    </w:p>
    <w:p>
      <w:pPr>
        <w:pStyle w:val="Textoindependiente"/>
        <w:spacing w:line="360" w:lineRule="auto"/>
        <w:jc w:val="both"/>
      </w:pPr>
      <w:r>
        <w:t xml:space="preserve">En conjunto, estos análisis muestran que los resultados principales (SHAP</w:t>
      </w:r>
      <w:r>
        <w:t xml:space="preserve"> </w:t>
      </w:r>
      <w:r>
        <w:t xml:space="preserve">superior a LIME en fidelidad y estabilidad; estabilidad de LIME casi nula bajo</w:t>
      </w:r>
      <w:r>
        <w:t xml:space="preserve"> </w:t>
      </w:r>
      <w:r>
        <w:t xml:space="preserve">la configuración de referencia) son robustos a variaciones razonables de los</w:t>
      </w:r>
      <w:r>
        <w:t xml:space="preserve"> </w:t>
      </w:r>
      <w:r>
        <w:t xml:space="preserve">hiperparámetros dentro de los rangos explorados, con la excepción explícita del</w:t>
      </w:r>
      <w:r>
        <w:t xml:space="preserve"> </w:t>
      </w:r>
      <w:r>
        <w:t xml:space="preserve">ancho de kernel, que sí modifica sustancialmente la estabilidad de LIME. La excepción es la cobertura de Anchors, que cambia</w:t>
      </w:r>
      <w:r>
        <w:t xml:space="preserve"> </w:t>
      </w:r>
      <w:r>
        <w:t xml:space="preserve">significativamente con</w:t>
      </w:r>
      <w:r>
        <w:t xml:space="preserve"> </w:t>
      </w:r>
      <ns1:oMath>
        <ns1:r>
          <ns1:t>τ</ns1:t>
        </ns1:r>
      </ns1:oMath>
      <w:r>
        <w:t xml:space="preserve"> </w:t>
      </w:r>
      <w:r>
        <w:t xml:space="preserve">y debe tratarse como un parámetro de diseño</w:t>
      </w:r>
      <w:r>
        <w:t xml:space="preserve"> </w:t>
      </w:r>
      <w:r>
        <w:t xml:space="preserve">explícito, no como un valor predeterminado.</w:t>
      </w:r>
    </w:p>
    <w:bookmarkEnd w:id="333"/>
    <w:bookmarkEnd w:id="334"/>
    <w:bookmarkStart w:id="342" w:name="X5f7bacac88c7eb1c452db69614af410a4173f84"/>
    <w:p>
      <w:pPr>
        <w:pStyle w:val="Ttulo2"/>
        <w:spacing w:line="360" w:lineRule="auto"/>
        <w:jc w:val="both"/>
      </w:pPr>
      <w:r>
        <w:t xml:space="preserve">Apéndice D: Salidas estadísticas y trazabilidad</w:t>
      </w:r>
    </w:p>
    <w:p>
      <w:pPr>
        <w:pStyle w:val="FirstParagraph"/>
        <w:spacing w:line="360" w:lineRule="auto"/>
        <w:jc w:val="both"/>
      </w:pPr>
      <w:r>
        <w:t xml:space="preserve">Las tablas inferenciales usadas en el Capítulo 4 se generan desde</w:t>
      </w:r>
      <w:r>
        <w:t xml:space="preserve"> </w:t>
      </w:r>
      <w:r>
        <w:rPr>
          <w:rStyle w:val="VerbatimChar"/>
        </w:rPr>
        <w:t xml:space="preserve">scripts/run_exp2_statistical_analysis.py</w:t>
      </w:r>
      <w:r>
        <w:t xml:space="preserve"> </w:t>
      </w:r>
      <w:r>
        <w:t xml:space="preserve">y se exportan a</w:t>
      </w:r>
      <w:r>
        <w:t xml:space="preserve"> </w:t>
      </w:r>
      <w:r>
        <w:rPr>
          <w:rStyle w:val="VerbatimChar"/>
        </w:rPr>
        <w:t xml:space="preserve">outputs/analysis/paper_a_exp2_stats/</w:t>
      </w:r>
      <w:r>
        <w:t xml:space="preserve">.</w:t>
      </w:r>
    </w:p>
    <w:tbl>
      <w:tblPr>
        <w:tblStyle w:val="Table"/>
        <w:tblW w:type="pct" w:w="5000"/>
        <w:tblLayout w:type="fixed"/>
        <w:tblLook w:firstRow="0" w:lastRow="0" w:firstColumn="0" w:lastColumn="0" w:noHBand="0" w:noVBand="0" w:val="0000"/>
      </w:tblPr>
      <w:tblGrid>
        <w:gridCol w:w="7920"/>
      </w:tblGrid>
      <w:tr>
        <w:tc>
          <w:tcPr/>
          <w:bookmarkStart w:id="335" w:name="tbl-appendix-stat-outputs"/>
          <w:p>
            <w:pPr>
              <w:jc w:val="both"/>
              <w:spacing w:line="360" w:lineRule="auto"/>
            </w:pPr>
            <w:pPr>
              <w:jc w:val="left"/>
              <w:spacing w:before="200"/>
              <w:pStyle w:val="ImageCaption"/>
            </w:pPr>
            <w:r>
              <w:t xml:space="preserve">Table 7.12: Salidas estadísticas principales y uso en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tesis</w:t>
                  </w:r>
                </w:p>
              </w:tc>
            </w:tr>
            <w:tr>
              <w:tc>
                <w:tcPr/>
                <w:p>
                  <w:pPr>
                    <w:pStyle w:val="Compact"/>
                    <w:jc w:val="both"/>
                    <w:jc w:val="center"/>
                    <w:spacing w:line="360" w:lineRule="auto"/>
                  </w:pPr>
                  <w:r>
                    <w:rPr>
                      <w:rStyle w:val="VerbatimChar"/>
                    </w:rPr>
                    <w:t xml:space="preserve">friedman_results.csv</w:t>
                  </w:r>
                </w:p>
              </w:tc>
              <w:tc>
                <w:tcPr/>
                <w:p>
                  <w:pPr>
                    <w:pStyle w:val="Compact"/>
                    <w:jc w:val="both"/>
                    <w:jc w:val="center"/>
                    <w:spacing w:line="360" w:lineRule="auto"/>
                  </w:pPr>
                  <w:r>
                    <w:t xml:space="preserve">Estadísticos Friedman,</w:t>
                  </w:r>
                  <w:r>
                    <w:t xml:space="preserve"> </w:t>
                  </w:r>
                  <ns1:oMath>
                    <ns1:r>
                      <ns1:t>p</ns1:t>
                    </ns1:r>
                  </ns1:oMath>
                  <w:r>
                    <w:t xml:space="preserve"> </w:t>
                  </w:r>
                  <w:r>
                    <w:t xml:space="preserve">crudos,</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Kendall</w:t>
                  </w:r>
                  <w:r>
                    <w:t xml:space="preserve"> </w:t>
                  </w:r>
                  <ns1:oMath>
                    <ns1:r>
                      <ns1:t>W</ns1:t>
                    </ns1:r>
                  </ns1:oMath>
                </w:p>
              </w:tc>
              <w:tc>
                <w:tcPr/>
                <w:p>
                  <w:pPr>
                    <w:pStyle w:val="Compact"/>
                    <w:jc w:val="both"/>
                    <w:jc w:val="center"/>
                    <w:spacing w:line="360" w:lineRule="auto"/>
                  </w:pPr>
                  <w:r>
                    <w:t xml:space="preserve">H1 y H2</w:t>
                  </w:r>
                </w:p>
              </w:tc>
            </w:tr>
            <w:tr>
              <w:tc>
                <w:tcPr/>
                <w:p>
                  <w:pPr>
                    <w:pStyle w:val="Compact"/>
                    <w:jc w:val="both"/>
                    <w:jc w:val="center"/>
                    <w:spacing w:line="360" w:lineRule="auto"/>
                  </w:pPr>
                  <w:r>
                    <w:rPr>
                      <w:rStyle w:val="VerbatimChar"/>
                    </w:rPr>
                    <w:t xml:space="preserve">nemenyi_fidelity.csv</w:t>
                  </w:r>
                </w:p>
              </w:tc>
              <w:tc>
                <w:tcPr/>
                <w:p>
                  <w:pPr>
                    <w:pStyle w:val="Compact"/>
                    <w:jc w:val="both"/>
                    <w:jc w:val="center"/>
                    <w:spacing w:line="360" w:lineRule="auto"/>
                  </w:pPr>
                  <w:r>
                    <w:t xml:space="preserve">Comparaciones post-hoc para fidelidad</w:t>
                  </w:r>
                </w:p>
              </w:tc>
              <w:tc>
                <w:tcPr/>
                <w:p>
                  <w:pPr>
                    <w:pStyle w:val="Compact"/>
                    <w:jc w:val="both"/>
                    <w:jc w:val="center"/>
                    <w:spacing w:line="360" w:lineRule="auto"/>
                  </w:pPr>
                  <w:r>
                    <w:t xml:space="preserve">Localización de H1</w:t>
                  </w:r>
                </w:p>
              </w:tc>
            </w:tr>
            <w:tr>
              <w:tc>
                <w:tcPr/>
                <w:p>
                  <w:pPr>
                    <w:pStyle w:val="Compact"/>
                    <w:jc w:val="both"/>
                    <w:jc w:val="center"/>
                    <w:spacing w:line="360" w:lineRule="auto"/>
                  </w:pPr>
                  <w:r>
                    <w:rPr>
                      <w:rStyle w:val="VerbatimChar"/>
                    </w:rPr>
                    <w:t xml:space="preserve">nemenyi_stability.csv</w:t>
                  </w:r>
                </w:p>
              </w:tc>
              <w:tc>
                <w:tcPr/>
                <w:p>
                  <w:pPr>
                    <w:pStyle w:val="Compact"/>
                    <w:jc w:val="both"/>
                    <w:jc w:val="center"/>
                    <w:spacing w:line="360" w:lineRule="auto"/>
                  </w:pPr>
                  <w:r>
                    <w:t xml:space="preserve">Comparaciones post-hoc para estabilidad</w:t>
                  </w:r>
                </w:p>
              </w:tc>
              <w:tc>
                <w:tcPr/>
                <w:p>
                  <w:pPr>
                    <w:pStyle w:val="Compact"/>
                    <w:jc w:val="both"/>
                    <w:jc w:val="center"/>
                    <w:spacing w:line="360" w:lineRule="auto"/>
                  </w:pPr>
                  <w:r>
                    <w:t xml:space="preserve">Localización de H2</w:t>
                  </w:r>
                </w:p>
              </w:tc>
            </w:tr>
            <w:tr>
              <w:tc>
                <w:tcPr/>
                <w:p>
                  <w:pPr>
                    <w:pStyle w:val="Compact"/>
                    <w:jc w:val="both"/>
                    <w:jc w:val="center"/>
                    <w:spacing w:line="360" w:lineRule="auto"/>
                  </w:pPr>
                  <w:r>
                    <w:rPr>
                      <w:rStyle w:val="VerbatimChar"/>
                    </w:rPr>
                    <w:t xml:space="preserve">wilcoxon_shap_lime_all_models.csv</w:t>
                  </w:r>
                </w:p>
              </w:tc>
              <w:tc>
                <w:tcPr/>
                <w:p>
                  <w:pPr>
                    <w:pStyle w:val="Compact"/>
                    <w:jc w:val="both"/>
                    <w:jc w:val="center"/>
                    <w:spacing w:line="360" w:lineRule="auto"/>
                  </w:pPr>
                  <w:r>
                    <w:t xml:space="preserve">Wilcoxon pareado SHAP-LIME sobre 75 celdas</w:t>
                  </w:r>
                </w:p>
              </w:tc>
              <w:tc>
                <w:tcPr/>
                <w:p>
                  <w:pPr>
                    <w:pStyle w:val="Compact"/>
                    <w:jc w:val="both"/>
                    <w:jc w:val="center"/>
                    <w:spacing w:line="360" w:lineRule="auto"/>
                  </w:pPr>
                  <w:r>
                    <w:t xml:space="preserve">H3</w:t>
                  </w:r>
                </w:p>
              </w:tc>
            </w:tr>
            <w:tr>
              <w:tc>
                <w:tcPr/>
                <w:p>
                  <w:pPr>
                    <w:pStyle w:val="Compact"/>
                    <w:jc w:val="both"/>
                    <w:jc w:val="center"/>
                    <w:spacing w:line="360" w:lineRule="auto"/>
                  </w:pPr>
                  <w:r>
                    <w:rPr>
                      <w:rStyle w:val="VerbatimChar"/>
                    </w:rPr>
                    <w:t xml:space="preserve">paired_cells_shap_lime_all_models.csv</w:t>
                  </w:r>
                </w:p>
              </w:tc>
              <w:tc>
                <w:tcPr/>
                <w:p>
                  <w:pPr>
                    <w:pStyle w:val="Compact"/>
                    <w:jc w:val="both"/>
                    <w:jc w:val="center"/>
                    <w:spacing w:line="360" w:lineRule="auto"/>
                  </w:pPr>
                  <w:r>
                    <w:t xml:space="preserve">Celdas pareadas fuente de H3</w:t>
                  </w:r>
                </w:p>
              </w:tc>
              <w:tc>
                <w:tcPr/>
                <w:p>
                  <w:pPr>
                    <w:pStyle w:val="Compact"/>
                    <w:jc w:val="both"/>
                    <w:jc w:val="center"/>
                    <w:spacing w:line="360" w:lineRule="auto"/>
                  </w:pPr>
                  <w:r>
                    <w:t xml:space="preserve">Trazabilidad de diferencias pareadas</w:t>
                  </w:r>
                </w:p>
              </w:tc>
            </w:tr>
            <w:tr>
              <w:tc>
                <w:tcPr/>
                <w:p>
                  <w:pPr>
                    <w:pStyle w:val="Compact"/>
                    <w:jc w:val="both"/>
                    <w:jc w:val="center"/>
                    <w:spacing w:line="360" w:lineRule="auto"/>
                  </w:pPr>
                  <w:r>
                    <w:rPr>
                      <w:rStyle w:val="VerbatimChar"/>
                    </w:rPr>
                    <w:t xml:space="preserve">exp2_run_inventory.csv</w:t>
                  </w:r>
                </w:p>
              </w:tc>
              <w:tc>
                <w:tcPr/>
                <w:p>
                  <w:pPr>
                    <w:pStyle w:val="Compact"/>
                    <w:jc w:val="both"/>
                    <w:jc w:val="center"/>
                    <w:spacing w:line="360" w:lineRule="auto"/>
                  </w:pPr>
                  <w:r>
                    <w:t xml:space="preserve">Inventario de celdas y cobertura</w:t>
                  </w:r>
                </w:p>
              </w:tc>
              <w:tc>
                <w:tcPr/>
                <w:p>
                  <w:pPr>
                    <w:pStyle w:val="Compact"/>
                    <w:jc w:val="both"/>
                    <w:jc w:val="center"/>
                    <w:spacing w:line="360" w:lineRule="auto"/>
                  </w:pPr>
                  <w:r>
                    <w:t xml:space="preserve">Cobertura FOM-7</w:t>
                  </w:r>
                </w:p>
              </w:tc>
            </w:tr>
            <w:tr>
              <w:tc>
                <w:tcPr/>
                <w:p>
                  <w:pPr>
                    <w:pStyle w:val="Compact"/>
                    <w:jc w:val="both"/>
                    <w:jc w:val="center"/>
                    <w:spacing w:line="360" w:lineRule="auto"/>
                  </w:pPr>
                  <w:r>
                    <w:rPr>
                      <w:rStyle w:val="VerbatimChar"/>
                    </w:rPr>
                    <w:t xml:space="preserve">method_uncertainty_over_blocks.csv</w:t>
                  </w:r>
                </w:p>
              </w:tc>
              <w:tc>
                <w:tcPr/>
                <w:p>
                  <w:pPr>
                    <w:pStyle w:val="Compact"/>
                    <w:jc w:val="both"/>
                    <w:jc w:val="center"/>
                    <w:spacing w:line="360" w:lineRule="auto"/>
                  </w:pPr>
                  <w:r>
                    <w:t xml:space="preserve">Incertidumbre por método y bloque</w:t>
                  </w:r>
                </w:p>
              </w:tc>
              <w:tc>
                <w:tcPr/>
                <w:p>
                  <w:pPr>
                    <w:pStyle w:val="Compact"/>
                    <w:jc w:val="both"/>
                    <w:jc w:val="center"/>
                    <w:spacing w:line="360" w:lineRule="auto"/>
                  </w:pPr>
                  <w:r>
                    <w:t xml:space="preserve">Limitaciones por cobertura</w:t>
                  </w:r>
                </w:p>
              </w:tc>
            </w:tr>
          </w:tbl>
          <w:bookmarkEnd w:id="335"/>
          <w:p>
            <w:pPr>
              <w:spacing w:line="360" w:lineRule="auto"/>
              <w:jc w:val="both"/>
            </w:pPr>
          </w:p>
        </w:tc>
      </w:tr>
    </w:tbl>
    <w:p>
      <w:pPr>
        <w:pStyle w:val="Textoindependiente"/>
        <w:spacing w:line="360" w:lineRule="auto"/>
        <w:jc w:val="both"/>
      </w:pPr>
      <w:r>
        <w:t xml:space="preserve">Las secciones siguientes reproducen las tablas completas de los análisis</w:t>
      </w:r>
      <w:r>
        <w:t xml:space="preserve"> </w:t>
      </w:r>
      <w:r>
        <w:t xml:space="preserve">inferenciales para garantizar la auto-suficiencia documental de la tesis.</w:t>
      </w:r>
    </w:p>
    <w:bookmarkStart w:id="337" w:name="Xe3909ed8b3f47a476ee07b1fbdd59a863fdc536"/>
    <w:p>
      <w:pPr>
        <w:pStyle w:val="Ttulo3"/>
        <w:spacing w:line="360" w:lineRule="auto"/>
        <w:jc w:val="both"/>
      </w:pPr>
      <w:r>
        <w:t xml:space="preserve">D.1 Resultados completos de la prueba de Friedman</w:t>
      </w:r>
    </w:p>
    <w:tbl>
      <w:tblPr>
        <w:tblStyle w:val="Table"/>
        <w:tblW w:type="pct" w:w="5000"/>
        <w:tblLayout w:type="fixed"/>
        <w:tblLook w:firstRow="0" w:lastRow="0" w:firstColumn="0" w:lastColumn="0" w:noHBand="0" w:noVBand="0" w:val="0000"/>
      </w:tblPr>
      <w:tblGrid>
        <w:gridCol w:w="7920"/>
      </w:tblGrid>
      <w:tr>
        <w:tc>
          <w:tcPr/>
          <w:bookmarkStart w:id="336" w:name="tbl-appendix-friedman-full"/>
          <w:p>
            <w:pPr>
              <w:jc w:val="both"/>
              <w:spacing w:line="360" w:lineRule="auto"/>
            </w:pPr>
            <w:pPr>
              <w:jc w:val="left"/>
              <w:spacing w:before="200"/>
              <w:pStyle w:val="ImageCaption"/>
            </w:pPr>
            <w:r>
              <w:t xml:space="preserve">Table 7.13: Resultados completos de la prueba de Friedman por métrica (</w:t>
            </w:r>
            <ns1:oMath>
              <ns1:r>
                <ns1:t>α</ns1:t>
              </ns1:r>
              <ns1:r>
                <ns1:rPr>
                  <ns1:sty ns1:val="p"/>
                </ns1:rPr>
                <ns1:t>=</ns1:t>
              </ns1:r>
              <ns1:r>
                <ns1:t>0.05</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Valores</w:t>
            </w:r>
            <w:r>
              <w:t xml:space="preserve"> </w:t>
            </w:r>
            <ns1:oMath>
              <ns1:r>
                <ns1:t>p</ns1:t>
              </ns1:r>
            </ns1:oMath>
            <w:r>
              <w:t xml:space="preserve"> </w:t>
            </w:r>
            <w:r>
              <w:t xml:space="preserve">crudos y ajustados extraídos de</w:t>
            </w:r>
            <w:r>
              <w:t xml:space="preserve"> </w:t>
            </w:r>
            <w:r>
              <w:rPr>
                <w:rStyle w:val="VerbatimChar"/>
              </w:rPr>
              <w:t xml:space="preserve">outputs/analysis/paper_a_exp2_stats/friedman_results.csv</w:t>
            </w:r>
            <w:r>
              <w:t xml:space="preserve">.</w:t>
            </w:r>
            <w:r>
              <w:t xml:space="preserve"> </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r>
                      <ns1:t>n</ns1:t>
                    </ns1:r>
                  </ns1:oMath>
                  <w:r>
                    <w:t xml:space="preserve"> </w:t>
                  </w:r>
                  <w:r>
                    <w:t xml:space="preserve">bloques</w:t>
                  </w:r>
                </w:p>
              </w:tc>
              <w:tc>
                <w:tcPr/>
                <w:p>
                  <w:pPr>
                    <w:pStyle w:val="Compact"/>
                    <w:jc w:val="both"/>
                    <w:jc w:val="center"/>
                    <w:spacing w:line="360" w:lineRule="auto"/>
                  </w:pPr>
                  <ns1:oMath>
                    <ns1:r>
                      <ns1:t>k</ns1:t>
                    </ns1:r>
                  </ns1:oMath>
                  <w:r>
                    <w:t xml:space="preserve"> </w:t>
                  </w:r>
                  <w:r>
                    <w:t xml:space="preserve">métodos</w:t>
                  </w:r>
                </w:p>
              </w:tc>
              <w:tc>
                <w:tcPr/>
                <w:p>
                  <w:pPr>
                    <w:pStyle w:val="Compact"/>
                    <w:jc w:val="both"/>
                    <w:jc w:val="center"/>
                    <w:spacing w:line="360" w:lineRule="auto"/>
                  </w:pPr>
                  <ns1:oMath>
                    <ns1:sSubSup>
                      <ns1:e>
                        <ns1:r>
                          <ns1:t>χ</ns1:t>
                        </ns1:r>
                      </ns1:e>
                      <ns1:sub>
                        <ns1:r>
                          <ns1:t>F</ns1:t>
                        </ns1:r>
                      </ns1:sub>
                      <ns1:sup>
                        <ns1:r>
                          <ns1:t>2</ns1:t>
                        </ns1:r>
                      </ns1:sup>
                    </ns1:sSubSup>
                  </ns1:oMath>
                </w:p>
              </w:tc>
              <w:tc>
                <w:tcPr/>
                <w:p>
                  <w:pPr>
                    <w:pStyle w:val="Compact"/>
                    <w:jc w:val="both"/>
                    <w:jc w:val="center"/>
                    <w:spacing w:line="360" w:lineRule="auto"/>
                  </w:pPr>
                  <ns1:oMath>
                    <ns1:r>
                      <ns1:t>g</ns1:t>
                    </ns1:r>
                    <ns1:r>
                      <ns1:t>l</ns1:t>
                    </ns1:r>
                  </ns1:oMath>
                </w:p>
              </w:tc>
              <w:tc>
                <w:tcPr/>
                <w:p>
                  <w:pPr>
                    <w:pStyle w:val="Compact"/>
                    <w:jc w:val="both"/>
                    <w:jc w:val="center"/>
                    <w:spacing w:line="360" w:lineRule="auto"/>
                  </w:pPr>
                  <ns1:oMath>
                    <ns1:r>
                      <ns1:t>p</ns1:t>
                    </ns1:r>
                  </ns1:oMath>
                  <w:r>
                    <w:t xml:space="preserve"> </w:t>
                  </w:r>
                  <w:r>
                    <w:t xml:space="preserve">(crudo)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Kendall</w:t>
                  </w:r>
                  <w:r>
                    <w:t xml:space="preserve"> </w:t>
                  </w:r>
                  <ns1:oMath>
                    <ns1:r>
                      <ns1:t>W</ns1:t>
                    </ns1:r>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42.12</w:t>
                  </w:r>
                </w:p>
              </w:tc>
              <w:tc>
                <w:tcPr/>
                <w:p>
                  <w:pPr>
                    <w:pStyle w:val="Compact"/>
                    <w:jc w:val="both"/>
                    <w:jc w:val="center"/>
                    <w:spacing w:line="360" w:lineRule="auto"/>
                  </w:pPr>
                  <w:r>
                    <w:t xml:space="preserve">3</w:t>
                  </w:r>
                </w:p>
              </w:tc>
              <w:tc>
                <w:tcPr/>
                <w:p>
                  <w:pPr>
                    <w:pStyle w:val="Compact"/>
                    <w:jc w:val="both"/>
                    <w:jc w:val="center"/>
                    <w:spacing w:line="360" w:lineRule="auto"/>
                  </w:pPr>
                  <ns1:oMath>
                    <ns1:r>
                      <ns1:t>3.78</ns1:t>
                    </ns1:r>
                    <ns1:r>
                      <ns1:rPr>
                        <ns1:sty ns1:val="p"/>
                      </ns1:rPr>
                      <ns1:t>×</ns1:t>
                    </ns1:r>
                    <ns1:sSup>
                      <ns1:e>
                        <ns1:r>
                          <ns1:t>10</ns1:t>
                        </ns1:r>
                      </ns1:e>
                      <ns1:sup>
                        <ns1:r>
                          <ns1:rPr>
                            <ns1:sty ns1:val="p"/>
                          </ns1:rPr>
                          <ns1:t>−</ns1:t>
                        </ns1:r>
                        <ns1:r>
                          <ns1:t>9</ns1:t>
                        </ns1:r>
                      </ns1:sup>
                    </ns1:sSup>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0.936</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40.68</w:t>
                  </w:r>
                </w:p>
              </w:tc>
              <w:tc>
                <w:tcPr/>
                <w:p>
                  <w:pPr>
                    <w:pStyle w:val="Compact"/>
                    <w:jc w:val="both"/>
                    <w:jc w:val="center"/>
                    <w:spacing w:line="360" w:lineRule="auto"/>
                  </w:pPr>
                  <w:r>
                    <w:t xml:space="preserve">3</w:t>
                  </w:r>
                </w:p>
              </w:tc>
              <w:tc>
                <w:tcPr/>
                <w:p>
                  <w:pPr>
                    <w:pStyle w:val="Compact"/>
                    <w:jc w:val="both"/>
                    <w:jc w:val="center"/>
                    <w:spacing w:line="360" w:lineRule="auto"/>
                  </w:pPr>
                  <ns1:oMath>
                    <ns1:r>
                      <ns1:t>7.65</ns1:t>
                    </ns1:r>
                    <ns1:r>
                      <ns1:rPr>
                        <ns1:sty ns1:val="p"/>
                      </ns1:rPr>
                      <ns1:t>×</ns1:t>
                    </ns1:r>
                    <ns1:sSup>
                      <ns1:e>
                        <ns1:r>
                          <ns1:t>10</ns1:t>
                        </ns1:r>
                      </ns1:e>
                      <ns1:sup>
                        <ns1:r>
                          <ns1:rPr>
                            <ns1:sty ns1:val="p"/>
                          </ns1:rPr>
                          <ns1:t>−</ns1:t>
                        </ns1:r>
                        <ns1:r>
                          <ns1:t>9</ns1:t>
                        </ns1:r>
                      </ns1:sup>
                    </ns1:sSup>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0.904</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p>
              </w:tc>
            </w:tr>
          </w:tbl>
          <w:bookmarkEnd w:id="336"/>
          <w:p>
            <w:pPr>
              <w:spacing w:line="360" w:lineRule="auto"/>
              <w:jc w:val="both"/>
            </w:pPr>
          </w:p>
        </w:tc>
      </w:tr>
    </w:tbl>
    <w:p>
      <w:pPr>
        <w:pStyle w:val="Textoindependiente"/>
        <w:spacing w:line="360" w:lineRule="auto"/>
        <w:jc w:val="both"/>
      </w:pPr>
      <w:r>
        <w:t xml:space="preserve">Valor crítico para</w:t>
      </w:r>
      <w:r>
        <w:t xml:space="preserve"> </w:t>
      </w:r>
      <ns1:oMath>
        <ns1:r>
          <ns1:t>α</ns1:t>
        </ns1:r>
        <ns1:r>
          <ns1:rPr>
            <ns1:sty ns1:val="p"/>
          </ns1:rPr>
          <ns1:t>=</ns1:t>
        </ns1:r>
        <ns1:r>
          <ns1:t>0.05</ns1:t>
        </ns1:r>
      </ns1:oMath>
      <w:r>
        <w:t xml:space="preserve">,</w:t>
      </w:r>
      <w:r>
        <w:t xml:space="preserve"> </w:t>
      </w:r>
      <ns1:oMath>
        <ns1:r>
          <ns1:t>g</ns1:t>
        </ns1:r>
        <ns1:r>
          <ns1:t>l</ns1:t>
        </ns1:r>
        <ns1:r>
          <ns1:rPr>
            <ns1:sty ns1:val="p"/>
          </ns1:rPr>
          <ns1:t>=</ns1:t>
        </ns1:r>
        <ns1:r>
          <ns1:t>3</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7.815</ns1:t>
        </ns1:r>
      </ns1:oMath>
      <w:r>
        <w:t xml:space="preserve">. Margen</w:t>
      </w:r>
      <w:r>
        <w:t xml:space="preserve"> </w:t>
      </w:r>
      <w:r>
        <w:t xml:space="preserve">de seguridad: fidelidad = 439%, estabilidad = 421%. La corrección</w:t>
      </w:r>
      <w:r>
        <w:t xml:space="preserve"> </w:t>
      </w:r>
      <w:r>
        <w:t xml:space="preserve">Holm-Bonferroni se aplica sobre la familia inferencial completa del test omnibus</w:t>
      </w:r>
      <w:r>
        <w:t xml:space="preserve"> </w:t>
      </w:r>
      <w:r>
        <w:t xml:space="preserve">—las cinco métricas primarias evaluadas mediante Friedman, conforme al plan</w:t>
      </w:r>
      <w:r>
        <w:t xml:space="preserve"> </w:t>
      </w:r>
      <w:r>
        <w:t xml:space="preserve">declarado en la</w:t>
      </w:r>
      <w:r>
        <w:t xml:space="preserve"> </w:t>
      </w:r>
      <w:hyperlink w:anchor="tbl-stat-plan">
        <w:r>
          <w:rPr>
            <w:rStyle w:val="Hipervnculo"/>
          </w:rPr>
          <w:t xml:space="preserve">Table 4.6</w:t>
        </w:r>
      </w:hyperlink>
      <w:r>
        <w:t xml:space="preserve"> </w:t>
      </w:r>
      <w:r>
        <w:t xml:space="preserve">del Capítulo 3— y no únicamente sobre H1 y H2. El</w:t>
      </w:r>
      <w:r>
        <w:t xml:space="preserve"> </w:t>
      </w:r>
      <w:r>
        <w:t xml:space="preserve">factor de ajuste correspondiente a cada métrica depende, por tanto, de su</w:t>
      </w:r>
      <w:r>
        <w:t xml:space="preserve"> </w:t>
      </w:r>
      <w:r>
        <w:t xml:space="preserve">posición en el orden creciente de los cinco valores</w:t>
      </w:r>
      <w:r>
        <w:t xml:space="preserve"> </w:t>
      </w:r>
      <ns1:oMath>
        <ns1:r>
          <ns1:t>p</ns1:t>
        </ns1:r>
      </ns1:oMath>
      <w:r>
        <w:t xml:space="preserve">: la fidelidad, con el</w:t>
      </w:r>
      <w:r>
        <w:t xml:space="preserve"> </w:t>
      </w:r>
      <ns1:oMath>
        <ns1:r>
          <ns1:t>p</ns1:t>
        </ns1:r>
      </ns1:oMath>
      <w:r>
        <w:t xml:space="preserve"> </w:t>
      </w:r>
      <w:r>
        <w:t xml:space="preserve">crudo menor, recibe el factor</w:t>
      </w:r>
      <w:r>
        <w:t xml:space="preserve"> </w:t>
      </w:r>
      <ns1:oMath>
        <ns1:r>
          <ns1:t>m</ns1:t>
        </ns1:r>
        <ns1:r>
          <ns1:rPr>
            <ns1:sty ns1:val="p"/>
          </ns1:rPr>
          <ns1:t>=</ns1:t>
        </ns1:r>
        <ns1:r>
          <ns1:t>4</ns1:t>
        </ns1:r>
      </ns1:oMath>
      <w:r>
        <w:t xml:space="preserve"> </w:t>
      </w:r>
      <w:r>
        <w:t xml:space="preserve">(</w:t>
      </w:r>
      <ns1:oMath>
        <ns1:r>
          <ns1:t>3.78</ns1:t>
        </ns1:r>
        <ns1:r>
          <ns1:rPr>
            <ns1:sty ns1:val="p"/>
          </ns1:rPr>
          <ns1:t>×</ns1:t>
        </ns1:r>
        <ns1:sSup>
          <ns1:e>
            <ns1:r>
              <ns1:t>10</ns1:t>
            </ns1:r>
          </ns1:e>
          <ns1:sup>
            <ns1:r>
              <ns1:rPr>
                <ns1:sty ns1:val="p"/>
              </ns1:rPr>
              <ns1:t>−</ns1:t>
            </ns1:r>
            <ns1:r>
              <ns1:t>9</ns1:t>
            </ns1:r>
          </ns1:sup>
        </ns1:sSup>
        <ns1:r>
          <ns1:rPr>
            <ns1:sty ns1:val="p"/>
          </ns1:rPr>
          <ns1:t>×</ns1:t>
        </ns1:r>
        <ns1:r>
          <ns1:t>4</ns1:t>
        </ns1:r>
        <ns1:r>
          <ns1:rPr>
            <ns1:sty ns1:val="p"/>
          </ns1:rPr>
          <ns1:t>=</ns1:t>
        </ns1:r>
        <ns1:r>
          <ns1:t>1.51</ns1:t>
        </ns1:r>
        <ns1:r>
          <ns1:rPr>
            <ns1:sty ns1:val="p"/>
          </ns1:rPr>
          <ns1:t>×</ns1:t>
        </ns1:r>
        <ns1:sSup>
          <ns1:e>
            <ns1:r>
              <ns1:t>10</ns1:t>
            </ns1:r>
          </ns1:e>
          <ns1:sup>
            <ns1:r>
              <ns1:rPr>
                <ns1:sty ns1:val="p"/>
              </ns1:rPr>
              <ns1:t>−</ns1:t>
            </ns1:r>
            <ns1:r>
              <ns1:t>8</ns1:t>
            </ns1:r>
          </ns1:sup>
        </ns1:sSup>
      </ns1:oMath>
      <w:r>
        <w:t xml:space="preserve">) y la estabilidad, la siguiente en orden, el factor</w:t>
      </w:r>
      <w:r>
        <w:t xml:space="preserve"> </w:t>
      </w:r>
      <ns1:oMath>
        <ns1:r>
          <ns1:t>m</ns1:t>
        </ns1:r>
        <ns1:r>
          <ns1:rPr>
            <ns1:sty ns1:val="p"/>
          </ns1:rPr>
          <ns1:t>=</ns1:t>
        </ns1:r>
        <ns1:r>
          <ns1:t>3</ns1:t>
        </ns1:r>
      </ns1:oMath>
      <w:r>
        <w:t xml:space="preserve"> </w:t>
      </w:r>
      <w:r>
        <w:t xml:space="preserve">(</w:t>
      </w:r>
      <ns1:oMath>
        <ns1:r>
          <ns1:t>7.65</ns1:t>
        </ns1:r>
        <ns1:r>
          <ns1:rPr>
            <ns1:sty ns1:val="p"/>
          </ns1:rPr>
          <ns1:t>×</ns1:t>
        </ns1:r>
        <ns1:sSup>
          <ns1:e>
            <ns1:r>
              <ns1:t>10</ns1:t>
            </ns1:r>
          </ns1:e>
          <ns1:sup>
            <ns1:r>
              <ns1:rPr>
                <ns1:sty ns1:val="p"/>
              </ns1:rPr>
              <ns1:t>−</ns1:t>
            </ns1:r>
            <ns1:r>
              <ns1:t>9</ns1:t>
            </ns1:r>
          </ns1:sup>
        </ns1:sSup>
        <ns1:r>
          <ns1:rPr>
            <ns1:sty ns1:val="p"/>
          </ns1:rPr>
          <ns1:t>×</ns1:t>
        </ns1:r>
        <ns1:r>
          <ns1:t>3</ns1:t>
        </ns1:r>
        <ns1:r>
          <ns1:rPr>
            <ns1:sty ns1:val="p"/>
          </ns1:rPr>
          <ns1:t>=</ns1:t>
        </ns1:r>
        <ns1:r>
          <ns1:t>2.29</ns1:t>
        </ns1:r>
        <ns1:r>
          <ns1:rPr>
            <ns1:sty ns1:val="p"/>
          </ns1:rPr>
          <ns1:t>×</ns1:t>
        </ns1:r>
        <ns1:sSup>
          <ns1:e>
            <ns1:r>
              <ns1:t>10</ns1:t>
            </ns1:r>
          </ns1:e>
          <ns1:sup>
            <ns1:r>
              <ns1:rPr>
                <ns1:sty ns1:val="p"/>
              </ns1:rPr>
              <ns1:t>−</ns1:t>
            </ns1:r>
            <ns1:r>
              <ns1:t>8</ns1:t>
            </ns1:r>
          </ns1:sup>
        </ns1:sSup>
      </ns1:oMath>
      <w:r>
        <w:t xml:space="preserve">). Ambas hipótesis permanecen</w:t>
      </w:r>
      <w:r>
        <w:t xml:space="preserve"> </w:t>
      </w:r>
      <w:r>
        <w:t xml:space="preserve">significativas tras la corrección con varios órdenes de magnitud de margen.</w:t>
      </w:r>
    </w:p>
    <w:bookmarkEnd w:id="337"/>
    <w:bookmarkStart w:id="339" w:name="Xf81def15ac0599a341fc59b4e423bbf643d253b"/>
    <w:p>
      <w:pPr>
        <w:pStyle w:val="Ttulo3"/>
        <w:spacing w:line="360" w:lineRule="auto"/>
        <w:jc w:val="both"/>
      </w:pPr>
      <w:r>
        <w:t xml:space="preserve">D.2 Comparaciones post-hoc de Nemenyi (fidelidad y estabilidad)</w:t>
      </w:r>
    </w:p>
    <w:p>
      <w:pPr>
        <w:pStyle w:val="FirstParagraph"/>
        <w:spacing w:line="360" w:lineRule="auto"/>
        <w:jc w:val="both"/>
      </w:pPr>
      <w:r>
        <w:t xml:space="preserve">La diferencia crítica para</w:t>
      </w:r>
      <w:r>
        <w:t xml:space="preserve"> </w:t>
      </w:r>
      <ns1:oMath>
        <ns1:r>
          <ns1:t>k</ns1:t>
        </ns1:r>
        <ns1:r>
          <ns1:rPr>
            <ns1:sty ns1:val="p"/>
          </ns1:rPr>
          <ns1:t>=</ns1:t>
        </ns1:r>
        <ns1:r>
          <ns1:t>4</ns1:t>
        </ns1:r>
      </ns1:oMath>
      <w:r>
        <w:t xml:space="preserve">,</w:t>
      </w:r>
      <w:r>
        <w:t xml:space="preserve"> </w:t>
      </w:r>
      <ns1:oMath>
        <ns1:r>
          <ns1:t>n</ns1:t>
        </ns1:r>
        <ns1:r>
          <ns1:rPr>
            <ns1:sty ns1:val="p"/>
          </ns1:rPr>
          <ns1:t>=</ns1:t>
        </ns1:r>
        <ns1:r>
          <ns1:t>15</ns1:t>
        </ns1:r>
      </ns1:oMath>
      <w:r>
        <w:t xml:space="preserve">,</w:t>
      </w:r>
      <w:r>
        <w:t xml:space="preserve"> </w:t>
      </w:r>
      <ns1:oMath>
        <ns1:r>
          <ns1:t>α</ns1:t>
        </ns1:r>
        <ns1:r>
          <ns1:rPr>
            <ns1:sty ns1:val="p"/>
          </ns1:rPr>
          <ns1:t>=</ns1:t>
        </ns1:r>
        <ns1:r>
          <ns1:t>0.05</ns1:t>
        </ns1:r>
      </ns1:oMath>
      <w:r>
        <w:t xml:space="preserve"> </w:t>
      </w:r>
      <w:r>
        <w:t xml:space="preserve">es</w:t>
      </w:r>
      <w:r>
        <w:t xml:space="preserve"> </w:t>
      </w:r>
      <ns1:oMath>
        <ns1:r>
          <ns1:t>C</ns1:t>
        </ns1:r>
        <ns1:r>
          <ns1:t>D</ns1:t>
        </ns1:r>
        <ns1:r>
          <ns1:rPr>
            <ns1:sty ns1:val="p"/>
          </ns1:rPr>
          <ns1:t>=</ns1:t>
        </ns1:r>
        <ns1:r>
          <ns1:t>1.211</ns1:t>
        </ns1:r>
      </ns1:oMath>
      <w:r>
        <w:t xml:space="preserve"> </w:t>
      </w:r>
      <w:r>
        <w:t xml:space="preserve">en ambas métricas.</w:t>
      </w:r>
    </w:p>
    <w:tbl>
      <w:tblPr>
        <w:tblStyle w:val="Table"/>
        <w:tblW w:type="pct" w:w="5000"/>
        <w:tblLayout w:type="fixed"/>
        <w:tblLook w:firstRow="0" w:lastRow="0" w:firstColumn="0" w:lastColumn="0" w:noHBand="0" w:noVBand="0" w:val="0000"/>
      </w:tblPr>
      <w:tblGrid>
        <w:gridCol w:w="7920"/>
      </w:tblGrid>
      <w:tr>
        <w:tc>
          <w:tcPr/>
          <w:bookmarkStart w:id="338" w:name="tbl-appendix-nemenyi-full"/>
          <w:p>
            <w:pPr>
              <w:jc w:val="both"/>
              <w:spacing w:line="360" w:lineRule="auto"/>
            </w:pPr>
            <w:pPr>
              <w:jc w:val="left"/>
              <w:spacing w:before="200"/>
              <w:pStyle w:val="ImageCaption"/>
            </w:pPr>
            <w:r>
              <w:t xml:space="preserve">Table 7.14: Comparaciones post-hoc de Nemenyi con diferencias en rangos medios para fidelidad y estabilidad. La diferencia crítica</w:t>
            </w:r>
            <w:r>
              <w:t xml:space="preserve"> </w:t>
            </w:r>
            <ns1:oMath>
              <ns1:r>
                <ns1:t>C</ns1:t>
              </ns1:r>
              <ns1:r>
                <ns1:t>D</ns1:t>
              </ns1:r>
              <ns1:r>
                <ns1:rPr>
                  <ns1:sty ns1:val="p"/>
                </ns1:rPr>
                <ns1:t>=</ns1:t>
              </ns1:r>
              <ns1:r>
                <ns1:t>1.211</ns1:t>
              </ns1:r>
            </ns1:oMath>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Par de métodos</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(fidelidad)</w:t>
                  </w:r>
                </w:p>
              </w:tc>
              <w:tc>
                <w:tcPr/>
                <w:p>
                  <w:pPr>
                    <w:pStyle w:val="Compact"/>
                    <w:jc w:val="both"/>
                    <w:jc w:val="center"/>
                    <w:spacing w:line="360" w:lineRule="auto"/>
                  </w:pPr>
                  <w:r>
                    <w:t xml:space="preserve">Signif. (fidelidad)</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(estabilidad)</w:t>
                  </w:r>
                </w:p>
              </w:tc>
              <w:tc>
                <w:tcPr/>
                <w:p>
                  <w:pPr>
                    <w:pStyle w:val="Compact"/>
                    <w:jc w:val="both"/>
                    <w:jc w:val="center"/>
                    <w:spacing w:line="360" w:lineRule="auto"/>
                  </w:pPr>
                  <w:r>
                    <w:t xml:space="preserve">Signif. (estabilidad)</w:t>
                  </w:r>
                </w:p>
              </w:tc>
            </w:tr>
            <w:tr>
              <w:tc>
                <w:tcPr/>
                <w:p>
                  <w:pPr>
                    <w:pStyle w:val="Compact"/>
                    <w:jc w:val="both"/>
                    <w:jc w:val="center"/>
                    <w:spacing w:line="360" w:lineRule="auto"/>
                  </w:pPr>
                  <w:r>
                    <w:t xml:space="preserve">SHAP vs. LIME</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SHAP vs. Anchors</w:t>
                  </w:r>
                </w:p>
              </w:tc>
              <w:tc>
                <w:tcPr/>
                <w:p>
                  <w:pPr>
                    <w:pStyle w:val="Compact"/>
                    <w:jc w:val="both"/>
                    <w:jc w:val="center"/>
                    <w:spacing w:line="360" w:lineRule="auto"/>
                  </w:pPr>
                  <w:r>
                    <w:t xml:space="preserve">2.200</w:t>
                  </w:r>
                </w:p>
              </w:tc>
              <w:tc>
                <w:tcPr/>
                <w:p>
                  <w:pPr>
                    <w:pStyle w:val="Compact"/>
                    <w:jc w:val="both"/>
                    <w:jc w:val="center"/>
                    <w:spacing w:line="360" w:lineRule="auto"/>
                  </w:pPr>
                  <w:r>
                    <w:rPr>
                      <w:b/>
                      <w:bCs/>
                    </w:rPr>
                    <w:t xml:space="preserve">Sí</w:t>
                  </w:r>
                  <w:r>
                    <w:t xml:space="preserve"> </w:t>
                  </w:r>
                  <w:r>
                    <w:t xml:space="preserve">(</w:t>
                  </w:r>
                  <ns1:oMath>
                    <ns1:r>
                      <ns1:rPr>
                        <ns1:sty ns1:val="p"/>
                      </ns1:rPr>
                      <ns1:t>&gt;</ns1:t>
                    </ns1:r>
                    <ns1:r>
                      <ns1:t>1.211</ns1:t>
                    </ns1:r>
                  </ns1:oMath>
                  <w:r>
                    <w:t xml:space="preserve">)</w:t>
                  </w:r>
                </w:p>
              </w:tc>
              <w:tc>
                <w:tcPr/>
                <w:p>
                  <w:pPr>
                    <w:pStyle w:val="Compact"/>
                    <w:jc w:val="both"/>
                    <w:jc w:val="center"/>
                    <w:spacing w:line="360" w:lineRule="auto"/>
                  </w:pPr>
                  <w:r>
                    <w:t xml:space="preserve">2.600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SHAP vs. DiCE</w:t>
                  </w:r>
                </w:p>
              </w:tc>
              <w:tc>
                <w:tcPr/>
                <w:p>
                  <w:pPr>
                    <w:pStyle w:val="Compact"/>
                    <w:jc w:val="both"/>
                    <w:jc w:val="center"/>
                    <w:spacing w:line="360" w:lineRule="auto"/>
                  </w:pPr>
                  <w:r>
                    <w:t xml:space="preserve">2.800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r>
            <w:tr>
              <w:tc>
                <w:tcPr/>
                <w:p>
                  <w:pPr>
                    <w:pStyle w:val="Compact"/>
                    <w:jc w:val="both"/>
                    <w:jc w:val="center"/>
                    <w:spacing w:line="360" w:lineRule="auto"/>
                  </w:pPr>
                  <w:r>
                    <w:t xml:space="preserve">LIME vs. Anchors</w:t>
                  </w:r>
                </w:p>
              </w:tc>
              <w:tc>
                <w:tcPr/>
                <w:p>
                  <w:pPr>
                    <w:pStyle w:val="Compact"/>
                    <w:jc w:val="both"/>
                    <w:jc w:val="center"/>
                    <w:spacing w:line="360" w:lineRule="auto"/>
                  </w:pPr>
                  <w:r>
                    <w:t xml:space="preserve">1.200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LIME vs. DiCE</w:t>
                  </w:r>
                </w:p>
              </w:tc>
              <w:tc>
                <w:tcPr/>
                <w:p>
                  <w:pPr>
                    <w:pStyle w:val="Compact"/>
                    <w:jc w:val="both"/>
                    <w:jc w:val="center"/>
                    <w:spacing w:line="360" w:lineRule="auto"/>
                  </w:pPr>
                  <w:r>
                    <w:t xml:space="preserve">1.800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Anchors vs. DiCE</w:t>
                  </w:r>
                </w:p>
              </w:tc>
              <w:tc>
                <w:tcPr/>
                <w:p>
                  <w:pPr>
                    <w:pStyle w:val="Compact"/>
                    <w:jc w:val="both"/>
                    <w:jc w:val="center"/>
                    <w:spacing w:line="360" w:lineRule="auto"/>
                  </w:pPr>
                  <w:r>
                    <w:t xml:space="preserve">0.600</w:t>
                  </w:r>
                </w:p>
              </w:tc>
              <w:tc>
                <w:tcPr/>
                <w:p>
                  <w:pPr>
                    <w:pStyle w:val="Compact"/>
                    <w:jc w:val="both"/>
                    <w:jc w:val="center"/>
                    <w:spacing w:line="360" w:lineRule="auto"/>
                  </w:pPr>
                  <w:r>
                    <w:t xml:space="preserve">No</w:t>
                  </w:r>
                </w:p>
              </w:tc>
              <w:tc>
                <w:tcPr/>
                <w:p>
                  <w:pPr>
                    <w:pStyle w:val="Compact"/>
                    <w:jc w:val="both"/>
                    <w:jc w:val="center"/>
                    <w:spacing w:line="360" w:lineRule="auto"/>
                  </w:pPr>
                  <w:r>
                    <w:t xml:space="preserve">0.200</w:t>
                  </w:r>
                </w:p>
              </w:tc>
              <w:tc>
                <w:tcPr/>
                <w:p>
                  <w:pPr>
                    <w:pStyle w:val="Compact"/>
                    <w:jc w:val="both"/>
                    <w:jc w:val="center"/>
                    <w:spacing w:line="360" w:lineRule="auto"/>
                  </w:pPr>
                  <w:r>
                    <w:t xml:space="preserve">No</w:t>
                  </w:r>
                </w:p>
              </w:tc>
            </w:tr>
            <w:tr>
              <w:tc>
                <w:tcPr/>
                <w:p>
                  <w:pPr>
                    <w:pStyle w:val="Compact"/>
                    <w:jc w:val="both"/>
                    <w:jc w:val="center"/>
                    <w:spacing w:line="360" w:lineRule="auto"/>
                  </w:pPr>
                  <w:r>
                    <w:t xml:space="preserve">SHAP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2.400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Anchors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1.600</w:t>
                  </w:r>
                </w:p>
              </w:tc>
              <w:tc>
                <w:tcPr/>
                <w:p>
                  <w:pPr>
                    <w:pStyle w:val="Compact"/>
                    <w:jc w:val="both"/>
                    <w:jc w:val="center"/>
                    <w:spacing w:line="360" w:lineRule="auto"/>
                  </w:pPr>
                  <w:r>
                    <w:rPr>
                      <w:b/>
                      <w:bCs/>
                    </w:rPr>
                    <w:t xml:space="preserve">Sí</w:t>
                  </w:r>
                </w:p>
              </w:tc>
            </w:tr>
          </w:tbl>
          <w:bookmarkEnd w:id="338"/>
          <w:p>
            <w:pPr>
              <w:spacing w:line="360" w:lineRule="auto"/>
              <w:jc w:val="both"/>
            </w:pPr>
          </w:p>
        </w:tc>
      </w:tr>
    </w:tbl>
    <w:bookmarkEnd w:id="339"/>
    <w:bookmarkStart w:id="341" w:name="Xf2da686c9e12c39a6d10c106f98f0eb5f2d8684"/>
    <w:p>
      <w:pPr>
        <w:pStyle w:val="Ttulo3"/>
        <w:spacing w:line="360" w:lineRule="auto"/>
        <w:jc w:val="both"/>
      </w:pPr>
      <w:r>
        <w:t xml:space="preserve">D.3 Resultados completos del análisis pareado Wilcoxon (H3)</w:t>
      </w:r>
    </w:p>
    <w:p>
      <w:pPr>
        <w:pStyle w:val="FirstParagraph"/>
        <w:spacing w:line="360" w:lineRule="auto"/>
        <w:jc w:val="both"/>
      </w:pPr>
      <w:r>
        <w:t xml:space="preserve">Análisis sobre</w:t>
      </w:r>
      <w:r>
        <w:t xml:space="preserve"> </w:t>
      </w:r>
      <ns1:oMath>
        <ns1:r>
          <ns1:t>n</ns1:t>
        </ns1:r>
        <ns1:r>
          <ns1:rPr>
            <ns1:sty ns1:val="p"/>
          </ns1:rPr>
          <ns1:t>=</ns1:t>
        </ns1:r>
        <ns1:r>
          <ns1:t>75</ns1:t>
        </ns1:r>
      </ns1:oMath>
      <w:r>
        <w:t xml:space="preserve"> </w:t>
      </w:r>
      <w:r>
        <w:t xml:space="preserve">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con corrección</w:t>
      </w:r>
      <w:r>
        <w:t xml:space="preserve"> </w:t>
      </w:r>
      <w:r>
        <w:t xml:space="preserve">Holm-Bonferroni sobre las cinco comparaciones simultáneas.</w:t>
      </w:r>
    </w:p>
    <w:tbl>
      <w:tblPr>
        <w:tblStyle w:val="Table"/>
        <w:tblW w:type="pct" w:w="5000"/>
        <w:tblLayout w:type="fixed"/>
        <w:tblLook w:firstRow="0" w:lastRow="0" w:firstColumn="0" w:lastColumn="0" w:noHBand="0" w:noVBand="0" w:val="0000"/>
      </w:tblPr>
      <w:tblGrid>
        <w:gridCol w:w="7920"/>
      </w:tblGrid>
      <w:tr>
        <w:tc>
          <w:tcPr/>
          <w:bookmarkStart w:id="340" w:name="tbl-appendix-wilcoxon-full"/>
          <w:p>
            <w:pPr>
              <w:jc w:val="both"/>
              <w:spacing w:line="360" w:lineRule="auto"/>
            </w:pPr>
            <w:pPr>
              <w:jc w:val="left"/>
              <w:spacing w:before="200"/>
              <w:pStyle w:val="ImageCaption"/>
            </w:pPr>
            <w:r>
              <w:t xml:space="preserve">Table 7.15: Resultados completos del análisis pareado Wilcoxon SHAP-LIME con corrección Holm-Bonferroni (</w:t>
            </w:r>
            <ns1:oMath>
              <ns1:r>
                <ns1:t>n</ns1:t>
              </ns1:r>
              <ns1:r>
                <ns1:rPr>
                  <ns1:sty ns1:val="p"/>
                </ns1:rPr>
                <ns1:t>=</ns1:t>
              </ns1:r>
              <ns1:r>
                <ns1:t>75</ns1:t>
              </ns1:r>
            </ns1:oMath>
            <w:r>
              <w:t xml:space="preserve">).</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acc>
                      <ns1:accPr>
                        <ns1:chr ns1:val="‾"/>
                      </ns1:accPr>
                      <ns1:e>
                        <ns1:r>
                          <ns1:t>d</ns1:t>
                        </ns1:r>
                      </ns1:e>
                    </ns1:acc>
                  </ns1:oMath>
                  <w:r>
                    <w:t xml:space="preserve"> </w:t>
                  </w:r>
                  <w:r>
                    <w:t xml:space="preserve">(SHAP</w:t>
                  </w:r>
                  <ns1:oMath>
                    <ns1:r>
                      <ns1:rPr>
                        <ns1:sty ns1:val="p"/>
                      </ns1:rPr>
                      <ns1:t>−</ns1:t>
                    </ns1:r>
                  </ns1:oMath>
                  <w:r>
                    <w:t xml:space="preserve">LIME)</w:t>
                  </w:r>
                </w:p>
              </w:tc>
              <w:tc>
                <w:tcPr/>
                <w:p>
                  <w:pPr>
                    <w:pStyle w:val="Compact"/>
                    <w:jc w:val="both"/>
                    <w:jc w:val="center"/>
                    <w:spacing w:line="360" w:lineRule="auto"/>
                  </w:pPr>
                  <ns1:oMath>
                    <ns1:sSub>
                      <ns1:e>
                        <ns1:r>
                          <ns1:t>s</ns1:t>
                        </ns1:r>
                      </ns1:e>
                      <ns1:sub>
                        <ns1:r>
                          <ns1:t>d</ns1:t>
                        </ns1:r>
                      </ns1:sub>
                    </ns1:sSub>
                  </ns1:oMath>
                </w:p>
              </w:tc>
              <w:tc>
                <w:tcPr/>
                <w:p>
                  <w:pPr>
                    <w:pStyle w:val="Compact"/>
                    <w:jc w:val="both"/>
                    <w:jc w:val="center"/>
                    <w:spacing w:line="360" w:lineRule="auto"/>
                  </w:pPr>
                  <ns1:oMath>
                    <ns1:sSub>
                      <ns1:e>
                        <ns1:r>
                          <ns1:t>d</ns1:t>
                        </ns1:r>
                      </ns1:e>
                      <ns1:sub>
                        <ns1:r>
                          <ns1:t>z</ns1:t>
                        </ns1:r>
                      </ns1:sub>
                    </ns1:sSub>
                  </ns1:oMath>
                </w:p>
              </w:tc>
              <w:tc>
                <w:tcPr/>
                <w:p>
                  <w:pPr>
                    <w:pStyle w:val="Compact"/>
                    <w:jc w:val="both"/>
                    <w:jc w:val="center"/>
                    <w:spacing w:line="360" w:lineRule="auto"/>
                  </w:pPr>
                  <ns1:oMath>
                    <ns1:r>
                      <ns1:t>W</ns1:t>
                    </ns1:r>
                  </ns1:oMath>
                </w:p>
              </w:tc>
              <w:tc>
                <w:tcPr/>
                <w:p>
                  <w:pPr>
                    <w:pStyle w:val="Compact"/>
                    <w:jc w:val="both"/>
                    <w:jc w:val="center"/>
                    <w:spacing w:line="360" w:lineRule="auto"/>
                  </w:pPr>
                  <ns1:oMath>
                    <ns1:r>
                      <ns1:t>p</ns1:t>
                    </ns1:r>
                  </ns1:oMath>
                  <w:r>
                    <w:t xml:space="preserve"> </w:t>
                  </w:r>
                  <w:r>
                    <w:t xml:space="preserve">(bilateral)</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rPr>
                        <ns1:sty ns1:val="p"/>
                      </ns1:rPr>
                      <ns1:t>+</ns1:t>
                    </ns1:r>
                    <ns1:r>
                      <ns1:t>0.2479</ns1:t>
                    </ns1:r>
                  </ns1:oMath>
                </w:p>
              </w:tc>
              <w:tc>
                <w:tcPr/>
                <w:p>
                  <w:pPr>
                    <w:pStyle w:val="Compact"/>
                    <w:jc w:val="both"/>
                    <w:jc w:val="center"/>
                    <w:spacing w:line="360" w:lineRule="auto"/>
                  </w:pPr>
                  <ns1:oMath>
                    <ns1:r>
                      <ns1:t>0.0514</ns1:t>
                    </ns1:r>
                  </ns1:oMath>
                </w:p>
              </w:tc>
              <w:tc>
                <w:tcPr/>
                <w:p>
                  <w:pPr>
                    <w:pStyle w:val="Compact"/>
                    <w:jc w:val="both"/>
                    <w:jc w:val="center"/>
                    <w:spacing w:line="360" w:lineRule="auto"/>
                  </w:pPr>
                  <ns1:oMath>
                    <ns1:r>
                      <ns1:rPr>
                        <ns1:sty ns1:val="p"/>
                      </ns1:rPr>
                      <ns1:t>+</ns1:t>
                    </ns1:r>
                    <ns1:r>
                      <ns1:t>4.820</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rPr>
                        <ns1:sty ns1:val="p"/>
                      </ns1:rPr>
                      <ns1:t>+</ns1:t>
                    </ns1:r>
                    <ns1:r>
                      <ns1:t>0.7176</ns1:t>
                    </ns1:r>
                  </ns1:oMath>
                </w:p>
              </w:tc>
              <w:tc>
                <w:tcPr/>
                <w:p>
                  <w:pPr>
                    <w:pStyle w:val="Compact"/>
                    <w:jc w:val="both"/>
                    <w:jc w:val="center"/>
                    <w:spacing w:line="360" w:lineRule="auto"/>
                  </w:pPr>
                  <ns1:oMath>
                    <ns1:r>
                      <ns1:t>0.2390</ns1:t>
                    </ns1:r>
                  </ns1:oMath>
                </w:p>
              </w:tc>
              <w:tc>
                <w:tcPr/>
                <w:p>
                  <w:pPr>
                    <w:pStyle w:val="Compact"/>
                    <w:jc w:val="both"/>
                    <w:jc w:val="center"/>
                    <w:spacing w:line="360" w:lineRule="auto"/>
                  </w:pPr>
                  <ns1:oMath>
                    <ns1:r>
                      <ns1:rPr>
                        <ns1:sty ns1:val="p"/>
                      </ns1:rPr>
                      <ns1:t>+</ns1:t>
                    </ns1:r>
                    <ns1:r>
                      <ns1:t>3.002</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rPr>
                        <ns1:sty ns1:val="p"/>
                      </ns1:rPr>
                      <ns1:t>+</ns1:t>
                    </ns1:r>
                    <ns1:r>
                      <ns1:t>0.1418</ns1:t>
                    </ns1:r>
                  </ns1:oMath>
                </w:p>
              </w:tc>
              <w:tc>
                <w:tcPr/>
                <w:p>
                  <w:pPr>
                    <w:pStyle w:val="Compact"/>
                    <w:jc w:val="both"/>
                    <w:jc w:val="center"/>
                    <w:spacing w:line="360" w:lineRule="auto"/>
                  </w:pPr>
                  <ns1:oMath>
                    <ns1:r>
                      <ns1:t>0.1690</ns1:t>
                    </ns1:r>
                  </ns1:oMath>
                </w:p>
              </w:tc>
              <w:tc>
                <w:tcPr/>
                <w:p>
                  <w:pPr>
                    <w:pStyle w:val="Compact"/>
                    <w:jc w:val="both"/>
                    <w:jc w:val="center"/>
                    <w:spacing w:line="360" w:lineRule="auto"/>
                  </w:pPr>
                  <ns1:oMath>
                    <ns1:r>
                      <ns1:rPr>
                        <ns1:sty ns1:val="p"/>
                      </ns1:rPr>
                      <ns1:t>+</ns1:t>
                    </ns1:r>
                    <ns1:r>
                      <ns1:t>0.839</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Brecha fidelidad</w:t>
                  </w:r>
                </w:p>
              </w:tc>
              <w:tc>
                <w:tcPr/>
                <w:p>
                  <w:pPr>
                    <w:pStyle w:val="Compact"/>
                    <w:jc w:val="both"/>
                    <w:jc w:val="center"/>
                    <w:spacing w:line="360" w:lineRule="auto"/>
                  </w:pPr>
                  <ns1:oMath>
                    <ns1:r>
                      <ns1:rPr>
                        <ns1:sty ns1:val="p"/>
                      </ns1:rPr>
                      <ns1:t>+</ns1:t>
                    </ns1:r>
                    <ns1:r>
                      <ns1:t>0.0453</ns1:t>
                    </ns1:r>
                  </ns1:oMath>
                </w:p>
              </w:tc>
              <w:tc>
                <w:tcPr/>
                <w:p>
                  <w:pPr>
                    <w:pStyle w:val="Compact"/>
                    <w:jc w:val="both"/>
                    <w:jc w:val="center"/>
                    <w:spacing w:line="360" w:lineRule="auto"/>
                  </w:pPr>
                  <ns1:oMath>
                    <ns1:r>
                      <ns1:t>0.0173</ns1:t>
                    </ns1:r>
                  </ns1:oMath>
                </w:p>
              </w:tc>
              <w:tc>
                <w:tcPr/>
                <w:p>
                  <w:pPr>
                    <w:pStyle w:val="Compact"/>
                    <w:jc w:val="both"/>
                    <w:jc w:val="center"/>
                    <w:spacing w:line="360" w:lineRule="auto"/>
                  </w:pPr>
                  <ns1:oMath>
                    <ns1:r>
                      <ns1:rPr>
                        <ns1:sty ns1:val="p"/>
                      </ns1:rPr>
                      <ns1:t>+</ns1:t>
                    </ns1:r>
                    <ns1:r>
                      <ns1:t>2.626</ns1:t>
                    </ns1:r>
                  </ns1:oMath>
                </w:p>
              </w:tc>
              <w:tc>
                <w:tcPr/>
                <w:p>
                  <w:pPr>
                    <w:pStyle w:val="Compact"/>
                    <w:jc w:val="both"/>
                    <w:jc w:val="center"/>
                    <w:spacing w:line="360" w:lineRule="auto"/>
                  </w:pPr>
                  <w:r>
                    <w:t xml:space="preserve">1</w:t>
                  </w:r>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74</w:t>
                  </w:r>
                </w:p>
              </w:tc>
              <w:tc>
                <w:tcPr/>
                <w:p>
                  <w:pPr>
                    <w:pStyle w:val="Compact"/>
                    <w:jc w:val="both"/>
                    <w:jc w:val="center"/>
                    <w:spacing w:line="360" w:lineRule="auto"/>
                  </w:pPr>
                  <w:r>
                    <w:t xml:space="preserve">1</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Coste (ms)</w:t>
                  </w:r>
                </w:p>
              </w:tc>
              <w:tc>
                <w:tcPr/>
                <w:p>
                  <w:pPr>
                    <w:pStyle w:val="Compact"/>
                    <w:jc w:val="both"/>
                    <w:jc w:val="center"/>
                    <w:spacing w:line="360" w:lineRule="auto"/>
                  </w:pPr>
                  <ns1:oMath>
                    <ns1:r>
                      <ns1:rPr>
                        <ns1:sty ns1:val="p"/>
                      </ns1:rPr>
                      <ns1:t>+</ns1:t>
                    </ns1:r>
                    <ns1:r>
                      <ns1:t>8</ns1:t>
                    </ns1:r>
                    <ns1:r>
                      <ns1:rPr>
                        <ns1:sty ns1:val="p"/>
                      </ns1:rPr>
                      <ns1:t>,</ns1:t>
                    </ns1:r>
                    <ns1:r>
                      <ns1:t>047.6</ns1:t>
                    </ns1:r>
                  </ns1:oMath>
                </w:p>
              </w:tc>
              <w:tc>
                <w:tcPr/>
                <w:p>
                  <w:pPr>
                    <w:pStyle w:val="Compact"/>
                    <w:jc w:val="both"/>
                    <w:jc w:val="center"/>
                    <w:spacing w:line="360" w:lineRule="auto"/>
                  </w:pPr>
                  <ns1:oMath>
                    <ns1:r>
                      <ns1:t>17</ns1:t>
                    </ns1:r>
                    <ns1:r>
                      <ns1:rPr>
                        <ns1:sty ns1:val="p"/>
                      </ns1:rPr>
                      <ns1:t>,</ns1:t>
                    </ns1:r>
                    <ns1:r>
                      <ns1:t>856.6</ns1:t>
                    </ns1:r>
                  </ns1:oMath>
                </w:p>
              </w:tc>
              <w:tc>
                <w:tcPr/>
                <w:p>
                  <w:pPr>
                    <w:pStyle w:val="Compact"/>
                    <w:jc w:val="both"/>
                    <w:jc w:val="center"/>
                    <w:spacing w:line="360" w:lineRule="auto"/>
                  </w:pPr>
                  <ns1:oMath>
                    <ns1:r>
                      <ns1:rPr>
                        <ns1:sty ns1:val="p"/>
                      </ns1:rPr>
                      <ns1:t>+</ns1:t>
                    </ns1:r>
                    <ns1:r>
                      <ns1:t>0.451</ns1:t>
                    </ns1:r>
                  </ns1:oMath>
                </w:p>
              </w:tc>
              <w:tc>
                <w:tcPr/>
                <w:p>
                  <w:pPr>
                    <w:pStyle w:val="Compact"/>
                    <w:jc w:val="both"/>
                    <w:jc w:val="center"/>
                    <w:spacing w:line="360" w:lineRule="auto"/>
                  </w:pPr>
                  <w:r>
                    <w:t xml:space="preserve">205</w:t>
                  </w:r>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w:r>
                    <w:t xml:space="preserve">59</w:t>
                  </w:r>
                </w:p>
              </w:tc>
              <w:tc>
                <w:tcPr/>
                <w:p>
                  <w:pPr>
                    <w:pStyle w:val="Compact"/>
                    <w:jc w:val="both"/>
                    <w:jc w:val="center"/>
                    <w:spacing w:line="360" w:lineRule="auto"/>
                  </w:pPr>
                  <w:r>
                    <w:t xml:space="preserve">16</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bl>
          <w:bookmarkEnd w:id="340"/>
          <w:p>
            <w:pPr>
              <w:spacing w:line="360" w:lineRule="auto"/>
              <w:jc w:val="both"/>
            </w:pPr>
          </w:p>
        </w:tc>
      </w:tr>
    </w:tbl>
    <w:p>
      <w:pPr>
        <w:pStyle w:val="Textoindependiente"/>
        <w:spacing w:line="360" w:lineRule="auto"/>
        <w:jc w:val="both"/>
      </w:pPr>
      <w:r>
        <w:t xml:space="preserve">La interpretación de</w:t>
      </w:r>
      <w:r>
        <w:t xml:space="preserve"> </w:t>
      </w:r>
      <ns1:oMath>
        <ns1:sSub>
          <ns1:e>
            <ns1:r>
              <ns1:t>d</ns1:t>
            </ns1:r>
          </ns1:e>
          <ns1:sub>
            <ns1:r>
              <ns1:t>z</ns1:t>
            </ns1:r>
          </ns1:sub>
        </ns1:sSub>
      </ns1:oMath>
      <w:r>
        <w:t xml:space="preserve"> </w:t>
      </w:r>
      <w:r>
        <w:t xml:space="preserve">sigue la escala de Cohen:</w:t>
      </w:r>
      <w:r>
        <w:t xml:space="preserve"> </w:t>
      </w:r>
      <ns1:oMath>
        <ns1:sSub>
          <ns1:e>
            <ns1:r>
              <ns1:t>d</ns1:t>
            </ns1:r>
          </ns1:e>
          <ns1:sub>
            <ns1:r>
              <ns1:t>z</ns1:t>
            </ns1:r>
          </ns1:sub>
        </ns1:sSub>
        <ns1:r>
          <ns1:rPr>
            <ns1:sty ns1:val="p"/>
          </ns1:rPr>
          <ns1:t>&gt;</ns1:t>
        </ns1:r>
        <ns1:r>
          <ns1:t>0.8</ns1:t>
        </ns1:r>
      </ns1:oMath>
      <w:r>
        <w:t xml:space="preserve"> </w:t>
      </w:r>
      <w:r>
        <w:t xml:space="preserve">= efecto</w:t>
      </w:r>
      <w:r>
        <w:t xml:space="preserve"> </w:t>
      </w:r>
      <w:r>
        <w:t xml:space="preserve">grande;</w:t>
      </w:r>
      <w:r>
        <w:t xml:space="preserve"> </w:t>
      </w:r>
      <ns1:oMath>
        <ns1:sSub>
          <ns1:e>
            <ns1:r>
              <ns1:t>d</ns1:t>
            </ns1:r>
          </ns1:e>
          <ns1:sub>
            <ns1:r>
              <ns1:t>z</ns1:t>
            </ns1:r>
          </ns1:sub>
        </ns1:sSub>
        <ns1:r>
          <ns1:rPr>
            <ns1:sty ns1:val="p"/>
          </ns1:rPr>
          <ns1:t>&gt;</ns1:t>
        </ns1:r>
        <ns1:r>
          <ns1:t>2.0</ns1:t>
        </ns1:r>
      </ns1:oMath>
      <w:r>
        <w:t xml:space="preserve"> </w:t>
      </w:r>
      <w:r>
        <w:t xml:space="preserve">= efecto muy grande. Los umbrales Holm ajustados se</w:t>
      </w:r>
      <w:r>
        <w:t xml:space="preserve"> </w:t>
      </w:r>
      <w:r>
        <w:t xml:space="preserve">aplican en orden decreciente de</w:t>
      </w:r>
      <w:r>
        <w:t xml:space="preserve"> </w:t>
      </w:r>
      <ns1:oMath>
        <ns1:r>
          <ns1:t>p</ns1:t>
        </ns1:r>
      </ns1:oMath>
      <w:r>
        <w:t xml:space="preserve">-valor:</w:t>
      </w:r>
      <w:r>
        <w:t xml:space="preserve"> </w:t>
      </w:r>
      <ns1:oMath>
        <ns1:r>
          <ns1:t>α</ns1:t>
        </ns1:r>
        <ns1:r>
          <ns1:rPr>
            <ns1:sty ns1:val="p"/>
          </ns1:rPr>
          <ns1:t>/</ns1:t>
        </ns1:r>
        <ns1:r>
          <ns1:t>5</ns1:t>
        </ns1:r>
        <ns1:r>
          <ns1:rPr>
            <ns1:sty ns1:val="p"/>
          </ns1:rPr>
          <ns1:t>=</ns1:t>
        </ns1:r>
        <ns1:r>
          <ns1:t>0.010</ns1:t>
        </ns1:r>
      </ns1:oMath>
      <w:r>
        <w:t xml:space="preserve">,</w:t>
      </w:r>
      <w:r>
        <w:t xml:space="preserve"> </w:t>
      </w:r>
      <ns1:oMath>
        <ns1:r>
          <ns1:t>α</ns1:t>
        </ns1:r>
        <ns1:r>
          <ns1:rPr>
            <ns1:sty ns1:val="p"/>
          </ns1:rPr>
          <ns1:t>/</ns1:t>
        </ns1:r>
        <ns1:r>
          <ns1:t>4</ns1:t>
        </ns1:r>
        <ns1:r>
          <ns1:rPr>
            <ns1:sty ns1:val="p"/>
          </ns1:rPr>
          <ns1:t>=</ns1:t>
        </ns1:r>
        <ns1:r>
          <ns1:t>0.0125</ns1:t>
        </ns1:r>
      </ns1:oMath>
      <w:r>
        <w:t xml:space="preserve">,</w:t>
      </w:r>
      <w:r>
        <w:t xml:space="preserve"> </w:t>
      </w:r>
      <ns1:oMath>
        <ns1:r>
          <ns1:t>α</ns1:t>
        </ns1:r>
        <ns1:r>
          <ns1:rPr>
            <ns1:sty ns1:val="p"/>
          </ns1:rPr>
          <ns1:t>/</ns1:t>
        </ns1:r>
        <ns1:r>
          <ns1:t>3</ns1:t>
        </ns1:r>
        <ns1:r>
          <ns1:rPr>
            <ns1:sty ns1:val="p"/>
          </ns1:rPr>
          <ns1:t>=</ns1:t>
        </ns1:r>
        <ns1:r>
          <ns1:t>0.0167</ns1:t>
        </ns1:r>
      </ns1:oMath>
      <w:r>
        <w:t xml:space="preserve">,</w:t>
      </w:r>
      <w:r>
        <w:t xml:space="preserve"> </w:t>
      </w:r>
      <ns1:oMath>
        <ns1:r>
          <ns1:t>α</ns1:t>
        </ns1:r>
        <ns1:r>
          <ns1:rPr>
            <ns1:sty ns1:val="p"/>
          </ns1:rPr>
          <ns1:t>/</ns1:t>
        </ns1:r>
        <ns1:r>
          <ns1:t>2</ns1:t>
        </ns1:r>
        <ns1:r>
          <ns1:rPr>
            <ns1:sty ns1:val="p"/>
          </ns1:rPr>
          <ns1:t>=</ns1:t>
        </ns1:r>
        <ns1:r>
          <ns1:t>0.025</ns1:t>
        </ns1:r>
      </ns1:oMath>
      <w:r>
        <w:t xml:space="preserve">,</w:t>
      </w:r>
      <w:r>
        <w:t xml:space="preserve"> </w:t>
      </w:r>
      <ns1:oMath>
        <ns1:r>
          <ns1:t>α</ns1:t>
        </ns1:r>
        <ns1:r>
          <ns1:rPr>
            <ns1:sty ns1:val="p"/>
          </ns1:rPr>
          <ns1:t>/</ns1:t>
        </ns1:r>
        <ns1:r>
          <ns1:t>1</ns1:t>
        </ns1:r>
        <ns1:r>
          <ns1:rPr>
            <ns1:sty ns1:val="p"/>
          </ns1:rPr>
          <ns1:t>=</ns1:t>
        </ns1:r>
        <ns1:r>
          <ns1:t>0.050</ns1:t>
        </ns1:r>
      </ns1:oMath>
      <w:r>
        <w:t xml:space="preserve">. Todos</w:t>
      </w:r>
      <w:r>
        <w:t xml:space="preserve"> </w:t>
      </w:r>
      <w:r>
        <w:t xml:space="preserve">los p-valores ajustados quedan muy por debajo de sus umbrales correspondientes.</w:t>
      </w:r>
    </w:p>
    <w:p>
      <w:pPr>
        <w:pStyle w:val="Textoindependiente"/>
        <w:spacing w:line="360" w:lineRule="auto"/>
        <w:jc w:val="both"/>
      </w:pPr>
      <w:r>
        <w:t xml:space="preserve">La proposición P1 se evalúa sobre el estrato replicado RF/</w:t>
      </w:r>
      <ns1:oMath>
        <ns1:r>
          <ns1:t>N</ns1:t>
        </ns1:r>
        <ns1:r>
          <ns1:rPr>
            <ns1:sty ns1:val="p"/>
          </ns1:rPr>
          <ns1:t>=</ns1:t>
        </ns1:r>
        <ns1:r>
          <ns1:t>100</ns1:t>
        </ns1:r>
      </ns1:oMath>
      <w:r>
        <w:t xml:space="preserve"> </w:t>
      </w:r>
      <w:r>
        <w:t xml:space="preserve">del nivel de</w:t>
      </w:r>
      <w:r>
        <w:t xml:space="preserve"> </w:t>
      </w:r>
      <w:r>
        <w:t xml:space="preserve">ejecución de EXP2, agregando las cinco semillas: los valores de la</w:t>
      </w:r>
      <w:r>
        <w:t xml:space="preserve"> </w:t>
      </w:r>
      <w:hyperlink w:anchor="tbl-cv-p1">
        <w:r>
          <w:rPr>
            <w:rStyle w:val="Hipervnculo"/>
          </w:rPr>
          <w:t xml:space="preserve">Table 5.6</w:t>
        </w:r>
      </w:hyperlink>
      <w:r>
        <w:t xml:space="preserve"> </w:t>
      </w:r>
      <w:r>
        <w:t xml:space="preserve">se re-derivan de</w:t>
      </w:r>
      <w:r>
        <w:t xml:space="preserve"> </w:t>
      </w:r>
      <w:r>
        <w:rPr>
          <w:rStyle w:val="VerbatimChar"/>
        </w:rPr>
        <w:t xml:space="preserve">outputs/analysis/paper_a_exp2_stats/exp2_run_level_metrics.csv</w:t>
      </w:r>
      <w:r>
        <w:t xml:space="preserve">. El perfilado</w:t>
      </w:r>
      <w:r>
        <w:t xml:space="preserve"> </w:t>
      </w:r>
      <w:r>
        <w:t xml:space="preserve">de dispersión de EXP1, documentado de forma independiente en</w:t>
      </w:r>
      <w:r>
        <w:t xml:space="preserve"> </w:t>
      </w:r>
      <w:r>
        <w:rPr>
          <w:rStyle w:val="VerbatimChar"/>
        </w:rPr>
        <w:t xml:space="preserve">experiments/exp1_adult/reproducibility/reproducibility_report.csv</w:t>
      </w:r>
      <w:r>
        <w:t xml:space="preserve">, cubre una</w:t>
      </w:r>
      <w:r>
        <w:t xml:space="preserve"> </w:t>
      </w:r>
      <w:r>
        <w:t xml:space="preserve">cohorte distinta (nueve ejecuciones por configuración, modelos</w:t>
      </w:r>
      <w:r>
        <w:t xml:space="preserve"> </w:t>
      </w:r>
      <w:r>
        <w:rPr>
          <w:rStyle w:val="VerbatimChar"/>
        </w:rPr>
        <w:t xml:space="preserve">rf</w:t>
      </w:r>
      <w:r>
        <w:t xml:space="preserve">/</w:t>
      </w:r>
      <w:r>
        <w:rPr>
          <w:rStyle w:val="VerbatimChar"/>
        </w:rPr>
        <w:t xml:space="preserve">xgb</w:t>
      </w:r>
      <w:r>
        <w:t xml:space="preserve"> </w:t>
      </w:r>
      <w:r>
        <w:t xml:space="preserve">con</w:t>
      </w:r>
      <w:r>
        <w:t xml:space="preserve"> </w:t>
      </w:r>
      <w:r>
        <w:t xml:space="preserve">SHAP y LIME) y sostiene la puerta 6 del protocolo, pero no es la fuente de las</w:t>
      </w:r>
      <w:r>
        <w:t xml:space="preserve"> </w:t>
      </w:r>
      <w:r>
        <w:t xml:space="preserve">cifras de la</w:t>
      </w:r>
      <w:r>
        <w:t xml:space="preserve"> </w:t>
      </w:r>
      <w:hyperlink w:anchor="tbl-cv-p1">
        <w:r>
          <w:rPr>
            <w:rStyle w:val="Hipervnculo"/>
          </w:rPr>
          <w:t xml:space="preserve">Table 5.6</w:t>
        </w:r>
      </w:hyperlink>
      <w:r>
        <w:t xml:space="preserve">. Los artefactos crudos por ejecución se encuentran bajo</w:t>
      </w:r>
      <w:r>
        <w:t xml:space="preserve"> </w:t>
      </w:r>
      <w:r>
        <w:rPr>
          <w:rStyle w:val="VerbatimChar"/>
        </w:rPr>
        <w:t xml:space="preserve">experiments/exp2_scaled/results/</w:t>
      </w:r>
      <w:r>
        <w:t xml:space="preserve">; 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se documenta en</w:t>
      </w:r>
      <w:r>
        <w:t xml:space="preserve"> </w:t>
      </w:r>
      <w:r>
        <w:rPr>
          <w:rStyle w:val="VerbatimChar"/>
        </w:rPr>
        <w:t xml:space="preserve">outputs/batch_results.csv</w:t>
      </w:r>
      <w:r>
        <w:t xml:space="preserve">.</w:t>
      </w:r>
    </w:p>
    <w:bookmarkEnd w:id="341"/>
    <w:bookmarkEnd w:id="342"/>
    <w:bookmarkStart w:id="344" w:name="X04860b57595e5decb99c93517a1220202cc7fb5"/>
    <w:p>
      <w:pPr>
        <w:pStyle w:val="Ttulo2"/>
        <w:spacing w:line="360" w:lineRule="auto"/>
        <w:jc w:val="both"/>
      </w:pPr>
      <w:r>
        <w:t xml:space="preserve">Apéndice E: Entorno computacional y reproducción</w:t>
      </w:r>
    </w:p>
    <w:p>
      <w:pPr>
        <w:pStyle w:val="FirstParagraph"/>
        <w:spacing w:line="360" w:lineRule="auto"/>
        <w:jc w:val="both"/>
      </w:pPr>
      <w:r>
        <w:t xml:space="preserve">La instantánea de trabajo usada para esta versión de tesis corresponde al commit</w:t>
      </w:r>
      <w:r>
        <w:t xml:space="preserve"> </w:t>
      </w:r>
      <w:r>
        <w:rPr>
          <w:rStyle w:val="VerbatimChar"/>
        </w:rPr>
        <w:t xml:space="preserve">553f65d71b077ec181ad36da7bb6e7c9942fe116</w:t>
      </w:r>
      <w:r>
        <w:t xml:space="preserve"> </w:t>
      </w:r>
      <w:r>
        <w:t xml:space="preserve">(2026-07-24), archivado con DOI</w:t>
      </w:r>
      <w:r>
        <w:t xml:space="preserve"> </w:t>
      </w:r>
      <w:r>
        <w:t xml:space="preserve">Zenodo</w:t>
      </w:r>
      <w:r>
        <w:t xml:space="preserve"> </w:t>
      </w:r>
      <w:r>
        <w:rPr>
          <w:rStyle w:val="VerbatimChar"/>
        </w:rPr>
        <w:t xml:space="preserve">10.5281/zenodo.21538180</w:t>
      </w:r>
      <w:r>
        <w:t xml:space="preserve">; el DOI de concepto</w:t>
      </w:r>
      <w:r>
        <w:t xml:space="preserve"> </w:t>
      </w:r>
      <w:r>
        <w:rPr>
          <w:rStyle w:val="VerbatimChar"/>
        </w:rPr>
        <w:t xml:space="preserve">10.5281/zenodo.19297723</w:t>
      </w:r>
      <w:r>
        <w:t xml:space="preserve"> </w:t>
      </w:r>
      <w:r>
        <w:t xml:space="preserve">resuelve a la versión más reciente. La instantánea</w:t>
      </w:r>
      <w:r>
        <w:t xml:space="preserve"> </w:t>
      </w:r>
      <w:r>
        <w:t xml:space="preserve">anterior (</w:t>
      </w:r>
      <w:r>
        <w:rPr>
          <w:rStyle w:val="VerbatimChar"/>
        </w:rPr>
        <w:t xml:space="preserve">33fd952a01a752f6988f46ba79b18694838c3f8f</w:t>
      </w:r>
      <w:r>
        <w:t xml:space="preserve">, DOI</w:t>
      </w:r>
      <w:r>
        <w:t xml:space="preserve"> </w:t>
      </w:r>
      <w:r>
        <w:rPr>
          <w:rStyle w:val="VerbatimChar"/>
        </w:rPr>
        <w:t xml:space="preserve">10.5281/zenodo.19297724</w:t>
      </w:r>
      <w:r>
        <w:t xml:space="preserve">, abril de 2026) se conserva por procedencia pero es</w:t>
      </w:r>
      <w:r>
        <w:t xml:space="preserve"> </w:t>
      </w:r>
      <w:r>
        <w:t xml:space="preserve">anterior a la superposición de recuperación de SHAP y no reproduce las cifras</w:t>
      </w:r>
      <w:r>
        <w:t xml:space="preserve"> </w:t>
      </w:r>
      <w:r>
        <w:t xml:space="preserve">del Capítulo 4. Los archivos principales de entorno son:</w:t>
      </w:r>
    </w:p>
    <w:tbl>
      <w:tblPr>
        <w:tblStyle w:val="Table"/>
        <w:tblW w:type="pct" w:w="5000"/>
        <w:tblLayout w:type="fixed"/>
        <w:tblLook w:firstRow="0" w:lastRow="0" w:firstColumn="0" w:lastColumn="0" w:noHBand="0" w:noVBand="0" w:val="0000"/>
      </w:tblPr>
      <w:tblGrid>
        <w:gridCol w:w="7920"/>
      </w:tblGrid>
      <w:tr>
        <w:tc>
          <w:tcPr/>
          <w:bookmarkStart w:id="343" w:name="tbl-appendix-environment"/>
          <w:p>
            <w:pPr>
              <w:jc w:val="both"/>
              <w:spacing w:line="360" w:lineRule="auto"/>
            </w:pPr>
            <w:pPr>
              <w:jc w:val="left"/>
              <w:spacing w:before="200"/>
              <w:pStyle w:val="ImageCaption"/>
            </w:pPr>
            <w:r>
              <w:t xml:space="preserve">Table 7.16: Archivos de entorno y reproducción.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Función</w:t>
                  </w:r>
                </w:p>
              </w:tc>
            </w:tr>
            <w:tr>
              <w:tc>
                <w:tcPr/>
                <w:p>
                  <w:pPr>
                    <w:pStyle w:val="Compact"/>
                    <w:jc w:val="both"/>
                    <w:jc w:val="center"/>
                    <w:spacing w:line="360" w:lineRule="auto"/>
                  </w:pPr>
                  <w:r>
                    <w:rPr>
                      <w:rStyle w:val="VerbatimChar"/>
                    </w:rPr>
                    <w:t xml:space="preserve">environment.yml</w:t>
                  </w:r>
                </w:p>
              </w:tc>
              <w:tc>
                <w:tcPr/>
                <w:p>
                  <w:pPr>
                    <w:pStyle w:val="Compact"/>
                    <w:jc w:val="both"/>
                    <w:jc w:val="center"/>
                    <w:spacing w:line="360" w:lineRule="auto"/>
                  </w:pPr>
                  <w:r>
                    <w:t xml:space="preserve">Entorno Conda base con Python 3.11</w:t>
                  </w:r>
                </w:p>
              </w:tc>
            </w:tr>
            <w:tr>
              <w:tc>
                <w:tcPr/>
                <w:p>
                  <w:pPr>
                    <w:pStyle w:val="Compact"/>
                    <w:jc w:val="both"/>
                    <w:jc w:val="center"/>
                    <w:spacing w:line="360" w:lineRule="auto"/>
                  </w:pPr>
                  <w:r>
                    <w:rPr>
                      <w:rStyle w:val="VerbatimChar"/>
                    </w:rPr>
                    <w:t xml:space="preserve">requirements.txt</w:t>
                  </w:r>
                </w:p>
              </w:tc>
              <w:tc>
                <w:tcPr/>
                <w:p>
                  <w:pPr>
                    <w:pStyle w:val="Compact"/>
                    <w:jc w:val="both"/>
                    <w:jc w:val="center"/>
                    <w:spacing w:line="360" w:lineRule="auto"/>
                  </w:pPr>
                  <w:r>
                    <w:t xml:space="preserve">Dependencias Python principales</w:t>
                  </w:r>
                </w:p>
              </w:tc>
            </w:tr>
            <w:tr>
              <w:tc>
                <w:tcPr/>
                <w:p>
                  <w:pPr>
                    <w:pStyle w:val="Compact"/>
                    <w:jc w:val="both"/>
                    <w:jc w:val="center"/>
                    <w:spacing w:line="360" w:lineRule="auto"/>
                  </w:pPr>
                  <w:r>
                    <w:rPr>
                      <w:rStyle w:val="VerbatimChar"/>
                    </w:rPr>
                    <w:t xml:space="preserve">requirements-frozen.txt</w:t>
                  </w:r>
                </w:p>
              </w:tc>
              <w:tc>
                <w:tcPr/>
                <w:p>
                  <w:pPr>
                    <w:pStyle w:val="Compact"/>
                    <w:jc w:val="both"/>
                    <w:jc w:val="center"/>
                    <w:spacing w:line="360" w:lineRule="auto"/>
                  </w:pPr>
                  <w:r>
                    <w:t xml:space="preserve">Dependencias fijadas para reproducción</w:t>
                  </w:r>
                </w:p>
              </w:tc>
            </w:tr>
            <w:tr>
              <w:tc>
                <w:tcPr/>
                <w:p>
                  <w:pPr>
                    <w:pStyle w:val="Compact"/>
                    <w:jc w:val="both"/>
                    <w:jc w:val="center"/>
                    <w:spacing w:line="360" w:lineRule="auto"/>
                  </w:pPr>
                  <w:r>
                    <w:rPr>
                      <w:rStyle w:val="VerbatimChar"/>
                    </w:rPr>
                    <w:t xml:space="preserve">render.yaml</w:t>
                  </w:r>
                </w:p>
              </w:tc>
              <w:tc>
                <w:tcPr/>
                <w:p>
                  <w:pPr>
                    <w:pStyle w:val="Compact"/>
                    <w:jc w:val="both"/>
                    <w:jc w:val="center"/>
                    <w:spacing w:line="360" w:lineRule="auto"/>
                  </w:pPr>
                  <w:r>
                    <w:t xml:space="preserve">Configuración auxiliar de render</w:t>
                  </w:r>
                </w:p>
              </w:tc>
            </w:tr>
          </w:tbl>
          <w:bookmarkEnd w:id="343"/>
          <w:p>
            <w:pPr>
              <w:spacing w:line="360" w:lineRule="auto"/>
              <w:jc w:val="both"/>
            </w:pPr>
          </w:p>
        </w:tc>
      </w:tr>
    </w:tbl>
    <w:p>
      <w:pPr>
        <w:pStyle w:val="Textoindependiente"/>
        <w:spacing w:line="360" w:lineRule="auto"/>
        <w:jc w:val="both"/>
      </w:pPr>
      <w:r>
        <w:t xml:space="preserve">La reproducción mínima sigue esta secuencia:</w:t>
      </w:r>
    </w:p>
    <w:p>
      <w:pPr>
        <w:pStyle w:val="Compact"/>
        <w:numPr>
          <w:ilvl w:val="0"/>
          <w:numId w:val="1018"/>
        </w:numPr>
        <w:spacing w:line="360" w:lineRule="auto"/>
        <w:jc w:val="both"/>
      </w:pPr>
      <w:r>
        <w:t xml:space="preserve">Crear el entorno desde</w:t>
      </w:r>
      <w:r>
        <w:t xml:space="preserve"> </w:t>
      </w:r>
      <w:r>
        <w:rPr>
          <w:rStyle w:val="VerbatimChar"/>
        </w:rPr>
        <w:t xml:space="preserve">environment.yml</w:t>
      </w:r>
      <w:r>
        <w:t xml:space="preserve">.</w:t>
      </w:r>
    </w:p>
    <w:p>
      <w:pPr>
        <w:pStyle w:val="Compact"/>
        <w:numPr>
          <w:ilvl w:val="0"/>
          <w:numId w:val="1018"/>
        </w:numPr>
        <w:spacing w:line="360" w:lineRule="auto"/>
        <w:jc w:val="both"/>
      </w:pPr>
      <w:r>
        <w:t xml:space="preserve">Instalar dependencias fijadas desde</w:t>
      </w:r>
      <w:r>
        <w:t xml:space="preserve"> </w:t>
      </w:r>
      <w:r>
        <w:rPr>
          <w:rStyle w:val="VerbatimChar"/>
        </w:rPr>
        <w:t xml:space="preserve">requirements-frozen.txt</w:t>
      </w:r>
      <w:r>
        <w:t xml:space="preserve">.</w:t>
      </w:r>
    </w:p>
    <w:p>
      <w:pPr>
        <w:pStyle w:val="Compact"/>
        <w:numPr>
          <w:ilvl w:val="0"/>
          <w:numId w:val="1018"/>
        </w:numPr>
        <w:spacing w:line="360" w:lineRule="auto"/>
        <w:jc w:val="both"/>
      </w:pPr>
      <w:r>
        <w:t xml:space="preserve">Verificar artefactos EXP2 con</w:t>
      </w:r>
      <w:r>
        <w:t xml:space="preserve"> </w:t>
      </w:r>
      <w:r>
        <w:rPr>
          <w:rStyle w:val="VerbatimChar"/>
        </w:rPr>
        <w:t xml:space="preserve">scripts/validate_results.py</w:t>
      </w:r>
      <w:r>
        <w:t xml:space="preserve"> </w:t>
      </w:r>
      <w:r>
        <w:t xml:space="preserve">o</w:t>
      </w:r>
      <w:r>
        <w:t xml:space="preserve"> </w:t>
      </w:r>
      <w:r>
        <w:rPr>
          <w:rStyle w:val="VerbatimChar"/>
        </w:rPr>
        <w:t xml:space="preserve">scripts/verify_and_repair_results.py</w:t>
      </w:r>
      <w:r>
        <w:t xml:space="preserve">.</w:t>
      </w:r>
    </w:p>
    <w:p>
      <w:pPr>
        <w:pStyle w:val="Compact"/>
        <w:numPr>
          <w:ilvl w:val="0"/>
          <w:numId w:val="1018"/>
        </w:numPr>
        <w:spacing w:line="360" w:lineRule="auto"/>
        <w:jc w:val="both"/>
      </w:pPr>
      <w:r>
        <w:t xml:space="preserve">Regenerar tablas inferenciales con</w:t>
      </w:r>
      <w:r>
        <w:t xml:space="preserve"> </w:t>
      </w:r>
      <w:r>
        <w:rPr>
          <w:rStyle w:val="VerbatimChar"/>
        </w:rPr>
        <w:t xml:space="preserve">scripts/run_exp2_statistical_analysis.py</w:t>
      </w:r>
      <w:r>
        <w:t xml:space="preserve">.</w:t>
      </w:r>
    </w:p>
    <w:p>
      <w:pPr>
        <w:pStyle w:val="Compact"/>
        <w:numPr>
          <w:ilvl w:val="0"/>
          <w:numId w:val="1018"/>
        </w:numPr>
        <w:spacing w:line="360" w:lineRule="auto"/>
        <w:jc w:val="both"/>
      </w:pPr>
      <w:r>
        <w:t xml:space="preserve">Renderizar la tesis desde</w:t>
      </w:r>
      <w:r>
        <w:t xml:space="preserve"> </w:t>
      </w:r>
      <w:r>
        <w:rPr>
          <w:rStyle w:val="VerbatimChar"/>
        </w:rPr>
        <w:t xml:space="preserve">thesis/</w:t>
      </w:r>
      <w:r>
        <w:t xml:space="preserve"> </w:t>
      </w:r>
      <w:r>
        <w:t xml:space="preserve">con</w:t>
      </w:r>
      <w:r>
        <w:t xml:space="preserve"> </w:t>
      </w:r>
      <w:r>
        <w:rPr>
          <w:rStyle w:val="VerbatimChar"/>
        </w:rPr>
        <w:t xml:space="preserve">quarto render</w:t>
      </w:r>
      <w:r>
        <w:t xml:space="preserve">.</w:t>
      </w:r>
    </w:p>
    <w:bookmarkEnd w:id="344"/>
    <w:bookmarkStart w:id="346" w:name="X6203a5fbf2bdeeaed3e02c144db2e542f2870ed"/>
    <w:p>
      <w:pPr>
        <w:pStyle w:val="Ttulo2"/>
        <w:spacing w:line="360" w:lineRule="auto"/>
        <w:jc w:val="both"/>
      </w:pPr>
      <w:r>
        <w:t xml:space="preserve">Apéndice F: Artefactos del Estudio EXP4 (fiabilidad de jueces LLM)</w:t>
      </w:r>
    </w:p>
    <w:p>
      <w:pPr>
        <w:pStyle w:val="FirstParagraph"/>
        <w:spacing w:line="360" w:lineRule="auto"/>
        <w:jc w:val="both"/>
      </w:pPr>
      <w:r>
        <w:t xml:space="preserve">EXP4 (diseñado en §sec-exp4-diseno, Capítulo 3; resultados en</w:t>
      </w:r>
      <w:r>
        <w:t xml:space="preserve"> </w:t>
      </w:r>
      <w:r>
        <w:t xml:space="preserve">§sec-exp4-fiabilidad, Capítulo 5) cuantifica la fiabilidad inter-juez de</w:t>
      </w:r>
      <w:r>
        <w:t xml:space="preserve"> </w:t>
      </w:r>
      <w:r>
        <w:t xml:space="preserve">evaluadores LLM sobre siete dimensiones semánticas. Los artefactos del estudio</w:t>
      </w:r>
      <w:r>
        <w:t xml:space="preserve"> </w:t>
      </w:r>
      <w:r>
        <w:t xml:space="preserve">se encuentran en las rutas siguientes y sostienen la Tabla</w:t>
      </w:r>
      <w:r>
        <w:t xml:space="preserve"> </w:t>
      </w:r>
      <w:hyperlink w:anchor="tbl-exp4-icc">
        <w:r>
          <w:rPr>
            <w:rStyle w:val="Hipervnculo"/>
          </w:rPr>
          <w:t xml:space="preserve">Table 6.3</w:t>
        </w:r>
      </w:hyperlink>
      <w:r>
        <w:t xml:space="preserve"> </w:t>
      </w:r>
      <w:r>
        <w:t xml:space="preserve">del</w:t>
      </w:r>
      <w:r>
        <w:t xml:space="preserve"> </w:t>
      </w:r>
      <w:r>
        <w:t xml:space="preserve">Capítulo 5.</w:t>
      </w:r>
    </w:p>
    <w:tbl>
      <w:tblPr>
        <w:tblStyle w:val="Table"/>
        <w:tblW w:type="pct" w:w="5000"/>
        <w:tblLayout w:type="fixed"/>
        <w:tblLook w:firstRow="0" w:lastRow="0" w:firstColumn="0" w:lastColumn="0" w:noHBand="0" w:noVBand="0" w:val="0000"/>
      </w:tblPr>
      <w:tblGrid>
        <w:gridCol w:w="7920"/>
      </w:tblGrid>
      <w:tr>
        <w:tc>
          <w:tcPr/>
          <w:bookmarkStart w:id="345" w:name="tbl-appendix-llm"/>
          <w:p>
            <w:pPr>
              <w:jc w:val="both"/>
              <w:spacing w:line="360" w:lineRule="auto"/>
            </w:pPr>
            <w:pPr>
              <w:jc w:val="left"/>
              <w:spacing w:before="200"/>
              <w:pStyle w:val="ImageCaption"/>
            </w:pPr>
            <w:r>
              <w:t xml:space="preserve">Table 7.17: Artefactos de EXP4 y trazabilidad a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Artefacto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la tesis</w:t>
                  </w:r>
                </w:p>
              </w:tc>
            </w:tr>
            <w:tr>
              <w:tc>
                <w:tcPr/>
                <w:p>
                  <w:pPr>
                    <w:pStyle w:val="Compact"/>
                    <w:jc w:val="both"/>
                    <w:jc w:val="center"/>
                    <w:spacing w:line="360" w:lineRule="auto"/>
                  </w:pPr>
                  <w:r>
                    <w:rPr>
                      <w:rStyle w:val="VerbatimChar"/>
                    </w:rPr>
                    <w:t xml:space="preserve">src/evaluation/exp4_schema.py</w:t>
                  </w:r>
                </w:p>
              </w:tc>
              <w:tc>
                <w:tcPr/>
                <w:p>
                  <w:pPr>
                    <w:pStyle w:val="Compact"/>
                    <w:jc w:val="both"/>
                    <w:jc w:val="center"/>
                    <w:spacing w:line="360" w:lineRule="auto"/>
                  </w:pPr>
                  <w:r>
                    <w:t xml:space="preserve">Esquema de puntuación EXP4: las siete dimensiones y la escala 1–5</w:t>
                  </w:r>
                </w:p>
              </w:tc>
              <w:tc>
                <w:tcPr/>
                <w:p>
                  <w:pPr>
                    <w:pStyle w:val="Compact"/>
                    <w:jc w:val="both"/>
                    <w:jc w:val="center"/>
                    <w:spacing w:line="360" w:lineRule="auto"/>
                  </w:pPr>
                  <w:r>
                    <w:t xml:space="preserve">Instrumento de medición EXP4 (fuente reconstruida, RCA-002)</w:t>
                  </w:r>
                </w:p>
              </w:tc>
            </w:tr>
            <w:tr>
              <w:tc>
                <w:tcPr/>
                <w:p>
                  <w:pPr>
                    <w:pStyle w:val="Compact"/>
                    <w:jc w:val="both"/>
                    <w:jc w:val="center"/>
                    <w:spacing w:line="360" w:lineRule="auto"/>
                  </w:pPr>
                  <w:r>
                    <w:rPr>
                      <w:rStyle w:val="VerbatimChar"/>
                    </w:rPr>
                    <w:t xml:space="preserve">src/prompts/templates/explanation_eval.j2</w:t>
                  </w:r>
                </w:p>
              </w:tc>
              <w:tc>
                <w:tcPr/>
                <w:p>
                  <w:pPr>
                    <w:pStyle w:val="Compact"/>
                    <w:jc w:val="both"/>
                    <w:jc w:val="center"/>
                    <w:spacing w:line="360" w:lineRule="auto"/>
                  </w:pPr>
                  <w:r>
                    <w:t xml:space="preserve">Plantilla de tres dimensiones de EXP1;</w:t>
                  </w:r>
                  <w:r>
                    <w:t xml:space="preserve"> </w:t>
                  </w:r>
                  <w:r>
                    <w:rPr>
                      <w:b/>
                      <w:bCs/>
                    </w:rPr>
                    <w:t xml:space="preserve">no</w:t>
                  </w:r>
                  <w:r>
                    <w:t xml:space="preserve"> </w:t>
                  </w:r>
                  <w:r>
                    <w:t xml:space="preserve">es el instrumento de EXP4</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src/prompts/templates/eval_instruction.j2</w:t>
                  </w:r>
                </w:p>
              </w:tc>
              <w:tc>
                <w:tcPr/>
                <w:p>
                  <w:pPr>
                    <w:pStyle w:val="Compact"/>
                    <w:jc w:val="both"/>
                    <w:jc w:val="center"/>
                    <w:spacing w:line="360" w:lineRule="auto"/>
                  </w:pPr>
                  <w:r>
                    <w:t xml:space="preserve">Instrucciones del sistema para el juez LLM (EXP1)</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outputs/analysis/exp4_llm_evaluation/judge_comparison_summary.csv</w:t>
                  </w:r>
                </w:p>
              </w:tc>
              <w:tc>
                <w:tcPr/>
                <w:p>
                  <w:pPr>
                    <w:pStyle w:val="Compact"/>
                    <w:jc w:val="both"/>
                    <w:jc w:val="center"/>
                    <w:spacing w:line="360" w:lineRule="auto"/>
                  </w:pPr>
                  <w:r>
                    <w:t xml:space="preserve">Resumen comparativo de puntuaciones por juez y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outputs/analysis/exp4_llm_evaluation/krippendorff_alpha.csv</w:t>
                  </w:r>
                </w:p>
              </w:tc>
              <w:tc>
                <w:tcPr/>
                <w:p>
                  <w:pPr>
                    <w:pStyle w:val="Compact"/>
                    <w:jc w:val="both"/>
                    <w:jc w:val="center"/>
                    <w:spacing w:line="360" w:lineRule="auto"/>
                  </w:pPr>
                  <ns1:oMath>
                    <ns1:r>
                      <ns1:t>α</ns1:t>
                    </ns1:r>
                  </ns1:oMath>
                  <w:r>
                    <w:t xml:space="preserve"> </w:t>
                  </w:r>
                  <w:r>
                    <w:t xml:space="preserve">de Krippendorff por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outputs/analysis/exp4_llm_evaluation/icc_analysis.csv</w:t>
                  </w:r>
                </w:p>
              </w:tc>
              <w:tc>
                <w:tcPr/>
                <w:p>
                  <w:pPr>
                    <w:pStyle w:val="Compact"/>
                    <w:jc w:val="both"/>
                    <w:jc w:val="center"/>
                    <w:spacing w:line="360" w:lineRule="auto"/>
                  </w:pPr>
                  <w:r>
                    <w:t xml:space="preserve">ICC(1,1) por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bl>
          <w:bookmarkEnd w:id="345"/>
          <w:p>
            <w:pPr>
              <w:spacing w:line="360" w:lineRule="auto"/>
              <w:jc w:val="both"/>
            </w:pPr>
          </w:p>
        </w:tc>
      </w:tr>
    </w:tbl>
    <w:p>
      <w:pPr>
        <w:pStyle w:val="Textoindependiente"/>
        <w:spacing w:line="360" w:lineRule="auto"/>
        <w:jc w:val="both"/>
      </w:pPr>
      <w:r>
        <w:t xml:space="preserve">EXP4 no aporta evidencia confirmativa sobre las hipótesis H1–H3 ni modifica P1;</w:t>
      </w:r>
      <w:r>
        <w:t xml:space="preserve"> </w:t>
      </w:r>
      <w:r>
        <w:t xml:space="preserve">su resultado (P2: jueces LLM no alcanzan ICC</w:t>
      </w:r>
      <w:r>
        <w:t xml:space="preserve"> </w:t>
      </w:r>
      <ns1:oMath>
        <ns1:r>
          <ns1:rPr>
            <ns1:sty ns1:val="p"/>
          </ns1:rPr>
          <ns1:t>≥</ns1:t>
        </ns1:r>
        <ns1:r>
          <ns1:t>0.75</ns1:t>
        </ns1:r>
      </ns1:oMath>
      <w:r>
        <w:t xml:space="preserve"> </w:t>
      </w:r>
      <w:r>
        <w:t xml:space="preserve">bajo las rúbricas</w:t>
      </w:r>
      <w:r>
        <w:t xml:space="preserve"> </w:t>
      </w:r>
      <w:r>
        <w:t xml:space="preserve">actuales) es un resultado negativo que delimita el alcance de la evaluación</w:t>
      </w:r>
      <w:r>
        <w:t xml:space="preserve"> </w:t>
      </w:r>
      <w:r>
        <w:t xml:space="preserve">semántica automática en XAI y establece los requisitos de formalización para</w:t>
      </w:r>
      <w:r>
        <w:t xml:space="preserve"> </w:t>
      </w:r>
      <w:r>
        <w:t xml:space="preserve">investigación futura (véase §sec-exp4-fiabilidad y §sec-futuro).</w:t>
      </w:r>
    </w:p>
    <w:bookmarkEnd w:id="346"/>
    <w:bookmarkEnd w:id="347"/>
    <w:sectPr w:rsidR="004A1446" w:rsidSect="0070096E">
      <w:headerReference ns5:id="rId9" w:type="even"/>
      <w:headerReference ns5:id="rId10" w:type="default"/>
      <w:pgSz w:h="15840" w:w="12240"/>
      <w:pgMar w:bottom="1440" w:footer="720" w:gutter="0" w:header="720" w:left="1440" w:right="1440" w:top="1728"/>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366072D"/>
    <w:multiLevelType w:val="multilevel"/>
    <w:tmpl w:val="D5B6500A"/>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1">
    <w:nsid w:val="045A1F37"/>
    <w:multiLevelType w:val="hybridMultilevel"/>
    <w:tmpl w:val="4F60AA2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
    <w:nsid w:val="08A41C17"/>
    <w:multiLevelType w:val="hybridMultilevel"/>
    <w:tmpl w:val="A09AC19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
    <w:nsid w:val="09EB2CFE"/>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
    <w:nsid w:val="0C1B2678"/>
    <w:multiLevelType w:val="hybridMultilevel"/>
    <w:tmpl w:val="F35CB910"/>
    <w:lvl w:ilvl="0" w:tplc="080A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5">
    <w:nsid w:val="0D1640E7"/>
    <w:multiLevelType w:val="hybridMultilevel"/>
    <w:tmpl w:val="23F4CD86"/>
    <w:lvl w:ilvl="0" w:tplc="080A0017">
      <w:start w:val="1"/>
      <w:numFmt w:val="lowerLetter"/>
      <w:lvlText w:val="%1)"/>
      <w:lvlJc w:val="left"/>
      <w:pPr>
        <w:ind w:hanging="360" w:left="720"/>
      </w:p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6">
    <w:nsid w:val="0F9B6BE1"/>
    <w:multiLevelType w:val="hybridMultilevel"/>
    <w:tmpl w:val="DD488E4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7">
    <w:nsid w:val="125D1FD1"/>
    <w:multiLevelType w:val="hybridMultilevel"/>
    <w:tmpl w:val="7A1C071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8">
    <w:nsid w:val="14D610D6"/>
    <w:multiLevelType w:val="hybridMultilevel"/>
    <w:tmpl w:val="362C8B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9">
    <w:nsid w:val="16160779"/>
    <w:multiLevelType w:val="hybridMultilevel"/>
    <w:tmpl w:val="B85E737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0">
    <w:nsid w:val="1DAE4C57"/>
    <w:multiLevelType w:val="hybridMultilevel"/>
    <w:tmpl w:val="C862F0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1">
    <w:nsid w:val="22AE35CC"/>
    <w:multiLevelType w:val="hybridMultilevel"/>
    <w:tmpl w:val="454A8A0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2">
    <w:nsid w:val="27907C7D"/>
    <w:multiLevelType w:val="hybridMultilevel"/>
    <w:tmpl w:val="3BB6431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3">
    <w:nsid w:val="27B21B07"/>
    <w:multiLevelType w:val="hybridMultilevel"/>
    <w:tmpl w:val="03D2FBA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4">
    <w:nsid w:val="27B509CD"/>
    <w:multiLevelType w:val="hybridMultilevel"/>
    <w:tmpl w:val="398ADC5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5">
    <w:nsid w:val="2C213436"/>
    <w:multiLevelType w:val="hybridMultilevel"/>
    <w:tmpl w:val="8514F4B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6">
    <w:nsid w:val="2D0835BB"/>
    <w:multiLevelType w:val="hybridMultilevel"/>
    <w:tmpl w:val="0E2ACF50"/>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17">
    <w:nsid w:val="2DEB5C4F"/>
    <w:multiLevelType w:val="hybridMultilevel"/>
    <w:tmpl w:val="FB7A146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8">
    <w:nsid w:val="2E716288"/>
    <w:multiLevelType w:val="hybridMultilevel"/>
    <w:tmpl w:val="44F4B19C"/>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19">
    <w:nsid w:val="34236F3A"/>
    <w:multiLevelType w:val="hybridMultilevel"/>
    <w:tmpl w:val="DAC2D14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0">
    <w:nsid w:val="345269CA"/>
    <w:multiLevelType w:val="hybridMultilevel"/>
    <w:tmpl w:val="748A358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1">
    <w:nsid w:val="35F945DC"/>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2">
    <w:nsid w:val="38857A3F"/>
    <w:multiLevelType w:val="hybridMultilevel"/>
    <w:tmpl w:val="3C4A2C96"/>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23">
    <w:nsid w:val="39D862C2"/>
    <w:multiLevelType w:val="hybridMultilevel"/>
    <w:tmpl w:val="F4389C8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4">
    <w:nsid w:val="3A1612FF"/>
    <w:multiLevelType w:val="hybridMultilevel"/>
    <w:tmpl w:val="D9B82A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5">
    <w:nsid w:val="3EF34284"/>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26">
    <w:nsid w:val="40357D59"/>
    <w:multiLevelType w:val="hybridMultilevel"/>
    <w:tmpl w:val="3D987F9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7">
    <w:nsid w:val="4370587C"/>
    <w:multiLevelType w:val="hybridMultilevel"/>
    <w:tmpl w:val="966E9F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8">
    <w:nsid w:val="43D517A4"/>
    <w:multiLevelType w:val="hybridMultilevel"/>
    <w:tmpl w:val="67D0F8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9">
    <w:nsid w:val="4848398E"/>
    <w:multiLevelType w:val="multilevel"/>
    <w:tmpl w:val="6478A78C"/>
    <w:lvl w:ilvl="0">
      <w:start w:val="1"/>
      <w:numFmt w:val="bullet"/>
      <w:lvlText w:val="•"/>
      <w:lvlJc w:val="left"/>
      <w:rPr>
        <w:rFonts w:ascii="Arial" w:cs="Arial" w:eastAsia="Arial" w:hAnsi="Arial"/>
        <w:b w:val="0"/>
        <w:bCs w:val="0"/>
        <w:i w:val="0"/>
        <w:iCs w:val="0"/>
        <w:smallCaps w:val="0"/>
        <w:strike w:val="0"/>
        <w:color w:val="000000"/>
        <w:spacing w:val="0"/>
        <w:w w:val="100"/>
        <w:position w:val="0"/>
        <w:sz w:val="22"/>
        <w:szCs w:val="22"/>
        <w:u w:val="none"/>
        <w:shd w:color="auto" w:fill="auto" w:val="clear"/>
        <w:lang w:bidi="es-ES" w:eastAsia="es-ES" w:val="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1">
    <w:nsid w:val="508079F5"/>
    <w:multiLevelType w:val="hybridMultilevel"/>
    <w:tmpl w:val="9E2EB8D6"/>
    <w:lvl w:ilvl="0" w:tplc="080A0019">
      <w:start w:val="1"/>
      <w:numFmt w:val="lowerLetter"/>
      <w:lvlText w:val="%1."/>
      <w:lvlJc w:val="left"/>
      <w:pPr>
        <w:ind w:hanging="360" w:left="1080"/>
      </w:pPr>
    </w:lvl>
    <w:lvl w:ilvl="1" w:tentative="1" w:tplc="080A0019">
      <w:start w:val="1"/>
      <w:numFmt w:val="lowerLetter"/>
      <w:lvlText w:val="%2."/>
      <w:lvlJc w:val="left"/>
      <w:pPr>
        <w:ind w:hanging="360" w:left="1800"/>
      </w:pPr>
    </w:lvl>
    <w:lvl w:ilvl="2" w:tentative="1" w:tplc="080A001B">
      <w:start w:val="1"/>
      <w:numFmt w:val="lowerRoman"/>
      <w:lvlText w:val="%3."/>
      <w:lvlJc w:val="right"/>
      <w:pPr>
        <w:ind w:hanging="180" w:left="2520"/>
      </w:pPr>
    </w:lvl>
    <w:lvl w:ilvl="3" w:tentative="1" w:tplc="080A000F">
      <w:start w:val="1"/>
      <w:numFmt w:val="decimal"/>
      <w:lvlText w:val="%4."/>
      <w:lvlJc w:val="left"/>
      <w:pPr>
        <w:ind w:hanging="360" w:left="3240"/>
      </w:pPr>
    </w:lvl>
    <w:lvl w:ilvl="4" w:tentative="1" w:tplc="080A0019">
      <w:start w:val="1"/>
      <w:numFmt w:val="lowerLetter"/>
      <w:lvlText w:val="%5."/>
      <w:lvlJc w:val="left"/>
      <w:pPr>
        <w:ind w:hanging="360" w:left="3960"/>
      </w:pPr>
    </w:lvl>
    <w:lvl w:ilvl="5" w:tentative="1" w:tplc="080A001B">
      <w:start w:val="1"/>
      <w:numFmt w:val="lowerRoman"/>
      <w:lvlText w:val="%6."/>
      <w:lvlJc w:val="right"/>
      <w:pPr>
        <w:ind w:hanging="180" w:left="4680"/>
      </w:pPr>
    </w:lvl>
    <w:lvl w:ilvl="6" w:tentative="1" w:tplc="080A000F">
      <w:start w:val="1"/>
      <w:numFmt w:val="decimal"/>
      <w:lvlText w:val="%7."/>
      <w:lvlJc w:val="left"/>
      <w:pPr>
        <w:ind w:hanging="360" w:left="5400"/>
      </w:pPr>
    </w:lvl>
    <w:lvl w:ilvl="7" w:tentative="1" w:tplc="080A0019">
      <w:start w:val="1"/>
      <w:numFmt w:val="lowerLetter"/>
      <w:lvlText w:val="%8."/>
      <w:lvlJc w:val="left"/>
      <w:pPr>
        <w:ind w:hanging="360" w:left="6120"/>
      </w:pPr>
    </w:lvl>
    <w:lvl w:ilvl="8" w:tentative="1" w:tplc="080A001B">
      <w:start w:val="1"/>
      <w:numFmt w:val="lowerRoman"/>
      <w:lvlText w:val="%9."/>
      <w:lvlJc w:val="right"/>
      <w:pPr>
        <w:ind w:hanging="180" w:left="6840"/>
      </w:pPr>
    </w:lvl>
  </w:abstractNum>
  <w:abstractNum w:abstractNumId="32">
    <w:nsid w:val="53D30A2A"/>
    <w:multiLevelType w:val="hybridMultilevel"/>
    <w:tmpl w:val="230AA50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3">
    <w:nsid w:val="544804CC"/>
    <w:multiLevelType w:val="hybridMultilevel"/>
    <w:tmpl w:val="6196107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4">
    <w:nsid w:val="54AA50AC"/>
    <w:multiLevelType w:val="hybridMultilevel"/>
    <w:tmpl w:val="35B6DD6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5">
    <w:nsid w:val="57B742D1"/>
    <w:multiLevelType w:val="hybridMultilevel"/>
    <w:tmpl w:val="14DCC1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6">
    <w:nsid w:val="58CD6908"/>
    <w:multiLevelType w:val="hybridMultilevel"/>
    <w:tmpl w:val="2AB6DCA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7">
    <w:nsid w:val="5B8701A5"/>
    <w:multiLevelType w:val="hybridMultilevel"/>
    <w:tmpl w:val="AF62B19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8">
    <w:nsid w:val="5DB827C7"/>
    <w:multiLevelType w:val="hybridMultilevel"/>
    <w:tmpl w:val="7890B05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9">
    <w:nsid w:val="693273DA"/>
    <w:multiLevelType w:val="hybridMultilevel"/>
    <w:tmpl w:val="935A837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0">
    <w:nsid w:val="6DE41D04"/>
    <w:multiLevelType w:val="hybridMultilevel"/>
    <w:tmpl w:val="73FAA2A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1">
    <w:nsid w:val="6EF27F06"/>
    <w:multiLevelType w:val="hybridMultilevel"/>
    <w:tmpl w:val="B682236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2">
    <w:nsid w:val="70F068AF"/>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3">
    <w:nsid w:val="73833852"/>
    <w:multiLevelType w:val="hybridMultilevel"/>
    <w:tmpl w:val="E34A5114"/>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44">
    <w:nsid w:val="76DB703E"/>
    <w:multiLevelType w:val="hybridMultilevel"/>
    <w:tmpl w:val="99A602B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5">
    <w:nsid w:val="77BD71E4"/>
    <w:multiLevelType w:val="hybridMultilevel"/>
    <w:tmpl w:val="F9DE49D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6">
    <w:nsid w:val="77EE2721"/>
    <w:multiLevelType w:val="hybridMultilevel"/>
    <w:tmpl w:val="2B8C220E"/>
    <w:lvl w:ilvl="0" w:tplc="080A0017">
      <w:start w:val="1"/>
      <w:numFmt w:val="lowerLetter"/>
      <w:lvlText w:val="%1)"/>
      <w:lvlJc w:val="left"/>
      <w:pPr>
        <w:ind w:hanging="360" w:left="72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7">
    <w:nsid w:val="7A002AF3"/>
    <w:multiLevelType w:val="hybridMultilevel"/>
    <w:tmpl w:val="DE2E1D0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9">
    <w:nsid w:val="7F182330"/>
    <w:multiLevelType w:val="hybridMultilevel"/>
    <w:tmpl w:val="6890D2C2"/>
    <w:lvl w:ilvl="0" w:tplc="D276A24A">
      <w:start w:val="1"/>
      <w:numFmt w:val="decimal"/>
      <w:lvlText w:val="%1."/>
      <w:lvlJc w:val="left"/>
      <w:pPr>
        <w:ind w:hanging="360" w:left="720"/>
      </w:pPr>
      <w:rPr>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3" v:ext="edit"/>
    <o:shapelayout v:ext="edit">
      <o:idmap data="2" v:ext="edit"/>
    </o:shapelayout>
  </w:hdrShapeDefaults>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w:themeFontLang w:val="es-ES"/>
  <w:clrSchemeMapping w:accent1="accent1" w:accent2="accent2" w:accent3="accent3" w:accent4="accent4" w:accent5="accent5" w:accent6="accent6" w:bg1="light1" w:bg2="light2" w:followedHyperlink="followedHyperlink" w:hyperlink="hyperlink" w:t1="dark1" w:t2="dark2"/>
  <w:shapeDefaults>
    <o:shapedefaults spidmax="2053" v:ext="edit"/>
    <o:shapelayout v:ext="edit">
      <o:idmap data="1" v:ext="edit"/>
    </o:shapelayout>
  </w:shapeDefaults>
  <w:decimalSymbol w:val=","/>
  <w:listSeparator w:val=";"/>
</w:settings>
</file>

<file path=word/styles.xml><?xml version="1.0" encoding="utf-8"?>
<w:styles xmlns:w="http://schemas.openxmlformats.org/wordprocessingml/2006/main">
  <w:docDefaults>
    <w:rPrDefault>
      <w:rPr>
        <w:rFonts w:ascii="Times New Roman" w:cstheme="minorBidi" w:eastAsiaTheme="minorHAnsi" w:hAnsi="Times New Roman"/>
        <w:sz w:val="24"/>
        <w:szCs w:val="22"/>
        <w:lang w:bidi="ar-SA" w:eastAsia="en-US" w:val="en-US"/>
      </w:rPr>
    </w:rPrDefault>
    <w:pPrDefault>
      <w:pPr>
        <w:spacing w:after="160" w:line="360" w:lineRule="auto"/>
        <w:jc w:val="both"/>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uiPriority="39"/>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F6DB2"/>
    <w:rPr>
      <w:lang w:val="es-MX"/>
    </w:rPr>
    <w:pPr>
      <w:spacing w:line="360" w:lineRule="auto"/>
      <w:jc w:val="both"/>
    </w:pPr>
  </w:style>
  <w:style w:styleId="Ttulo1" w:type="paragraph">
    <w:name w:val="heading 1"/>
    <w:basedOn w:val="Normal"/>
    <w:next w:val="Normal"/>
    <w:link w:val="Ttulo1Car"/>
    <w:autoRedefine/>
    <w:uiPriority w:val="9"/>
    <w:qFormat/>
    <w:rsid w:val="00587376"/>
    <w:pPr>
      <w:keepNext/>
      <w:keepLines/>
      <w:spacing w:after="0" w:before="240" w:line="360" w:lineRule="auto"/>
      <w:jc w:val="both"/>
      <w:outlineLvl w:val="0"/>
    </w:pPr>
    <w:rPr>
      <w:rFonts w:cs="Times New Roman" w:eastAsia="Times New Roman"/>
      <w:b/>
      <w:sz w:val="28"/>
      <w:szCs w:val="24"/>
    </w:rPr>
  </w:style>
  <w:style w:styleId="Ttulo2" w:type="paragraph">
    <w:name w:val="heading 2"/>
    <w:basedOn w:val="Normal"/>
    <w:next w:val="Normal"/>
    <w:link w:val="Ttulo2Car"/>
    <w:autoRedefine/>
    <w:uiPriority w:val="9"/>
    <w:unhideWhenUsed/>
    <w:qFormat/>
    <w:rsid w:val="00302EDB"/>
    <w:pPr>
      <w:keepNext/>
      <w:keepLines/>
      <w:spacing w:after="0" w:before="40" w:line="360" w:lineRule="auto"/>
      <w:outlineLvl w:val="1"/>
      <w:jc w:val="both"/>
    </w:pPr>
    <w:rPr>
      <w:rFonts w:cs="Times New Roman" w:eastAsia="Times New Roman"/>
      <w:b/>
      <w:szCs w:val="26"/>
    </w:rPr>
  </w:style>
  <w:style w:styleId="Ttulo3" w:type="paragraph">
    <w:name w:val="heading 3"/>
    <w:basedOn w:val="Normal"/>
    <w:next w:val="Normal"/>
    <w:link w:val="Ttulo3Car"/>
    <w:uiPriority w:val="9"/>
    <w:unhideWhenUsed/>
    <w:qFormat/>
    <w:rsid w:val="00567910"/>
    <w:pPr>
      <w:keepNext/>
      <w:keepLines/>
      <w:spacing w:after="0" w:before="40" w:line="360" w:lineRule="auto"/>
      <w:outlineLvl w:val="2"/>
      <w:jc w:val="both"/>
    </w:pPr>
    <w:rPr>
      <w:rFonts w:cstheme="majorBidi" w:eastAsiaTheme="majorEastAsia"/>
      <w:b/>
      <w:i/>
      <w:szCs w:val="24"/>
    </w:rPr>
  </w:style>
  <w:style w:styleId="Ttulo4" w:type="paragraph">
    <w:name w:val="heading 4"/>
    <w:basedOn w:val="Normal"/>
    <w:next w:val="Normal"/>
    <w:link w:val="Ttulo4Car"/>
    <w:uiPriority w:val="9"/>
    <w:unhideWhenUsed/>
    <w:qFormat/>
    <w:rsid w:val="00AE0CE0"/>
    <w:pPr>
      <w:keepNext/>
      <w:keepLines/>
      <w:spacing w:after="0" w:before="40" w:line="360" w:lineRule="auto"/>
      <w:ind w:left="1440"/>
      <w:outlineLvl w:val="3"/>
      <w:jc w:val="both"/>
    </w:pPr>
    <w:rPr>
      <w:rFonts w:cstheme="majorBidi" w:eastAsiaTheme="majorEastAsia"/>
      <w:b/>
      <w:iCs/>
    </w:rPr>
  </w:style>
  <w:style w:styleId="Ttulo5" w:type="paragraph">
    <w:name w:val="heading 5"/>
    <w:basedOn w:val="Normal"/>
    <w:next w:val="Normal"/>
    <w:link w:val="Ttulo5Car"/>
    <w:uiPriority w:val="9"/>
    <w:unhideWhenUsed/>
    <w:qFormat/>
    <w:rsid w:val="004323BF"/>
    <w:pPr>
      <w:keepNext/>
      <w:keepLines/>
      <w:spacing w:after="0" w:before="40" w:line="360" w:lineRule="auto"/>
      <w:ind w:left="1440"/>
      <w:outlineLvl w:val="4"/>
      <w:jc w:val="both"/>
    </w:pPr>
    <w:rPr>
      <w:rFonts w:cstheme="majorBidi" w:eastAsiaTheme="majorEastAsia"/>
      <w:b/>
      <w:i/>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qFormat/>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uiPriority w:val="99"/>
    <w:semiHidden/>
    <w:unhideWhenUsed/>
    <w:rsid w:val="00781846"/>
    <w:pPr>
      <w:spacing w:after="120" w:line="360" w:lineRule="auto"/>
      <w:jc w:val="both"/>
    </w:pPr>
  </w:style>
  <w:style w:customStyle="1" w:styleId="TextoindependienteCar" w:type="character">
    <w:name w:val="Texto independiente Car"/>
    <w:basedOn w:val="Fuentedeprrafopredeter"/>
    <w:link w:val="Textoindependiente"/>
    <w:uiPriority w:val="99"/>
    <w:semiHidden/>
    <w:rsid w:val="00781846"/>
  </w:style>
  <w:style w:styleId="Piedepgina" w:type="paragraph">
    <w:name w:val="footer"/>
    <w:basedOn w:val="Normal"/>
    <w:link w:val="PiedepginaCar"/>
    <w:uiPriority w:val="99"/>
    <w:unhideWhenUsed/>
    <w:rsid w:val="00781846"/>
    <w:pPr>
      <w:tabs>
        <w:tab w:pos="4680" w:val="center"/>
        <w:tab w:pos="9360" w:val="right"/>
      </w:tabs>
      <w:spacing w:after="0" w:line="360" w:lineRule="auto"/>
      <w:jc w:val="both"/>
    </w:pPr>
  </w:style>
  <w:style w:customStyle="1" w:styleId="PiedepginaCar" w:type="character">
    <w:name w:val="Pie de página Car"/>
    <w:basedOn w:val="Fuentedeprrafopredeter"/>
    <w:link w:val="Piedepgina"/>
    <w:uiPriority w:val="99"/>
    <w:rsid w:val="00781846"/>
  </w:style>
  <w:style w:styleId="Encabezado" w:type="paragraph">
    <w:name w:val="header"/>
    <w:basedOn w:val="Normal"/>
    <w:link w:val="EncabezadoCar"/>
    <w:uiPriority w:val="99"/>
    <w:unhideWhenUsed/>
    <w:rsid w:val="00781846"/>
    <w:pPr>
      <w:tabs>
        <w:tab w:pos="4680" w:val="center"/>
        <w:tab w:pos="9360" w:val="right"/>
      </w:tabs>
      <w:spacing w:after="0" w:line="360" w:lineRule="auto"/>
      <w:jc w:val="both"/>
    </w:pPr>
  </w:style>
  <w:style w:customStyle="1" w:styleId="EncabezadoCar" w:type="character">
    <w:name w:val="Encabezado Car"/>
    <w:basedOn w:val="Fuentedeprrafopredeter"/>
    <w:link w:val="Encabezado"/>
    <w:uiPriority w:val="99"/>
    <w:rsid w:val="00781846"/>
  </w:style>
  <w:style w:styleId="Textodeglobo" w:type="paragraph">
    <w:name w:val="Balloon Text"/>
    <w:basedOn w:val="Normal"/>
    <w:link w:val="TextodegloboCar"/>
    <w:uiPriority w:val="99"/>
    <w:semiHidden/>
    <w:unhideWhenUsed/>
    <w:rsid w:val="00D06AD2"/>
    <w:pPr>
      <w:spacing w:after="0" w:line="360" w:lineRule="auto"/>
      <w:jc w:val="both"/>
    </w:pPr>
    <w:rPr>
      <w:rFonts w:ascii="Segoe UI" w:cs="Segoe UI" w:hAnsi="Segoe UI"/>
      <w:sz w:val="18"/>
      <w:szCs w:val="18"/>
    </w:rPr>
  </w:style>
  <w:style w:customStyle="1" w:styleId="TextodegloboCar" w:type="character">
    <w:name w:val="Texto de globo Car"/>
    <w:basedOn w:val="Fuentedeprrafopredeter"/>
    <w:link w:val="Textodeglobo"/>
    <w:uiPriority w:val="99"/>
    <w:semiHidden/>
    <w:rsid w:val="00D06AD2"/>
    <w:rPr>
      <w:rFonts w:ascii="Segoe UI" w:cs="Segoe UI" w:hAnsi="Segoe UI"/>
      <w:sz w:val="18"/>
      <w:szCs w:val="18"/>
    </w:rPr>
  </w:style>
  <w:style w:styleId="Hipervnculo" w:type="character">
    <w:name w:val="Hyperlink"/>
    <w:basedOn w:val="Fuentedeprrafopredeter"/>
    <w:uiPriority w:val="99"/>
    <w:unhideWhenUsed/>
    <w:rsid w:val="00721000"/>
    <w:rPr>
      <w:color w:themeColor="hyperlink" w:val="0563C1"/>
      <w:u w:val="single"/>
    </w:rPr>
  </w:style>
  <w:style w:styleId="Prrafodelista" w:type="paragraph">
    <w:name w:val="List Paragraph"/>
    <w:basedOn w:val="Normal"/>
    <w:uiPriority w:val="34"/>
    <w:qFormat/>
    <w:rsid w:val="008E51AD"/>
    <w:pPr>
      <w:ind w:left="720"/>
      <w:contextualSpacing/>
      <w:spacing w:line="360" w:lineRule="auto"/>
      <w:jc w:val="both"/>
    </w:pPr>
  </w:style>
  <w:style w:styleId="Hipervnculovisitado" w:type="character">
    <w:name w:val="FollowedHyperlink"/>
    <w:basedOn w:val="Fuentedeprrafopredeter"/>
    <w:uiPriority w:val="99"/>
    <w:semiHidden/>
    <w:unhideWhenUsed/>
    <w:rsid w:val="00490015"/>
    <w:rPr>
      <w:color w:themeColor="followedHyperlink" w:val="954F72"/>
      <w:u w:val="single"/>
    </w:rPr>
  </w:style>
  <w:style w:styleId="Refdecomentario" w:type="character">
    <w:name w:val="annotation reference"/>
    <w:basedOn w:val="Fuentedeprrafopredeter"/>
    <w:uiPriority w:val="99"/>
    <w:semiHidden/>
    <w:unhideWhenUsed/>
    <w:rsid w:val="00CC0FFA"/>
    <w:rPr>
      <w:sz w:val="16"/>
      <w:szCs w:val="16"/>
    </w:rPr>
  </w:style>
  <w:style w:styleId="Textocomentario" w:type="paragraph">
    <w:name w:val="annotation text"/>
    <w:basedOn w:val="Normal"/>
    <w:link w:val="TextocomentarioCar"/>
    <w:uiPriority w:val="99"/>
    <w:semiHidden/>
    <w:unhideWhenUsed/>
    <w:rsid w:val="00CC0FFA"/>
    <w:pPr>
      <w:spacing w:line="360" w:lineRule="auto"/>
      <w:jc w:val="both"/>
    </w:pPr>
    <w:rPr>
      <w:sz w:val="20"/>
      <w:szCs w:val="20"/>
    </w:rPr>
  </w:style>
  <w:style w:customStyle="1" w:styleId="TextocomentarioCar" w:type="character">
    <w:name w:val="Texto comentario Car"/>
    <w:basedOn w:val="Fuentedeprrafopredeter"/>
    <w:link w:val="Textocomentario"/>
    <w:uiPriority w:val="99"/>
    <w:semiHidden/>
    <w:rsid w:val="00CC0FFA"/>
    <w:rPr>
      <w:sz w:val="20"/>
      <w:szCs w:val="20"/>
    </w:rPr>
  </w:style>
  <w:style w:styleId="Asuntodelcomentario" w:type="paragraph">
    <w:name w:val="annotation subject"/>
    <w:basedOn w:val="Textocomentario"/>
    <w:next w:val="Textocomentario"/>
    <w:link w:val="AsuntodelcomentarioCar"/>
    <w:uiPriority w:val="99"/>
    <w:semiHidden/>
    <w:unhideWhenUsed/>
    <w:rsid w:val="00CC0FFA"/>
    <w:rPr>
      <w:b/>
      <w:bCs/>
    </w:rPr>
    <w:pPr>
      <w:spacing w:line="360" w:lineRule="auto"/>
      <w:jc w:val="both"/>
    </w:pPr>
  </w:style>
  <w:style w:customStyle="1" w:styleId="AsuntodelcomentarioCar" w:type="character">
    <w:name w:val="Asunto del comentario Car"/>
    <w:basedOn w:val="TextocomentarioCar"/>
    <w:link w:val="Asuntodelcomentario"/>
    <w:uiPriority w:val="99"/>
    <w:semiHidden/>
    <w:rsid w:val="00CC0FFA"/>
    <w:rPr>
      <w:b/>
      <w:bCs/>
      <w:sz w:val="20"/>
      <w:szCs w:val="20"/>
    </w:rPr>
  </w:style>
  <w:style w:customStyle="1" w:styleId="TableNormal1" w:type="table">
    <w:name w:val="Table Normal1"/>
    <w:uiPriority w:val="2"/>
    <w:semiHidden/>
    <w:unhideWhenUsed/>
    <w:qFormat/>
    <w:rsid w:val="00967580"/>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ableNormal10" w:type="table">
    <w:name w:val="Table Normal1"/>
    <w:uiPriority w:val="2"/>
    <w:semiHidden/>
    <w:unhideWhenUsed/>
    <w:qFormat/>
    <w:rsid w:val="00F82C61"/>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tulo1Car" w:type="character">
    <w:name w:val="Título 1 Car"/>
    <w:basedOn w:val="Fuentedeprrafopredeter"/>
    <w:link w:val="Ttulo1"/>
    <w:uiPriority w:val="9"/>
    <w:rsid w:val="00587376"/>
    <w:rPr>
      <w:rFonts w:cs="Times New Roman" w:eastAsia="Times New Roman"/>
      <w:b/>
      <w:sz w:val="28"/>
      <w:szCs w:val="24"/>
      <w:lang w:val="es-MX"/>
    </w:rPr>
  </w:style>
  <w:style w:styleId="TtulodeTDC" w:type="paragraph">
    <w:name w:val="TOC Heading"/>
    <w:basedOn w:val="Ttulo1"/>
    <w:next w:val="Normal"/>
    <w:uiPriority w:val="39"/>
    <w:unhideWhenUsed/>
    <w:qFormat/>
    <w:rsid w:val="00A62C67"/>
    <w:pPr>
      <w:outlineLvl w:val="9"/>
      <w:spacing w:line="360" w:lineRule="auto"/>
      <w:jc w:val="both"/>
    </w:pPr>
    <w:rPr>
      <w:lang w:eastAsia="es-MX"/>
    </w:rPr>
  </w:style>
  <w:style w:styleId="TDC3" w:type="paragraph">
    <w:name w:val="toc 3"/>
    <w:basedOn w:val="Normal"/>
    <w:next w:val="Normal"/>
    <w:autoRedefine/>
    <w:uiPriority w:val="39"/>
    <w:unhideWhenUsed/>
    <w:rsid w:val="00302EDB"/>
    <w:pPr>
      <w:spacing w:after="100" w:line="360" w:lineRule="auto"/>
      <w:ind w:left="482"/>
      <w:jc w:val="both"/>
    </w:pPr>
  </w:style>
  <w:style w:styleId="TDC1" w:type="paragraph">
    <w:name w:val="toc 1"/>
    <w:basedOn w:val="Normal"/>
    <w:next w:val="Normal"/>
    <w:autoRedefine/>
    <w:uiPriority w:val="39"/>
    <w:unhideWhenUsed/>
    <w:rsid w:val="00302EDB"/>
    <w:pPr>
      <w:spacing w:after="100" w:line="360" w:lineRule="auto"/>
      <w:jc w:val="both"/>
    </w:pPr>
  </w:style>
  <w:style w:customStyle="1" w:styleId="Ttulo2Car" w:type="character">
    <w:name w:val="Título 2 Car"/>
    <w:basedOn w:val="Fuentedeprrafopredeter"/>
    <w:link w:val="Ttulo2"/>
    <w:uiPriority w:val="9"/>
    <w:rsid w:val="00302EDB"/>
    <w:rPr>
      <w:rFonts w:cs="Times New Roman" w:eastAsia="Times New Roman"/>
      <w:b/>
      <w:szCs w:val="26"/>
      <w:lang w:val="es-MX"/>
    </w:rPr>
  </w:style>
  <w:style w:styleId="TDC2" w:type="paragraph">
    <w:name w:val="toc 2"/>
    <w:basedOn w:val="Normal"/>
    <w:next w:val="Normal"/>
    <w:autoRedefine/>
    <w:uiPriority w:val="39"/>
    <w:unhideWhenUsed/>
    <w:rsid w:val="00302EDB"/>
    <w:pPr>
      <w:spacing w:after="100" w:line="360" w:lineRule="auto"/>
      <w:ind w:left="238"/>
      <w:jc w:val="both"/>
    </w:pPr>
  </w:style>
  <w:style w:customStyle="1" w:styleId="Ttulo3Car" w:type="character">
    <w:name w:val="Título 3 Car"/>
    <w:basedOn w:val="Fuentedeprrafopredeter"/>
    <w:link w:val="Ttulo3"/>
    <w:uiPriority w:val="9"/>
    <w:rsid w:val="00567910"/>
    <w:rPr>
      <w:rFonts w:cstheme="majorBidi" w:eastAsiaTheme="majorEastAsia"/>
      <w:b/>
      <w:i/>
      <w:szCs w:val="24"/>
      <w:lang w:val="es-MX"/>
    </w:rPr>
  </w:style>
  <w:style w:customStyle="1" w:styleId="Ttulo4Car" w:type="character">
    <w:name w:val="Título 4 Car"/>
    <w:basedOn w:val="Fuentedeprrafopredeter"/>
    <w:link w:val="Ttulo4"/>
    <w:uiPriority w:val="9"/>
    <w:rsid w:val="00AE0CE0"/>
    <w:rPr>
      <w:rFonts w:cstheme="majorBidi" w:eastAsiaTheme="majorEastAsia"/>
      <w:b/>
      <w:iCs/>
      <w:lang w:val="es-MX"/>
    </w:rPr>
  </w:style>
  <w:style w:customStyle="1" w:styleId="Ttulo5Car" w:type="character">
    <w:name w:val="Título 5 Car"/>
    <w:basedOn w:val="Fuentedeprrafopredeter"/>
    <w:link w:val="Ttulo5"/>
    <w:uiPriority w:val="9"/>
    <w:rsid w:val="004323BF"/>
    <w:rPr>
      <w:rFonts w:cstheme="majorBidi" w:eastAsiaTheme="majorEastAsia"/>
      <w:b/>
      <w:i/>
      <w:lang w:val="es-MX"/>
    </w:rPr>
  </w:style>
  <w:style w:styleId="Epgrafe" w:type="paragraph">
    <w:name w:val="caption"/>
    <w:basedOn w:val="Normal"/>
    <w:next w:val="Normal"/>
    <w:uiPriority w:val="35"/>
    <w:unhideWhenUsed/>
    <w:qFormat/>
    <w:rsid w:val="002105DF"/>
    <w:pPr>
      <w:spacing w:after="200" w:line="360" w:lineRule="auto"/>
      <w:jc w:val="both"/>
    </w:pPr>
    <w:rPr>
      <w:i/>
      <w:iCs/>
      <w:color w:themeColor="text2" w:val="44546A"/>
      <w:sz w:val="18"/>
      <w:szCs w:val="18"/>
    </w:rPr>
  </w:style>
  <w:style w:styleId="Tabladeilustraciones" w:type="paragraph">
    <w:name w:val="table of figures"/>
    <w:basedOn w:val="Normal"/>
    <w:next w:val="Normal"/>
    <w:uiPriority w:val="99"/>
    <w:unhideWhenUsed/>
    <w:rsid w:val="00302EDB"/>
    <w:pPr>
      <w:spacing w:after="0" w:line="360" w:lineRule="auto"/>
      <w:jc w:val="both"/>
    </w:pPr>
  </w:style>
  <w:style w:customStyle="1" w:styleId="APAReport" w:type="table">
    <w:name w:val="APA Report"/>
    <w:basedOn w:val="Tablanormal"/>
    <w:uiPriority w:val="99"/>
    <w:rsid w:val="00176F02"/>
    <w:pPr>
      <w:spacing w:after="0" w:line="240" w:lineRule="auto"/>
    </w:pPr>
    <w:rPr>
      <w:rFonts w:eastAsia="SimSun"/>
      <w:szCs w:val="24"/>
      <w:lang w:eastAsia="ja-JP"/>
    </w:rPr>
    <w:tblPr>
      <w:tblInd w:type="dxa" w:w="0"/>
      <w:tblBorders>
        <w:top w:color="auto" w:space="0" w:sz="12" w:val="single"/>
        <w:bottom w:color="auto" w:space="0" w:sz="12" w:val="single"/>
      </w:tblBorders>
      <w:tblCellMar>
        <w:top w:type="dxa" w:w="0"/>
        <w:left w:type="dxa" w:w="108"/>
        <w:bottom w:type="dxa" w:w="0"/>
        <w:right w:type="dxa" w:w="108"/>
      </w:tblCellMar>
    </w:tblPr>
    <w:tblStylePr w:type="firstRow">
      <w:rPr>
        <w:rFonts w:ascii="Times New Roman" w:hAnsi="Times New Roman"/>
      </w:rPr>
      <w:tblPr/>
      <w:trPr>
        <w:tblHeader/>
      </w:trPr>
      <w:tcPr>
        <w:tcBorders>
          <w:top w:color="auto" w:space="0" w:sz="12" w:val="single"/>
          <w:left w:val="nil"/>
          <w:bottom w:color="auto" w:space="0" w:sz="12" w:val="single"/>
          <w:right w:val="nil"/>
          <w:insideH w:val="nil"/>
          <w:insideV w:val="nil"/>
          <w:tl2br w:val="nil"/>
          <w:tr2bl w:val="nil"/>
        </w:tcBorders>
      </w:tcPr>
    </w:tblStylePr>
  </w:style>
  <w:style w:customStyle="1" w:styleId="Mencinsinresolver1" w:type="character">
    <w:name w:val="Mención sin resolver1"/>
    <w:basedOn w:val="Fuentedeprrafopredeter"/>
    <w:uiPriority w:val="99"/>
    <w:semiHidden/>
    <w:unhideWhenUsed/>
    <w:rsid w:val="002D5888"/>
    <w:rPr>
      <w:color w:val="605E5C"/>
      <w:shd w:color="auto" w:fill="E1DFDD" w:val="clear"/>
    </w:rPr>
  </w:style>
  <w:style w:styleId="TDC4" w:type="paragraph">
    <w:name w:val="toc 4"/>
    <w:basedOn w:val="Normal"/>
    <w:next w:val="Normal"/>
    <w:autoRedefine/>
    <w:uiPriority w:val="39"/>
    <w:unhideWhenUsed/>
    <w:rsid w:val="00302EDB"/>
    <w:pPr>
      <w:spacing w:after="100" w:line="360" w:lineRule="auto"/>
      <w:ind w:left="720"/>
      <w:jc w:val="both"/>
    </w:pPr>
  </w:style>
  <w:style w:styleId="TDC5" w:type="paragraph">
    <w:name w:val="toc 5"/>
    <w:basedOn w:val="Normal"/>
    <w:next w:val="Normal"/>
    <w:autoRedefine/>
    <w:uiPriority w:val="39"/>
    <w:unhideWhenUsed/>
    <w:rsid w:val="00302EDB"/>
    <w:pPr>
      <w:spacing w:after="100" w:line="360" w:lineRule="auto"/>
      <w:ind w:left="958"/>
      <w:jc w:val="both"/>
    </w:pPr>
  </w:style>
  <w:style w:customStyle="1" w:styleId="Default" w:type="paragraph">
    <w:name w:val="Default"/>
    <w:rsid w:val="003C25F6"/>
    <w:pPr>
      <w:autoSpaceDE w:val="0"/>
      <w:autoSpaceDN w:val="0"/>
      <w:adjustRightInd w:val="0"/>
      <w:spacing w:after="0" w:line="360" w:lineRule="auto"/>
      <w:jc w:val="both"/>
    </w:pPr>
    <w:rPr>
      <w:rFonts w:cs="Times New Roman"/>
      <w:color w:val="000000"/>
      <w:szCs w:val="24"/>
      <w:lang w:val="es-MX"/>
    </w:rPr>
  </w:style>
  <w:style w:customStyle="1" w:styleId="Encabezadoopiedepgina" w:type="character">
    <w:name w:val="Encabezado o pie de página_"/>
    <w:basedOn w:val="Fuentedeprrafopredeter"/>
    <w:link w:val="Encabezadoopiedepgina0"/>
    <w:rsid w:val="00FB6C23"/>
    <w:rPr>
      <w:rFonts w:cs="Times New Roman" w:eastAsia="Times New Roman"/>
      <w:shd w:color="auto" w:fill="FFFFFF" w:val="clear"/>
      <w:lang w:bidi="es-ES" w:eastAsia="es-ES" w:val="es-ES"/>
    </w:rPr>
  </w:style>
  <w:style w:customStyle="1" w:styleId="Encabezadoopiedepgina0" w:type="paragraph">
    <w:name w:val="Encabezado o pie de página"/>
    <w:basedOn w:val="Normal"/>
    <w:link w:val="Encabezadoopiedepgina"/>
    <w:rsid w:val="00FB6C23"/>
    <w:pPr>
      <w:widowControl w:val="0"/>
      <w:shd w:color="auto" w:fill="FFFFFF" w:val="clear"/>
      <w:spacing w:after="0" w:line="360" w:lineRule="auto"/>
      <w:jc w:val="both"/>
    </w:pPr>
    <w:rPr>
      <w:rFonts w:cs="Times New Roman" w:eastAsia="Times New Roman"/>
      <w:lang w:bidi="es-ES" w:eastAsia="es-ES" w:val="es-ES"/>
    </w:rPr>
  </w:style>
  <w:style w:styleId="Textodelmarcadordeposicin" w:type="character">
    <w:name w:val="Placeholder Text"/>
    <w:basedOn w:val="Fuentedeprrafopredeter"/>
    <w:uiPriority w:val="99"/>
    <w:semiHidden/>
    <w:rsid w:val="000F41AE"/>
    <w:rPr>
      <w:color w:val="808080"/>
    </w:rPr>
  </w:style>
  <w:style w:styleId="Tablaconcuadrcula" w:type="table">
    <w:name w:val="Table Grid"/>
    <w:basedOn w:val="Tablanormal"/>
    <w:uiPriority w:val="39"/>
    <w:rsid w:val="000F41AE"/>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type="paragraph" w:customStyle="1" w:styleId="SourceCode">
    <w:name w:val="Source Code"/>
    <w:basedOn w:val="Normal"/>
    <w:link w:val="VerbatimChar"/>
    <w:pPr>
      <w:wordWrap w:val="off"/>
      <w:shd w:val="clear" w:fill="f1f3f5"/>
      <w:spacing w:line="360" w:lineRule="auto"/>
      <w:jc w:val="both"/>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media/image1.jpeg" Type="http://schemas.openxmlformats.org/officeDocument/2006/relationships/image" /><Relationship Id="rId16" Target="header4.xml" Type="http://schemas.openxmlformats.org/officeDocument/2006/relationships/header" /><Relationship Id="rId15" Target="header3.xml" Type="http://schemas.openxmlformats.org/officeDocument/2006/relationships/header" /><Relationship Id="rId10" Target="header2.xml" Type="http://schemas.openxmlformats.org/officeDocument/2006/relationships/header" /><Relationship Id="rId9" Target="header1.xml" Type="http://schemas.openxmlformats.org/officeDocument/2006/relationships/header" /><Relationship Type="http://schemas.openxmlformats.org/officeDocument/2006/relationships/image" Id="rId143" Target="media/rId143.png" /><Relationship Type="http://schemas.openxmlformats.org/officeDocument/2006/relationships/image" Id="rId139" Target="media/rId139.png" /><Relationship Type="http://schemas.openxmlformats.org/officeDocument/2006/relationships/image" Id="rId135" Target="media/rId135.png" /><Relationship Type="http://schemas.openxmlformats.org/officeDocument/2006/relationships/image" Id="rId131" Target="media/rId131.png" /><Relationship Type="http://schemas.openxmlformats.org/officeDocument/2006/relationships/image" Id="rId147" Target="media/rId147.png" /><Relationship Type="http://schemas.openxmlformats.org/officeDocument/2006/relationships/image" Id="rId127" Target="media/rId127.png" /><Relationship Type="http://schemas.openxmlformats.org/officeDocument/2006/relationships/image" Id="rId151" Target="media/rId151.png" /><Relationship Type="http://schemas.openxmlformats.org/officeDocument/2006/relationships/hyperlink" Id="rId224" Target="http://archive.ics.uci.edu/ml" TargetMode="External" /><Relationship Type="http://schemas.openxmlformats.org/officeDocument/2006/relationships/hyperlink" Id="rId247" Target="https://archive.ics.uci.edu/dataset/2/adult" TargetMode="External" /><Relationship Type="http://schemas.openxmlformats.org/officeDocument/2006/relationships/hyperlink" Id="rId202" Target="https://arxiv.org/abs/1806.08049" TargetMode="External" /><Relationship Type="http://schemas.openxmlformats.org/officeDocument/2006/relationships/hyperlink" Id="rId279" Target="https://catalog.princeton.edu/catalog/2081365" TargetMode="External" /><Relationship Type="http://schemas.openxmlformats.org/officeDocument/2006/relationships/hyperlink" Id="rId204" Target="https://doi.org/10.1002/widm.1424" TargetMode="External" /><Relationship Type="http://schemas.openxmlformats.org/officeDocument/2006/relationships/hyperlink" Id="rId265" Target="https://doi.org/10.1002/widm.1493" TargetMode="External" /><Relationship Type="http://schemas.openxmlformats.org/officeDocument/2006/relationships/hyperlink" Id="rId298" Target="https://doi.org/10.1007/978-3-030-28954-6" TargetMode="External" /><Relationship Type="http://schemas.openxmlformats.org/officeDocument/2006/relationships/hyperlink" Id="rId314" Target="https://doi.org/10.1007/978-3-319-57959-7" TargetMode="External" /><Relationship Type="http://schemas.openxmlformats.org/officeDocument/2006/relationships/hyperlink" Id="rId300" Target="https://doi.org/10.1007/s10618-022-00867-8" TargetMode="External" /><Relationship Type="http://schemas.openxmlformats.org/officeDocument/2006/relationships/hyperlink" Id="rId226" Target="https://doi.org/10.1007/s11023-018-9482-5" TargetMode="External" /><Relationship Type="http://schemas.openxmlformats.org/officeDocument/2006/relationships/hyperlink" Id="rId236" Target="https://doi.org/10.1007/s12559-023-10179-8" TargetMode="External" /><Relationship Type="http://schemas.openxmlformats.org/officeDocument/2006/relationships/hyperlink" Id="rId304" Target="https://doi.org/10.1007/s13218-020-00637-y" TargetMode="External" /><Relationship Type="http://schemas.openxmlformats.org/officeDocument/2006/relationships/hyperlink" Id="rId239" Target="https://doi.org/10.1007/s13218-023-00806-9" TargetMode="External" /><Relationship Type="http://schemas.openxmlformats.org/officeDocument/2006/relationships/hyperlink" Id="rId267" Target="https://doi.org/10.1016/j.artint.2018.07.007" TargetMode="External" /><Relationship Type="http://schemas.openxmlformats.org/officeDocument/2006/relationships/hyperlink" Id="rId253" Target="https://doi.org/10.1016/j.artint.2021.103473" TargetMode="External" /><Relationship Type="http://schemas.openxmlformats.org/officeDocument/2006/relationships/hyperlink" Id="rId206" Target="https://doi.org/10.1016/j.inffus.2019.12.012" TargetMode="External" /><Relationship Type="http://schemas.openxmlformats.org/officeDocument/2006/relationships/hyperlink" Id="rId196" Target="https://doi.org/10.1016/j.inffus.2023.101805" TargetMode="External" /><Relationship Type="http://schemas.openxmlformats.org/officeDocument/2006/relationships/hyperlink" Id="rId249" Target="https://doi.org/10.1016/j.jcm.2016.02.012" TargetMode="External" /><Relationship Type="http://schemas.openxmlformats.org/officeDocument/2006/relationships/hyperlink" Id="rId284" Target="https://doi.org/10.1016/j.neucom.2024.128282" TargetMode="External" /><Relationship Type="http://schemas.openxmlformats.org/officeDocument/2006/relationships/hyperlink" Id="rId212" Target="https://doi.org/10.1023/a:1010933404324" TargetMode="External" /><Relationship Type="http://schemas.openxmlformats.org/officeDocument/2006/relationships/hyperlink" Id="rId282" Target="https://doi.org/10.1038/s41467-022-33417-3" TargetMode="External" /><Relationship Type="http://schemas.openxmlformats.org/officeDocument/2006/relationships/hyperlink" Id="rId275" Target="https://doi.org/10.1073/pnas.1900654116" TargetMode="External" /><Relationship Type="http://schemas.openxmlformats.org/officeDocument/2006/relationships/hyperlink" Id="rId228" Target="https://doi.org/10.1080/01621459.1937.10503522" TargetMode="External" /><Relationship Type="http://schemas.openxmlformats.org/officeDocument/2006/relationships/hyperlink" Id="rId191" Target="https://doi.org/10.1109/INES59045.2023.1030000" TargetMode="External" /><Relationship Type="http://schemas.openxmlformats.org/officeDocument/2006/relationships/hyperlink" Id="rId306" Target="https://doi.org/10.1109/TNNLS.2020.3027314" TargetMode="External" /><Relationship Type="http://schemas.openxmlformats.org/officeDocument/2006/relationships/hyperlink" Id="rId292" Target="https://doi.org/10.1109/TPAMI.2023.3331846" TargetMode="External" /><Relationship Type="http://schemas.openxmlformats.org/officeDocument/2006/relationships/hyperlink" Id="rId193" Target="https://doi.org/10.1109/access.2018.2870052" TargetMode="External" /><Relationship Type="http://schemas.openxmlformats.org/officeDocument/2006/relationships/hyperlink" Id="rId230" Target="https://doi.org/10.1109/dsaa.2018.00018" TargetMode="External" /><Relationship Type="http://schemas.openxmlformats.org/officeDocument/2006/relationships/hyperlink" Id="rId241" Target="https://doi.org/10.1126/science.359.6377.725" TargetMode="External" /><Relationship Type="http://schemas.openxmlformats.org/officeDocument/2006/relationships/hyperlink" Id="rId288" Target="https://doi.org/10.1145/2939672.2939778" TargetMode="External" /><Relationship Type="http://schemas.openxmlformats.org/officeDocument/2006/relationships/hyperlink" Id="rId189" Target="https://doi.org/10.1145/3173574.3174156" TargetMode="External" /><Relationship Type="http://schemas.openxmlformats.org/officeDocument/2006/relationships/hyperlink" Id="rId232" Target="https://doi.org/10.1145/3236009" TargetMode="External" /><Relationship Type="http://schemas.openxmlformats.org/officeDocument/2006/relationships/hyperlink" Id="rId259" Target="https://doi.org/10.1145/3236386.3241340" TargetMode="External" /><Relationship Type="http://schemas.openxmlformats.org/officeDocument/2006/relationships/hyperlink" Id="rId269" Target="https://doi.org/10.1145/3287560.3287574" TargetMode="External" /><Relationship Type="http://schemas.openxmlformats.org/officeDocument/2006/relationships/hyperlink" Id="rId245" Target="https://doi.org/10.1145/3313831.3376219" TargetMode="External" /><Relationship Type="http://schemas.openxmlformats.org/officeDocument/2006/relationships/hyperlink" Id="rId273" Target="https://doi.org/10.1145/3351095.3372850" TargetMode="External" /><Relationship Type="http://schemas.openxmlformats.org/officeDocument/2006/relationships/hyperlink" Id="rId302" Target="https://doi.org/10.1145/3375627.3375830" TargetMode="External" /><Relationship Type="http://schemas.openxmlformats.org/officeDocument/2006/relationships/hyperlink" Id="rId286" Target="https://doi.org/10.1145/3375627.3375850" TargetMode="External" /><Relationship Type="http://schemas.openxmlformats.org/officeDocument/2006/relationships/hyperlink" Id="rId271" Target="https://doi.org/10.1145/3387166" TargetMode="External" /><Relationship Type="http://schemas.openxmlformats.org/officeDocument/2006/relationships/hyperlink" Id="rId243" Target="https://doi.org/10.1145/3527848" TargetMode="External" /><Relationship Type="http://schemas.openxmlformats.org/officeDocument/2006/relationships/hyperlink" Id="rId277" Target="https://doi.org/10.1145/3583558" TargetMode="External" /><Relationship Type="http://schemas.openxmlformats.org/officeDocument/2006/relationships/hyperlink" Id="rId210" Target="https://doi.org/10.1145/3631700.3664911" TargetMode="External" /><Relationship Type="http://schemas.openxmlformats.org/officeDocument/2006/relationships/hyperlink" Id="rId263" Target="https://doi.org/10.1145/3647444.3647912" TargetMode="External" /><Relationship Type="http://schemas.openxmlformats.org/officeDocument/2006/relationships/hyperlink" Id="rId216" Target="https://doi.org/10.1145/3737445" TargetMode="External" /><Relationship Type="http://schemas.openxmlformats.org/officeDocument/2006/relationships/hyperlink" Id="rId198" Target="https://doi.org/10.1146/annurev-statistics-040120-030919" TargetMode="External" /><Relationship Type="http://schemas.openxmlformats.org/officeDocument/2006/relationships/hyperlink" Id="rId310" Target="https://doi.org/10.1201/9781003442509" TargetMode="External" /><Relationship Type="http://schemas.openxmlformats.org/officeDocument/2006/relationships/hyperlink" Id="rId294" Target="https://doi.org/10.1214/21-ss133" TargetMode="External" /><Relationship Type="http://schemas.openxmlformats.org/officeDocument/2006/relationships/hyperlink" Id="rId290" Target="https://doi.org/10.1609/aaai.v32i1.11491" TargetMode="External" /><Relationship Type="http://schemas.openxmlformats.org/officeDocument/2006/relationships/hyperlink" Id="rId308" Target="https://doi.org/10.1609/aaai.v34i04.6064" TargetMode="External" /><Relationship Type="http://schemas.openxmlformats.org/officeDocument/2006/relationships/hyperlink" Id="rId312" Target="https://doi.org/10.1613/jair.1.13283" TargetMode="External" /><Relationship Type="http://schemas.openxmlformats.org/officeDocument/2006/relationships/hyperlink" Id="rId234" Target="https://doi.org/10.18653/v1/2020.acl-main.491" TargetMode="External" /><Relationship Type="http://schemas.openxmlformats.org/officeDocument/2006/relationships/hyperlink" Id="rId214" Target="https://doi.org/10.18653/v1/2023.emnlp-main.792" TargetMode="External" /><Relationship Type="http://schemas.openxmlformats.org/officeDocument/2006/relationships/hyperlink" Id="rId316" Target="https://doi.org/10.2139/ssrn.3063289" TargetMode="External" /><Relationship Type="http://schemas.openxmlformats.org/officeDocument/2006/relationships/hyperlink" Id="rId318" Target="https://doi.org/10.2307/3001968" TargetMode="External" /><Relationship Type="http://schemas.openxmlformats.org/officeDocument/2006/relationships/hyperlink" Id="rId255" Target="https://doi.org/10.24963/ijcai.2019/388" TargetMode="External" /><Relationship Type="http://schemas.openxmlformats.org/officeDocument/2006/relationships/hyperlink" Id="rId208" Target="https://doi.org/10.3389/fdata.2021.688969" TargetMode="External" /><Relationship Type="http://schemas.openxmlformats.org/officeDocument/2006/relationships/hyperlink" Id="rId251" Target="https://doi.org/10.3389/fpsyg.2013.00863" TargetMode="External" /><Relationship Type="http://schemas.openxmlformats.org/officeDocument/2006/relationships/hyperlink" Id="rId296" Target="https://doi.org/10.3390/app14198884" TargetMode="External" /><Relationship Type="http://schemas.openxmlformats.org/officeDocument/2006/relationships/hyperlink" Id="rId257" Target="https://doi.org/10.3390/e23010018" TargetMode="External" /><Relationship Type="http://schemas.openxmlformats.org/officeDocument/2006/relationships/hyperlink" Id="rId218" Target="https://doi.org/10.3390/electronics8080832" TargetMode="External" /><Relationship Type="http://schemas.openxmlformats.org/officeDocument/2006/relationships/hyperlink" Id="rId200" Target="https://doi.org/10.3390/technologies13030093" TargetMode="External" /><Relationship Type="http://schemas.openxmlformats.org/officeDocument/2006/relationships/hyperlink" Id="rId222" Target="https://doi.org/10.48550/arxiv.1702.08608" TargetMode="External" /><Relationship Type="http://schemas.openxmlformats.org/officeDocument/2006/relationships/hyperlink" Id="rId261" Target="https://doi.org/10.48550/arxiv.1705.07874" TargetMode="External" /><Relationship Type="http://schemas.openxmlformats.org/officeDocument/2006/relationships/hyperlink" Id="rId320" Target="https://trustai4s-lab.github.io/ffidelity" TargetMode="External" /><Relationship Type="http://schemas.openxmlformats.org/officeDocument/2006/relationships/hyperlink" Id="rId220" Target="https://www.jmlr.org/papers/v7/demsar06a.html" TargetMode="External" /></Relationships>
</file>

<file path=word/_rels/footnotes.xml.rels><?xml version="1.0" encoding="UTF-8"?><Relationships xmlns="http://schemas.openxmlformats.org/package/2006/relationships"><Relationship Type="http://schemas.openxmlformats.org/officeDocument/2006/relationships/hyperlink" Id="rId224" Target="http://archive.ics.uci.edu/ml" TargetMode="External" /><Relationship Type="http://schemas.openxmlformats.org/officeDocument/2006/relationships/hyperlink" Id="rId247" Target="https://archive.ics.uci.edu/dataset/2/adult" TargetMode="External" /><Relationship Type="http://schemas.openxmlformats.org/officeDocument/2006/relationships/hyperlink" Id="rId202" Target="https://arxiv.org/abs/1806.08049" TargetMode="External" /><Relationship Type="http://schemas.openxmlformats.org/officeDocument/2006/relationships/hyperlink" Id="rId279" Target="https://catalog.princeton.edu/catalog/2081365" TargetMode="External" /><Relationship Type="http://schemas.openxmlformats.org/officeDocument/2006/relationships/hyperlink" Id="rId204" Target="https://doi.org/10.1002/widm.1424" TargetMode="External" /><Relationship Type="http://schemas.openxmlformats.org/officeDocument/2006/relationships/hyperlink" Id="rId265" Target="https://doi.org/10.1002/widm.1493" TargetMode="External" /><Relationship Type="http://schemas.openxmlformats.org/officeDocument/2006/relationships/hyperlink" Id="rId298" Target="https://doi.org/10.1007/978-3-030-28954-6" TargetMode="External" /><Relationship Type="http://schemas.openxmlformats.org/officeDocument/2006/relationships/hyperlink" Id="rId314" Target="https://doi.org/10.1007/978-3-319-57959-7" TargetMode="External" /><Relationship Type="http://schemas.openxmlformats.org/officeDocument/2006/relationships/hyperlink" Id="rId300" Target="https://doi.org/10.1007/s10618-022-00867-8" TargetMode="External" /><Relationship Type="http://schemas.openxmlformats.org/officeDocument/2006/relationships/hyperlink" Id="rId226" Target="https://doi.org/10.1007/s11023-018-9482-5" TargetMode="External" /><Relationship Type="http://schemas.openxmlformats.org/officeDocument/2006/relationships/hyperlink" Id="rId236" Target="https://doi.org/10.1007/s12559-023-10179-8" TargetMode="External" /><Relationship Type="http://schemas.openxmlformats.org/officeDocument/2006/relationships/hyperlink" Id="rId304" Target="https://doi.org/10.1007/s13218-020-00637-y" TargetMode="External" /><Relationship Type="http://schemas.openxmlformats.org/officeDocument/2006/relationships/hyperlink" Id="rId239" Target="https://doi.org/10.1007/s13218-023-00806-9" TargetMode="External" /><Relationship Type="http://schemas.openxmlformats.org/officeDocument/2006/relationships/hyperlink" Id="rId267" Target="https://doi.org/10.1016/j.artint.2018.07.007" TargetMode="External" /><Relationship Type="http://schemas.openxmlformats.org/officeDocument/2006/relationships/hyperlink" Id="rId253" Target="https://doi.org/10.1016/j.artint.2021.103473" TargetMode="External" /><Relationship Type="http://schemas.openxmlformats.org/officeDocument/2006/relationships/hyperlink" Id="rId206" Target="https://doi.org/10.1016/j.inffus.2019.12.012" TargetMode="External" /><Relationship Type="http://schemas.openxmlformats.org/officeDocument/2006/relationships/hyperlink" Id="rId196" Target="https://doi.org/10.1016/j.inffus.2023.101805" TargetMode="External" /><Relationship Type="http://schemas.openxmlformats.org/officeDocument/2006/relationships/hyperlink" Id="rId249" Target="https://doi.org/10.1016/j.jcm.2016.02.012" TargetMode="External" /><Relationship Type="http://schemas.openxmlformats.org/officeDocument/2006/relationships/hyperlink" Id="rId284" Target="https://doi.org/10.1016/j.neucom.2024.128282" TargetMode="External" /><Relationship Type="http://schemas.openxmlformats.org/officeDocument/2006/relationships/hyperlink" Id="rId212" Target="https://doi.org/10.1023/a:1010933404324" TargetMode="External" /><Relationship Type="http://schemas.openxmlformats.org/officeDocument/2006/relationships/hyperlink" Id="rId282" Target="https://doi.org/10.1038/s41467-022-33417-3" TargetMode="External" /><Relationship Type="http://schemas.openxmlformats.org/officeDocument/2006/relationships/hyperlink" Id="rId275" Target="https://doi.org/10.1073/pnas.1900654116" TargetMode="External" /><Relationship Type="http://schemas.openxmlformats.org/officeDocument/2006/relationships/hyperlink" Id="rId228" Target="https://doi.org/10.1080/01621459.1937.10503522" TargetMode="External" /><Relationship Type="http://schemas.openxmlformats.org/officeDocument/2006/relationships/hyperlink" Id="rId191" Target="https://doi.org/10.1109/INES59045.2023.1030000" TargetMode="External" /><Relationship Type="http://schemas.openxmlformats.org/officeDocument/2006/relationships/hyperlink" Id="rId306" Target="https://doi.org/10.1109/TNNLS.2020.3027314" TargetMode="External" /><Relationship Type="http://schemas.openxmlformats.org/officeDocument/2006/relationships/hyperlink" Id="rId292" Target="https://doi.org/10.1109/TPAMI.2023.3331846" TargetMode="External" /><Relationship Type="http://schemas.openxmlformats.org/officeDocument/2006/relationships/hyperlink" Id="rId193" Target="https://doi.org/10.1109/access.2018.2870052" TargetMode="External" /><Relationship Type="http://schemas.openxmlformats.org/officeDocument/2006/relationships/hyperlink" Id="rId230" Target="https://doi.org/10.1109/dsaa.2018.00018" TargetMode="External" /><Relationship Type="http://schemas.openxmlformats.org/officeDocument/2006/relationships/hyperlink" Id="rId241" Target="https://doi.org/10.1126/science.359.6377.725" TargetMode="External" /><Relationship Type="http://schemas.openxmlformats.org/officeDocument/2006/relationships/hyperlink" Id="rId288" Target="https://doi.org/10.1145/2939672.2939778" TargetMode="External" /><Relationship Type="http://schemas.openxmlformats.org/officeDocument/2006/relationships/hyperlink" Id="rId189" Target="https://doi.org/10.1145/3173574.3174156" TargetMode="External" /><Relationship Type="http://schemas.openxmlformats.org/officeDocument/2006/relationships/hyperlink" Id="rId232" Target="https://doi.org/10.1145/3236009" TargetMode="External" /><Relationship Type="http://schemas.openxmlformats.org/officeDocument/2006/relationships/hyperlink" Id="rId259" Target="https://doi.org/10.1145/3236386.3241340" TargetMode="External" /><Relationship Type="http://schemas.openxmlformats.org/officeDocument/2006/relationships/hyperlink" Id="rId269" Target="https://doi.org/10.1145/3287560.3287574" TargetMode="External" /><Relationship Type="http://schemas.openxmlformats.org/officeDocument/2006/relationships/hyperlink" Id="rId245" Target="https://doi.org/10.1145/3313831.3376219" TargetMode="External" /><Relationship Type="http://schemas.openxmlformats.org/officeDocument/2006/relationships/hyperlink" Id="rId273" Target="https://doi.org/10.1145/3351095.3372850" TargetMode="External" /><Relationship Type="http://schemas.openxmlformats.org/officeDocument/2006/relationships/hyperlink" Id="rId302" Target="https://doi.org/10.1145/3375627.3375830" TargetMode="External" /><Relationship Type="http://schemas.openxmlformats.org/officeDocument/2006/relationships/hyperlink" Id="rId286" Target="https://doi.org/10.1145/3375627.3375850" TargetMode="External" /><Relationship Type="http://schemas.openxmlformats.org/officeDocument/2006/relationships/hyperlink" Id="rId271" Target="https://doi.org/10.1145/3387166" TargetMode="External" /><Relationship Type="http://schemas.openxmlformats.org/officeDocument/2006/relationships/hyperlink" Id="rId243" Target="https://doi.org/10.1145/3527848" TargetMode="External" /><Relationship Type="http://schemas.openxmlformats.org/officeDocument/2006/relationships/hyperlink" Id="rId277" Target="https://doi.org/10.1145/3583558" TargetMode="External" /><Relationship Type="http://schemas.openxmlformats.org/officeDocument/2006/relationships/hyperlink" Id="rId210" Target="https://doi.org/10.1145/3631700.3664911" TargetMode="External" /><Relationship Type="http://schemas.openxmlformats.org/officeDocument/2006/relationships/hyperlink" Id="rId263" Target="https://doi.org/10.1145/3647444.3647912" TargetMode="External" /><Relationship Type="http://schemas.openxmlformats.org/officeDocument/2006/relationships/hyperlink" Id="rId216" Target="https://doi.org/10.1145/3737445" TargetMode="External" /><Relationship Type="http://schemas.openxmlformats.org/officeDocument/2006/relationships/hyperlink" Id="rId198" Target="https://doi.org/10.1146/annurev-statistics-040120-030919" TargetMode="External" /><Relationship Type="http://schemas.openxmlformats.org/officeDocument/2006/relationships/hyperlink" Id="rId310" Target="https://doi.org/10.1201/9781003442509" TargetMode="External" /><Relationship Type="http://schemas.openxmlformats.org/officeDocument/2006/relationships/hyperlink" Id="rId294" Target="https://doi.org/10.1214/21-ss133" TargetMode="External" /><Relationship Type="http://schemas.openxmlformats.org/officeDocument/2006/relationships/hyperlink" Id="rId290" Target="https://doi.org/10.1609/aaai.v32i1.11491" TargetMode="External" /><Relationship Type="http://schemas.openxmlformats.org/officeDocument/2006/relationships/hyperlink" Id="rId308" Target="https://doi.org/10.1609/aaai.v34i04.6064" TargetMode="External" /><Relationship Type="http://schemas.openxmlformats.org/officeDocument/2006/relationships/hyperlink" Id="rId312" Target="https://doi.org/10.1613/jair.1.13283" TargetMode="External" /><Relationship Type="http://schemas.openxmlformats.org/officeDocument/2006/relationships/hyperlink" Id="rId234" Target="https://doi.org/10.18653/v1/2020.acl-main.491" TargetMode="External" /><Relationship Type="http://schemas.openxmlformats.org/officeDocument/2006/relationships/hyperlink" Id="rId214" Target="https://doi.org/10.18653/v1/2023.emnlp-main.792" TargetMode="External" /><Relationship Type="http://schemas.openxmlformats.org/officeDocument/2006/relationships/hyperlink" Id="rId316" Target="https://doi.org/10.2139/ssrn.3063289" TargetMode="External" /><Relationship Type="http://schemas.openxmlformats.org/officeDocument/2006/relationships/hyperlink" Id="rId318" Target="https://doi.org/10.2307/3001968" TargetMode="External" /><Relationship Type="http://schemas.openxmlformats.org/officeDocument/2006/relationships/hyperlink" Id="rId255" Target="https://doi.org/10.24963/ijcai.2019/388" TargetMode="External" /><Relationship Type="http://schemas.openxmlformats.org/officeDocument/2006/relationships/hyperlink" Id="rId208" Target="https://doi.org/10.3389/fdata.2021.688969" TargetMode="External" /><Relationship Type="http://schemas.openxmlformats.org/officeDocument/2006/relationships/hyperlink" Id="rId251" Target="https://doi.org/10.3389/fpsyg.2013.00863" TargetMode="External" /><Relationship Type="http://schemas.openxmlformats.org/officeDocument/2006/relationships/hyperlink" Id="rId296" Target="https://doi.org/10.3390/app14198884" TargetMode="External" /><Relationship Type="http://schemas.openxmlformats.org/officeDocument/2006/relationships/hyperlink" Id="rId257" Target="https://doi.org/10.3390/e23010018" TargetMode="External" /><Relationship Type="http://schemas.openxmlformats.org/officeDocument/2006/relationships/hyperlink" Id="rId218" Target="https://doi.org/10.3390/electronics8080832" TargetMode="External" /><Relationship Type="http://schemas.openxmlformats.org/officeDocument/2006/relationships/hyperlink" Id="rId200" Target="https://doi.org/10.3390/technologies13030093" TargetMode="External" /><Relationship Type="http://schemas.openxmlformats.org/officeDocument/2006/relationships/hyperlink" Id="rId222" Target="https://doi.org/10.48550/arxiv.1702.08608" TargetMode="External" /><Relationship Type="http://schemas.openxmlformats.org/officeDocument/2006/relationships/hyperlink" Id="rId261" Target="https://doi.org/10.48550/arxiv.1705.07874" TargetMode="External" /><Relationship Type="http://schemas.openxmlformats.org/officeDocument/2006/relationships/hyperlink" Id="rId320" Target="https://trustai4s-lab.github.io/ffidelity" TargetMode="External" /><Relationship Type="http://schemas.openxmlformats.org/officeDocument/2006/relationships/hyperlink" Id="rId220" Target="https://www.jmlr.org/papers/v7/demsar06a.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para la Evaluación Multinivel de la Explicabilidad en IA</dc:title>
  <dc:creator>J. Herrera</dc:creator>
  <cp:keywords/>
  <dcterms:created xsi:type="dcterms:W3CDTF">2026-08-29T18:46:31Z</dcterms:created>
  <dcterms:modified xsi:type="dcterms:W3CDTF">2026-08-29T18:46:31Z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Integración de Benchmarking Técnico, Protocolo Reproducible (FOM-7) y Taxonomía de Métricas</vt:lpwstr>
  </property>
  <property fmtid="{D5CDD505-2E9C-101B-9397-08002B2CF9AE}" pid="15" name="template-partials">
    <vt:lpwstr/>
  </property>
  <property fmtid="{D5CDD505-2E9C-101B-9397-08002B2CF9AE}" pid="16" name="toc-title">
    <vt:lpwstr>Table of contents</vt:lpwstr>
  </property>
</Properties>
</file>