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67.png" ContentType="image/png"/>
  <Override PartName="/word/media/rId163.png" ContentType="image/png"/>
  <Override PartName="/word/media/rId159.png" ContentType="image/png"/>
  <Override PartName="/word/media/rId155.png" ContentType="image/png"/>
  <Override PartName="/word/media/rId171.png" ContentType="image/png"/>
  <Override PartName="/word/media/rId151.png" ContentType="image/png"/>
  <Override PartName="/word/media/rId175.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Subtitle"/>
        <w:spacing w:line="240" w:lineRule="auto"/>
        <w:jc w:val="center"/>
      </w:pPr>
      <w:r>
        <w:t xml:space="preserve">Doctorado en Informática</w:t>
      </w:r>
    </w:p>
    <w:p>
      <w:pPr>
        <w:spacing w:line="240" w:lineRule="auto"/>
        <w:jc w:val="center"/>
      </w:pPr>
    </w:p>
    <w:p>
      <w:pPr>
        <w:spacing w:line="240" w:lineRule="auto"/>
        <w:jc w:val="center"/>
      </w:pPr>
    </w:p>
    <w:p>
      <w:pPr>
        <w:pStyle w:val="Title"/>
        <w:spacing w:line="240" w:lineRule="auto"/>
        <w:jc w:val="center"/>
      </w:pPr>
      <w:r>
        <w:t xml:space="preserve">Arquitectura Agnóstica para la Interpretabilidad de Modelos de Inteligencia Artificial de Caja Negra</w:t>
      </w:r>
    </w:p>
    <w:p>
      <w:pPr>
        <w:spacing w:line="240" w:lineRule="auto"/>
        <w:jc w:val="center"/>
      </w:pPr>
    </w:p>
    <w:p>
      <w:pPr>
        <w:spacing w:line="240" w:lineRule="auto"/>
        <w:jc w:val="center"/>
      </w:pPr>
    </w:p>
    <w:p>
      <w:pPr>
        <w:spacing w:line="240" w:lineRule="auto"/>
        <w:jc w:val="center"/>
      </w:pPr>
    </w:p>
    <w:p>
      <w:pPr>
        <w:pStyle w:val="Author"/>
        <w:spacing w:line="240" w:lineRule="auto"/>
        <w:jc w:val="center"/>
      </w:pPr>
      <w:r>
        <w:t xml:space="preserve">Jonathan Herrera Vásquez</w:t>
      </w:r>
    </w:p>
    <w:p>
      <w:pPr>
        <w:pStyle w:val="Author"/>
        <w:spacing w:line="240" w:lineRule="auto"/>
        <w:jc w:val="center"/>
      </w:pPr>
      <w:r>
        <w:t xml:space="preserve">Director: Dr. Miguel Herrero Uceda</w:t>
      </w:r>
    </w:p>
    <w:p>
      <w:pPr>
        <w:spacing w:line="240" w:lineRule="auto"/>
        <w:jc w:val="center"/>
      </w:pPr>
    </w:p>
    <w:p>
      <w:pPr>
        <w:spacing w:line="240" w:lineRule="auto"/>
        <w:jc w:val="center"/>
      </w:pPr>
    </w:p>
    <w:p>
      <w:pPr>
        <w:spacing w:line="240" w:lineRule="auto"/>
        <w:jc w:val="center"/>
      </w:pPr>
    </w:p>
    <w:p>
      <w:pPr>
        <w:pStyle w:val="Date"/>
        <w:spacing w:line="240" w:lineRule="auto"/>
        <w:jc w:val="center"/>
      </w:pPr>
      <w:r>
        <w:t xml:space="preserve">Cancún, México</w:t>
      </w:r>
    </w:p>
    <w:p>
      <w:r>
        <w:br w:type="page"/>
      </w:r>
    </w:p>
    <w:sdt>
      <w:sdtPr>
        <w:docPartObj>
          <w:docPartGallery w:val="Table of Contents"/>
          <w:docPartUnique/>
        </w:docPartObj>
      </w:sdtPr>
      <w:sdtContent>
        <w:p>
          <w:pPr>
            <w:pStyle w:val="TtulodeTDC"/>
            <w:spacing w:line="360" w:lineRule="auto"/>
            <w:jc w:val="both"/>
          </w:pPr>
          <w:r>
            <w:t xml:space="preserve">Tabla de contenidos</w:t>
          </w:r>
        </w:p>
        <w:p>
          <w:pPr>
            <w:spacing w:line="360" w:lineRule="auto"/>
            <w:jc w:val="both"/>
          </w:pPr>
          <w:r>
            <w:fldChar w:fldCharType="begin" w:dirty="true"/>
            <w:instrText xml:space="preserve">TOC \o "1-3" \h \z \u</w:instrText>
            <w:fldChar w:fldCharType="separate"/>
            <w:fldChar w:fldCharType="end"/>
          </w:r>
        </w:p>
      </w:sdtContent>
    </w:sdt>
    <w:p>
      <w:r>
        <w:br w:type="page"/>
      </w:r>
    </w:p>
    <w:bookmarkStart w:id="25" w:name="dedicatoria"/>
    <w:p>
      <w:pPr>
        <w:pStyle w:val="Ttulo1"/>
        <w:spacing w:line="360" w:lineRule="auto"/>
        <w:jc w:val="center"/>
      </w:pPr>
      <w:r>
        <w:t xml:space="preserve">Dedicatoria</w:t>
      </w:r>
    </w:p>
    <w:p>
      <w:pPr>
        <w:pStyle w:val="FirstParagraph"/>
        <w:spacing w:line="360" w:lineRule="auto"/>
        <w:jc w:val="right"/>
      </w:pPr>
      <w:r>
        <w:rPr>
          <w:iCs/>
          <w:i/>
        </w:rPr>
        <w:t xml:space="preserve">A mi hijo, Alejandro, su curiosidad es mi inspiración para seguir buscando</w:t>
      </w:r>
      <w:r>
        <w:rPr>
          <w:iCs/>
          <w:i/>
        </w:rPr>
        <w:t xml:space="preserve"> </w:t>
      </w:r>
      <w:r>
        <w:rPr>
          <w:iCs/>
          <w:i/>
        </w:rPr>
        <w:t xml:space="preserve">respuesta a todas las preguntas.</w:t>
      </w:r>
    </w:p>
    <w:p>
      <w:pPr>
        <w:pStyle w:val="Textoindependiente"/>
        <w:spacing w:line="360" w:lineRule="auto"/>
        <w:jc w:val="right"/>
      </w:pPr>
      <w:r>
        <w:rPr>
          <w:iCs/>
          <w:i/>
        </w:rPr>
        <w:t xml:space="preserve">A mi esposa, Liena, tu presencia en mi vida me ha hecho una mejor persona.</w:t>
      </w:r>
    </w:p>
    <w:p>
      <w:pPr>
        <w:pStyle w:val="Textoindependiente"/>
        <w:spacing w:line="360" w:lineRule="auto"/>
        <w:jc w:val="right"/>
      </w:pPr>
      <w:r>
        <w:rPr>
          <w:iCs/>
          <w:i/>
        </w:rPr>
        <w:t xml:space="preserve">A mi madre, Alis, sin tu guía no hubiese podido llegar aquí.</w:t>
      </w:r>
    </w:p>
    <w:p>
      <w:pPr>
        <w:pStyle w:val="Textoindependiente"/>
        <w:spacing w:line="360" w:lineRule="auto"/>
        <w:jc w:val="right"/>
      </w:pPr>
      <w:r>
        <w:rPr>
          <w:iCs/>
          <w:i/>
        </w:rPr>
        <w:t xml:space="preserve">Jonathan Herrera Vásquez</w:t>
      </w:r>
    </w:p>
    <w:p>
      <w:pPr>
        <w:spacing w:line="360" w:lineRule="auto"/>
        <w:jc w:val="right"/>
      </w:pPr>
      <w:r>
        <w:rPr>
          <w:iCs/>
          <w:i/>
        </w:rPr>
        <w:br w:type="page"/>
      </w:r>
    </w:p>
    <w:bookmarkEnd w:id="25"/>
    <w:bookmarkStart w:id="26" w:name="agradecimientos"/>
    <w:p>
      <w:pPr>
        <w:pStyle w:val="Ttulo1"/>
        <w:spacing w:line="360" w:lineRule="auto"/>
        <w:jc w:val="center"/>
      </w:pPr>
      <w:r>
        <w:t xml:space="preserve">Agradecimientos</w:t>
      </w:r>
    </w:p>
    <w:p>
      <w:pPr>
        <w:pStyle w:val="FirstParagraph"/>
        <w:spacing w:line="360" w:lineRule="auto"/>
        <w:jc w:val="right"/>
      </w:pPr>
      <w:r>
        <w:rPr>
          <w:iCs/>
          <w:i/>
        </w:rPr>
        <w:t xml:space="preserve">Agradezco a mi familia por todo su apoyo en el camino a través de los años.</w:t>
      </w:r>
    </w:p>
    <w:p>
      <w:pPr>
        <w:pStyle w:val="Textoindependiente"/>
        <w:spacing w:line="360" w:lineRule="auto"/>
        <w:jc w:val="right"/>
      </w:pPr>
      <w:r>
        <w:rPr>
          <w:iCs/>
          <w:i/>
        </w:rPr>
        <w:t xml:space="preserve">Agradezco al Dr. Miguel Herrero Uceda por su apoyo en el proceso de elaboración</w:t>
      </w:r>
      <w:r>
        <w:rPr>
          <w:iCs/>
          <w:i/>
        </w:rPr>
        <w:t xml:space="preserve"> </w:t>
      </w:r>
      <w:r>
        <w:rPr>
          <w:iCs/>
          <w:i/>
        </w:rPr>
        <w:t xml:space="preserve">de esta tesis.</w:t>
      </w:r>
    </w:p>
    <w:p>
      <w:pPr>
        <w:spacing w:line="360" w:lineRule="auto"/>
        <w:jc w:val="right"/>
      </w:pPr>
      <w:r>
        <w:rPr>
          <w:iCs/>
          <w:i/>
        </w:rPr>
        <w:br w:type="page"/>
      </w:r>
    </w:p>
    <w:bookmarkEnd w:id="26"/>
    <w:bookmarkStart w:id="27"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fragmentación evaluativa del campo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 que hace explícitas tres brechas de constructo del campo.</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sobre 15 bloques con control de multiplicidad y en un análisis pareado SHAP–LIME que cuantifica el trade-off calidad–coste. Los resultados muestran diferencias grandes y consistentes entre métodos: SHAP alcanza la mejor fidelidad y estabilidad medias, con tamaños de efecto muy grandes frente a LIME (d_z = 4.82 en fidelidad y d_z = 3.00 en estabilidad), si bien la ventaja no es uniforme entre familias de modelos. LIME resulta competitivo cuando la latencia es crítica, a costa de una inestabilidad severa bajo la configuración y el espacio de características evaluados; se trata de una propiedad del par (configuración, espacio de características) y no de una propiedad universal del método. Anchors y DiCE responden a objetivos explicativos cualitativamente distintos a la atribución de características. Una validación cruzada sobre dos conjuntos de datos adicionales replica el ordenamiento de fidelidad entre SHAP y Anchors, delimitando el alcance externo de los hallazgos.</w:t>
      </w:r>
    </w:p>
    <w:p>
      <w:pPr>
        <w:pStyle w:val="Textoindependiente"/>
        <w:spacing w:line="360" w:lineRule="auto"/>
        <w:jc w:val="both"/>
      </w:pPr>
      <w:r>
        <w:t xml:space="preserve">Un estudio complementario evalúa si jueces basados en modelos de lenguaje pueden sostener la evaluación semántica de explicaciones. El resultado es negativo: la concordancia inter-juez, medida como ICC(1,1), se sitúa entre 0.321 y 0.601 según la dimensión evaluada, sin alcanzar el umbral exigible para sustentar afirmaciones confirmativas; una segunda cohorte, con otro panel de jueces sobre los mismos casos, reproduce este resultado en la condición primaria. Por ello, su uso queda acotado a un papel exploratorio y de calibración instrumental. Cuatro trabajos de seguimiento, posteriores al plan confirmativo, delimitan el alcance de estos resultados: en el benchmark primario, la estabilidad de las explicaciones es menor cuando el modelo se equivoca; SHAP y LIME coinciden solo en parte al explicar la misma instancia; el orden de los métodos se conserva en la mayoría de dieciséis conjuntos de datos tabulares bajo un protocolo de evaluación fijo; y el acuerdo entre jueces recae sobre el método y la forma de la explicación, no sobre su corrección. En conjunto, la tesis aporta un protocolo portable, evidencia comparativa cuantificada con sus condiciones de validez explícitas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7"/>
    <w:bookmarkStart w:id="28"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the field,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 which makes three of the field’s construct gaps explicit.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over 15 blocks with multiplicity control and on a paired SHAP-LIME analysis quantifying the quality-cost trade-off. Results show large and consistent differences across methods: SHAP attains the best mean faithfulness and stability, with very large effect sizes over LIME (d_z = 4.82 for faithfulness and d_z = 3.00 for stability), although the advantage is not uniform across model families. LIME remains attractive when latency constraints dominate, at the cost of severe instability under the configuration and feature space evaluated; this is a property of the (configuration, feature space) pair rather than a universal property of the method. Anchors and DiCE address qualitatively different explanatory objectives than feature attribution. A cross-dataset check on two further datasets replicates the SHAP-over-Anchors faithfulness ordering, delimiting the external scope of the findings.</w:t>
      </w:r>
    </w:p>
    <w:p>
      <w:pPr>
        <w:pStyle w:val="Textoindependiente"/>
        <w:spacing w:line="360" w:lineRule="auto"/>
        <w:jc w:val="both"/>
      </w:pPr>
      <w:r>
        <w:t xml:space="preserve">A complementary study evaluates whether language-model judges can sustain the semantic evaluation of explanations. The result is negative: inter-judge agreement, measured as ICC(1,1), ranges from 0.321 to 0.601 depending on the dimension, falling short of the threshold required to support confirmatory claims; a second cohort, with a different judge panel on the same cases, reproduces this result in the primary condition. This confines such judges to an exploratory, instrument-calibration role. Four follow-up studies, conducted after the confirmatory plan, delimit the scope of these results: on the primary benchmark, explanations are less stable when the model is wrong; SHAP and LIME agree only in part when explaining the same instance; the ordering of the methods holds on most of sixteen tabular datasets under a fixed evaluation protocol; and agreement among judges concerns the method and the form of an explanation, not its correctness. Overall, the thesis contributes a portable protocol, quantified comparative evidence with its validity conditions made explicit,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8"/>
    <w:bookmarkStart w:id="29"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y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y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 Cuatro trabajos de</w:t>
      </w:r>
      <w:r>
        <w:t xml:space="preserve"> </w:t>
      </w:r>
      <w:r>
        <w:t xml:space="preserve">seguimiento, posteriores al plan confirmativo y declarados como tales, delimitan</w:t>
      </w:r>
      <w:r>
        <w:t xml:space="preserve"> </w:t>
      </w:r>
      <w:r>
        <w:t xml:space="preserve">después el alcance de validez de esos resultados: ante el error de</w:t>
      </w:r>
      <w:r>
        <w:t xml:space="preserve"> </w:t>
      </w:r>
      <w:r>
        <w:t xml:space="preserve">clasificación, ante el cambio de explicador, ante el cambio de conjunto de</w:t>
      </w:r>
      <w:r>
        <w:t xml:space="preserve"> </w:t>
      </w:r>
      <w:r>
        <w:t xml:space="preserve">datos y ante el instrumento de evaluación semántica.</w:t>
      </w:r>
    </w:p>
    <w:p>
      <w:pPr>
        <w:pStyle w:val="Textoindependiente"/>
        <w:spacing w:line="360" w:lineRule="auto"/>
        <w:jc w:val="both"/>
      </w:pPr>
      <w:r>
        <w:t xml:space="preserve">Para alcanzar estos objetivos, el documento se estructura en siete capítulos y</w:t>
      </w:r>
      <w:r>
        <w:t xml:space="preserve"> </w:t>
      </w:r>
      <w:r>
        <w:t xml:space="preserve">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w:t>
      </w:r>
      <w:r>
        <w:t xml:space="preserve"> </w:t>
      </w:r>
      <w:r>
        <w:t xml:space="preserve">conjunto de datos, el diseño factorial, la operacionalización de métricas, el</w:t>
      </w:r>
      <w:r>
        <w:t xml:space="preserve"> </w:t>
      </w:r>
      <w:r>
        <w:t xml:space="preserve">análisis de cobertura y el plan de inferencia estadística. El</w:t>
      </w:r>
      <w:r>
        <w:t xml:space="preserve"> </w:t>
      </w:r>
      <w:r>
        <w:rPr>
          <w:b/>
          <w:bCs/>
        </w:rPr>
        <w:t xml:space="preserve">Capítulo 4</w:t>
      </w:r>
      <w:r>
        <w:t xml:space="preserve"> </w:t>
      </w:r>
      <w:r>
        <w:t xml:space="preserve">expone y discute los resultados empíricos del Estudio Omnibus Multimétrico y</w:t>
      </w:r>
      <w:r>
        <w:t xml:space="preserve"> </w:t>
      </w:r>
      <w:r>
        <w:t xml:space="preserve">del Estudio Pareado LIME–SHAP, con plena trazabilidad de afirmaciones. El</w:t>
      </w:r>
      <w:r>
        <w:t xml:space="preserve"> </w:t>
      </w:r>
      <w:r>
        <w:rPr>
          <w:b/>
          <w:bCs/>
        </w:rPr>
        <w:t xml:space="preserve">Capítulo 5</w:t>
      </w:r>
      <w:r>
        <w:t xml:space="preserve"> </w:t>
      </w:r>
      <w:r>
        <w:t xml:space="preserve">desarrolla la taxonomía de métricas XAI como contribución</w:t>
      </w:r>
      <w:r>
        <w:t xml:space="preserve"> </w:t>
      </w:r>
      <w:r>
        <w:t xml:space="preserve">teórica autónoma. El</w:t>
      </w:r>
      <w:r>
        <w:t xml:space="preserve"> </w:t>
      </w:r>
      <w:r>
        <w:rPr>
          <w:b/>
          <w:bCs/>
        </w:rPr>
        <w:t xml:space="preserve">Capítulo 6</w:t>
      </w:r>
      <w:r>
        <w:t xml:space="preserve"> </w:t>
      </w:r>
      <w:r>
        <w:t xml:space="preserve">reporta los estudios de seguimiento, que</w:t>
      </w:r>
      <w:r>
        <w:t xml:space="preserve"> </w:t>
      </w:r>
      <w:r>
        <w:t xml:space="preserve">examinan hasta dónde se sostienen las conclusiones del benchmark. El</w:t>
      </w:r>
      <w:r>
        <w:t xml:space="preserve"> </w:t>
      </w:r>
      <w:r>
        <w:rPr>
          <w:b/>
          <w:bCs/>
        </w:rPr>
        <w:t xml:space="preserve">Capítulo 7</w:t>
      </w:r>
      <w:r>
        <w:t xml:space="preserve"> </w:t>
      </w:r>
      <w:r>
        <w:t xml:space="preserve">sintetiza las conclusiones, separa las</w:t>
      </w:r>
      <w:r>
        <w:t xml:space="preserve"> </w:t>
      </w:r>
      <w:r>
        <w:t xml:space="preserve">contribuciones de la literatura previa, reconoce las limitaciones y propone</w:t>
      </w:r>
      <w:r>
        <w:t xml:space="preserve"> </w:t>
      </w:r>
      <w:r>
        <w:t xml:space="preserve">líneas de investigación futura. Los apéndices documentan los datos, modelos,</w:t>
      </w:r>
      <w:r>
        <w:t xml:space="preserve"> </w:t>
      </w:r>
      <w:r>
        <w:t xml:space="preserve">configuraciones, salidas estadísticas y entorno de reproducción.</w:t>
      </w:r>
    </w:p>
    <w:bookmarkEnd w:id="29"/>
    <w:bookmarkStart w:id="46" w:name="X13574bcfb14bbd4e095f2c559ff6b33999e5b97"/>
    <w:p>
      <w:pPr>
        <w:pStyle w:val="Ttulo1"/>
        <w:spacing w:line="360" w:lineRule="auto"/>
        <w:jc w:val="both"/>
      </w:pPr>
      <w:r>
        <w:t xml:space="preserve">Capítulo 1. </w:t>
      </w: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30" w:name="problema-de-investigación"/>
    <w:p>
      <w:pPr>
        <w:pStyle w:val="Ttulo2"/>
        <w:spacing w:line="360" w:lineRule="auto"/>
        <w:jc w:val="both"/>
      </w:pPr>
      <w:r>
        <w:t xml:space="preserve">1.1 </w:t>
      </w: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y Verbert 2024; Lipton 2018)</w:t>
      </w:r>
      <w:r>
        <w:t xml:space="preserve">. Las</w:t>
      </w:r>
      <w:r>
        <w:t xml:space="preserve"> </w:t>
      </w:r>
      <w:r>
        <w:t xml:space="preserve">revisiones panorámicas del campo coinciden en el diagnóstico: el catálogo de</w:t>
      </w:r>
      <w:r>
        <w:t xml:space="preserve"> </w:t>
      </w:r>
      <w:r>
        <w:t xml:space="preserve">técnicas ha crecido con rapidez</w:t>
      </w:r>
      <w:r>
        <w:t xml:space="preserve"> </w:t>
      </w:r>
      <w:r>
        <w:t xml:space="preserve">(Dwivedi 2022)</w:t>
      </w:r>
      <w:r>
        <w:t xml:space="preserve">, mientras que los retos abiertos</w:t>
      </w:r>
      <w:r>
        <w:t xml:space="preserve"> </w:t>
      </w:r>
      <w:r>
        <w:t xml:space="preserve">de evaluación permanecen en buena medida sin resolver a lo largo de sucesivas</w:t>
      </w:r>
      <w:r>
        <w:t xml:space="preserve"> </w:t>
      </w:r>
      <w:r>
        <w:t xml:space="preserve">meta-revisiones</w:t>
      </w:r>
      <w:r>
        <w:t xml:space="preserve"> </w:t>
      </w:r>
      <w:r>
        <w:t xml:space="preserve">(Saeed 2023)</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y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puede generar</w:t>
      </w:r>
      <w:r>
        <w:t xml:space="preserve"> </w:t>
      </w:r>
      <w:r>
        <w:t xml:space="preserve">instancias que el modelo nunca encontró durante el entrenamiento y sesgar las</w:t>
      </w:r>
      <w:r>
        <w:t xml:space="preserve"> </w:t>
      </w:r>
      <w:r>
        <w:t xml:space="preserve">puntuaciones de fidelidad resultantes</w:t>
      </w:r>
      <w:r>
        <w:t xml:space="preserve"> </w:t>
      </w:r>
      <w:r>
        <w:t xml:space="preserve">(Alvarez-Melis y Jaakkola 2018; Hooker et al. 2019; Rong et al. 2022; Zheng et al. 2025)</w:t>
      </w:r>
      <w:r>
        <w:t xml:space="preserve">. Por ello, un ordenamiento obtenido mediante</w:t>
      </w:r>
      <w:r>
        <w:t xml:space="preserve"> </w:t>
      </w:r>
      <w:r>
        <w:t xml:space="preserve">enmascaramiento debe interpretarse como evidencia comparativa bajo el operador</w:t>
      </w:r>
      <w:r>
        <w:t xml:space="preserve"> </w:t>
      </w:r>
      <w:r>
        <w:t xml:space="preserve">de perturbación declarado, no como validación irrestricta de la corrección de</w:t>
      </w:r>
      <w:r>
        <w:t xml:space="preserve"> </w:t>
      </w:r>
      <w:r>
        <w:t xml:space="preserve">las explicaciones.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30"/>
    <w:bookmarkStart w:id="31" w:name="justificación-científica-y-práctica"/>
    <w:p>
      <w:pPr>
        <w:pStyle w:val="Ttulo2"/>
        <w:spacing w:line="360" w:lineRule="auto"/>
        <w:jc w:val="both"/>
      </w:pPr>
      <w:r>
        <w:t xml:space="preserve">1.2 </w:t>
      </w: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y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p>
      <w:pPr>
        <w:pStyle w:val="Textoindependiente"/>
        <w:spacing w:line="360" w:lineRule="auto"/>
        <w:jc w:val="both"/>
      </w:pPr>
      <w:r>
        <w:t xml:space="preserve">La amplitud de dominios en que la explicabilidad se despliega refuerza la</w:t>
      </w:r>
      <w:r>
        <w:t xml:space="preserve"> </w:t>
      </w:r>
      <w:r>
        <w:t xml:space="preserve">necesidad de criterios de selección fundamentados. La literatura reciente</w:t>
      </w:r>
      <w:r>
        <w:t xml:space="preserve"> </w:t>
      </w:r>
      <w:r>
        <w:t xml:space="preserve">documenta aplicaciones en seguridad informática —análisis de programas</w:t>
      </w:r>
      <w:r>
        <w:t xml:space="preserve"> </w:t>
      </w:r>
      <w:r>
        <w:t xml:space="preserve">maliciosos</w:t>
      </w:r>
      <w:r>
        <w:t xml:space="preserve"> </w:t>
      </w:r>
      <w:r>
        <w:t xml:space="preserve">(Saqib et al. 2024)</w:t>
      </w:r>
      <w:r>
        <w:t xml:space="preserve">, detección de URL fraudulentas</w:t>
      </w:r>
      <w:r>
        <w:t xml:space="preserve"> </w:t>
      </w:r>
      <w:r>
        <w:t xml:space="preserve">(Mittal 2023)</w:t>
      </w:r>
      <w:r>
        <w:t xml:space="preserve"> </w:t>
      </w:r>
      <w:r>
        <w:t xml:space="preserve">y robustez</w:t>
      </w:r>
      <w:r>
        <w:t xml:space="preserve"> </w:t>
      </w:r>
      <w:r>
        <w:t xml:space="preserve">frente a ejemplos adversarios</w:t>
      </w:r>
      <w:r>
        <w:t xml:space="preserve"> </w:t>
      </w:r>
      <w:r>
        <w:t xml:space="preserve">(Gafur et al. 2024)</w:t>
      </w:r>
      <w:r>
        <w:t xml:space="preserve">—, en educación</w:t>
      </w:r>
      <w:r>
        <w:t xml:space="preserve"> </w:t>
      </w:r>
      <w:r>
        <w:t xml:space="preserve">(Iatrellis et al. 2023; Gomez et al. 2024)</w:t>
      </w:r>
      <w:r>
        <w:t xml:space="preserve">, en agricultura digital</w:t>
      </w:r>
      <w:r>
        <w:t xml:space="preserve"> </w:t>
      </w:r>
      <w:r>
        <w:t xml:space="preserve">(Porfírio 2024)</w:t>
      </w:r>
      <w:r>
        <w:t xml:space="preserve">, en biología estructural</w:t>
      </w:r>
      <w:r>
        <w:t xml:space="preserve"> </w:t>
      </w:r>
      <w:r>
        <w:t xml:space="preserve">(Tan y Zhang 2023)</w:t>
      </w:r>
      <w:r>
        <w:t xml:space="preserve">, en la auditoría de sesgos en sistemas de clasificación de texto</w:t>
      </w:r>
      <w:r>
        <w:t xml:space="preserve"> </w:t>
      </w:r>
      <w:r>
        <w:t xml:space="preserve">(Muntasir y Noor 2024)</w:t>
      </w:r>
      <w:r>
        <w:t xml:space="preserve"> </w:t>
      </w:r>
      <w:r>
        <w:t xml:space="preserve">y en la anticipación de necesidades formativas</w:t>
      </w:r>
      <w:r>
        <w:t xml:space="preserve"> </w:t>
      </w:r>
      <w:r>
        <w:t xml:space="preserve">(Bobitan et al. 2024)</w:t>
      </w:r>
      <w:r>
        <w:t xml:space="preserve">.</w:t>
      </w:r>
      <w:r>
        <w:t xml:space="preserve"> </w:t>
      </w:r>
      <w:r>
        <w:t xml:space="preserve">El mismo desplazamiento alcanza a la simulación</w:t>
      </w:r>
      <w:r>
        <w:t xml:space="preserve"> </w:t>
      </w:r>
      <w:r>
        <w:t xml:space="preserve">(Feldkamp y Strassburger 2023)</w:t>
      </w:r>
      <w:r>
        <w:t xml:space="preserve">, a la computación</w:t>
      </w:r>
      <w:r>
        <w:t xml:space="preserve"> </w:t>
      </w:r>
      <w:r>
        <w:t xml:space="preserve">evolutiva</w:t>
      </w:r>
      <w:r>
        <w:t xml:space="preserve"> </w:t>
      </w:r>
      <w:r>
        <w:t xml:space="preserve">(Bacardit et al. 2024)</w:t>
      </w:r>
      <w:r>
        <w:t xml:space="preserve"> </w:t>
      </w:r>
      <w:r>
        <w:t xml:space="preserve">y al diseño de agentes autónomos, donde la exigencia de</w:t>
      </w:r>
      <w:r>
        <w:t xml:space="preserve"> </w:t>
      </w:r>
      <w:r>
        <w:t xml:space="preserve">explicabilidad se plantea ya como requisito arquitectónico</w:t>
      </w:r>
      <w:r>
        <w:t xml:space="preserve"> </w:t>
      </w:r>
      <w:r>
        <w:t xml:space="preserve">(Rodriguez y Thangarajah 2024; Hosseini y Seilani 2025)</w:t>
      </w:r>
      <w:r>
        <w:t xml:space="preserve">. En todos estos contextos la pregunta operativa es la misma —qué</w:t>
      </w:r>
      <w:r>
        <w:t xml:space="preserve"> </w:t>
      </w:r>
      <w:r>
        <w:t xml:space="preserve">método explicador elegir y con qué garantías— y en ninguno se responde con un</w:t>
      </w:r>
      <w:r>
        <w:t xml:space="preserve"> </w:t>
      </w:r>
      <w:r>
        <w:t xml:space="preserve">criterio único: cada dominio prioriza dimensiones de calidad distintas, lo que</w:t>
      </w:r>
      <w:r>
        <w:t xml:space="preserve"> </w:t>
      </w:r>
      <w:r>
        <w:t xml:space="preserve">justifica un marco de evaluación multidimensional en lugar de un ranking</w:t>
      </w:r>
      <w:r>
        <w:t xml:space="preserve"> </w:t>
      </w:r>
      <w:r>
        <w:t xml:space="preserve">absoluto.</w:t>
      </w:r>
    </w:p>
    <w:bookmarkEnd w:id="31"/>
    <w:bookmarkStart w:id="37" w:name="objetivos-e-hipótesis"/>
    <w:p>
      <w:pPr>
        <w:pStyle w:val="Ttulo2"/>
        <w:spacing w:line="360" w:lineRule="auto"/>
        <w:jc w:val="both"/>
      </w:pPr>
      <w:r>
        <w:t xml:space="preserve">1.3 </w:t>
      </w:r>
      <w:r>
        <w:t xml:space="preserve">Objetivos e hipótesis</w:t>
      </w:r>
    </w:p>
    <w:bookmarkStart w:id="32" w:name="objetivo-general"/>
    <w:p>
      <w:pPr>
        <w:pStyle w:val="Ttulo3"/>
        <w:spacing w:line="360" w:lineRule="auto"/>
        <w:jc w:val="both"/>
      </w:pPr>
      <w:r>
        <w:t xml:space="preserve">1.3.1 </w:t>
      </w:r>
      <w:r>
        <w:t xml:space="preserve">Objetivo general</w:t>
      </w:r>
    </w:p>
    <w:p>
      <w:pPr>
        <w:pStyle w:val="FirstParagraph"/>
        <w:spacing w:line="360" w:lineRule="auto"/>
        <w:jc w:val="both"/>
      </w:pPr>
      <w:r>
        <w:t xml:space="preserve">Desarrollar y evaluar empíricamente un marco de evaluación multinivel y</w:t>
      </w:r>
      <w:r>
        <w:t xml:space="preserve"> </w:t>
      </w:r>
      <w:r>
        <w:t xml:space="preserve">reproducible para métodos de explicabilidad agnósticos al modelo —articulado en</w:t>
      </w:r>
      <w:r>
        <w:t xml:space="preserve"> </w:t>
      </w:r>
      <w:r>
        <w:t xml:space="preserve">un protocolo de operación (FOM-7), un benchmark cuantitativo multi-métrico y una</w:t>
      </w:r>
      <w:r>
        <w:t xml:space="preserve"> </w:t>
      </w:r>
      <w:r>
        <w:t xml:space="preserve">taxonomía estructurada del espacio de métricas—, con el fin de establecer</w:t>
      </w:r>
      <w:r>
        <w:t xml:space="preserve"> </w:t>
      </w:r>
      <w:r>
        <w:t xml:space="preserve">criterios técnicamente fundamentados para la selección y comparación de métodos</w:t>
      </w:r>
      <w:r>
        <w:t xml:space="preserve"> </w:t>
      </w:r>
      <w:r>
        <w:t xml:space="preserve">XAI en contextos de datos tabulares, delimitando explícitamente el alcance de</w:t>
      </w:r>
      <w:r>
        <w:t xml:space="preserve"> </w:t>
      </w:r>
      <w:r>
        <w:t xml:space="preserve">validez de la evidencia obtenida.</w:t>
      </w:r>
    </w:p>
    <w:bookmarkEnd w:id="32"/>
    <w:bookmarkStart w:id="33" w:name="objetivos-específicos"/>
    <w:p>
      <w:pPr>
        <w:pStyle w:val="Ttulo3"/>
        <w:spacing w:line="360" w:lineRule="auto"/>
        <w:jc w:val="both"/>
      </w:pPr>
      <w:r>
        <w:t xml:space="preserve">1.3.2 </w:t>
      </w: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p>
    <w:p>
      <w:pPr>
        <w:numPr>
          <w:ilvl w:val="0"/>
          <w:numId w:val="1001"/>
        </w:numPr>
        <w:spacing w:line="360" w:lineRule="auto"/>
        <w:jc w:val="both"/>
      </w:pPr>
      <w:r>
        <w:t xml:space="preserve">Cuantificar las diferencias en la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el Estudio Omnibus Multimétrico —la comparación de los</w:t>
      </w:r>
      <w:r>
        <w:t xml:space="preserve"> </w:t>
      </w:r>
      <w:r>
        <w:t xml:space="preserve">cuatro métodos agnósticos— y el Estudio Pareado LIME–SHAP, y que haga</w:t>
      </w:r>
      <w:r>
        <w:t xml:space="preserve"> </w:t>
      </w:r>
      <w:r>
        <w:t xml:space="preserve">explícitas las brechas de constructo del campo.</w:t>
      </w:r>
    </w:p>
    <w:p>
      <w:pPr>
        <w:numPr>
          <w:ilvl w:val="0"/>
          <w:numId w:val="1001"/>
        </w:numPr>
        <w:spacing w:line="360" w:lineRule="auto"/>
        <w:jc w:val="both"/>
      </w:pPr>
      <w:r>
        <w:t xml:space="preserve">Cuantificar la fiabilidad inter-juez de evaluadores semánticos basados en</w:t>
      </w:r>
      <w:r>
        <w:t xml:space="preserve"> </w:t>
      </w:r>
      <w:r>
        <w:t xml:space="preserve">modelos de lenguaje sobre explicaciones del corpus experimental, con el fin</w:t>
      </w:r>
      <w:r>
        <w:t xml:space="preserve"> </w:t>
      </w:r>
      <w:r>
        <w:t xml:space="preserve">de determinar si dicho instrumento alcanza la convergencia necesaria para</w:t>
      </w:r>
      <w:r>
        <w:t xml:space="preserve"> </w:t>
      </w:r>
      <w:r>
        <w:t xml:space="preserve">sostener afirmaciones confirmativas. Derivado de la Brecha 3 del Capítulo 5,</w:t>
      </w:r>
      <w:r>
        <w:t xml:space="preserve"> </w:t>
      </w:r>
      <w:r>
        <w:t xml:space="preserve">su alcance es exploratorio y de calibración instrumental, no confirmativo;</w:t>
      </w:r>
      <w:r>
        <w:t xml:space="preserve"> </w:t>
      </w:r>
      <w:r>
        <w:t xml:space="preserve">el estatuto epistémico de la proposición asociada se argumenta junto a P2.</w:t>
      </w:r>
    </w:p>
    <w:bookmarkEnd w:id="33"/>
    <w:bookmarkStart w:id="35" w:name="nomenclatura-de-los-estudios"/>
    <w:p>
      <w:pPr>
        <w:pStyle w:val="Ttulo3"/>
        <w:spacing w:line="360" w:lineRule="auto"/>
        <w:jc w:val="both"/>
      </w:pPr>
      <w:r>
        <w:t xml:space="preserve">1.3.3 </w:t>
      </w:r>
      <w:r>
        <w:t xml:space="preserve">Nomenclatura de los estudios</w:t>
      </w:r>
    </w:p>
    <w:p>
      <w:pPr>
        <w:pStyle w:val="FirstParagraph"/>
        <w:spacing w:line="360" w:lineRule="auto"/>
        <w:jc w:val="both"/>
      </w:pPr>
      <w:r>
        <w:t xml:space="preserve">La investigación se articula en cuatro estudios principales y tres estudios de</w:t>
      </w:r>
      <w:r>
        <w:t xml:space="preserve"> </w:t>
      </w:r>
      <w:r>
        <w:t xml:space="preserve">seguimiento, cuya denominación se emplea de forma uniforme en el resto del</w:t>
      </w:r>
      <w:r>
        <w:t xml:space="preserve"> </w:t>
      </w:r>
      <w:r>
        <w:t xml:space="preserve">documento. Los objetivos 1 y 4 —formalización del protocolo FOM-7 y</w:t>
      </w:r>
      <w:r>
        <w:t xml:space="preserve"> </w:t>
      </w:r>
      <w:r>
        <w:t xml:space="preserve">caracterización de su reproducibilidad— son transversales a los dos estudios</w:t>
      </w:r>
      <w:r>
        <w:t xml:space="preserve"> </w:t>
      </w:r>
      <w:r>
        <w:t xml:space="preserve">empíricos principales y no se adscriben a uno solo de ellos.</w:t>
      </w:r>
    </w:p>
    <w:tbl>
      <w:tblPr>
        <w:tblStyle w:val="Table"/>
        <w:tblW w:type="pct" w:w="5000"/>
        <w:jc w:val="center"/>
        <w:tblLayout w:type="fixed"/>
        <w:tblLook w:firstRow="0" w:lastRow="0" w:firstColumn="0" w:lastColumn="0" w:noHBand="0" w:noVBand="0" w:val="0000"/>
      </w:tblPr>
      <w:tblGrid>
        <w:gridCol w:w="7920"/>
      </w:tblGrid>
      <w:tr>
        <w:tc>
          <w:tcPr/>
          <w:bookmarkStart w:id="34" w:name="tbl-estudios"/>
          <w:p>
            <w:pPr>
              <w:pStyle w:val="ImageCaption"/>
              <w:spacing w:before="200" w:line="360" w:lineRule="auto"/>
              <w:jc w:val="center"/>
            </w:pPr>
            <w:r>
              <w:t xml:space="preserve">Tabla 1.1: Nomenclatura, alcance y trazabilidad de los estudios.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44"/>
              <w:gridCol w:w="3436"/>
              <w:gridCol w:w="1494"/>
              <w:gridCol w:w="1643"/>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Capítulos</w:t>
                  </w:r>
                </w:p>
              </w:tc>
            </w:tr>
            <w:tr>
              <w:tc>
                <w:tcPr/>
                <w:p>
                  <w:pPr>
                    <w:pStyle w:val="Compact"/>
                    <w:jc w:val="both"/>
                    <w:jc w:val="center"/>
                    <w:spacing w:line="360" w:lineRule="auto"/>
                  </w:pPr>
                  <w:r>
                    <w:rPr>
                      <w:b/>
                      <w:bCs/>
                    </w:rPr>
                    <w:t xml:space="preserve">Estudio Omnibus Multimétrico</w:t>
                  </w:r>
                </w:p>
              </w:tc>
              <w:tc>
                <w:tcPr/>
                <w:p>
                  <w:pPr>
                    <w:pStyle w:val="Compact"/>
                    <w:jc w:val="both"/>
                    <w:jc w:val="center"/>
                    <w:spacing w:line="360" w:lineRule="auto"/>
                  </w:pPr>
                  <w:r>
                    <w:t xml:space="preserve">¿Difieren SHAP, LIME, Anchors y DiCE en las cinco métricas de calidad sobre el diseño factorial completo?</w:t>
                  </w:r>
                </w:p>
              </w:tc>
              <w:tc>
                <w:tcPr/>
                <w:p>
                  <w:pPr>
                    <w:pStyle w:val="Compact"/>
                    <w:jc w:val="both"/>
                    <w:jc w:val="center"/>
                    <w:spacing w:line="360" w:lineRule="auto"/>
                  </w:pPr>
                  <w:r>
                    <w:t xml:space="preserve">OE2</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Pareado LIME–SHAP</w:t>
                  </w:r>
                </w:p>
              </w:tc>
              <w:tc>
                <w:tcPr/>
                <w:p>
                  <w:pPr>
                    <w:pStyle w:val="Compact"/>
                    <w:jc w:val="both"/>
                    <w:jc w:val="center"/>
                    <w:spacing w:line="360" w:lineRule="auto"/>
                  </w:pPr>
                  <w:r>
                    <w:t xml:space="preserve">¿Cómo se comporta la relación calidad-coste entre LIME y SHAP sobre celdas coincidentes de modelo, semilla y tamaño de muestra?</w:t>
                  </w:r>
                </w:p>
              </w:tc>
              <w:tc>
                <w:tcPr/>
                <w:p>
                  <w:pPr>
                    <w:pStyle w:val="Compact"/>
                    <w:jc w:val="both"/>
                    <w:jc w:val="center"/>
                    <w:spacing w:line="360" w:lineRule="auto"/>
                  </w:pPr>
                  <w:r>
                    <w:t xml:space="preserve">OE3</w:t>
                  </w:r>
                </w:p>
              </w:tc>
              <w:tc>
                <w:tcPr/>
                <w:p>
                  <w:pPr>
                    <w:pStyle w:val="Compact"/>
                    <w:jc w:val="both"/>
                    <w:jc w:val="center"/>
                    <w:spacing w:line="360" w:lineRule="auto"/>
                  </w:pPr>
                  <w:r>
                    <w:t xml:space="preserve">3 y 4</w:t>
                  </w:r>
                </w:p>
              </w:tc>
            </w:tr>
            <w:tr>
              <w:tc>
                <w:tcPr/>
                <w:p>
                  <w:pPr>
                    <w:pStyle w:val="Compact"/>
                    <w:jc w:val="both"/>
                    <w:jc w:val="center"/>
                    <w:spacing w:line="360" w:lineRule="auto"/>
                  </w:pPr>
                  <w:r>
                    <w:rPr>
                      <w:b/>
                      <w:bCs/>
                    </w:rPr>
                    <w:t xml:space="preserve">Estudio Taxonómico</w:t>
                  </w:r>
                </w:p>
              </w:tc>
              <w:tc>
                <w:tcPr/>
                <w:p>
                  <w:pPr>
                    <w:pStyle w:val="Compact"/>
                    <w:jc w:val="both"/>
                    <w:jc w:val="center"/>
                    <w:spacing w:line="360" w:lineRule="auto"/>
                  </w:pPr>
                  <w:r>
                    <w:t xml:space="preserve">¿Qué estructura conceptual organiza el espacio de métricas de evaluación XAI y qué brechas de constructo revela?</w:t>
                  </w:r>
                </w:p>
              </w:tc>
              <w:tc>
                <w:tcPr/>
                <w:p>
                  <w:pPr>
                    <w:pStyle w:val="Compact"/>
                    <w:jc w:val="both"/>
                    <w:jc w:val="center"/>
                    <w:spacing w:line="360" w:lineRule="auto"/>
                  </w:pPr>
                  <w:r>
                    <w:t xml:space="preserve">OE5</w:t>
                  </w:r>
                </w:p>
              </w:tc>
              <w:tc>
                <w:tcPr/>
                <w:p>
                  <w:pPr>
                    <w:pStyle w:val="Compact"/>
                    <w:jc w:val="both"/>
                    <w:jc w:val="center"/>
                    <w:spacing w:line="360" w:lineRule="auto"/>
                  </w:pPr>
                  <w:r>
                    <w:t xml:space="preserve">5</w:t>
                  </w:r>
                </w:p>
              </w:tc>
            </w:tr>
            <w:tr>
              <w:tc>
                <w:tcPr/>
                <w:p>
                  <w:pPr>
                    <w:pStyle w:val="Compact"/>
                    <w:jc w:val="both"/>
                    <w:jc w:val="center"/>
                    <w:spacing w:line="360" w:lineRule="auto"/>
                  </w:pPr>
                  <w:r>
                    <w:rPr>
                      <w:b/>
                      <w:bCs/>
                    </w:rPr>
                    <w:t xml:space="preserve">Estudio de Fiabilidad Inter-juez</w:t>
                  </w:r>
                </w:p>
              </w:tc>
              <w:tc>
                <w:tcPr/>
                <w:p>
                  <w:pPr>
                    <w:pStyle w:val="Compact"/>
                    <w:jc w:val="both"/>
                    <w:jc w:val="center"/>
                    <w:spacing w:line="360" w:lineRule="auto"/>
                  </w:pPr>
                  <w:r>
                    <w:t xml:space="preserve">¿Alcanzan los evaluadores semánticos basados en LLM la convergencia inter-juez necesaria para sostener afirmaciones confirmativas?</w:t>
                  </w:r>
                </w:p>
              </w:tc>
              <w:tc>
                <w:tcPr/>
                <w:p>
                  <w:pPr>
                    <w:pStyle w:val="Compact"/>
                    <w:jc w:val="both"/>
                    <w:jc w:val="center"/>
                    <w:spacing w:line="360" w:lineRule="auto"/>
                  </w:pPr>
                  <w:r>
                    <w:t xml:space="preserve">OE6</w:t>
                  </w:r>
                </w:p>
              </w:tc>
              <w:tc>
                <w:tcPr/>
                <w:p>
                  <w:pPr>
                    <w:pStyle w:val="Compact"/>
                    <w:jc w:val="both"/>
                    <w:jc w:val="center"/>
                    <w:spacing w:line="360" w:lineRule="auto"/>
                  </w:pPr>
                  <w:r>
                    <w:t xml:space="preserve">3, 5 y 6</w:t>
                  </w:r>
                </w:p>
              </w:tc>
            </w:tr>
            <w:tr>
              <w:tc>
                <w:tcPr/>
                <w:p>
                  <w:pPr>
                    <w:pStyle w:val="Compact"/>
                    <w:jc w:val="both"/>
                    <w:jc w:val="center"/>
                    <w:spacing w:line="360" w:lineRule="auto"/>
                  </w:pPr>
                  <w:r>
                    <w:rPr>
                      <w:b/>
                      <w:bCs/>
                    </w:rPr>
                    <w:t xml:space="preserve">Estudio de Fiabilidad ante el Error</w:t>
                  </w:r>
                  <w:r>
                    <w:t xml:space="preserve"> </w:t>
                  </w:r>
                  <w:r>
                    <w:t xml:space="preserve">(seguimiento)</w:t>
                  </w:r>
                </w:p>
              </w:tc>
              <w:tc>
                <w:tcPr/>
                <w:p>
                  <w:pPr>
                    <w:pStyle w:val="Compact"/>
                    <w:jc w:val="both"/>
                    <w:jc w:val="center"/>
                    <w:spacing w:line="360" w:lineRule="auto"/>
                  </w:pPr>
                  <w:r>
                    <w:t xml:space="preserve">¿Son menos fiables las explicaciones cuando el modelo se equivoca?</w:t>
                  </w:r>
                </w:p>
              </w:tc>
              <w:tc>
                <w:tcPr/>
                <w:p>
                  <w:pPr>
                    <w:pStyle w:val="Compact"/>
                    <w:jc w:val="both"/>
                    <w:jc w:val="center"/>
                    <w:spacing w:line="360" w:lineRule="auto"/>
                  </w:pPr>
                  <w:r>
                    <w:t xml:space="preserve">Objetivo general</w:t>
                  </w:r>
                </w:p>
              </w:tc>
              <w:tc>
                <w:tcPr/>
                <w:p>
                  <w:pPr>
                    <w:pStyle w:val="Compact"/>
                    <w:jc w:val="both"/>
                    <w:jc w:val="center"/>
                    <w:spacing w:line="360" w:lineRule="auto"/>
                  </w:pPr>
                  <w:r>
                    <w:t xml:space="preserve">6</w:t>
                  </w:r>
                </w:p>
              </w:tc>
            </w:tr>
            <w:tr>
              <w:tc>
                <w:tcPr/>
                <w:p>
                  <w:pPr>
                    <w:pStyle w:val="Compact"/>
                    <w:jc w:val="both"/>
                    <w:jc w:val="center"/>
                    <w:spacing w:line="360" w:lineRule="auto"/>
                  </w:pPr>
                  <w:r>
                    <w:rPr>
                      <w:b/>
                      <w:bCs/>
                    </w:rPr>
                    <w:t xml:space="preserve">Estudio de Concordancia entre Explicadores</w:t>
                  </w:r>
                  <w:r>
                    <w:t xml:space="preserve"> </w:t>
                  </w:r>
                  <w:r>
                    <w:t xml:space="preserve">(seguimiento)</w:t>
                  </w:r>
                </w:p>
              </w:tc>
              <w:tc>
                <w:tcPr/>
                <w:p>
                  <w:pPr>
                    <w:pStyle w:val="Compact"/>
                    <w:jc w:val="both"/>
                    <w:jc w:val="center"/>
                    <w:spacing w:line="360" w:lineRule="auto"/>
                  </w:pPr>
                  <w:r>
                    <w:t xml:space="preserve">¿Cuánto coinciden SHAP y LIME al explicar la misma instancia?</w:t>
                  </w:r>
                </w:p>
              </w:tc>
              <w:tc>
                <w:tcPr/>
                <w:p>
                  <w:pPr>
                    <w:pStyle w:val="Compact"/>
                    <w:jc w:val="both"/>
                    <w:jc w:val="center"/>
                    <w:spacing w:line="360" w:lineRule="auto"/>
                  </w:pPr>
                  <w:r>
                    <w:t xml:space="preserve">Objetivo general</w:t>
                  </w:r>
                </w:p>
              </w:tc>
              <w:tc>
                <w:tcPr/>
                <w:p>
                  <w:pPr>
                    <w:pStyle w:val="Compact"/>
                    <w:jc w:val="both"/>
                    <w:jc w:val="center"/>
                    <w:spacing w:line="360" w:lineRule="auto"/>
                  </w:pPr>
                  <w:r>
                    <w:t xml:space="preserve">6</w:t>
                  </w:r>
                </w:p>
              </w:tc>
            </w:tr>
            <w:tr>
              <w:tc>
                <w:tcPr/>
                <w:p>
                  <w:pPr>
                    <w:pStyle w:val="Compact"/>
                    <w:jc w:val="both"/>
                    <w:jc w:val="center"/>
                    <w:spacing w:line="360" w:lineRule="auto"/>
                  </w:pPr>
                  <w:r>
                    <w:rPr>
                      <w:b/>
                      <w:bCs/>
                    </w:rPr>
                    <w:t xml:space="preserve">Estudio de Transferencia entre Conjuntos de Datos</w:t>
                  </w:r>
                  <w:r>
                    <w:t xml:space="preserve"> </w:t>
                  </w:r>
                  <w:r>
                    <w:t xml:space="preserve">(seguimiento)</w:t>
                  </w:r>
                </w:p>
              </w:tc>
              <w:tc>
                <w:tcPr/>
                <w:p>
                  <w:pPr>
                    <w:pStyle w:val="Compact"/>
                    <w:jc w:val="both"/>
                    <w:jc w:val="center"/>
                    <w:spacing w:line="360" w:lineRule="auto"/>
                  </w:pPr>
                  <w:r>
                    <w:t xml:space="preserve">¿Se mantiene el orden de los métodos al cambiar de conjunto de datos?</w:t>
                  </w:r>
                </w:p>
              </w:tc>
              <w:tc>
                <w:tcPr/>
                <w:p>
                  <w:pPr>
                    <w:pStyle w:val="Compact"/>
                    <w:jc w:val="both"/>
                    <w:jc w:val="center"/>
                    <w:spacing w:line="360" w:lineRule="auto"/>
                  </w:pPr>
                  <w:r>
                    <w:t xml:space="preserve">Objetivo general</w:t>
                  </w:r>
                </w:p>
              </w:tc>
              <w:tc>
                <w:tcPr/>
                <w:p>
                  <w:pPr>
                    <w:pStyle w:val="Compact"/>
                    <w:jc w:val="both"/>
                    <w:jc w:val="center"/>
                    <w:spacing w:line="360" w:lineRule="auto"/>
                  </w:pPr>
                  <w:r>
                    <w:t xml:space="preserve">6</w:t>
                  </w:r>
                </w:p>
              </w:tc>
            </w:tr>
          </w:tbl>
          <w:bookmarkEnd w:id="34"/>
          <w:p>
            <w:pPr>
              <w:spacing w:line="360" w:lineRule="auto"/>
              <w:jc w:val="both"/>
            </w:pPr>
          </w:p>
        </w:tc>
      </w:tr>
    </w:tbl>
    <w:p>
      <w:pPr>
        <w:pStyle w:val="Textoindependiente"/>
        <w:spacing w:line="360" w:lineRule="auto"/>
        <w:jc w:val="both"/>
      </w:pPr>
      <w:r>
        <w:t xml:space="preserve">Estos nombres sustituyen a las letras identificadoras (Estudios A, B y C)</w:t>
      </w:r>
      <w:r>
        <w:t xml:space="preserve"> </w:t>
      </w:r>
      <w:r>
        <w:t xml:space="preserve">empleadas en versiones previas del documento.</w:t>
      </w:r>
    </w:p>
    <w:p>
      <w:pPr>
        <w:pStyle w:val="Textoindependiente"/>
        <w:spacing w:line="360" w:lineRule="auto"/>
        <w:jc w:val="both"/>
      </w:pPr>
      <w:r>
        <w:t xml:space="preserve">Los tres estudios de seguimiento se realizaron después del plan confirmativo y</w:t>
      </w:r>
      <w:r>
        <w:t xml:space="preserve"> </w:t>
      </w:r>
      <w:r>
        <w:t xml:space="preserve">no añaden objetivos específicos ni hipótesis: se adscriben a la cláusula final</w:t>
      </w:r>
      <w:r>
        <w:t xml:space="preserve"> </w:t>
      </w:r>
      <w:r>
        <w:t xml:space="preserve">del objetivo general, que exige delimitar el alcance de validez de la evidencia</w:t>
      </w:r>
      <w:r>
        <w:t xml:space="preserve"> </w:t>
      </w:r>
      <w:r>
        <w:t xml:space="preserve">obtenida. Su estatuto se declara en §</w:t>
      </w:r>
      <w:hyperlink w:anchor="sec-seg-estatuto">
        <w:r>
          <w:rPr>
            <w:rStyle w:val="Hipervnculo"/>
          </w:rPr>
          <w:t xml:space="preserve">6.1</w:t>
        </w:r>
      </w:hyperlink>
      <w:r>
        <w:t xml:space="preserve">, y ninguno modifica la</w:t>
      </w:r>
      <w:r>
        <w:t xml:space="preserve"> </w:t>
      </w:r>
      <w:r>
        <w:t xml:space="preserve">resolución de H1–H3, P1 o P2.</w:t>
      </w:r>
    </w:p>
    <w:bookmarkEnd w:id="35"/>
    <w:bookmarkStart w:id="36" w:name="hipótesis-o-proposiciones-de-trabajo"/>
    <w:p>
      <w:pPr>
        <w:pStyle w:val="Ttulo3"/>
        <w:spacing w:line="360" w:lineRule="auto"/>
        <w:jc w:val="both"/>
      </w:pPr>
      <w:r>
        <w:t xml:space="preserve">1.3.4 </w:t>
      </w: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 (H1–H3), acompañados de una</w:t>
      </w:r>
      <w:r>
        <w:t xml:space="preserve"> </w:t>
      </w:r>
      <w:r>
        <w:t xml:space="preserve">proposición de reproducibilidad del protocolo (P1). A estas se añade una</w:t>
      </w:r>
      <w:r>
        <w:t xml:space="preserve"> </w:t>
      </w:r>
      <w:r>
        <w:t xml:space="preserve">proposición de carácter exploratorio (P2), cuyo estatuto diferenciado se declara</w:t>
      </w:r>
      <w:r>
        <w:t xml:space="preserve"> </w:t>
      </w:r>
      <w:r>
        <w:t xml:space="preserve">explícitamente al final de esta sección.</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p>
      <w:pPr>
        <w:pStyle w:val="Textoindependiente"/>
        <w:spacing w:line="360" w:lineRule="auto"/>
        <w:jc w:val="both"/>
      </w:pPr>
      <w:r>
        <w:rPr>
          <w:b/>
          <w:bCs/>
        </w:rPr>
        <w:t xml:space="preserve">P2 — Fiabilidad de los evaluadores semánticos (proposición exploratoria)</w:t>
      </w:r>
    </w:p>
    <w:p>
      <w:pPr>
        <w:pStyle w:val="Textoindependiente"/>
        <w:spacing w:line="360" w:lineRule="auto"/>
        <w:jc w:val="both"/>
      </w:pPr>
      <w:r>
        <w:t xml:space="preserve">Un conjunto de jueces basados en modelos de lenguaje, operando sobre una rúbrica</w:t>
      </w:r>
      <w:r>
        <w:t xml:space="preserve"> </w:t>
      </w:r>
      <w:r>
        <w:t xml:space="preserve">multidimensional sin especificación de destinatario ni criterio de corrección</w:t>
      </w:r>
      <w:r>
        <w:t xml:space="preserve"> </w:t>
      </w:r>
      <w:r>
        <w:t xml:space="preserve">verificable, alcanza una fiabilidad inter-juez igual o superior al umbral</w:t>
      </w:r>
      <w:r>
        <w:t xml:space="preserve"> </w:t>
      </w:r>
      <w:r>
        <w:t xml:space="preserve">convencionalmente aceptable de</w:t>
      </w:r>
      <w:r>
        <w:t xml:space="preserve"> </w:t>
      </w:r>
      <ns1:oMath>
        <ns1:r>
          <ns1:t>0.75</ns1:t>
        </ns1:r>
      </ns1:oMath>
      <w:r>
        <w:t xml:space="preserve"> </w:t>
      </w:r>
      <w:r>
        <w:t xml:space="preserve">(Koo y Li 2016)</w:t>
      </w:r>
      <w:r>
        <w:t xml:space="preserve">, medida mediante la correlación</w:t>
      </w:r>
      <w:r>
        <w:t xml:space="preserve"> </w:t>
      </w:r>
      <w:r>
        <w:t xml:space="preserve">intraclase y el</w:t>
      </w:r>
      <w:r>
        <w:t xml:space="preserve"> </w:t>
      </w:r>
      <ns1:oMath>
        <ns1:r>
          <ns1:t>α</ns1:t>
        </ns1:r>
      </ns1:oMath>
      <w:r>
        <w:t xml:space="preserve"> </w:t>
      </w:r>
      <w:r>
        <w:t xml:space="preserve">de Krippendorff</w:t>
      </w:r>
      <w:r>
        <w:t xml:space="preserve"> </w:t>
      </w:r>
      <w:r>
        <w:t xml:space="preserve">(Krippendorff 2018)</w:t>
      </w:r>
      <w:r>
        <w:t xml:space="preserve">. La proposición se</w:t>
      </w:r>
      <w:r>
        <w:t xml:space="preserve"> </w:t>
      </w:r>
      <w:r>
        <w:t xml:space="preserve">considera refutada si</w:t>
      </w:r>
      <w:r>
        <w:t xml:space="preserve"> </w:t>
      </w:r>
      <w:r>
        <w:t xml:space="preserve">alguna dimensión de la rúbrica queda por debajo de ese umbral.</w:t>
      </w:r>
    </w:p>
    <w:p>
      <w:pPr>
        <w:pStyle w:val="Textoindependiente"/>
        <w:spacing w:line="360" w:lineRule="auto"/>
        <w:jc w:val="both"/>
      </w:pPr>
      <w:r>
        <w:rPr>
          <w:b/>
          <w:bCs/>
        </w:rPr>
        <w:t xml:space="preserve">Estatuto epistémico diferenciado de P2.</w:t>
      </w:r>
      <w:r>
        <w:t xml:space="preserve"> </w:t>
      </w:r>
      <w:r>
        <w:t xml:space="preserve">P2 no forma parte del plan</w:t>
      </w:r>
      <w:r>
        <w:t xml:space="preserve"> </w:t>
      </w:r>
      <w:r>
        <w:t xml:space="preserve">inferencial congelado en la puerta 1 del protocolo FOM-7 y no comparte el</w:t>
      </w:r>
      <w:r>
        <w:t xml:space="preserve"> </w:t>
      </w:r>
      <w:r>
        <w:t xml:space="preserve">estatuto confirmativo de H1–H3 y P1. Se formuló con posterioridad, una vez que</w:t>
      </w:r>
      <w:r>
        <w:t xml:space="preserve"> </w:t>
      </w:r>
      <w:r>
        <w:t xml:space="preserve">la taxonomía del Capítulo 5 identificó la Brecha 3 —la evaluación semántica</w:t>
      </w:r>
      <w:r>
        <w:t xml:space="preserve"> </w:t>
      </w:r>
      <w:r>
        <w:t xml:space="preserve">crece más rápido que su base de validación empírica— y su función es calibrar</w:t>
      </w:r>
      <w:r>
        <w:t xml:space="preserve"> </w:t>
      </w:r>
      <w:r>
        <w:t xml:space="preserve">un</w:t>
      </w:r>
      <w:r>
        <w:t xml:space="preserve"> </w:t>
      </w:r>
      <w:r>
        <w:rPr>
          <w:i/>
          <w:iCs/>
        </w:rPr>
        <w:t xml:space="preserve">instrumento de medida</w:t>
      </w:r>
      <w:r>
        <w:t xml:space="preserve">, no evaluar los métodos explicadores. Esta</w:t>
      </w:r>
      <w:r>
        <w:t xml:space="preserve"> </w:t>
      </w:r>
      <w:r>
        <w:t xml:space="preserve">distinción se declara aquí de forma explícita, y no</w:t>
      </w:r>
      <w:r>
        <w:t xml:space="preserve"> </w:t>
      </w:r>
      <w:r>
        <w:rPr>
          <w:i/>
          <w:iCs/>
        </w:rPr>
        <w:t xml:space="preserve">a posteriori</w:t>
      </w:r>
      <w:r>
        <w:t xml:space="preserve">, porque el</w:t>
      </w:r>
      <w:r>
        <w:t xml:space="preserve"> </w:t>
      </w:r>
      <w:r>
        <w:t xml:space="preserve">propio protocolo que esta tesis propone exige que el alcance inferencial</w:t>
      </w:r>
      <w:r>
        <w:t xml:space="preserve"> </w:t>
      </w:r>
      <w:r>
        <w:t xml:space="preserve">admisible de cada afirmación sea declarado junto con la afirmación misma:</w:t>
      </w:r>
      <w:r>
        <w:t xml:space="preserve"> </w:t>
      </w:r>
      <w:r>
        <w:t xml:space="preserve">presentar P2 como si hubiera sido preespecificada junto a H1–H3 sería</w:t>
      </w:r>
      <w:r>
        <w:t xml:space="preserve"> </w:t>
      </w:r>
      <w:r>
        <w:t xml:space="preserve">precisamente el modo de fallo que la puerta 7 está diseñada para impedir. En</w:t>
      </w:r>
      <w:r>
        <w:t xml:space="preserve"> </w:t>
      </w:r>
      <w:r>
        <w:t xml:space="preserve">consecuencia, el resultado de P2 —cualquiera que sea— no modifica las</w:t>
      </w:r>
      <w:r>
        <w:t xml:space="preserve"> </w:t>
      </w:r>
      <w:r>
        <w:t xml:space="preserve">conclusiones confirmativas del Estudio Omnibus Multimétrico ni del Estudio</w:t>
      </w:r>
      <w:r>
        <w:t xml:space="preserve"> </w:t>
      </w:r>
      <w:r>
        <w:t xml:space="preserve">Pareado LIME–SHAP, y se reporta como evidencia de calibración del instrumento</w:t>
      </w:r>
      <w:r>
        <w:t xml:space="preserve"> </w:t>
      </w:r>
      <w:r>
        <w:t xml:space="preserve">semántico (Capítulos 3, 5, 6 y 7).</w:t>
      </w:r>
    </w:p>
    <w:bookmarkEnd w:id="36"/>
    <w:bookmarkEnd w:id="37"/>
    <w:bookmarkStart w:id="45" w:name="metodología-general-de-la-investigación"/>
    <w:p>
      <w:pPr>
        <w:pStyle w:val="Ttulo2"/>
        <w:spacing w:line="360" w:lineRule="auto"/>
        <w:jc w:val="both"/>
      </w:pPr>
      <w:r>
        <w:t xml:space="preserve">1.4 </w:t>
      </w:r>
      <w:r>
        <w:t xml:space="preserve">Metodología general de la investigación</w:t>
      </w:r>
    </w:p>
    <w:bookmarkStart w:id="38" w:name="enfoque"/>
    <w:p>
      <w:pPr>
        <w:pStyle w:val="Ttulo3"/>
        <w:spacing w:line="360" w:lineRule="auto"/>
        <w:jc w:val="both"/>
      </w:pPr>
      <w:r>
        <w:t xml:space="preserve">1.4.1 </w:t>
      </w: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del Estudio Omnibus Multimétrico y del</w:t>
      </w:r>
      <w:r>
        <w:t xml:space="preserve"> </w:t>
      </w:r>
      <w:r>
        <w:t xml:space="preserve">Estudio Pareado LIME–SHAP descansa en el análisis estadístico de métricas</w:t>
      </w:r>
      <w:r>
        <w:t xml:space="preserve"> </w:t>
      </w:r>
      <w:r>
        <w:t xml:space="preserve">computadas sobre experimentos controlados y reproducibles, siguiendo una</w:t>
      </w:r>
      <w:r>
        <w:t xml:space="preserve"> </w:t>
      </w:r>
      <w:r>
        <w:t xml:space="preserve">lógica hipotético-deductiva. El Estudio Taxonómico —que actúa como puente</w:t>
      </w:r>
      <w:r>
        <w:t xml:space="preserve"> </w:t>
      </w:r>
      <w:r>
        <w:t xml:space="preserve">conceptual integrador— adopta una metodología de revisión estructurada con</w:t>
      </w:r>
      <w:r>
        <w:t xml:space="preserve"> </w:t>
      </w:r>
      <w:r>
        <w:t xml:space="preserve">codificación explícita de dimensiones, siguiendo protocolos de síntesis</w:t>
      </w:r>
      <w:r>
        <w:t xml:space="preserve"> </w:t>
      </w:r>
      <w:r>
        <w:t xml:space="preserve">narrativa rigurosa</w:t>
      </w:r>
      <w:r>
        <w:t xml:space="preserve"> </w:t>
      </w:r>
      <w:r>
        <w:t xml:space="preserve">(Linardatos 2020; Gilpin 2018; Schwalbe 2023; Abdul Kadir et al. 2023)</w:t>
      </w:r>
      <w:r>
        <w:t xml:space="preserve">.</w:t>
      </w:r>
    </w:p>
    <w:bookmarkEnd w:id="38"/>
    <w:bookmarkStart w:id="39" w:name="tipo-de-investigación"/>
    <w:p>
      <w:pPr>
        <w:pStyle w:val="Ttulo3"/>
        <w:spacing w:line="360" w:lineRule="auto"/>
        <w:jc w:val="both"/>
      </w:pPr>
      <w:r>
        <w:t xml:space="preserve">1.4.2 </w:t>
      </w:r>
      <w:r>
        <w:t xml:space="preserve">Tipo de investigación</w:t>
      </w:r>
    </w:p>
    <w:p>
      <w:pPr>
        <w:pStyle w:val="FirstParagraph"/>
        <w:spacing w:line="360" w:lineRule="auto"/>
        <w:jc w:val="both"/>
      </w:pPr>
      <w:r>
        <w:t xml:space="preserve">El Estudio Omnibus Multimétrico y el Estudio Pareado LIME–SHAP corresponden a</w:t>
      </w:r>
      <w:r>
        <w:t xml:space="preserve"> </w:t>
      </w:r>
      <w:r>
        <w:t xml:space="preserve">investigación comparativa-experimental no intervencional: los métodos XAI son</w:t>
      </w:r>
      <w:r>
        <w:t xml:space="preserve"> </w:t>
      </w:r>
      <w:r>
        <w:t xml:space="preserve">los factores de tratamiento, los modelos predictivos son el contexto</w:t>
      </w:r>
      <w:r>
        <w:t xml:space="preserve"> </w:t>
      </w:r>
      <w:r>
        <w:t xml:space="preserve">experimental y las métricas de calidad son las variables de resultado. El</w:t>
      </w:r>
      <w:r>
        <w:t xml:space="preserve"> </w:t>
      </w:r>
      <w:r>
        <w:t xml:space="preserve">Estudio Taxonómico corresponde a una revisión sistemática estructurada con</w:t>
      </w:r>
      <w:r>
        <w:t xml:space="preserve"> </w:t>
      </w:r>
      <w:r>
        <w:t xml:space="preserve">propósito taxonómico y de síntesis de brechas de constructo en el campo de la</w:t>
      </w:r>
      <w:r>
        <w:t xml:space="preserve"> </w:t>
      </w:r>
      <w:r>
        <w:t xml:space="preserve">evaluación XAI.</w:t>
      </w:r>
    </w:p>
    <w:bookmarkEnd w:id="39"/>
    <w:bookmarkStart w:id="40" w:name="universo-y-contexto-experimental"/>
    <w:p>
      <w:pPr>
        <w:pStyle w:val="Ttulo3"/>
        <w:spacing w:line="360" w:lineRule="auto"/>
        <w:jc w:val="both"/>
      </w:pPr>
      <w:r>
        <w:t xml:space="preserve">1.4.3 </w:t>
      </w: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y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40"/>
    <w:bookmarkStart w:id="41" w:name="Xdcd1be9d99c262f87a75615ad9164d40f630ac9"/>
    <w:p>
      <w:pPr>
        <w:pStyle w:val="Ttulo3"/>
        <w:spacing w:line="360" w:lineRule="auto"/>
        <w:jc w:val="both"/>
      </w:pPr>
      <w:r>
        <w:t xml:space="preserve">1.4.4 </w:t>
      </w: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w:t>
      </w:r>
      <w:r>
        <w:t xml:space="preserve"> </w:t>
      </w:r>
      <w:r>
        <w:t xml:space="preserve">(Friedman 2001)</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Omnibus Multimétrico)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Estudio Pareado LIME–SHAP opera</w:t>
      </w:r>
      <w:r>
        <w:t xml:space="preserve"> </w:t>
      </w:r>
      <w:r>
        <w:t xml:space="preserve">sobre 75 celdas coincidentes.</w:t>
      </w:r>
    </w:p>
    <w:bookmarkEnd w:id="41"/>
    <w:bookmarkStart w:id="42" w:name="criterios-de-inclusión-y-exclusión"/>
    <w:p>
      <w:pPr>
        <w:pStyle w:val="Ttulo3"/>
        <w:spacing w:line="360" w:lineRule="auto"/>
        <w:jc w:val="both"/>
      </w:pPr>
      <w:r>
        <w:t xml:space="preserve">1.4.5 </w:t>
      </w: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Estudio Pareado LIME–SHAP.</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42"/>
    <w:bookmarkStart w:id="43" w:name="variables-dimensiones-y-métricas"/>
    <w:p>
      <w:pPr>
        <w:pStyle w:val="Ttulo3"/>
        <w:spacing w:line="360" w:lineRule="auto"/>
        <w:jc w:val="both"/>
      </w:pPr>
      <w:r>
        <w:t xml:space="preserve">1.4.6 </w:t>
      </w: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y Verbert 2024; Canha et al. 2025; Zheng et al. 2025)</w:t>
      </w:r>
      <w:r>
        <w:t xml:space="preserve">.</w:t>
      </w:r>
    </w:p>
    <w:bookmarkEnd w:id="43"/>
    <w:bookmarkStart w:id="44" w:name="estrategia-procedimental"/>
    <w:p>
      <w:pPr>
        <w:pStyle w:val="Ttulo3"/>
        <w:spacing w:line="360" w:lineRule="auto"/>
        <w:jc w:val="both"/>
      </w:pPr>
      <w:r>
        <w:t xml:space="preserve">1.4.7 </w:t>
      </w: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4"/>
    <w:bookmarkEnd w:id="45"/>
    <w:bookmarkEnd w:id="46"/>
    <w:bookmarkStart w:id="62" w:name="X5df853d312351836bad75f10c25fdcfe7ebc358"/>
    <w:p>
      <w:pPr>
        <w:pStyle w:val="Ttulo1"/>
        <w:spacing w:line="360" w:lineRule="auto"/>
        <w:jc w:val="both"/>
      </w:pPr>
      <w:r>
        <w:t xml:space="preserve">Capítulo 2. </w:t>
      </w:r>
      <w:r>
        <w:t xml:space="preserve">Marco teórico específico / fundamentos conceptuales</w:t>
      </w:r>
    </w:p>
    <w:bookmarkStart w:id="47" w:name="propósito-del-capítulo"/>
    <w:p>
      <w:pPr>
        <w:pStyle w:val="Ttulo2"/>
        <w:spacing w:line="360" w:lineRule="auto"/>
        <w:jc w:val="both"/>
      </w:pPr>
      <w:r>
        <w:t xml:space="preserve">2.1 </w:t>
      </w: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7"/>
    <w:bookmarkStart w:id="48" w:name="Xe6760546a452d6306b93a783545f3c51ee07c22"/>
    <w:p>
      <w:pPr>
        <w:pStyle w:val="Ttulo2"/>
        <w:spacing w:line="360" w:lineRule="auto"/>
        <w:jc w:val="both"/>
      </w:pPr>
      <w:r>
        <w:t xml:space="preserve">2.2 </w:t>
      </w: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alternativa a explicar</w:t>
      </w:r>
      <w:r>
        <w:t xml:space="preserve"> </w:t>
      </w:r>
      <w:r>
        <w:rPr>
          <w:i/>
          <w:iCs/>
        </w:rPr>
        <w:t xml:space="preserve">a posteriori</w:t>
      </w:r>
      <w:r>
        <w:t xml:space="preserve"> </w:t>
      </w:r>
      <w:r>
        <w:t xml:space="preserve">es diseñar modelos intrínsecamente</w:t>
      </w:r>
      <w:r>
        <w:t xml:space="preserve"> </w:t>
      </w:r>
      <w:r>
        <w:t xml:space="preserve">interpretables. Esta posición ha sido defendida con fuerza para decisiones de</w:t>
      </w:r>
      <w:r>
        <w:t xml:space="preserve"> </w:t>
      </w:r>
      <w:r>
        <w:t xml:space="preserve">alto riesgo, argumentando que la explicación post-hoc de una caja negra no</w:t>
      </w:r>
      <w:r>
        <w:t xml:space="preserve"> </w:t>
      </w:r>
      <w:r>
        <w:t xml:space="preserve">sustituye a un modelo comprensible por construcción</w:t>
      </w:r>
      <w:r>
        <w:t xml:space="preserve"> </w:t>
      </w:r>
      <w:r>
        <w:t xml:space="preserve">(Rudin 2019)</w:t>
      </w:r>
      <w:r>
        <w:t xml:space="preserve">, y se ha</w:t>
      </w:r>
      <w:r>
        <w:t xml:space="preserve"> </w:t>
      </w:r>
      <w:r>
        <w:t xml:space="preserve">materializado en arquitecturas que incorporan la interpretabilidad como</w:t>
      </w:r>
      <w:r>
        <w:t xml:space="preserve"> </w:t>
      </w:r>
      <w:r>
        <w:t xml:space="preserve">restricción de diseño: modelos con cuello de botella conceptual</w:t>
      </w:r>
      <w:r>
        <w:t xml:space="preserve"> </w:t>
      </w:r>
      <w:r>
        <w:t xml:space="preserve">(Koh et al. 2020)</w:t>
      </w:r>
      <w:r>
        <w:t xml:space="preserve">,</w:t>
      </w:r>
      <w:r>
        <w:t xml:space="preserve"> </w:t>
      </w:r>
      <w:r>
        <w:t xml:space="preserve">redes con características monótonas</w:t>
      </w:r>
      <w:r>
        <w:t xml:space="preserve"> </w:t>
      </w:r>
      <w:r>
        <w:t xml:space="preserve">(Nguyen y Martinez 2019)</w:t>
      </w:r>
      <w:r>
        <w:t xml:space="preserve">, arquitecturas prototípicas</w:t>
      </w:r>
      <w:r>
        <w:t xml:space="preserve"> </w:t>
      </w:r>
      <w:r>
        <w:t xml:space="preserve">(Hess y Ditzler 2023)</w:t>
      </w:r>
      <w:r>
        <w:t xml:space="preserve"> </w:t>
      </w:r>
      <w:r>
        <w:t xml:space="preserve">o representaciones funcionales explícitas</w:t>
      </w:r>
      <w:r>
        <w:t xml:space="preserve"> </w:t>
      </w:r>
      <w:r>
        <w:t xml:space="preserve">(Liu et al. 2024)</w:t>
      </w:r>
      <w:r>
        <w:t xml:space="preserve">. En paralelo,</w:t>
      </w:r>
      <w:r>
        <w:t xml:space="preserve"> </w:t>
      </w:r>
      <w:r>
        <w:t xml:space="preserve">una línea formal explora la explicabilidad basada en lógica, con garantías de</w:t>
      </w:r>
      <w:r>
        <w:t xml:space="preserve"> </w:t>
      </w:r>
      <w:r>
        <w:t xml:space="preserve">corrección de las que carecen los métodos aproximados</w:t>
      </w:r>
      <w:r>
        <w:t xml:space="preserve"> </w:t>
      </w:r>
      <w:r>
        <w:t xml:space="preserve">(Marques-Silva 2024)</w:t>
      </w:r>
      <w:r>
        <w:t xml:space="preserve">. Esta</w:t>
      </w:r>
      <w:r>
        <w:t xml:space="preserve"> </w:t>
      </w:r>
      <w:r>
        <w:t xml:space="preserve">tesis no adopta esa vía —su objeto son explicadores agnósticos aplicados a</w:t>
      </w:r>
      <w:r>
        <w:t xml:space="preserve"> </w:t>
      </w:r>
      <w:r>
        <w:t xml:space="preserve">modelos ya entrenados— pero la frontera importa para interpretar sus resultados:</w:t>
      </w:r>
      <w:r>
        <w:t xml:space="preserve"> </w:t>
      </w:r>
      <w:r>
        <w:t xml:space="preserve">la crítica de fondo, que las explicaciones aproximadas pueden ser plausibles sin</w:t>
      </w:r>
      <w:r>
        <w:t xml:space="preserve"> </w:t>
      </w:r>
      <w:r>
        <w:t xml:space="preserve">ser fieles, es exactamente la que motiva medir fidelidad en lugar de suponerla.</w:t>
      </w:r>
      <w:r>
        <w:t xml:space="preserve"> </w:t>
      </w:r>
      <w:r>
        <w:t xml:space="preserve">Advertencias equivalentes se han formulado sobre el uso de mecanismos internos</w:t>
      </w:r>
      <w:r>
        <w:t xml:space="preserve"> </w:t>
      </w:r>
      <w:r>
        <w:t xml:space="preserve">del modelo, como la atención, en calidad de explicación</w:t>
      </w:r>
      <w:r>
        <w:t xml:space="preserve"> </w:t>
      </w:r>
      <w:r>
        <w:t xml:space="preserve">(Bastings y Filippova 2020)</w:t>
      </w:r>
      <w:r>
        <w:t xml:space="preserve">.</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—como las curvas de expectativa</w:t>
      </w:r>
      <w:r>
        <w:t xml:space="preserve"> </w:t>
      </w:r>
      <w:r>
        <w:t xml:space="preserve">condicional individual</w:t>
      </w:r>
      <w:r>
        <w:t xml:space="preserve"> </w:t>
      </w:r>
      <w:r>
        <w:t xml:space="preserve">(Goldstein 2014)</w:t>
      </w:r>
      <w:r>
        <w:t xml:space="preserve"> </w:t>
      </w:r>
      <w:r>
        <w:t xml:space="preserve">o los gráficos de efectos locales</w:t>
      </w:r>
      <w:r>
        <w:t xml:space="preserve"> </w:t>
      </w:r>
      <w:r>
        <w:t xml:space="preserve">acumulados</w:t>
      </w:r>
      <w:r>
        <w:t xml:space="preserve"> </w:t>
      </w:r>
      <w:r>
        <w:t xml:space="preserve">(Apley 2020)</w:t>
      </w:r>
      <w:r>
        <w:t xml:space="preserve">, que describen el efecto marginal de una característica</w:t>
      </w:r>
      <w:r>
        <w:t xml:space="preserve"> </w:t>
      </w:r>
      <w:r>
        <w:t xml:space="preserve">sobre el conjunto de datos en lugar de atribuir importancia a una predicción</w:t>
      </w:r>
      <w:r>
        <w:t xml:space="preserve"> </w:t>
      </w:r>
      <w:r>
        <w:t xml:space="preserve">concreta—.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 Hedström et al. 2023)</w:t>
      </w:r>
      <w:r>
        <w:t xml:space="preserve">. Esta tesis acota su evaluación a explicaciones</w:t>
      </w:r>
      <w:r>
        <w:t xml:space="preserve"> </w:t>
      </w:r>
      <w:r>
        <w:t xml:space="preserve">locales por instancia, de modo que las familias de visualización global antes</w:t>
      </w:r>
      <w:r>
        <w:t xml:space="preserve"> </w:t>
      </w:r>
      <w:r>
        <w:t xml:space="preserve">citadas quedan fuera de su alcance experimental.</w:t>
      </w:r>
    </w:p>
    <w:p>
      <w:pPr>
        <w:pStyle w:val="Textoindependiente"/>
        <w:spacing w:line="360" w:lineRule="auto"/>
        <w:jc w:val="both"/>
      </w:pPr>
      <w:r>
        <w:t xml:space="preserve">La literatura también distingue métodos agnósticos y específicos del modelo</w:t>
      </w:r>
      <w:r>
        <w:t xml:space="preserve"> </w:t>
      </w:r>
      <w:r>
        <w:t xml:space="preserve">(Arrieta 2019;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8"/>
    <w:bookmarkStart w:id="49" w:name="distinciones-conceptuales-fundamentales"/>
    <w:p>
      <w:pPr>
        <w:pStyle w:val="Ttulo2"/>
        <w:spacing w:line="360" w:lineRule="auto"/>
        <w:jc w:val="both"/>
      </w:pPr>
      <w:r>
        <w:t xml:space="preserve">2.3 </w:t>
      </w: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9"/>
    <w:bookmarkStart w:id="54" w:name="Xa854bcdfe02171eee67e88340a3233edf48569f"/>
    <w:p>
      <w:pPr>
        <w:pStyle w:val="Ttulo2"/>
        <w:spacing w:line="360" w:lineRule="auto"/>
        <w:jc w:val="both"/>
      </w:pPr>
      <w:r>
        <w:t xml:space="preserve">2.4 </w:t>
      </w:r>
      <w:r>
        <w:t xml:space="preserve">Métodos de explicación evaluados en esta tesis</w:t>
      </w:r>
    </w:p>
    <w:bookmarkStart w:id="50" w:name="Xbbcfa782e2d35f160f8750f56befcd9ee8cf14e"/>
    <w:p>
      <w:pPr>
        <w:pStyle w:val="Ttulo3"/>
        <w:spacing w:line="360" w:lineRule="auto"/>
        <w:jc w:val="both"/>
      </w:pPr>
      <w:r>
        <w:t xml:space="preserve">2.4.1 </w:t>
      </w: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50"/>
    <w:bookmarkStart w:id="51" w:name="X187de0a2f0f332efaa60a19888eaffd7cc2e7b5"/>
    <w:p>
      <w:pPr>
        <w:pStyle w:val="Ttulo3"/>
        <w:spacing w:line="360" w:lineRule="auto"/>
        <w:jc w:val="both"/>
      </w:pPr>
      <w:r>
        <w:t xml:space="preserve">2.4.2 </w:t>
      </w: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(Shapley 1952)</w:t>
      </w:r>
      <w:r>
        <w:t xml:space="preserve">, formulado</w:t>
      </w:r>
      <w:r>
        <w:t xml:space="preserve"> </w:t>
      </w:r>
      <w:r>
        <w:t xml:space="preserve">originalmente para repartir de forma única la ganancia de un juego cooperativo</w:t>
      </w:r>
      <w:r>
        <w:t xml:space="preserve"> </w:t>
      </w:r>
      <w:r>
        <w:t xml:space="preserve">entre sus participantes y trasladado por</w:t>
      </w:r>
      <w:r>
        <w:t xml:space="preserve"> </w:t>
      </w:r>
      <w:r>
        <w:t xml:space="preserve">Lundberg (2017)</w:t>
      </w:r>
      <w:r>
        <w:t xml:space="preserve"> </w:t>
      </w:r>
      <w:r>
        <w:t xml:space="preserve">al problema de atribuir</w:t>
      </w:r>
      <w:r>
        <w:t xml:space="preserve"> </w:t>
      </w:r>
      <w:r>
        <w:t xml:space="preserve">importancia entre características. La predicción se</w:t>
      </w:r>
      <w:r>
        <w:t xml:space="preserve"> </w:t>
      </w:r>
      <w:r>
        <w:t xml:space="preserve">expresa como una suma de contribuciones atribuibles a cada característica, bajo</w:t>
      </w:r>
      <w:r>
        <w:t xml:space="preserve"> </w:t>
      </w:r>
      <w:r>
        <w:t xml:space="preserve">un conjunto de propiedades deseables para explicaciones aditivas.</w:t>
      </w:r>
    </w:p>
    <w:p>
      <w:pPr>
        <w:pStyle w:val="Textoindependiente"/>
        <w:spacing w:line="360" w:lineRule="auto"/>
        <w:jc w:val="both"/>
      </w:pPr>
      <w:r>
        <w:t xml:space="preserve">El coste de calcular exactamente el valor de Shapley crece de forma exponencial</w:t>
      </w:r>
      <w:r>
        <w:t xml:space="preserve"> </w:t>
      </w:r>
      <w:r>
        <w:t xml:space="preserve">con el número de características, de modo que su uso práctico descansa en</w:t>
      </w:r>
      <w:r>
        <w:t xml:space="preserve"> </w:t>
      </w:r>
      <w:r>
        <w:t xml:space="preserve">estimadores muestrales cuyas garantías han sido estudiadas de forma específica</w:t>
      </w:r>
      <w:r>
        <w:t xml:space="preserve"> </w:t>
      </w:r>
      <w:r>
        <w:t xml:space="preserve">(Mitchell et al. 2022)</w:t>
      </w:r>
      <w:r>
        <w:t xml:space="preserve">, y su complejidad computacional se ha caracterizado también para</w:t>
      </w:r>
      <w:r>
        <w:t xml:space="preserve"> </w:t>
      </w:r>
      <w:r>
        <w:t xml:space="preserve">familias de funciones concretas</w:t>
      </w:r>
      <w:r>
        <w:t xml:space="preserve"> </w:t>
      </w:r>
      <w:r>
        <w:t xml:space="preserve">(Karmakar et al. 2024)</w:t>
      </w:r>
      <w:r>
        <w:t xml:space="preserve">. La formulación aditiva original</w:t>
      </w:r>
      <w:r>
        <w:t xml:space="preserve"> </w:t>
      </w:r>
      <w:r>
        <w:t xml:space="preserve">tiene además límites conocidos que han motivado extensiones: no captura</w:t>
      </w:r>
      <w:r>
        <w:t xml:space="preserve"> </w:t>
      </w:r>
      <w:r>
        <w:t xml:space="preserve">interacciones entre características, lo que ha dado lugar a índices de</w:t>
      </w:r>
      <w:r>
        <w:t xml:space="preserve"> </w:t>
      </w:r>
      <w:r>
        <w:t xml:space="preserve">interacción con garantías de fidelidad</w:t>
      </w:r>
      <w:r>
        <w:t xml:space="preserve"> </w:t>
      </w:r>
      <w:r>
        <w:t xml:space="preserve">(Tsai et al. 2023)</w:t>
      </w:r>
      <w:r>
        <w:t xml:space="preserve">; asume independencia entre</w:t>
      </w:r>
      <w:r>
        <w:t xml:space="preserve"> </w:t>
      </w:r>
      <w:r>
        <w:t xml:space="preserve">características, supuesto que se viola en datos tabulares reales y que ha</w:t>
      </w:r>
      <w:r>
        <w:t xml:space="preserve"> </w:t>
      </w:r>
      <w:r>
        <w:t xml:space="preserve">motivado estimadores sensibles a la dependencia</w:t>
      </w:r>
      <w:r>
        <w:t xml:space="preserve"> </w:t>
      </w:r>
      <w:r>
        <w:t xml:space="preserve">(Olsen et al. 2022)</w:t>
      </w:r>
      <w:r>
        <w:t xml:space="preserve">; y se ha extendido</w:t>
      </w:r>
      <w:r>
        <w:t xml:space="preserve"> </w:t>
      </w:r>
      <w:r>
        <w:t xml:space="preserve">recientemente a escenarios multimodales</w:t>
      </w:r>
      <w:r>
        <w:t xml:space="preserve"> </w:t>
      </w:r>
      <w:r>
        <w:t xml:space="preserve">(Wang y Wang 2025)</w:t>
      </w:r>
      <w:r>
        <w:t xml:space="preserve">. Esta familia de trabajos es</w:t>
      </w:r>
      <w:r>
        <w:t xml:space="preserve"> </w:t>
      </w:r>
      <w:r>
        <w:t xml:space="preserve">relevante para el Capítulo 3 porque delimita qué significa exactamente «SHAP» en</w:t>
      </w:r>
      <w:r>
        <w:t xml:space="preserve"> </w:t>
      </w:r>
      <w:r>
        <w:t xml:space="preserve">un experimento: la etiqueta cubre estimadores distintos con supuestos distintos.</w:t>
      </w:r>
      <w:r>
        <w:t xml:space="preserve"> </w:t>
      </w:r>
      <w:r>
        <w:t xml:space="preserve">Una preocupación análoga por la dependencia entre características subyace a las</w:t>
      </w:r>
      <w:r>
        <w:t xml:space="preserve"> </w:t>
      </w:r>
      <w:r>
        <w:t xml:space="preserve">medidas de importancia por permutación, cuya interpretación exige razonar sobre</w:t>
      </w:r>
      <w:r>
        <w:t xml:space="preserve"> </w:t>
      </w:r>
      <w:r>
        <w:t xml:space="preserve">clases enteras de modelos y no sobre un único ajuste</w:t>
      </w:r>
      <w:r>
        <w:t xml:space="preserve"> </w:t>
      </w:r>
      <w:r>
        <w:t xml:space="preserve">(Fisher et al. 2019)</w:t>
      </w:r>
      <w:r>
        <w:t xml:space="preserve">.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51"/>
    <w:bookmarkStart w:id="52" w:name="X029215b3a63b0848a75a7aa70454b1144c0f31f"/>
    <w:p>
      <w:pPr>
        <w:pStyle w:val="Ttulo3"/>
        <w:spacing w:line="360" w:lineRule="auto"/>
        <w:jc w:val="both"/>
      </w:pPr>
      <w:r>
        <w:t xml:space="preserve">2.4.3 </w:t>
      </w: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continuando una tradición que había explorado ya las reglas como</w:t>
      </w:r>
      <w:r>
        <w:t xml:space="preserve"> </w:t>
      </w:r>
      <w:r>
        <w:t xml:space="preserve">formato explicativo mediante ensembles de reglas ajustados sobre el modelo</w:t>
      </w:r>
      <w:r>
        <w:t xml:space="preserve"> </w:t>
      </w:r>
      <w:r>
        <w:t xml:space="preserve">predictivo</w:t>
      </w:r>
      <w:r>
        <w:t xml:space="preserve"> </w:t>
      </w:r>
      <w:r>
        <w:t xml:space="preserve">(Friedman 2008)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52"/>
    <w:bookmarkStart w:id="53" w:name="Xd196f32f12fd1cc1850af93995e5a1615dfcb83"/>
    <w:p>
      <w:pPr>
        <w:pStyle w:val="Ttulo3"/>
        <w:spacing w:line="360" w:lineRule="auto"/>
        <w:jc w:val="both"/>
      </w:pPr>
      <w:r>
        <w:t xml:space="preserve">2.4.4 </w:t>
      </w: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3"/>
    <w:bookmarkEnd w:id="54"/>
    <w:bookmarkStart w:id="58" w:name="marcos-y-protocolos-de-evaluación-xai"/>
    <w:p>
      <w:pPr>
        <w:pStyle w:val="Ttulo2"/>
        <w:spacing w:line="360" w:lineRule="auto"/>
        <w:jc w:val="both"/>
      </w:pPr>
      <w:r>
        <w:t xml:space="preserve">2.5 </w:t>
      </w:r>
      <w:r>
        <w:t xml:space="preserve">Marcos y protocolos de evaluación XAI</w:t>
      </w:r>
    </w:p>
    <w:p>
      <w:pPr>
        <w:pStyle w:val="FirstParagraph"/>
        <w:spacing w:line="360" w:lineRule="auto"/>
        <w:jc w:val="both"/>
      </w:pPr>
      <w:r>
        <w:t xml:space="preserve">La última década ha producido, junto a los toolkits ya citados, un conjunto</w:t>
      </w:r>
      <w:r>
        <w:t xml:space="preserve"> </w:t>
      </w:r>
      <w:r>
        <w:t xml:space="preserve">creciente de marcos y bancos de prueba orientados específicamente a</w:t>
      </w:r>
      <w:r>
        <w:t xml:space="preserve"> </w:t>
      </w:r>
      <w:r>
        <w:rPr>
          <w:i/>
          <w:iCs/>
        </w:rPr>
        <w:t xml:space="preserve">evaluar</w:t>
      </w:r>
      <w:r>
        <w:t xml:space="preserve"> </w:t>
      </w:r>
      <w:r>
        <w:t xml:space="preserve">explicaciones en lugar de generarlas. Los trabajos recientes incluyen bancos de</w:t>
      </w:r>
      <w:r>
        <w:t xml:space="preserve"> </w:t>
      </w:r>
      <w:r>
        <w:t xml:space="preserve">prueba multi-métrica de propósito general</w:t>
      </w:r>
      <w:r>
        <w:t xml:space="preserve"> </w:t>
      </w:r>
      <w:r>
        <w:t xml:space="preserve">(Sithakoul et al. 2024)</w:t>
      </w:r>
      <w:r>
        <w:t xml:space="preserve">, revisiones y</w:t>
      </w:r>
      <w:r>
        <w:t xml:space="preserve"> </w:t>
      </w:r>
      <w:r>
        <w:t xml:space="preserve">taxonomías de métricas de evaluación</w:t>
      </w:r>
      <w:r>
        <w:t xml:space="preserve"> </w:t>
      </w:r>
      <w:r>
        <w:t xml:space="preserve">(Kadir et al. 2023)</w:t>
      </w:r>
      <w:r>
        <w:t xml:space="preserve">, protocolos para dominios</w:t>
      </w:r>
      <w:r>
        <w:t xml:space="preserve"> </w:t>
      </w:r>
      <w:r>
        <w:t xml:space="preserve">concretos como las redes neuronales sobre grafos</w:t>
      </w:r>
      <w:r>
        <w:t xml:space="preserve"> </w:t>
      </w:r>
      <w:r>
        <w:t xml:space="preserve">(Agarwal et al. 2023; Proszewska et al. 2025)</w:t>
      </w:r>
      <w:r>
        <w:t xml:space="preserve"> </w:t>
      </w:r>
      <w:r>
        <w:t xml:space="preserve">o la detección de contenido sintético</w:t>
      </w:r>
      <w:r>
        <w:t xml:space="preserve"> </w:t>
      </w:r>
      <w:r>
        <w:t xml:space="preserve">(Tsigos et al. 2024)</w:t>
      </w:r>
      <w:r>
        <w:t xml:space="preserve">, evaluaciones centradas en la</w:t>
      </w:r>
      <w:r>
        <w:t xml:space="preserve"> </w:t>
      </w:r>
      <w:r>
        <w:t xml:space="preserve">representación visual de las atribuciones</w:t>
      </w:r>
      <w:r>
        <w:t xml:space="preserve"> </w:t>
      </w:r>
      <w:r>
        <w:t xml:space="preserve">(Cunha y Barbosa 2024)</w:t>
      </w:r>
      <w:r>
        <w:t xml:space="preserve">, estudios que miden la</w:t>
      </w:r>
      <w:r>
        <w:t xml:space="preserve"> </w:t>
      </w:r>
      <w:r>
        <w:t xml:space="preserve">interpretabilidad percibida del propio artefacto explicativo</w:t>
      </w:r>
      <w:r>
        <w:t xml:space="preserve"> </w:t>
      </w:r>
      <w:r>
        <w:t xml:space="preserve">(Morrison et al. 2023)</w:t>
      </w:r>
      <w:r>
        <w:t xml:space="preserve">, y</w:t>
      </w:r>
      <w:r>
        <w:t xml:space="preserve"> </w:t>
      </w:r>
      <w:r>
        <w:t xml:space="preserve">pruebas de robustez de las explicaciones frente a ejemplos adversarios</w:t>
      </w:r>
      <w:r>
        <w:t xml:space="preserve"> </w:t>
      </w:r>
      <w:r>
        <w:t xml:space="preserve">(Kumagai et al. 2023)</w:t>
      </w:r>
      <w:r>
        <w:t xml:space="preserve">. A ellos se suman las bibliotecas que instrumentan la generación y</w:t>
      </w:r>
      <w:r>
        <w:t xml:space="preserve"> </w:t>
      </w:r>
      <w:r>
        <w:t xml:space="preserve">el análisis de explicaciones de forma reproducible</w:t>
      </w:r>
      <w:r>
        <w:t xml:space="preserve"> </w:t>
      </w:r>
      <w:r>
        <w:t xml:space="preserve">(Li et al. 2022)</w:t>
      </w:r>
      <w:r>
        <w:t xml:space="preserve">, los tutoriales</w:t>
      </w:r>
      <w:r>
        <w:t xml:space="preserve"> </w:t>
      </w:r>
      <w:r>
        <w:t xml:space="preserve">metodológicos que consolidan buenas prácticas de aplicación</w:t>
      </w:r>
      <w:r>
        <w:t xml:space="preserve"> </w:t>
      </w:r>
      <w:r>
        <w:t xml:space="preserve">(Bennetot et al. 2024)</w:t>
      </w:r>
      <w:r>
        <w:t xml:space="preserve"> </w:t>
      </w:r>
      <w:r>
        <w:t xml:space="preserve">y las</w:t>
      </w:r>
      <w:r>
        <w:t xml:space="preserve"> </w:t>
      </w:r>
      <w:r>
        <w:t xml:space="preserve">propuestas que desplazan la evaluación desde la atribución por característica</w:t>
      </w:r>
      <w:r>
        <w:t xml:space="preserve"> </w:t>
      </w:r>
      <w:r>
        <w:t xml:space="preserve">hacia conceptos de alto nivel definidos por el usuario</w:t>
      </w:r>
      <w:r>
        <w:t xml:space="preserve"> </w:t>
      </w:r>
      <w:r>
        <w:t xml:space="preserve">(Kim et al. 2018)</w:t>
      </w:r>
      <w:r>
        <w:t xml:space="preserve">. El panorama</w:t>
      </w:r>
      <w:r>
        <w:t xml:space="preserve"> </w:t>
      </w:r>
      <w:r>
        <w:t xml:space="preserve">resultante confirma la premisa de esta tesis: existe abundancia de instrumentos</w:t>
      </w:r>
      <w:r>
        <w:t xml:space="preserve"> </w:t>
      </w:r>
      <w:r>
        <w:t xml:space="preserve">de medida y escasez de protocolos que gobiernen su uso.</w:t>
      </w:r>
    </w:p>
    <w:p>
      <w:pPr>
        <w:pStyle w:val="Textoindependiente"/>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y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2.1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jc w:val="center"/>
        <w:tblLayout w:type="fixed"/>
        <w:tblLook w:firstRow="0" w:lastRow="0" w:firstColumn="0" w:lastColumn="0" w:noHBand="0" w:noVBand="0" w:val="0000"/>
      </w:tblPr>
      <w:tblGrid>
        <w:gridCol w:w="7920"/>
      </w:tblGrid>
      <w:tr>
        <w:tc>
          <w:tcPr/>
          <w:bookmarkStart w:id="55" w:name="tbl-framework-comparison"/>
          <w:p>
            <w:pPr>
              <w:pStyle w:val="ImageCaption"/>
              <w:spacing w:before="200" w:line="360" w:lineRule="auto"/>
              <w:jc w:val="center"/>
            </w:pPr>
            <w:r>
              <w:t xml:space="preserve">Tabla 2.1: Comparación de marcos de evaluación XAI según cobertura, reproducibilidad, gobernanza y tipo de evaluación.</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Marco / protocolo</w:t>
                  </w:r>
                </w:p>
              </w:tc>
              <w:tc>
                <w:tcPr/>
                <w:p>
                  <w:pPr>
                    <w:pStyle w:val="Compact"/>
                    <w:jc w:val="both"/>
                    <w:jc w:val="center"/>
                    <w:spacing w:line="360" w:lineRule="auto"/>
                  </w:pPr>
                  <w:r>
                    <w:rPr>
                      <w:bCs/>
                      <w:b/>
                    </w:rPr>
                    <w:t xml:space="preserve">Cobertura de métricas</w:t>
                  </w:r>
                </w:p>
              </w:tc>
              <w:tc>
                <w:tcPr/>
                <w:p>
                  <w:pPr>
                    <w:pStyle w:val="Compact"/>
                    <w:jc w:val="both"/>
                    <w:jc w:val="center"/>
                    <w:spacing w:line="360" w:lineRule="auto"/>
                  </w:pPr>
                  <w:r>
                    <w:rPr>
                      <w:bCs/>
                      <w:b/>
                    </w:rPr>
                    <w:t xml:space="preserve">Soporte a reproducibilidad</w:t>
                  </w:r>
                </w:p>
              </w:tc>
              <w:tc>
                <w:tcPr/>
                <w:p>
                  <w:pPr>
                    <w:pStyle w:val="Compact"/>
                    <w:jc w:val="both"/>
                    <w:jc w:val="center"/>
                    <w:spacing w:line="360" w:lineRule="auto"/>
                  </w:pPr>
                  <w:r>
                    <w:rPr>
                      <w:bCs/>
                      <w:b/>
                    </w:rPr>
                    <w:t xml:space="preserve">Protocolo de gobernanza</w:t>
                  </w:r>
                </w:p>
              </w:tc>
              <w:tc>
                <w:tcPr/>
                <w:p>
                  <w:pPr>
                    <w:pStyle w:val="Compact"/>
                    <w:jc w:val="both"/>
                    <w:jc w:val="center"/>
                    <w:spacing w:line="360" w:lineRule="auto"/>
                  </w:pPr>
                  <w:r>
                    <w:rPr>
                      <w:bCs/>
                      <w:b/>
                    </w:rP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5"/>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y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y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6" w:name="X900f39c64f84f209bdf33df61ada6c5cfa8ef2d"/>
    <w:p>
      <w:pPr>
        <w:pStyle w:val="Ttulo3"/>
        <w:spacing w:line="360" w:lineRule="auto"/>
        <w:jc w:val="both"/>
      </w:pPr>
      <w:r>
        <w:t xml:space="preserve">2.5.1 </w:t>
      </w:r>
      <w:r>
        <w:t xml:space="preserve">Evaluación human-centered: usuarios, tareas y calidad explicativa</w:t>
      </w:r>
    </w:p>
    <w:p>
      <w:pPr>
        <w:pStyle w:val="FirstParagraph"/>
        <w:spacing w:line="360" w:lineRule="auto"/>
        <w:jc w:val="both"/>
      </w:pPr>
      <w:r>
        <w:t xml:space="preserve">Esta rama ha alcanzado en los últimos años una madurez propia, con agendas</w:t>
      </w:r>
      <w:r>
        <w:t xml:space="preserve"> </w:t>
      </w:r>
      <w:r>
        <w:t xml:space="preserve">explícitas de consolidación</w:t>
      </w:r>
      <w:r>
        <w:t xml:space="preserve"> </w:t>
      </w:r>
      <w:r>
        <w:t xml:space="preserve">(Ehsan et al. 2023)</w:t>
      </w:r>
      <w:r>
        <w:t xml:space="preserve"> </w:t>
      </w:r>
      <w:r>
        <w:t xml:space="preserve">y revisiones críticas que cuestionan los</w:t>
      </w:r>
      <w:r>
        <w:t xml:space="preserve"> </w:t>
      </w:r>
      <w:r>
        <w:t xml:space="preserve">supuestos dominantes del campo</w:t>
      </w:r>
      <w:r>
        <w:t xml:space="preserve"> </w:t>
      </w:r>
      <w:r>
        <w:t xml:space="preserve">(Ehsan y Riedl 2024)</w:t>
      </w:r>
      <w:r>
        <w:t xml:space="preserve">. La investigación reciente muestra</w:t>
      </w:r>
      <w:r>
        <w:t xml:space="preserve"> </w:t>
      </w:r>
      <w:r>
        <w:t xml:space="preserve">que la calidad percibida de una explicación depende de variables que ninguna</w:t>
      </w:r>
      <w:r>
        <w:t xml:space="preserve"> </w:t>
      </w:r>
      <w:r>
        <w:t xml:space="preserve">métrica computacional recoge: las características y el nivel de experiencia del</w:t>
      </w:r>
      <w:r>
        <w:t xml:space="preserve"> </w:t>
      </w:r>
      <w:r>
        <w:t xml:space="preserve">destinatario</w:t>
      </w:r>
      <w:r>
        <w:t xml:space="preserve"> </w:t>
      </w:r>
      <w:r>
        <w:t xml:space="preserve">(Nimmo et al. 2024)</w:t>
      </w:r>
      <w:r>
        <w:t xml:space="preserve">, el contexto cultural desde el que se interpreta</w:t>
      </w:r>
      <w:r>
        <w:t xml:space="preserve"> </w:t>
      </w:r>
      <w:r>
        <w:t xml:space="preserve">(Peters y Carman 2024)</w:t>
      </w:r>
      <w:r>
        <w:t xml:space="preserve">, el diseño de la interfaz que la presenta</w:t>
      </w:r>
      <w:r>
        <w:t xml:space="preserve"> </w:t>
      </w:r>
      <w:r>
        <w:t xml:space="preserve">(Bhat y Long 2024; Alkhateeb y Solaiman 2025)</w:t>
      </w:r>
      <w:r>
        <w:t xml:space="preserve">, e incluso su materialización física en artefactos tangibles</w:t>
      </w:r>
      <w:r>
        <w:t xml:space="preserve"> </w:t>
      </w:r>
      <w:r>
        <w:t xml:space="preserve">(Colley et al. 2023)</w:t>
      </w:r>
      <w:r>
        <w:t xml:space="preserve">. La transparencia y la explicabilidad se han estudiado también como</w:t>
      </w:r>
      <w:r>
        <w:t xml:space="preserve"> </w:t>
      </w:r>
      <w:r>
        <w:t xml:space="preserve">antecedentes de la confianza calibrada</w:t>
      </w:r>
      <w:r>
        <w:t xml:space="preserve"> </w:t>
      </w:r>
      <w:r>
        <w:t xml:space="preserve">(Kim 2024)</w:t>
      </w:r>
      <w:r>
        <w:t xml:space="preserve"> </w:t>
      </w:r>
      <w:r>
        <w:t xml:space="preserve">y como práctica organizativa</w:t>
      </w:r>
      <w:r>
        <w:t xml:space="preserve"> </w:t>
      </w:r>
      <w:r>
        <w:t xml:space="preserve">más que como propiedad técnica</w:t>
      </w:r>
      <w:r>
        <w:t xml:space="preserve"> </w:t>
      </w:r>
      <w:r>
        <w:t xml:space="preserve">(Ramachandram et al. 2025)</w:t>
      </w:r>
      <w:r>
        <w:t xml:space="preserve">, mientras que otros trabajos</w:t>
      </w:r>
      <w:r>
        <w:t xml:space="preserve"> </w:t>
      </w:r>
      <w:r>
        <w:t xml:space="preserve">documentan las contrapartidas que impone perseguir explicabilidad</w:t>
      </w:r>
      <w:r>
        <w:t xml:space="preserve"> </w:t>
      </w:r>
      <w:r>
        <w:t xml:space="preserve">(Brown y Hawe 2024)</w:t>
      </w:r>
      <w:r>
        <w:t xml:space="preserve"> </w:t>
      </w:r>
      <w:r>
        <w:t xml:space="preserve">e incluso el coste reputacional que puede acarrear el uso declarado</w:t>
      </w:r>
      <w:r>
        <w:t xml:space="preserve"> </w:t>
      </w:r>
      <w:r>
        <w:t xml:space="preserve">de IA</w:t>
      </w:r>
      <w:r>
        <w:t xml:space="preserve"> </w:t>
      </w:r>
      <w:r>
        <w:t xml:space="preserve">(Reif et al. 2025)</w:t>
      </w:r>
      <w:r>
        <w:t xml:space="preserve">. A ello se añade una literatura sobre las implicaciones éticas</w:t>
      </w:r>
      <w:r>
        <w:t xml:space="preserve"> </w:t>
      </w:r>
      <w:r>
        <w:t xml:space="preserve">del campo</w:t>
      </w:r>
      <w:r>
        <w:t xml:space="preserve"> </w:t>
      </w:r>
      <w:r>
        <w:t xml:space="preserve">(Nannini et al. 2024; Vainio-Pekka et al. 2023)</w:t>
      </w:r>
      <w:r>
        <w:t xml:space="preserve"> </w:t>
      </w:r>
      <w:r>
        <w:t xml:space="preserve">y sobre la distancia entre la</w:t>
      </w:r>
      <w:r>
        <w:t xml:space="preserve"> </w:t>
      </w:r>
      <w:r>
        <w:t xml:space="preserve">inteligencia de la máquina y la comprensión humana</w:t>
      </w:r>
      <w:r>
        <w:t xml:space="preserve"> </w:t>
      </w:r>
      <w:r>
        <w:t xml:space="preserve">(Choudhari et al. 2025)</w:t>
      </w:r>
      <w:r>
        <w:t xml:space="preserve">.</w:t>
      </w:r>
    </w:p>
    <w:p>
      <w:pPr>
        <w:pStyle w:val="Textoindependiente"/>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premisa enlaza con una línea previa que ya</w:t>
      </w:r>
      <w:r>
        <w:t xml:space="preserve"> </w:t>
      </w:r>
      <w:r>
        <w:t xml:space="preserve">situaba a la persona como participante activo del ciclo de aprendizaje, y no como</w:t>
      </w:r>
      <w:r>
        <w:t xml:space="preserve"> </w:t>
      </w:r>
      <w:r>
        <w:t xml:space="preserve">receptor pasivo de su salida</w:t>
      </w:r>
      <w:r>
        <w:t xml:space="preserve"> </w:t>
      </w:r>
      <w:r>
        <w:t xml:space="preserve">(Amershi 2014)</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y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y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6"/>
    <w:bookmarkStart w:id="57" w:name="Xcb28a5da8e0ee4c37a7111d109b1f7262846e3e"/>
    <w:p>
      <w:pPr>
        <w:pStyle w:val="Ttulo3"/>
        <w:spacing w:line="360" w:lineRule="auto"/>
        <w:jc w:val="both"/>
      </w:pPr>
      <w:r>
        <w:t xml:space="preserve">2.5.2 </w:t>
      </w: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7"/>
    <w:bookmarkEnd w:id="58"/>
    <w:bookmarkStart w:id="59" w:name="X1ac049df9037bab7d9ddedb9eb6dfc246d0f001"/>
    <w:p>
      <w:pPr>
        <w:pStyle w:val="Ttulo2"/>
        <w:spacing w:line="360" w:lineRule="auto"/>
        <w:jc w:val="both"/>
      </w:pPr>
      <w:r>
        <w:t xml:space="preserve">2.6 </w:t>
      </w:r>
      <w:r>
        <w:t xml:space="preserve">Taxonomias de métricas y brechas de constructo</w:t>
      </w:r>
    </w:p>
    <w:p>
      <w:pPr>
        <w:pStyle w:val="FirstParagraph"/>
        <w:spacing w:line="360" w:lineRule="auto"/>
        <w:jc w:val="both"/>
      </w:pPr>
      <w:r>
        <w:t xml:space="preserve">El esfuerzo por ordenar este espacio ha generado una literatura de síntesis</w:t>
      </w:r>
      <w:r>
        <w:t xml:space="preserve"> </w:t>
      </w:r>
      <w:r>
        <w:t xml:space="preserve">abundante y heterogénea. Existen historias breves del campo que sitúan la</w:t>
      </w:r>
      <w:r>
        <w:t xml:space="preserve"> </w:t>
      </w:r>
      <w:r>
        <w:t xml:space="preserve">interpretabilidad en una tradición estadística de más de dos siglos</w:t>
      </w:r>
      <w:r>
        <w:t xml:space="preserve"> </w:t>
      </w:r>
      <w:r>
        <w:t xml:space="preserve">(Molnar et al. 2020)</w:t>
      </w:r>
      <w:r>
        <w:t xml:space="preserve">, panorámicas compactas de métodos</w:t>
      </w:r>
      <w:r>
        <w:t xml:space="preserve"> </w:t>
      </w:r>
      <w:r>
        <w:t xml:space="preserve">(Holzinger et al. 2022; Long et al. 2019)</w:t>
      </w:r>
      <w:r>
        <w:t xml:space="preserve">,</w:t>
      </w:r>
      <w:r>
        <w:t xml:space="preserve"> </w:t>
      </w:r>
      <w:r>
        <w:t xml:space="preserve">revisiones sistemáticas de técnicas y retos abiertos</w:t>
      </w:r>
      <w:r>
        <w:t xml:space="preserve"> </w:t>
      </w:r>
      <w:r>
        <w:t xml:space="preserve">(Abusitta et al. 2024; Ullah et al. 2024)</w:t>
      </w:r>
      <w:r>
        <w:t xml:space="preserve">,</w:t>
      </w:r>
      <w:r>
        <w:t xml:space="preserve"> </w:t>
      </w:r>
      <w:r>
        <w:t xml:space="preserve">inventarios de aplicaciones por dominio</w:t>
      </w:r>
      <w:r>
        <w:t xml:space="preserve"> </w:t>
      </w:r>
      <w:r>
        <w:t xml:space="preserve">(Kalasampath et al. 2025)</w:t>
      </w:r>
      <w:r>
        <w:t xml:space="preserve"> </w:t>
      </w:r>
      <w:r>
        <w:t xml:space="preserve">y revisiones</w:t>
      </w:r>
      <w:r>
        <w:t xml:space="preserve"> </w:t>
      </w:r>
      <w:r>
        <w:t xml:space="preserve">focalizadas en tareas concretas</w:t>
      </w:r>
      <w:r>
        <w:t xml:space="preserve"> </w:t>
      </w:r>
      <w:r>
        <w:t xml:space="preserve">(Ngueajio et al. 2025; Fan et al. 2026)</w:t>
      </w:r>
      <w:r>
        <w:t xml:space="preserve">. La reflexión más</w:t>
      </w:r>
      <w:r>
        <w:t xml:space="preserve"> </w:t>
      </w:r>
      <w:r>
        <w:t xml:space="preserve">articulada sobre el estado del campo es el manifiesto que propone una segunda</w:t>
      </w:r>
      <w:r>
        <w:t xml:space="preserve"> </w:t>
      </w:r>
      <w:r>
        <w:t xml:space="preserve">generación de XAI y enumera los desafíos abiertos que la primera no resolvió</w:t>
      </w:r>
      <w:r>
        <w:t xml:space="preserve"> </w:t>
      </w:r>
      <w:r>
        <w:t xml:space="preserve">(Longo et al. 2024)</w:t>
      </w:r>
      <w:r>
        <w:t xml:space="preserve">. La proliferación de estas síntesis es, en sí misma, un síntoma del</w:t>
      </w:r>
      <w:r>
        <w:t xml:space="preserve"> </w:t>
      </w:r>
      <w:r>
        <w:t xml:space="preserve">problema que esta tesis aborda: se acumulan mapas del territorio con mayor</w:t>
      </w:r>
      <w:r>
        <w:t xml:space="preserve"> </w:t>
      </w:r>
      <w:r>
        <w:t xml:space="preserve">rapidez que protocolos para transitarlo.</w:t>
      </w:r>
    </w:p>
    <w:p>
      <w:pPr>
        <w:pStyle w:val="Textoindependiente"/>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y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rPr>
                <w:bCs/>
                <w:b/>
              </w:rPr>
              <w:t xml:space="preserve">Método</w:t>
            </w:r>
          </w:p>
        </w:tc>
        <w:tc>
          <w:tcPr/>
          <w:p>
            <w:pPr>
              <w:pStyle w:val="Compact"/>
              <w:spacing w:line="360" w:lineRule="auto"/>
              <w:jc w:val="both"/>
            </w:pPr>
            <w:r>
              <w:rPr>
                <w:bCs/>
                <w:b/>
              </w:rPr>
              <w:t xml:space="preserve">Objeto explicativo principal</w:t>
            </w:r>
          </w:p>
        </w:tc>
        <w:tc>
          <w:tcPr/>
          <w:p>
            <w:pPr>
              <w:pStyle w:val="Compact"/>
              <w:spacing w:line="360" w:lineRule="auto"/>
              <w:jc w:val="both"/>
            </w:pPr>
            <w:r>
              <w:rPr>
                <w:bCs/>
                <w:b/>
              </w:rPr>
              <w:t xml:space="preserve">Constructos naturalmente alineados</w:t>
            </w:r>
          </w:p>
        </w:tc>
        <w:tc>
          <w:tcPr/>
          <w:p>
            <w:pPr>
              <w:pStyle w:val="Compact"/>
              <w:spacing w:line="360" w:lineRule="auto"/>
              <w:jc w:val="both"/>
            </w:pPr>
            <w:r>
              <w:rPr>
                <w:bCs/>
                <w:b/>
              </w:rPr>
              <w:t xml:space="preserve">Riesgos de evaluación</w:t>
            </w:r>
          </w:p>
        </w:tc>
        <w:tc>
          <w:tcPr/>
          <w:p>
            <w:pPr>
              <w:pStyle w:val="Compact"/>
              <w:spacing w:line="360" w:lineRule="auto"/>
              <w:jc w:val="both"/>
            </w:pPr>
            <w:r>
              <w:rPr>
                <w:bCs/>
                <w:b/>
              </w:rP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9"/>
    <w:bookmarkStart w:id="60" w:name="X56f8700cbeeed185eff27b2505360753d99a361"/>
    <w:p>
      <w:pPr>
        <w:pStyle w:val="Ttulo2"/>
        <w:spacing w:line="360" w:lineRule="auto"/>
        <w:jc w:val="both"/>
      </w:pPr>
      <w:r>
        <w:t xml:space="preserve">2.7 </w:t>
      </w: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60"/>
    <w:bookmarkStart w:id="61" w:name="síntesis-crítica-justificación-de-fom-7"/>
    <w:p>
      <w:pPr>
        <w:pStyle w:val="Ttulo2"/>
        <w:spacing w:line="360" w:lineRule="auto"/>
        <w:jc w:val="both"/>
      </w:pPr>
      <w:r>
        <w:t xml:space="preserve">2.8 </w:t>
      </w: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y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61"/>
    <w:bookmarkEnd w:id="62"/>
    <w:bookmarkStart w:id="123" w:name="marco-empírico-y-diseño-experimental"/>
    <w:p>
      <w:pPr>
        <w:pStyle w:val="Ttulo1"/>
        <w:spacing w:line="360" w:lineRule="auto"/>
        <w:jc w:val="both"/>
      </w:pPr>
      <w:r>
        <w:t xml:space="preserve">Capítulo 3. </w:t>
      </w: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(el Estudio Omnibus Multimétrico) y la comparación pareada enfocada entre LIME</w:t>
      </w:r>
      <w:r>
        <w:t xml:space="preserve"> </w:t>
      </w:r>
      <w:r>
        <w:t xml:space="preserve">y SHAP (el Estudio Pareado LIME–SHAP). Ambos estudios comparten el mismo</w:t>
      </w:r>
      <w:r>
        <w:t xml:space="preserve"> </w:t>
      </w:r>
      <w:r>
        <w:t xml:space="preserve">pipeline experimental, el mismo conjunto de datos y los mismos artefactos de</w:t>
      </w:r>
      <w:r>
        <w:t xml:space="preserve"> </w:t>
      </w:r>
      <w:r>
        <w:t xml:space="preserve">modelo, y se distinguen por el alcance del análisis inferencial: el estudio</w:t>
      </w:r>
      <w:r>
        <w:t xml:space="preserve"> </w:t>
      </w:r>
      <w:r>
        <w:t xml:space="preserve">omnibus evalúa los cuatro métodos sobre el diseño factorial completo; el</w:t>
      </w:r>
      <w:r>
        <w:t xml:space="preserve"> </w:t>
      </w:r>
      <w:r>
        <w:t xml:space="preserve">estudio pareado restringe la inferencia confirmativa al subconjunto pareado</w:t>
      </w:r>
      <w:r>
        <w:t xml:space="preserve"> </w:t>
      </w:r>
      <w:r>
        <w:t xml:space="preserve">LIME-SHAP. El capítulo se organiza en ocho secciones: las dos fases</w:t>
      </w:r>
      <w:r>
        <w:t xml:space="preserve"> </w:t>
      </w:r>
      <w:r>
        <w:t xml:space="preserve">experimentales (EXP1 y EXP2), el conjunto de datos y el protocolo de</w:t>
      </w:r>
      <w:r>
        <w:t xml:space="preserve"> </w:t>
      </w:r>
      <w:r>
        <w:t xml:space="preserve">preprocesamiento, el diseño factorial, las configuraciones de los</w:t>
      </w:r>
      <w:r>
        <w:t xml:space="preserve"> </w:t>
      </w:r>
      <w:r>
        <w:t xml:space="preserve">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6" w:name="fases-experimentales-exp1-y-exp2"/>
    <w:p>
      <w:pPr>
        <w:pStyle w:val="Ttulo2"/>
        <w:spacing w:line="360" w:lineRule="auto"/>
        <w:jc w:val="both"/>
      </w:pPr>
      <w:r>
        <w:t xml:space="preserve">3.1 </w:t>
      </w: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4" w:name="X32cac70d6076bcfbcdceb21da7e13d3984b2a1d"/>
    <w:p>
      <w:pPr>
        <w:pStyle w:val="Ttulo3"/>
        <w:spacing w:line="360" w:lineRule="auto"/>
        <w:jc w:val="both"/>
      </w:pPr>
      <w:r>
        <w:t xml:space="preserve">3.1.1 </w:t>
      </w: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w:t>
      </w:r>
      <w:r>
        <w:t xml:space="preserve"> </w:t>
      </w:r>
      <w:hyperlink w:anchor="tbl-model-performance">
        <w:r>
          <w:rPr>
            <w:rStyle w:val="Hipervnculo"/>
          </w:rPr>
          <w:t xml:space="preserve">3.1</w:t>
        </w:r>
      </w:hyperlink>
      <w:r>
        <w:t xml:space="preserve">.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jc w:val="center"/>
        <w:tblLayout w:type="fixed"/>
        <w:tblLook w:firstRow="0" w:lastRow="0" w:firstColumn="0" w:lastColumn="0" w:noHBand="0" w:noVBand="0" w:val="0000"/>
      </w:tblPr>
      <w:tblGrid>
        <w:gridCol w:w="7920"/>
      </w:tblGrid>
      <w:tr>
        <w:tc>
          <w:tcPr/>
          <w:bookmarkStart w:id="63" w:name="tbl-model-performance"/>
          <w:p>
            <w:pPr>
              <w:pStyle w:val="ImageCaption"/>
              <w:spacing w:before="200" w:line="360" w:lineRule="auto"/>
              <w:jc w:val="center"/>
            </w:pPr>
            <w:r>
              <w:t xml:space="preserve">Tabla 3.1: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Exactitud</w:t>
                  </w:r>
                </w:p>
              </w:tc>
              <w:tc>
                <w:tcPr/>
                <w:p>
                  <w:pPr>
                    <w:pStyle w:val="Compact"/>
                    <w:jc w:val="both"/>
                    <w:jc w:val="center"/>
                    <w:spacing w:line="360" w:lineRule="auto"/>
                  </w:pPr>
                  <w:r>
                    <w:rPr>
                      <w:bCs/>
                      <w:b/>
                    </w:rPr>
                    <w:t xml:space="preserve">Precisión</w:t>
                  </w:r>
                </w:p>
              </w:tc>
              <w:tc>
                <w:tcPr/>
                <w:p>
                  <w:pPr>
                    <w:pStyle w:val="Compact"/>
                    <w:jc w:val="both"/>
                    <w:jc w:val="center"/>
                    <w:spacing w:line="360" w:lineRule="auto"/>
                  </w:pPr>
                  <w:r>
                    <w:rPr>
                      <w:bCs/>
                      <w:b/>
                    </w:rPr>
                    <w:t xml:space="preserve">Recall</w:t>
                  </w:r>
                </w:p>
              </w:tc>
              <w:tc>
                <w:tcPr/>
                <w:p>
                  <w:pPr>
                    <w:pStyle w:val="Compact"/>
                    <w:jc w:val="both"/>
                    <w:jc w:val="center"/>
                    <w:spacing w:line="360" w:lineRule="auto"/>
                  </w:pPr>
                  <w:r>
                    <w:rPr>
                      <w:bCs/>
                      <w:b/>
                    </w:rPr>
                    <w:t xml:space="preserve">F1</w:t>
                  </w:r>
                </w:p>
              </w:tc>
              <w:tc>
                <w:tcPr/>
                <w:p>
                  <w:pPr>
                    <w:pStyle w:val="Compact"/>
                    <w:jc w:val="both"/>
                    <w:jc w:val="center"/>
                    <w:spacing w:line="360" w:lineRule="auto"/>
                  </w:pPr>
                  <w:r>
                    <w:rPr>
                      <w:bCs/>
                      <w:b/>
                    </w:rP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3"/>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0.064</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0.045</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4"/>
    <w:bookmarkStart w:id="65" w:name="X88dee61532cae681dfa2cfeee2779c5c9929176"/>
    <w:p>
      <w:pPr>
        <w:pStyle w:val="Ttulo3"/>
        <w:spacing w:line="360" w:lineRule="auto"/>
        <w:jc w:val="both"/>
      </w:pPr>
      <w:r>
        <w:t xml:space="preserve">3.1.2 </w:t>
      </w: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w:t>
      </w:r>
      <w:r>
        <w:t xml:space="preserve"> </w:t>
      </w:r>
      <w:hyperlink w:anchor="sec-fom7">
        <w:r>
          <w:rPr>
            <w:rStyle w:val="Hipervnculo"/>
          </w:rPr>
          <w:t xml:space="preserve">3.6</w:t>
        </w:r>
      </w:hyperlink>
      <w:r>
        <w:t xml:space="preserve">. Los resultados</w:t>
      </w:r>
      <w:r>
        <w:t xml:space="preserve"> </w:t>
      </w:r>
      <w:r>
        <w:t xml:space="preserve">de EXP2 son la fuente exclusiva de las afirmaciones estadísticas inferenciales</w:t>
      </w:r>
      <w:r>
        <w:t xml:space="preserve"> </w:t>
      </w:r>
      <w:r>
        <w:t xml:space="preserve">del Estudio Omnibus Multimétrico y del Estudio Pareado LIME–SHAP.</w:t>
      </w:r>
    </w:p>
    <w:bookmarkEnd w:id="65"/>
    <w:bookmarkEnd w:id="66"/>
    <w:bookmarkStart w:id="71" w:name="Xb179eb5e9b7cbdb0e78e991d72b8aeee41d8932"/>
    <w:p>
      <w:pPr>
        <w:pStyle w:val="Ttulo2"/>
        <w:spacing w:line="360" w:lineRule="auto"/>
        <w:jc w:val="both"/>
      </w:pPr>
      <w:r>
        <w:t xml:space="preserve">3.2 </w:t>
      </w:r>
      <w:r>
        <w:t xml:space="preserve">Conjunto de datos y protocolo de preprocesamiento</w:t>
      </w:r>
    </w:p>
    <w:bookmarkStart w:id="67" w:name="descripción-del-conjunto-de-datos"/>
    <w:p>
      <w:pPr>
        <w:pStyle w:val="Ttulo3"/>
        <w:spacing w:line="360" w:lineRule="auto"/>
        <w:jc w:val="both"/>
      </w:pPr>
      <w:r>
        <w:t xml:space="preserve">3.2.1 </w:t>
      </w: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y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w:t>
      </w:r>
      <w:r>
        <w:t xml:space="preserve"> </w:t>
      </w:r>
      <w:hyperlink w:anchor="sec-muestreo">
        <w:r>
          <w:rPr>
            <w:rStyle w:val="Hipervnculo"/>
          </w:rPr>
          <w:t xml:space="preserve">3.4</w:t>
        </w:r>
      </w:hyperlink>
      <w:r>
        <w:t xml:space="preserve">.</w:t>
      </w:r>
    </w:p>
    <w:bookmarkEnd w:id="67"/>
    <w:bookmarkStart w:id="69" w:name="carga-limpieza-y-partición"/>
    <w:p>
      <w:pPr>
        <w:pStyle w:val="Ttulo3"/>
        <w:spacing w:line="360" w:lineRule="auto"/>
        <w:jc w:val="both"/>
      </w:pPr>
      <w:r>
        <w:t xml:space="preserve">3.2.2 </w:t>
      </w: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 de la</w:t>
      </w:r>
      <w:r>
        <w:t xml:space="preserve"> </w:t>
      </w:r>
      <w:hyperlink w:anchor="eq-particion">
        <w:r>
          <w:rPr>
            <w:rStyle w:val="Hipervnculo"/>
          </w:rPr>
          <w:t xml:space="preserve">Ecuación 3.1</w:t>
        </w:r>
      </w:hyperlink>
      <w:r>
        <w:t xml:space="preserve">:</w:t>
      </w:r>
    </w:p>
    <w:p>
      <w:pPr>
        <w:pStyle w:val="Textoindependiente"/>
        <w:spacing w:line="360" w:lineRule="auto"/>
        <w:jc w:val="both"/>
      </w:pPr>
      <w:bookmarkStart w:id="68" w:name="eq-particion"/>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r>
            <ns1:t>  </ns1:t>
          </ns1:r>
          <ns1:r>
            <ns1:rPr>
              <ns1:sty ns1:val="p"/>
            </ns1:rPr>
            <ns1:t>(</ns1:t>
          </ns1:r>
          <ns1:r>
            <ns1:t>3.1</ns1:t>
          </ns1:r>
          <ns1:r>
            <ns1:rPr>
              <ns1:sty ns1:val="p"/>
            </ns1:rPr>
            <ns1:t>)</ns1:t>
          </ns1:r>
        </ns1:oMath>
      </ns1:oMathPara>
      <w:bookmarkEnd w:id="68"/>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9"/>
    <w:bookmarkStart w:id="70" w:name="controles-de-fuga-de-datos"/>
    <w:p>
      <w:pPr>
        <w:pStyle w:val="Ttulo3"/>
        <w:spacing w:line="360" w:lineRule="auto"/>
        <w:jc w:val="both"/>
      </w:pPr>
      <w:r>
        <w:t xml:space="preserve">3.2.3 </w:t>
      </w: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70"/>
    <w:bookmarkEnd w:id="71"/>
    <w:bookmarkStart w:id="75" w:name="X810bf4db8899260d734480c9f59b02e6a2182a3"/>
    <w:p>
      <w:pPr>
        <w:pStyle w:val="Ttulo2"/>
        <w:spacing w:line="360" w:lineRule="auto"/>
        <w:jc w:val="both"/>
      </w:pPr>
      <w:r>
        <w:t xml:space="preserve">3.3 </w:t>
      </w: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 (</w:t>
      </w:r>
      <w:hyperlink w:anchor="eq-diseno-factorial">
        <w:r>
          <w:rPr>
            <w:rStyle w:val="Hipervnculo"/>
          </w:rPr>
          <w:t xml:space="preserve">Ecuación 3.2</w:t>
        </w:r>
      </w:hyperlink>
      <w:r>
        <w:t xml:space="preserve">):</w:t>
      </w:r>
    </w:p>
    <w:p>
      <w:pPr>
        <w:pStyle w:val="Textoindependiente"/>
        <w:spacing w:line="360" w:lineRule="auto"/>
        <w:jc w:val="both"/>
      </w:pPr>
      <w:bookmarkStart w:id="72" w:name="eq-diseno-factorial"/>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t>  </ns1:t>
          </ns1:r>
          <ns1:r>
            <ns1:rPr>
              <ns1:sty ns1:val="p"/>
            </ns1:rPr>
            <ns1:t>(</ns1:t>
          </ns1:r>
          <ns1:r>
            <ns1:t>3.2</ns1:t>
          </ns1:r>
          <ns1:r>
            <ns1:rPr>
              <ns1:sty ns1:val="p"/>
            </ns1:rPr>
            <ns1:t>)</ns1:t>
          </ns1:r>
        </ns1:oMath>
      </ns1:oMathPara>
      <w:bookmarkEnd w:id="72"/>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 el de la</w:t>
      </w:r>
      <w:r>
        <w:t xml:space="preserve"> </w:t>
      </w:r>
      <w:hyperlink w:anchor="eq-tamano-diseno">
        <w:r>
          <w:rPr>
            <w:rStyle w:val="Hipervnculo"/>
          </w:rPr>
          <w:t xml:space="preserve">Ecuación 3.3</w:t>
        </w:r>
      </w:hyperlink>
      <w:r>
        <w:t xml:space="preserve">:</w:t>
      </w:r>
    </w:p>
    <w:p>
      <w:pPr>
        <w:pStyle w:val="Textoindependiente"/>
        <w:spacing w:line="360" w:lineRule="auto"/>
        <w:jc w:val="both"/>
      </w:pPr>
      <w:bookmarkStart w:id="73" w:name="eq-tamano-diseno"/>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r>
            <ns1:t>  </ns1:t>
          </ns1:r>
          <ns1:r>
            <ns1:rPr>
              <ns1:sty ns1:val="p"/>
            </ns1:rPr>
            <ns1:t>(</ns1:t>
          </ns1:r>
          <ns1:r>
            <ns1:t>3.3</ns1:t>
          </ns1:r>
          <ns1:r>
            <ns1:rPr>
              <ns1:sty ns1:val="p"/>
            </ns1:rPr>
            <ns1:t>)</ns1:t>
          </ns1:r>
        </ns1:oMath>
      </ns1:oMathPara>
      <w:bookmarkEnd w:id="73"/>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74" w:name="X7f3be01e797123bdbedac923d646584591998bc"/>
    <w:p>
      <w:pPr>
        <w:pStyle w:val="Ttulo3"/>
        <w:spacing w:line="360" w:lineRule="auto"/>
        <w:jc w:val="both"/>
      </w:pPr>
      <w:r>
        <w:t xml:space="preserve">3.3.1 </w:t>
      </w: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Pareado LIME–SHAP es la</w:t>
      </w:r>
      <w:r>
        <w:t xml:space="preserve"> </w:t>
      </w:r>
      <w:r>
        <w:rPr>
          <w:b/>
          <w:bCs/>
        </w:rPr>
        <w:t xml:space="preserve">celda</w:t>
      </w:r>
      <w:r>
        <w:rPr>
          <w:b/>
          <w:bCs/>
        </w:rPr>
        <w:t xml:space="preserve"> </w:t>
      </w:r>
      <w:r>
        <w:rPr>
          <w:b/>
          <w:bCs/>
        </w:rPr>
        <w:t xml:space="preserve">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w:t>
      </w:r>
      <w:r>
        <w:t xml:space="preserve"> </w:t>
      </w:r>
      <w:r>
        <w:t xml:space="preserve">calificados de SHAP y LIME con coordenadas idénticas.</w:t>
      </w:r>
    </w:p>
    <w:bookmarkEnd w:id="74"/>
    <w:bookmarkEnd w:id="75"/>
    <w:bookmarkStart w:id="79" w:name="sec-muestreo"/>
    <w:p>
      <w:pPr>
        <w:pStyle w:val="Ttulo2"/>
        <w:spacing w:line="360" w:lineRule="auto"/>
        <w:jc w:val="both"/>
      </w:pPr>
      <w:r>
        <w:t xml:space="preserve">3.4 </w:t>
      </w:r>
      <w:r>
        <w:t xml:space="preserve">Protocolo de muestreo de instancias y configuración de explicadores</w:t>
      </w:r>
    </w:p>
    <w:bookmarkStart w:id="77" w:name="X22a27531824c8c7d79a9c6abca6e13f987fd35c"/>
    <w:p>
      <w:pPr>
        <w:pStyle w:val="Ttulo3"/>
        <w:spacing w:line="360" w:lineRule="auto"/>
        <w:jc w:val="both"/>
      </w:pPr>
      <w:r>
        <w:t xml:space="preserve">3.4.1 </w:t>
      </w: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 (</w:t>
      </w:r>
      <w:hyperlink w:anchor="eq-muestreo">
        <w:r>
          <w:rPr>
            <w:rStyle w:val="Hipervnculo"/>
          </w:rPr>
          <w:t xml:space="preserve">Ecuación 3.4</w:t>
        </w:r>
      </w:hyperlink>
      <w:r>
        <w:t xml:space="preserve">):</w:t>
      </w:r>
    </w:p>
    <w:p>
      <w:pPr>
        <w:pStyle w:val="Textoindependiente"/>
        <w:spacing w:line="360" w:lineRule="auto"/>
        <w:jc w:val="both"/>
      </w:pPr>
      <w:bookmarkStart w:id="76" w:name="eq-muestreo"/>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r>
            <ns1:t>  </ns1:t>
          </ns1:r>
          <ns1:r>
            <ns1:rPr>
              <ns1:sty ns1:val="p"/>
            </ns1:rPr>
            <ns1:t>(</ns1:t>
          </ns1:r>
          <ns1:r>
            <ns1:t>3.4</ns1:t>
          </ns1:r>
          <ns1:r>
            <ns1:rPr>
              <ns1:sty ns1:val="p"/>
            </ns1:rPr>
            <ns1:t>)</ns1:t>
          </ns1:r>
        </ns1:oMath>
      </ns1:oMathPara>
      <w:bookmarkEnd w:id="76"/>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7"/>
    <w:bookmarkStart w:id="78" w:name="configuración-de-los-explicadores"/>
    <w:p>
      <w:pPr>
        <w:pStyle w:val="Ttulo3"/>
        <w:spacing w:line="360" w:lineRule="auto"/>
        <w:jc w:val="both"/>
      </w:pPr>
      <w:r>
        <w:t xml:space="preserve">3.4.2 </w:t>
      </w: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8"/>
    <w:bookmarkEnd w:id="79"/>
    <w:bookmarkStart w:id="91" w:name="sec-metricas"/>
    <w:p>
      <w:pPr>
        <w:pStyle w:val="Ttulo2"/>
        <w:spacing w:line="360" w:lineRule="auto"/>
        <w:jc w:val="both"/>
      </w:pPr>
      <w:r>
        <w:t xml:space="preserve">3.5 </w:t>
      </w: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81" w:name="fidelidad"/>
    <w:p>
      <w:pPr>
        <w:pStyle w:val="Ttulo3"/>
        <w:spacing w:line="360" w:lineRule="auto"/>
        <w:jc w:val="both"/>
      </w:pPr>
      <w:r>
        <w:t xml:space="preserve">3.5.1 </w:t>
      </w: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r>
        <w:t xml:space="preserve"> </w:t>
      </w:r>
      <w:r>
        <w:t xml:space="preserve">(</w:t>
      </w:r>
      <w:hyperlink w:anchor="eq-fidelidad">
        <w:r>
          <w:rPr>
            <w:rStyle w:val="Hipervnculo"/>
          </w:rPr>
          <w:t xml:space="preserve">Ecuación 3.5</w:t>
        </w:r>
      </w:hyperlink>
      <w:r>
        <w:t xml:space="preserve">):</w:t>
      </w:r>
    </w:p>
    <w:p>
      <w:pPr>
        <w:pStyle w:val="Textoindependiente"/>
        <w:spacing w:line="360" w:lineRule="auto"/>
        <w:jc w:val="both"/>
      </w:pPr>
      <w:bookmarkStart w:id="80" w:name="eq-fidelidad"/>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r>
            <ns1:t>  </ns1:t>
          </ns1:r>
          <ns1:r>
            <ns1:rPr>
              <ns1:sty ns1:val="p"/>
            </ns1:rPr>
            <ns1:t>(</ns1:t>
          </ns1:r>
          <ns1:r>
            <ns1:t>3.5</ns1:t>
          </ns1:r>
          <ns1:r>
            <ns1:rPr>
              <ns1:sty ns1:val="p"/>
            </ns1:rPr>
            <ns1:t>)</ns1:t>
          </ns1:r>
        </ns1:oMath>
      </ns1:oMathPara>
      <w:bookmarkEnd w:id="80"/>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de manera independiente, la característica</w:t>
      </w:r>
      <w:r>
        <w:t xml:space="preserve"> </w:t>
      </w:r>
      <w:r>
        <w:t xml:space="preserve">transformada</w:t>
      </w:r>
      <w:r>
        <w:t xml:space="preserve"> </w:t>
      </w:r>
      <ns1:oMath>
        <ns1:r>
          <ns1:t>i</ns1:t>
        </ns1:r>
      </ns1:oMath>
      <w:r>
        <w:t xml:space="preserve"> </w:t>
      </w:r>
      <w:r>
        <w:t xml:space="preserve">por su media en el conjunto de entrenamiento. Este operador es</w:t>
      </w:r>
      <w:r>
        <w:t xml:space="preserve"> </w:t>
      </w:r>
      <w:r>
        <w:t xml:space="preserve">determinista y común a los cuatro métodos, pero no preserva la distribución</w:t>
      </w:r>
      <w:r>
        <w:t xml:space="preserve"> </w:t>
      </w:r>
      <w:r>
        <w:t xml:space="preserve">conjunta de las características: puede producir combinaciones implausibles u</w:t>
      </w:r>
      <w:r>
        <w:t xml:space="preserve"> </w:t>
      </w:r>
      <w:r>
        <w:t xml:space="preserve">OOD y, por tanto, introducir sesgo diferencial entre explicadores</w:t>
      </w:r>
      <w:r>
        <w:t xml:space="preserve"> </w:t>
      </w:r>
      <w:r>
        <w:t xml:space="preserve">(Hooker et al. 2019; Rong et al. 2022)</w:t>
      </w:r>
      <w:r>
        <w:t xml:space="preserve">. La métrica se interpreta como</w:t>
      </w:r>
      <w:r>
        <w:t xml:space="preserve"> </w:t>
      </w:r>
      <w:r>
        <w:t xml:space="preserve">respuesta del modelo bajo este enmascaramiento concreto, no como verdad de la</w:t>
      </w:r>
      <w:r>
        <w:t xml:space="preserve"> </w:t>
      </w:r>
      <w:r>
        <w:t xml:space="preserve">explicación. 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81"/>
    <w:bookmarkStart w:id="83" w:name="estabilidad"/>
    <w:p>
      <w:pPr>
        <w:pStyle w:val="Ttulo3"/>
        <w:spacing w:line="360" w:lineRule="auto"/>
        <w:jc w:val="both"/>
      </w:pPr>
      <w:r>
        <w:t xml:space="preserve">3.5.2 </w:t>
      </w: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i"/>
          </ns1:rPr>
          <ns1:t>I</ns1:t>
        </ns1:r>
        <ns1:r>
          <ns1:rPr>
            <ns1:sty ns1:val="p"/>
          </ns1:rPr>
          <ns1:t>)</ns1:t>
        </ns1:r>
      </ns1:oMath>
      <w:r>
        <w:t xml:space="preserve">,</w:t>
      </w:r>
      <w:r>
        <w:t xml:space="preserve"> </w:t>
      </w:r>
      <ns1:oMath>
        <ns1:r>
          <ns1:t>σ</ns1:t>
        </ns1:r>
        <ns1:r>
          <ns1:rPr>
            <ns1:sty ns1:val="p"/>
          </ns1:rPr>
          <ns1:t>=</ns1:t>
        </ns1:r>
        <ns1:r>
          <ns1:t>0.1</ns1:t>
        </ns1:r>
      </ns1:oMath>
      <w:r>
        <w:t xml:space="preserve"> </w:t>
      </w:r>
      <w:r>
        <w:t xml:space="preserve">(</w:t>
      </w:r>
      <w:hyperlink w:anchor="eq-estabilidad">
        <w:r>
          <w:rPr>
            <w:rStyle w:val="Hipervnculo"/>
          </w:rPr>
          <w:t xml:space="preserve">Ecuación 3.6</w:t>
        </w:r>
      </w:hyperlink>
      <w:r>
        <w:t xml:space="preserve">):</w:t>
      </w:r>
    </w:p>
    <w:p>
      <w:pPr>
        <w:pStyle w:val="Textoindependiente"/>
        <w:spacing w:line="360" w:lineRule="auto"/>
        <w:jc w:val="both"/>
      </w:pPr>
      <w:bookmarkStart w:id="82" w:name="eq-estabilidad"/>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r>
            <ns1:t>  </ns1:t>
          </ns1:r>
          <ns1:r>
            <ns1:rPr>
              <ns1:sty ns1:val="p"/>
            </ns1:rPr>
            <ns1:t>(</ns1:t>
          </ns1:r>
          <ns1:r>
            <ns1:t>3.6</ns1:t>
          </ns1:r>
          <ns1:r>
            <ns1:rPr>
              <ns1:sty ns1:val="p"/>
            </ns1:rPr>
            <ns1:t>)</ns1:t>
          </ns1:r>
        </ns1:oMath>
      </ns1:oMathPara>
      <w:bookmarkEnd w:id="82"/>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83"/>
    <w:bookmarkStart w:id="85" w:name="parsimonia"/>
    <w:p>
      <w:pPr>
        <w:pStyle w:val="Ttulo3"/>
        <w:spacing w:line="360" w:lineRule="auto"/>
        <w:jc w:val="both"/>
      </w:pPr>
      <w:r>
        <w:t xml:space="preserve">3.5.3 </w:t>
      </w: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r>
        <w:t xml:space="preserve"> </w:t>
      </w:r>
      <w:r>
        <w:t xml:space="preserve">(</w:t>
      </w:r>
      <w:hyperlink w:anchor="eq-parsimonia">
        <w:r>
          <w:rPr>
            <w:rStyle w:val="Hipervnculo"/>
          </w:rPr>
          <w:t xml:space="preserve">Ecuación 3.7</w:t>
        </w:r>
      </w:hyperlink>
      <w:r>
        <w:t xml:space="preserve">):</w:t>
      </w:r>
    </w:p>
    <w:p>
      <w:pPr>
        <w:pStyle w:val="Textoindependiente"/>
        <w:spacing w:line="360" w:lineRule="auto"/>
        <w:jc w:val="both"/>
      </w:pPr>
      <w:bookmarkStart w:id="84" w:name="eq-parsimonia"/>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r>
            <ns1:t>  </ns1:t>
          </ns1:r>
          <ns1:r>
            <ns1:rPr>
              <ns1:sty ns1:val="p"/>
            </ns1:rPr>
            <ns1:t>(</ns1:t>
          </ns1:r>
          <ns1:r>
            <ns1:t>3.7</ns1:t>
          </ns1:r>
          <ns1:r>
            <ns1:rPr>
              <ns1:sty ns1:val="p"/>
            </ns1:rPr>
            <ns1:t>)</ns1:t>
          </ns1:r>
        </ns1:oMath>
      </ns1:oMathPara>
      <w:bookmarkEnd w:id="84"/>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85"/>
    <w:bookmarkStart w:id="87" w:name="brecha-de-fidelidad"/>
    <w:p>
      <w:pPr>
        <w:pStyle w:val="Ttulo3"/>
        <w:spacing w:line="360" w:lineRule="auto"/>
        <w:jc w:val="both"/>
      </w:pPr>
      <w:r>
        <w:t xml:space="preserve">3.5.4 </w:t>
      </w: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r>
        <w:t xml:space="preserve"> </w:t>
      </w:r>
      <w:r>
        <w:t xml:space="preserve">(</w:t>
      </w:r>
      <w:hyperlink w:anchor="eq-brecha-fidelidad">
        <w:r>
          <w:rPr>
            <w:rStyle w:val="Hipervnculo"/>
          </w:rPr>
          <w:t xml:space="preserve">Ecuación 3.8</w:t>
        </w:r>
      </w:hyperlink>
      <w:r>
        <w:t xml:space="preserve">):</w:t>
      </w:r>
    </w:p>
    <w:p>
      <w:pPr>
        <w:pStyle w:val="Textoindependiente"/>
        <w:spacing w:line="360" w:lineRule="auto"/>
        <w:jc w:val="both"/>
      </w:pPr>
      <w:bookmarkStart w:id="86" w:name="eq-brecha-fidelidad"/>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r>
            <ns1:t>  </ns1:t>
          </ns1:r>
          <ns1:r>
            <ns1:rPr>
              <ns1:sty ns1:val="p"/>
            </ns1:rPr>
            <ns1:t>(</ns1:t>
          </ns1:r>
          <ns1:r>
            <ns1:t>3.8</ns1:t>
          </ns1:r>
          <ns1:r>
            <ns1:rPr>
              <ns1:sty ns1:val="p"/>
            </ns1:rPr>
            <ns1:t>)</ns1:t>
          </ns1:r>
        </ns1:oMath>
      </ns1:oMathPara>
      <w:bookmarkEnd w:id="86"/>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87"/>
    <w:bookmarkStart w:id="88" w:name="coste-computacional"/>
    <w:p>
      <w:pPr>
        <w:pStyle w:val="Ttulo3"/>
        <w:spacing w:line="360" w:lineRule="auto"/>
        <w:jc w:val="both"/>
      </w:pPr>
      <w:r>
        <w:t xml:space="preserve">3.5.5 </w:t>
      </w: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88"/>
    <w:bookmarkStart w:id="90" w:name="resumen-de-métricas-primarias"/>
    <w:p>
      <w:pPr>
        <w:pStyle w:val="Ttulo3"/>
        <w:spacing w:line="360" w:lineRule="auto"/>
        <w:jc w:val="both"/>
      </w:pPr>
      <w:r>
        <w:t xml:space="preserve">3.5.6 </w:t>
      </w:r>
      <w:r>
        <w:t xml:space="preserve">Resumen de métricas primarias</w:t>
      </w:r>
    </w:p>
    <w:tbl>
      <w:tblPr>
        <w:tblStyle w:val="Table"/>
        <w:tblW w:type="pct" w:w="5000"/>
        <w:jc w:val="center"/>
        <w:tblLayout w:type="fixed"/>
        <w:tblLook w:firstRow="0" w:lastRow="0" w:firstColumn="0" w:lastColumn="0" w:noHBand="0" w:noVBand="0" w:val="0000"/>
      </w:tblPr>
      <w:tblGrid>
        <w:gridCol w:w="7920"/>
      </w:tblGrid>
      <w:tr>
        <w:tc>
          <w:tcPr/>
          <w:bookmarkStart w:id="89" w:name="tbl-metrics"/>
          <w:p>
            <w:pPr>
              <w:pStyle w:val="ImageCaption"/>
              <w:spacing w:before="200" w:line="360" w:lineRule="auto"/>
              <w:jc w:val="center"/>
            </w:pPr>
            <w:r>
              <w:t xml:space="preserve">Tabla 3.2: Métricas primarias del benchmark con unidades y direcciones.</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Símbolo</w:t>
                  </w:r>
                </w:p>
              </w:tc>
              <w:tc>
                <w:tcPr/>
                <w:p>
                  <w:pPr>
                    <w:pStyle w:val="Compact"/>
                    <w:jc w:val="both"/>
                    <w:jc w:val="center"/>
                    <w:spacing w:line="360" w:lineRule="auto"/>
                  </w:pPr>
                  <w:r>
                    <w:rPr>
                      <w:bCs/>
                      <w:b/>
                    </w:rPr>
                    <w:t xml:space="preserve">Unidad</w:t>
                  </w:r>
                </w:p>
              </w:tc>
              <w:tc>
                <w:tcPr/>
                <w:p>
                  <w:pPr>
                    <w:pStyle w:val="Compact"/>
                    <w:jc w:val="both"/>
                    <w:jc w:val="center"/>
                    <w:spacing w:line="360" w:lineRule="auto"/>
                  </w:pPr>
                  <w:r>
                    <w:rPr>
                      <w:bCs/>
                      <w:b/>
                    </w:rP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r>
                    <w:t xml:space="preserve">​</w:t>
                  </w:r>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r>
                    <w:t xml:space="preserve">​</w:t>
                  </w:r>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r>
                    <w:t xml:space="preserve">​</w:t>
                  </w:r>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r>
                    <w:t xml:space="preserve">​</w:t>
                  </w:r>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r>
                    <w:t xml:space="preserve">​</w:t>
                  </w:r>
                </w:p>
              </w:tc>
            </w:tr>
          </w:tbl>
          <w:bookmarkEnd w:id="89"/>
          <w:p>
            <w:pPr>
              <w:spacing w:line="360" w:lineRule="auto"/>
              <w:jc w:val="both"/>
            </w:pPr>
          </w:p>
        </w:tc>
      </w:tr>
    </w:tbl>
    <w:bookmarkEnd w:id="90"/>
    <w:bookmarkEnd w:id="91"/>
    <w:bookmarkStart w:id="94" w:name="sec-fom7"/>
    <w:p>
      <w:pPr>
        <w:pStyle w:val="Ttulo2"/>
        <w:spacing w:line="360" w:lineRule="auto"/>
        <w:jc w:val="both"/>
      </w:pPr>
      <w:r>
        <w:t xml:space="preserve">3.6 </w:t>
      </w: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 Esta decisión descarta</w:t>
      </w:r>
      <w:r>
        <w:t xml:space="preserve"> </w:t>
      </w:r>
      <w:r>
        <w:t xml:space="preserve">deliberadamente las estrategias de imputación habituales en presencia de datos</w:t>
      </w:r>
      <w:r>
        <w:t xml:space="preserve"> </w:t>
      </w:r>
      <w:r>
        <w:t xml:space="preserve">faltantes</w:t>
      </w:r>
      <w:r>
        <w:t xml:space="preserve"> </w:t>
      </w:r>
      <w:r>
        <w:t xml:space="preserve">(Adhikari 2022)</w:t>
      </w:r>
      <w:r>
        <w:t xml:space="preserve">: imputar una métrica de calidad equivaldría a fabricar</w:t>
      </w:r>
      <w:r>
        <w:t xml:space="preserve"> </w:t>
      </w:r>
      <w:r>
        <w:t xml:space="preserve">evidencia sobre el comportamiento de un explicador que no llegó a ejecutarse, de</w:t>
      </w:r>
      <w:r>
        <w:t xml:space="preserve"> </w:t>
      </w:r>
      <w:r>
        <w:t xml:space="preserve">modo que la cobertura reducida se declara y se cuantifica (Sección</w:t>
      </w:r>
      <w:r>
        <w:t xml:space="preserve"> </w:t>
      </w:r>
      <w:hyperlink w:anchor="sec-cobertura">
        <w:r>
          <w:rPr>
            <w:rStyle w:val="Hipervnculo"/>
          </w:rPr>
          <w:t xml:space="preserve">3.7</w:t>
        </w:r>
      </w:hyperlink>
      <w:r>
        <w:t xml:space="preserve">) en lugar</w:t>
      </w:r>
      <w:r>
        <w:t xml:space="preserve"> </w:t>
      </w:r>
      <w:r>
        <w:t xml:space="preserve">de completarse.</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se resume en la</w:t>
      </w:r>
      <w:r>
        <w:t xml:space="preserve"> </w:t>
      </w:r>
      <w:hyperlink w:anchor="eq-flujo-fom7">
        <w:r>
          <w:rPr>
            <w:rStyle w:val="Hipervnculo"/>
          </w:rPr>
          <w:t xml:space="preserve">Ecuación 3.9</w:t>
        </w:r>
      </w:hyperlink>
      <w:r>
        <w:t xml:space="preserve">:</w:t>
      </w:r>
    </w:p>
    <w:p>
      <w:pPr>
        <w:pStyle w:val="Textoindependiente"/>
        <w:spacing w:line="360" w:lineRule="auto"/>
        <w:jc w:val="both"/>
      </w:pPr>
      <w:bookmarkStart w:id="92" w:name="eq-flujo-fom7"/>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r>
            <ns1:t>  </ns1:t>
          </ns1:r>
          <ns1:r>
            <ns1:rPr>
              <ns1:sty ns1:val="p"/>
            </ns1:rPr>
            <ns1:t>(</ns1:t>
          </ns1:r>
          <ns1:r>
            <ns1:t>3.9</ns1:t>
          </ns1:r>
          <ns1:r>
            <ns1:rPr>
              <ns1:sty ns1:val="p"/>
            </ns1:rPr>
            <ns1:t>)</ns1:t>
          </ns1:r>
        </ns1:oMath>
      </ns1:oMathPara>
      <w:bookmarkEnd w:id="92"/>
    </w:p>
    <w:p>
      <w:pPr>
        <w:pStyle w:val="FirstParagraph"/>
        <w:spacing w:line="360" w:lineRule="auto"/>
        <w:jc w:val="both"/>
      </w:pPr>
      <w:r>
        <w:t xml:space="preserve">La Tabla</w:t>
      </w:r>
      <w:r>
        <w:t xml:space="preserve"> </w:t>
      </w:r>
      <w:hyperlink w:anchor="tbl-fom7-gates">
        <w:r>
          <w:rPr>
            <w:rStyle w:val="Hipervnculo"/>
          </w:rPr>
          <w:t xml:space="preserve">3.3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jc w:val="center"/>
        <w:tblLayout w:type="fixed"/>
        <w:tblLook w:firstRow="0" w:lastRow="0" w:firstColumn="0" w:lastColumn="0" w:noHBand="0" w:noVBand="0" w:val="0000"/>
      </w:tblPr>
      <w:tblGrid>
        <w:gridCol w:w="7920"/>
      </w:tblGrid>
      <w:tr>
        <w:tc>
          <w:tcPr/>
          <w:bookmarkStart w:id="93" w:name="tbl-fom7-gates"/>
          <w:p>
            <w:pPr>
              <w:pStyle w:val="ImageCaption"/>
              <w:spacing w:before="200" w:line="360" w:lineRule="auto"/>
              <w:jc w:val="center"/>
            </w:pPr>
            <w:r>
              <w:t xml:space="preserve">Tabla 3.3: Puertas FOM-7, artefactos y modos de fallo controlados.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Puerta</w:t>
                  </w:r>
                </w:p>
              </w:tc>
              <w:tc>
                <w:tcPr/>
                <w:p>
                  <w:pPr>
                    <w:pStyle w:val="Compact"/>
                    <w:jc w:val="both"/>
                    <w:jc w:val="center"/>
                    <w:spacing w:line="360" w:lineRule="auto"/>
                  </w:pPr>
                  <w:r>
                    <w:rPr>
                      <w:bCs/>
                      <w:b/>
                    </w:rPr>
                    <w:t xml:space="preserve">Propósito</w:t>
                  </w:r>
                </w:p>
              </w:tc>
              <w:tc>
                <w:tcPr/>
                <w:p>
                  <w:pPr>
                    <w:pStyle w:val="Compact"/>
                    <w:jc w:val="both"/>
                    <w:jc w:val="center"/>
                    <w:spacing w:line="360" w:lineRule="auto"/>
                  </w:pPr>
                  <w:r>
                    <w:rPr>
                      <w:bCs/>
                      <w:b/>
                    </w:rPr>
                    <w:t xml:space="preserve">Artefacto de entrada</w:t>
                  </w:r>
                </w:p>
              </w:tc>
              <w:tc>
                <w:tcPr/>
                <w:p>
                  <w:pPr>
                    <w:pStyle w:val="Compact"/>
                    <w:jc w:val="both"/>
                    <w:jc w:val="center"/>
                    <w:spacing w:line="360" w:lineRule="auto"/>
                  </w:pPr>
                  <w:r>
                    <w:rPr>
                      <w:bCs/>
                      <w:b/>
                    </w:rPr>
                    <w:t xml:space="preserve">Artefacto de salida</w:t>
                  </w:r>
                </w:p>
              </w:tc>
              <w:tc>
                <w:tcPr/>
                <w:p>
                  <w:pPr>
                    <w:pStyle w:val="Compact"/>
                    <w:jc w:val="both"/>
                    <w:jc w:val="center"/>
                    <w:spacing w:line="360" w:lineRule="auto"/>
                  </w:pPr>
                  <w:r>
                    <w:rPr>
                      <w:bCs/>
                      <w:b/>
                    </w:rPr>
                    <w:t xml:space="preserve">Fallo controlado</w:t>
                  </w:r>
                </w:p>
              </w:tc>
              <w:tc>
                <w:tcPr/>
                <w:p>
                  <w:pPr>
                    <w:pStyle w:val="Compact"/>
                    <w:jc w:val="both"/>
                    <w:jc w:val="center"/>
                    <w:spacing w:line="360" w:lineRule="auto"/>
                  </w:pPr>
                  <w:r>
                    <w:rPr>
                      <w:bCs/>
                      <w:b/>
                    </w:rP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4.1</w:t>
                    </w:r>
                  </w:hyperlink>
                  <w:r>
                    <w:t xml:space="preserve"> </w:t>
                  </w:r>
                  <w:r>
                    <w:t xml:space="preserve">y</w:t>
                  </w:r>
                  <w:r>
                    <w:t xml:space="preserve"> </w:t>
                  </w:r>
                  <w:hyperlink w:anchor="tbl-claim-traceability">
                    <w:r>
                      <w:rPr>
                        <w:rStyle w:val="Hipervnculo"/>
                      </w:rPr>
                      <w:t xml:space="preserve">4.7</w:t>
                    </w:r>
                  </w:hyperlink>
                </w:p>
              </w:tc>
            </w:tr>
          </w:tbl>
          <w:bookmarkEnd w:id="93"/>
          <w:p>
            <w:pPr>
              <w:spacing w:line="360" w:lineRule="auto"/>
              <w:jc w:val="both"/>
            </w:pPr>
          </w:p>
        </w:tc>
      </w:tr>
    </w:tbl>
    <w:bookmarkEnd w:id="94"/>
    <w:bookmarkStart w:id="102" w:name="sec-cobertura"/>
    <w:p>
      <w:pPr>
        <w:pStyle w:val="Ttulo2"/>
        <w:spacing w:line="360" w:lineRule="auto"/>
        <w:jc w:val="both"/>
      </w:pPr>
      <w:r>
        <w:t xml:space="preserve">3.7 </w:t>
      </w:r>
      <w:r>
        <w:t xml:space="preserve">Cobertura de artefactos y análisis del impacto de datos faltantes</w:t>
      </w:r>
    </w:p>
    <w:bookmarkStart w:id="97" w:name="inventario-de-cobertura"/>
    <w:p>
      <w:pPr>
        <w:pStyle w:val="Ttulo3"/>
        <w:spacing w:line="360" w:lineRule="auto"/>
        <w:jc w:val="both"/>
      </w:pPr>
      <w:r>
        <w:t xml:space="preserve">3.7.1 </w:t>
      </w: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jc w:val="center"/>
        <w:tblLayout w:type="fixed"/>
        <w:tblLook w:firstRow="0" w:lastRow="0" w:firstColumn="0" w:lastColumn="0" w:noHBand="0" w:noVBand="0" w:val="0000"/>
      </w:tblPr>
      <w:tblGrid>
        <w:gridCol w:w="7920"/>
      </w:tblGrid>
      <w:tr>
        <w:tc>
          <w:tcPr/>
          <w:bookmarkStart w:id="95" w:name="tbl-coverage"/>
          <w:p>
            <w:pPr>
              <w:pStyle w:val="ImageCaption"/>
              <w:spacing w:before="200" w:line="360" w:lineRule="auto"/>
              <w:jc w:val="center"/>
            </w:pPr>
            <w:r>
              <w:t xml:space="preserve">Tabla 3.4: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Cohorte</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Presentes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95"/>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jc w:val="center"/>
        <w:tblLayout w:type="fixed"/>
        <w:tblLook w:firstRow="0" w:lastRow="0" w:firstColumn="0" w:lastColumn="0" w:noHBand="0" w:noVBand="0" w:val="0000"/>
      </w:tblPr>
      <w:tblGrid>
        <w:gridCol w:w="7920"/>
      </w:tblGrid>
      <w:tr>
        <w:tc>
          <w:tcPr/>
          <w:bookmarkStart w:id="96" w:name="tbl-coverage-method"/>
          <w:p>
            <w:pPr>
              <w:pStyle w:val="ImageCaption"/>
              <w:spacing w:before="200" w:line="360" w:lineRule="auto"/>
              <w:jc w:val="center"/>
            </w:pPr>
            <w:r>
              <w:t xml:space="preserve">Tabla 3.5: Cobertura analítica por método. SHAP incluye la superposición de</w:t>
            </w:r>
            <w:r>
              <w:t xml:space="preserve"> </w:t>
            </w:r>
            <w:r>
              <w:t xml:space="preserve">recuperación.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Método</w:t>
                  </w:r>
                </w:p>
              </w:tc>
              <w:tc>
                <w:tcPr/>
                <w:p>
                  <w:pPr>
                    <w:pStyle w:val="Compact"/>
                    <w:jc w:val="both"/>
                    <w:jc w:val="center"/>
                    <w:spacing w:line="360" w:lineRule="auto"/>
                  </w:pPr>
                  <w:r>
                    <w:rPr>
                      <w:bCs/>
                      <w:b/>
                    </w:rPr>
                    <w:t xml:space="preserve">Planificadas</w:t>
                  </w:r>
                </w:p>
              </w:tc>
              <w:tc>
                <w:tcPr/>
                <w:p>
                  <w:pPr>
                    <w:pStyle w:val="Compact"/>
                    <w:jc w:val="both"/>
                    <w:jc w:val="center"/>
                    <w:spacing w:line="360" w:lineRule="auto"/>
                  </w:pPr>
                  <w:r>
                    <w:rPr>
                      <w:bCs/>
                      <w:b/>
                    </w:rPr>
                    <w:t xml:space="preserve">Analizables</w:t>
                  </w:r>
                </w:p>
              </w:tc>
              <w:tc>
                <w:tcPr/>
                <w:p>
                  <w:pPr>
                    <w:pStyle w:val="Compact"/>
                    <w:jc w:val="both"/>
                    <w:jc w:val="center"/>
                    <w:spacing w:line="360" w:lineRule="auto"/>
                  </w:pPr>
                  <w:r>
                    <w:rPr>
                      <w:bCs/>
                      <w:b/>
                    </w:rP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96"/>
          <w:p>
            <w:pPr>
              <w:spacing w:line="360" w:lineRule="auto"/>
              <w:jc w:val="both"/>
            </w:pPr>
          </w:p>
        </w:tc>
      </w:tr>
    </w:tbl>
    <w:bookmarkEnd w:id="97"/>
    <w:bookmarkStart w:id="101" w:name="Xcb4396ffd8bf23e7b418105a9e8d3fef7075c0b"/>
    <w:p>
      <w:pPr>
        <w:pStyle w:val="Ttulo3"/>
        <w:spacing w:line="360" w:lineRule="auto"/>
        <w:jc w:val="both"/>
      </w:pPr>
      <w:r>
        <w:t xml:space="preserve">3.7.2 </w:t>
      </w: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Estudio Pareado LIME–SHAP.</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 la</w:t>
      </w:r>
      <w:r>
        <w:t xml:space="preserve"> </w:t>
      </w:r>
      <w:hyperlink w:anchor="eq-varianza-bloque">
        <w:r>
          <w:rPr>
            <w:rStyle w:val="Hipervnculo"/>
          </w:rPr>
          <w:t xml:space="preserve">Ecuación 3.10</w:t>
        </w:r>
      </w:hyperlink>
      <w:r>
        <w:t xml:space="preserve">:</w:t>
      </w:r>
    </w:p>
    <w:p>
      <w:pPr>
        <w:pStyle w:val="Textoindependiente"/>
        <w:spacing w:line="360" w:lineRule="auto"/>
        <w:jc w:val="both"/>
      </w:pPr>
      <w:bookmarkStart w:id="98" w:name="eq-varianza-bloque"/>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r>
            <ns1:t>  </ns1:t>
          </ns1:r>
          <ns1:r>
            <ns1:rPr>
              <ns1:sty ns1:val="p"/>
            </ns1:rPr>
            <ns1:t>(</ns1:t>
          </ns1:r>
          <ns1:r>
            <ns1:t>3.10</ns1:t>
          </ns1:r>
          <ns1:r>
            <ns1:rPr>
              <ns1:sty ns1:val="p"/>
            </ns1:rPr>
            <ns1:t>)</ns1:t>
          </ns1:r>
        </ns1:oMath>
      </ns1:oMathPara>
      <w:bookmarkEnd w:id="98"/>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omnibus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w:t>
      </w:r>
      <w:r>
        <w:t xml:space="preserve"> </w:t>
      </w:r>
      <w:r>
        <w:t xml:space="preserve">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 el de la</w:t>
      </w:r>
      <w:r>
        <w:t xml:space="preserve"> </w:t>
      </w:r>
      <w:hyperlink w:anchor="eq-margen-coste">
        <w:r>
          <w:rPr>
            <w:rStyle w:val="Hipervnculo"/>
          </w:rPr>
          <w:t xml:space="preserve">Ecuación 3.11</w:t>
        </w:r>
      </w:hyperlink>
      <w:r>
        <w:t xml:space="preserve">:</w:t>
      </w:r>
    </w:p>
    <w:p>
      <w:pPr>
        <w:pStyle w:val="Textoindependiente"/>
        <w:spacing w:line="360" w:lineRule="auto"/>
        <w:jc w:val="both"/>
      </w:pPr>
      <w:bookmarkStart w:id="99" w:name="eq-margen-coste"/>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r>
            <ns1:t>  </ns1:t>
          </ns1:r>
          <ns1:r>
            <ns1:rPr>
              <ns1:sty ns1:val="p"/>
            </ns1:rPr>
            <ns1:t>(</ns1:t>
          </ns1:r>
          <ns1:r>
            <ns1:t>3.11</ns1:t>
          </ns1:r>
          <ns1:r>
            <ns1:rPr>
              <ns1:sty ns1:val="p"/>
            </ns1:rPr>
            <ns1:t>)</ns1:t>
          </ns1:r>
        </ns1:oMath>
      </ns1:oMathPara>
      <w:bookmarkEnd w:id="99"/>
    </w:p>
    <w:p>
      <w:pPr>
        <w:pStyle w:val="FirstParagraph"/>
        <w:spacing w:line="360" w:lineRule="auto"/>
        <w:jc w:val="both"/>
      </w:pPr>
      <w:r>
        <w:t xml:space="preserve">Para acotar el margen de forma explícita se aplica una prueba de esfuerzo</w:t>
      </w:r>
      <w:r>
        <w:t xml:space="preserve"> </w:t>
      </w:r>
      <w:r>
        <w:t xml:space="preserve">deliberadamente severa sobre la métrica menos favorable: se divide por dos el</w:t>
      </w:r>
      <w:r>
        <w:t xml:space="preserve"> </w:t>
      </w:r>
      <w:r>
        <w:t xml:space="preserve">estadístico observado de Coste, una degradación que excede con holgura la</w:t>
      </w:r>
      <w:r>
        <w:t xml:space="preserve"> </w:t>
      </w:r>
      <w:r>
        <w:t xml:space="preserve">inflación de varianza calculada de 1.47. El resultado sigue siendo significativo (</w:t>
      </w:r>
      <w:hyperlink w:anchor="eq-prueba-esfuerzo">
        <w:r>
          <w:rPr>
            <w:rStyle w:val="Hipervnculo"/>
          </w:rPr>
          <w:t xml:space="preserve">Ecuación 3.12</w:t>
        </w:r>
      </w:hyperlink>
      <w:r>
        <w:t xml:space="preserve">):</w:t>
      </w:r>
    </w:p>
    <w:p>
      <w:pPr>
        <w:pStyle w:val="Textoindependiente"/>
        <w:spacing w:line="360" w:lineRule="auto"/>
        <w:jc w:val="both"/>
      </w:pPr>
      <w:bookmarkStart w:id="100" w:name="eq-prueba-esfuerzo"/>
      <ns1:oMathPara>
        <ns1:oMathParaPr>
          <ns1:jc ns1:val="center"/>
        </ns1:oMathParaPr>
        <ns1:oMath>
          <ns1:sSubSup>
            <ns1:e>
              <ns1:r>
                <ns1:t>χ</ns1:t>
              </ns1:r>
            </ns1:e>
            <ns1:sub>
              <ns1:r>
                <ns1:rPr>
                  <ns1:nor/>
                  <ns1:sty ns1:val="p"/>
                </ns1:rPr>
                <ns1:t>estrés</ns1:t>
              </ns1:r>
            </ns1:sub>
            <ns1:sup>
              <ns1:r>
                <ns1:t>2</ns1:t>
              </ns1:r>
            </ns1:sup>
          </ns1:sSubSup>
          <ns1:r>
            <ns1:rPr>
              <ns1:sty ns1:val="p"/>
            </ns1:rPr>
            <ns1:t>=</ns1:t>
          </ns1:r>
          <ns1:f>
            <ns1:fPr>
              <ns1:type ns1:val="bar"/>
            </ns1:fPr>
            <ns1:num>
              <ns1:r>
                <ns1:t>30.44</ns1:t>
              </ns1:r>
            </ns1:num>
            <ns1:den>
              <ns1:r>
                <ns1:t>2</ns1:t>
              </ns1:r>
            </ns1:den>
          </ns1:f>
          <ns1:r>
            <ns1:rPr>
              <ns1:sty ns1:val="p"/>
            </ns1:rPr>
            <ns1:t>=</ns1:t>
          </ns1:r>
          <ns1:r>
            <ns1:t>15.22</ns1:t>
          </ns1:r>
          <ns1:r>
            <ns1:t> </ns1:t>
          </ns1:r>
          <ns1:r>
            <ns1:rPr>
              <ns1:sty ns1:val="p"/>
            </ns1:rPr>
            <ns1:t>⇒</ns1:t>
          </ns1:r>
          <ns1:r>
            <ns1:t> </ns1:t>
          </ns1:r>
          <ns1:r>
            <ns1:t>p</ns1:t>
          </ns1:r>
          <ns1:r>
            <ns1:rPr>
              <ns1:sty ns1:val="p"/>
            </ns1:rPr>
            <ns1:t>=</ns1:t>
          </ns1:r>
          <ns1:r>
            <ns1:t>P</ns1:t>
          </ns1:r>
          <ns1:r>
            <ns1:t>​</ns1:t>
          </ns1:r>
          <ns1:d>
            <ns1:dPr>
              <ns1:begChr ns1:val="("/>
              <ns1:sepChr ns1:val=""/>
              <ns1:endChr ns1:val=")"/>
              <ns1:grow/>
            </ns1:dPr>
            <ns1:e>
              <ns1:sSubSup>
                <ns1:e>
                  <ns1:r>
                    <ns1:t>χ</ns1:t>
                  </ns1:r>
                </ns1:e>
                <ns1:sub>
                  <ns1:r>
                    <ns1:t>3</ns1:t>
                  </ns1:r>
                </ns1:sub>
                <ns1:sup>
                  <ns1:r>
                    <ns1:t>2</ns1:t>
                  </ns1:r>
                </ns1:sup>
              </ns1:sSubSup>
              <ns1:r>
                <ns1:rPr>
                  <ns1:sty ns1:val="p"/>
                </ns1:rPr>
                <ns1:t>&gt;</ns1:t>
              </ns1:r>
              <ns1:r>
                <ns1:t>15.22</ns1:t>
              </ns1:r>
            </ns1:e>
          </ns1:d>
          <ns1:r>
            <ns1:rPr>
              <ns1:sty ns1:val="p"/>
            </ns1:rPr>
            <ns1:t>=</ns1:t>
          </ns1:r>
          <ns1:r>
            <ns1:t>0.0016</ns1:t>
          </ns1:r>
          <ns1:r>
            <ns1:rPr>
              <ns1:sty ns1:val="p"/>
            </ns1:rPr>
            <ns1:t>&lt;</ns1:t>
          </ns1:r>
          <ns1:r>
            <ns1:t>0.05</ns1:t>
          </ns1:r>
          <ns1:r>
            <ns1:t>  </ns1:t>
          </ns1:r>
          <ns1:r>
            <ns1:rPr>
              <ns1:sty ns1:val="p"/>
            </ns1:rPr>
            <ns1:t>(</ns1:t>
          </ns1:r>
          <ns1:r>
            <ns1:t>3.12</ns1:t>
          </ns1:r>
          <ns1:r>
            <ns1:rPr>
              <ns1:sty ns1:val="p"/>
            </ns1:rPr>
            <ns1:t>)</ns1:t>
          </ns1:r>
        </ns1:oMath>
      </ns1:oMathPara>
      <w:bookmarkEnd w:id="100"/>
    </w:p>
    <w:p>
      <w:pPr>
        <w:pStyle w:val="FirstParagraph"/>
        <w:spacing w:line="360" w:lineRule="auto"/>
        <w:jc w:val="both"/>
      </w:pPr>
      <w:r>
        <w:t xml:space="preserve">Conviene precisar qué operación es esta y qué no es. Dividir el estadístico por</w:t>
      </w:r>
      <w:r>
        <w:t xml:space="preserve"> </w:t>
      </w:r>
      <w:r>
        <w:t xml:space="preserve">dos no equivale a una reducción del poder del 50%: es una degradación directa de</w:t>
      </w:r>
      <w:r>
        <w:t xml:space="preserve"> </w:t>
      </w:r>
      <w:r>
        <w:t xml:space="preserve">la evidencia observada, aplicada como cota inferior conservadora. Bajo la</w:t>
      </w:r>
      <w:r>
        <w:t xml:space="preserve"> </w:t>
      </w:r>
      <w:r>
        <w:t xml:space="preserve">interpretación alternativa —reducir a la mitad el parámetro de no centralidad</w:t>
      </w:r>
      <w:r>
        <w:t xml:space="preserve"> </w:t>
      </w:r>
      <ns1:oMath>
        <ns1:r>
          <ns1:t>λ</ns1:t>
        </ns1:r>
        <ns1:r>
          <ns1:rPr>
            <ns1:sty ns1:val="p"/>
          </ns1:rPr>
          <ns1:t>=</ns1:t>
        </ns1:r>
        <ns1:sSubSup>
          <ns1:e>
            <ns1:r>
              <ns1:t>χ</ns1:t>
            </ns1:r>
          </ns1:e>
          <ns1:sub>
            <ns1:r>
              <ns1:t>F</ns1:t>
            </ns1:r>
          </ns1:sub>
          <ns1:sup>
            <ns1:r>
              <ns1:t>2</ns1:t>
            </ns1:r>
          </ns1:sup>
        </ns1:sSubSup>
        <ns1:r>
          <ns1:rPr>
            <ns1:sty ns1:val="p"/>
          </ns1:rPr>
          <ns1:t>−</ns1:t>
        </ns1:r>
        <ns1:r>
          <ns1:t>g</ns1:t>
        </ns1:r>
        <ns1:r>
          <ns1:t>l</ns1:t>
        </ns1:r>
        <ns1:r>
          <ns1:rPr>
            <ns1:sty ns1:val="p"/>
          </ns1:rPr>
          <ns1:t>=</ns1:t>
        </ns1:r>
        <ns1:r>
          <ns1:t>27.44</ns1:t>
        </ns1:r>
      </ns1:oMath>
      <w:r>
        <w:t xml:space="preserve">, de modo que</w:t>
      </w:r>
      <w:r>
        <w:t xml:space="preserve"> </w:t>
      </w:r>
      <ns1:oMath>
        <ns1:r>
          <ns1:rPr>
            <ns1:scr ns1:val="double-struck"/>
            <ns1:sty ns1:val="p"/>
          </ns1:rPr>
          <ns1:t>E</ns1:t>
        </ns1:r>
        <ns1:r>
          <ns1:rPr>
            <ns1:sty ns1:val="p"/>
          </ns1:rPr>
          <ns1:t>[</ns1:t>
        </ns1:r>
        <ns1:sSup>
          <ns1:e>
            <ns1:r>
              <ns1:t>χ</ns1:t>
            </ns1:r>
          </ns1:e>
          <ns1:sup>
            <ns1:r>
              <ns1:t>2</ns1:t>
            </ns1:r>
          </ns1:sup>
        </ns1:sSup>
        <ns1:r>
          <ns1:rPr>
            <ns1:sty ns1:val="p"/>
          </ns1:rPr>
          <ns1:t>]</ns1:t>
        </ns1:r>
        <ns1:r>
          <ns1:rPr>
            <ns1:sty ns1:val="p"/>
          </ns1:rPr>
          <ns1:t>=</ns1:t>
        </ns1:r>
        <ns1:r>
          <ns1:t>g</ns1:t>
        </ns1:r>
        <ns1:r>
          <ns1:t>l</ns1:t>
        </ns1:r>
        <ns1:r>
          <ns1:rPr>
            <ns1:sty ns1:val="p"/>
          </ns1:rPr>
          <ns1:t>+</ns1:t>
        </ns1:r>
        <ns1:r>
          <ns1:t>λ</ns1:t>
        </ns1:r>
        <ns1:r>
          <ns1:rPr>
            <ns1:sty ns1:val="p"/>
          </ns1:rPr>
          <ns1:t>/</ns1:t>
        </ns1:r>
        <ns1:r>
          <ns1:t>2</ns1:t>
        </ns1:r>
        <ns1:r>
          <ns1:rPr>
            <ns1:sty ns1:val="p"/>
          </ns1:rPr>
          <ns1:t>=</ns1:t>
        </ns1:r>
        <ns1:r>
          <ns1:t>16.72</ns1:t>
        </ns1:r>
      </ns1:oMath>
      <w:r>
        <w:t xml:space="preserve">— la conclusión es todavía más holgada (</w:t>
      </w:r>
      <ns1:oMath>
        <ns1:r>
          <ns1:t>p</ns1:t>
        </ns1:r>
        <ns1:r>
          <ns1:rPr>
            <ns1:sty ns1:val="p"/>
          </ns1:rPr>
          <ns1:t>=</ns1:t>
        </ns1:r>
        <ns1:r>
          <ns1:t>0.0008</ns1:t>
        </ns1:r>
      </ns1:oMath>
      <w:r>
        <w:t xml:space="preserve">). Ambas</w:t>
      </w:r>
      <w:r>
        <w:t xml:space="preserve"> </w:t>
      </w:r>
      <w:r>
        <w:t xml:space="preserve">lecturas dejan el estadístico por encima del 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7.815</ns1:t>
        </ns1:r>
      </ns1:oMath>
      <w:r>
        <w:t xml:space="preserve">, de modo que la significación de Coste no depende de</w:t>
      </w:r>
      <w:r>
        <w:t xml:space="preserve"> </w:t>
      </w:r>
      <w:r>
        <w:t xml:space="preserve">cuál de las dos se adopte.</w:t>
      </w:r>
    </w:p>
    <w:p>
      <w:pPr>
        <w:pStyle w:val="Textoindependiente"/>
        <w:spacing w:line="360" w:lineRule="auto"/>
        <w:jc w:val="both"/>
      </w:pPr>
      <w:r>
        <w:rPr>
          <w:b/>
          <w:bCs/>
        </w:rPr>
        <w:t xml:space="preserve">Integridad del Estudio Pareado LIME–SHAP.</w:t>
      </w:r>
      <w:r>
        <w:t xml:space="preserve"> </w:t>
      </w:r>
      <w:r>
        <w:t xml:space="preserve">Con cobertura completa de</w:t>
      </w:r>
      <w:r>
        <w:t xml:space="preserve"> </w:t>
      </w:r>
      <w:r>
        <w:t xml:space="preserve">SHAP (75/75) y LIME (75/75), su cobertura pareada es del 100%. Los datos</w:t>
      </w:r>
      <w:r>
        <w:t xml:space="preserve"> </w:t>
      </w:r>
      <w:r>
        <w:t xml:space="preserve">faltantes de Anchors y DiCE</w:t>
      </w:r>
      <w:r>
        <w:t xml:space="preserve"> </w:t>
      </w:r>
      <w:r>
        <w:rPr>
          <w:b/>
          <w:bCs/>
        </w:rPr>
        <w:t xml:space="preserve">no afectan</w:t>
      </w:r>
      <w:r>
        <w:t xml:space="preserve"> </w:t>
      </w:r>
      <w:r>
        <w:t xml:space="preserve">a este estudio.</w:t>
      </w:r>
    </w:p>
    <w:p>
      <w:pPr>
        <w:pStyle w:val="Textoindependiente"/>
        <w:spacing w:line="360" w:lineRule="auto"/>
        <w:jc w:val="both"/>
      </w:pPr>
      <w:r>
        <w:rPr>
          <w:b/>
          <w:bCs/>
        </w:rPr>
        <w:t xml:space="preserve">Dirección del sesgo de selección en Anchors.</w:t>
      </w:r>
      <w:r>
        <w:t xml:space="preserve"> </w:t>
      </w:r>
      <w:r>
        <w:t xml:space="preserve">El análisis anterior cuantifica</w:t>
      </w:r>
      <w:r>
        <w:t xml:space="preserve"> </w:t>
      </w:r>
      <w:r>
        <w:t xml:space="preserve">el efecto de la cobertura reducida sobre la</w:t>
      </w:r>
      <w:r>
        <w:t xml:space="preserve"> </w:t>
      </w:r>
      <w:r>
        <w:rPr>
          <w:i/>
          <w:iCs/>
        </w:rPr>
        <w:t xml:space="preserve">varianza</w:t>
      </w:r>
      <w:r>
        <w:t xml:space="preserve"> </w:t>
      </w:r>
      <w:r>
        <w:t xml:space="preserve">de los estimadores, pero</w:t>
      </w:r>
      <w:r>
        <w:t xml:space="preserve"> </w:t>
      </w:r>
      <w:r>
        <w:t xml:space="preserve">la ausencia de datos en Anchors no es aleatoria y exige además una consideración</w:t>
      </w:r>
      <w:r>
        <w:t xml:space="preserve"> </w:t>
      </w:r>
      <w:r>
        <w:t xml:space="preserve">sobre el</w:t>
      </w:r>
      <w:r>
        <w:t xml:space="preserve"> </w:t>
      </w:r>
      <w:r>
        <w:rPr>
          <w:i/>
          <w:iCs/>
        </w:rPr>
        <w:t xml:space="preserve">sesgo</w:t>
      </w:r>
      <w:r>
        <w:t xml:space="preserve">. Las 18 celdas ausentes lo están porque el algoritmo no</w:t>
      </w:r>
      <w:r>
        <w:t xml:space="preserve"> </w:t>
      </w:r>
      <w:r>
        <w:t xml:space="preserve">convergió a una regla con precisión</w:t>
      </w:r>
      <w:r>
        <w:t xml:space="preserve"> </w:t>
      </w:r>
      <ns1:oMath>
        <ns1:r>
          <ns1:rPr>
            <ns1:sty ns1:val="p"/>
          </ns1:rPr>
          <ns1:t>≥</ns1:t>
        </ns1:r>
        <ns1:r>
          <ns1:t>τ</ns1:t>
        </ns1:r>
      </ns1:oMath>
      <w:r>
        <w:t xml:space="preserve"> </w:t>
      </w:r>
      <w:r>
        <w:t xml:space="preserve">dentro del límite de búsqueda:</w:t>
      </w:r>
      <w:r>
        <w:t xml:space="preserve"> </w:t>
      </w:r>
      <w:r>
        <w:t xml:space="preserve">la ausencia depende del resultado que se habría observado, es decir, es</w:t>
      </w:r>
      <w:r>
        <w:t xml:space="preserve"> </w:t>
      </w:r>
      <w:r>
        <w:rPr>
          <w:i/>
          <w:iCs/>
        </w:rPr>
        <w:t xml:space="preserve">missing not at random</w:t>
      </w:r>
      <w:r>
        <w:t xml:space="preserve"> </w:t>
      </w:r>
      <w:r>
        <w:t xml:space="preserve">(MNAR) y se concentra en los estratos de mayor</w:t>
      </w:r>
      <w:r>
        <w:t xml:space="preserve"> </w:t>
      </w:r>
      <w:r>
        <w:t xml:space="preserve">incertidumbre local, precisamente aquellos en los que Anchors habría obtenido</w:t>
      </w:r>
      <w:r>
        <w:t xml:space="preserve"> </w:t>
      </w:r>
      <w:r>
        <w:t xml:space="preserve">previsiblemente sus peores métricas. La consecuencia es direccional: las medias</w:t>
      </w:r>
      <w:r>
        <w:t xml:space="preserve"> </w:t>
      </w:r>
      <w:r>
        <w:t xml:space="preserve">de calidad reportadas para Anchors son, con toda probabilidad,</w:t>
      </w:r>
      <w:r>
        <w:t xml:space="preserve"> </w:t>
      </w:r>
      <w:r>
        <w:rPr>
          <w:b/>
          <w:bCs/>
        </w:rPr>
        <w:t xml:space="preserve">optimistas</w:t>
      </w:r>
      <w:r>
        <w:t xml:space="preserve"> </w:t>
      </w:r>
      <w:r>
        <w:t xml:space="preserve">respecto a su rendimiento sobre el conjunto completo de celdas intentadas.</w:t>
      </w:r>
    </w:p>
    <w:p>
      <w:pPr>
        <w:pStyle w:val="Textoindependiente"/>
        <w:spacing w:line="360" w:lineRule="auto"/>
        <w:jc w:val="both"/>
      </w:pPr>
      <w:r>
        <w:t xml:space="preserve">El análisis de sensibilidad al umbral (</w:t>
      </w:r>
      <w:hyperlink w:anchor="tbl-appendix-anchors-sensitivity">
        <w:r>
          <w:rPr>
            <w:rStyle w:val="Hipervnculo"/>
          </w:rPr>
          <w:t xml:space="preserve">Tabla 7.10</w:t>
        </w:r>
      </w:hyperlink>
      <w:r>
        <w:t xml:space="preserve">) ofrece</w:t>
      </w:r>
      <w:r>
        <w:t xml:space="preserve"> </w:t>
      </w:r>
      <w:r>
        <w:t xml:space="preserve">una estimación empírica de la magnitud de este efecto. Al relajar</w:t>
      </w:r>
      <w:r>
        <w:t xml:space="preserve"> </w:t>
      </w:r>
      <ns1:oMath>
        <ns1:r>
          <ns1:t>τ</ns1:t>
        </ns1:r>
      </ns1:oMath>
      <w:r>
        <w:t xml:space="preserve"> </w:t>
      </w:r>
      <w:r>
        <w:t xml:space="preserve">de 0.95</w:t>
      </w:r>
      <w:r>
        <w:t xml:space="preserve"> </w:t>
      </w:r>
      <w:r>
        <w:t xml:space="preserve">a 0.90, la cobertura asciende de 57/75 (76%) a 72/75 (96%) y la fidelidad media</w:t>
      </w:r>
      <w:r>
        <w:t xml:space="preserve"> </w:t>
      </w:r>
      <w:r>
        <w:rPr>
          <w:i/>
          <w:iCs/>
        </w:rPr>
        <w:t xml:space="preserve">aumenta</w:t>
      </w:r>
      <w:r>
        <w:t xml:space="preserve"> </w:t>
      </w:r>
      <w:r>
        <w:t xml:space="preserve">de 0.386 a 0.421 —no disminuye—, lo que confirma que las celdas</w:t>
      </w:r>
      <w:r>
        <w:t xml:space="preserve"> </w:t>
      </w:r>
      <w:r>
        <w:t xml:space="preserve">recuperadas al relajar el criterio no son las de peor calidad bajo la métrica de</w:t>
      </w:r>
      <w:r>
        <w:t xml:space="preserve"> </w:t>
      </w:r>
      <w:r>
        <w:t xml:space="preserve">correlación de importancias, sino que el umbral y la métrica de fidelidad no</w:t>
      </w:r>
      <w:r>
        <w:t xml:space="preserve"> </w:t>
      </w:r>
      <w:r>
        <w:t xml:space="preserve">están alineados. El sesgo existe, por tanto, pero su magnitud es moderada y su</w:t>
      </w:r>
      <w:r>
        <w:t xml:space="preserve"> </w:t>
      </w:r>
      <w:r>
        <w:t xml:space="preserve">dirección no invalida la posición de Anchors en el ordenamiento: el método ya</w:t>
      </w:r>
      <w:r>
        <w:t xml:space="preserve"> </w:t>
      </w:r>
      <w:r>
        <w:t xml:space="preserve">ocupa la tercera o cuarta posición incluso bajo esta estimación potencialmente</w:t>
      </w:r>
      <w:r>
        <w:t xml:space="preserve"> </w:t>
      </w:r>
      <w:r>
        <w:t xml:space="preserve">favorable. Esta consideración refuerza —no debilita— la cautela con la que el</w:t>
      </w:r>
      <w:r>
        <w:t xml:space="preserve"> </w:t>
      </w:r>
      <w:r>
        <w:t xml:space="preserve">Capítulo 7 recomienda el uso de Anchors.</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Estudio Pareado LIME–SHAP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101"/>
    <w:bookmarkEnd w:id="102"/>
    <w:bookmarkStart w:id="116" w:name="plan-de-inferencia-estadística"/>
    <w:p>
      <w:pPr>
        <w:pStyle w:val="Ttulo2"/>
        <w:spacing w:line="360" w:lineRule="auto"/>
        <w:jc w:val="both"/>
      </w:pPr>
      <w:r>
        <w:t xml:space="preserve">3.8 </w:t>
      </w:r>
      <w:r>
        <w:t xml:space="preserve">Plan de inferencia estadística</w:t>
      </w:r>
    </w:p>
    <w:bookmarkStart w:id="106" w:name="Xb1cf6929af397b34ac8b341602720570fd1cf16"/>
    <w:p>
      <w:pPr>
        <w:pStyle w:val="Ttulo3"/>
        <w:spacing w:line="360" w:lineRule="auto"/>
        <w:jc w:val="both"/>
      </w:pPr>
      <w:r>
        <w:t xml:space="preserve">3.8.1 </w:t>
      </w:r>
      <w:r>
        <w:t xml:space="preserve">Estudio Omnibus Multimétrico: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w:r>
        <w:t xml:space="preserve">Cada observación de método dentro de un bloque es primero la media de sus</w:t>
      </w:r>
      <w:r>
        <w:t xml:space="preserve"> </w:t>
      </w:r>
      <w:r>
        <w:t xml:space="preserve">semillas calificadas. Si</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 </w:t>
      </w:r>
      <w:r>
        <w:t xml:space="preserve">es la métrica</w:t>
      </w:r>
      <w:r>
        <w:t xml:space="preserve"> </w:t>
      </w:r>
      <ns1:oMath>
        <ns1:r>
          <ns1:t>m</ns1:t>
        </ns1:r>
      </ns1:oMath>
      <w:r>
        <w:t xml:space="preserve"> </w:t>
      </w:r>
      <w:r>
        <w:t xml:space="preserve">para el modelo</w:t>
      </w:r>
      <w:r>
        <w:t xml:space="preserve"> </w:t>
      </w:r>
      <ns1:oMath>
        <ns1:r>
          <ns1:t>g</ns1:t>
        </ns1:r>
      </ns1:oMath>
      <w:r>
        <w:t xml:space="preserve">,</w:t>
      </w:r>
      <w:r>
        <w:t xml:space="preserve"> </w:t>
      </w:r>
      <w:r>
        <w:t xml:space="preserve">el método</w:t>
      </w:r>
      <w:r>
        <w:t xml:space="preserve"> </w:t>
      </w:r>
      <ns1:oMath>
        <ns1:r>
          <ns1:t>k</ns1:t>
        </ns1:r>
      </ns1:oMath>
      <w:r>
        <w:t xml:space="preserve">, la semilla</w:t>
      </w:r>
      <w:r>
        <w:t xml:space="preserve"> </w:t>
      </w:r>
      <ns1:oMath>
        <ns1:r>
          <ns1:t>s</ns1:t>
        </ns1:r>
      </ns1:oMath>
      <w:r>
        <w:t xml:space="preserve"> </w:t>
      </w:r>
      <w:r>
        <w:t xml:space="preserve">y el tamaño</w:t>
      </w:r>
      <w:r>
        <w:t xml:space="preserve"> </w:t>
      </w:r>
      <ns1:oMath>
        <ns1:r>
          <ns1:t>n</ns1:t>
        </ns1:r>
      </ns1:oMath>
      <w:r>
        <w:t xml:space="preserve">, entonces la media de bloque es la de la</w:t>
      </w:r>
      <w:r>
        <w:t xml:space="preserve"> </w:t>
      </w:r>
      <w:hyperlink w:anchor="eq-media-bloque">
        <w:r>
          <w:rPr>
            <w:rStyle w:val="Hipervnculo"/>
          </w:rPr>
          <w:t xml:space="preserve">Ecuación 3.13</w:t>
        </w:r>
      </w:hyperlink>
      <w:r>
        <w:t xml:space="preserve">:</w:t>
      </w:r>
    </w:p>
    <w:p>
      <w:pPr>
        <w:pStyle w:val="Textoindependiente"/>
        <w:spacing w:line="360" w:lineRule="auto"/>
        <w:jc w:val="both"/>
      </w:pPr>
      <w:bookmarkStart w:id="103" w:name="eq-media-bloque"/>
      <ns1:oMathPara>
        <ns1:oMathParaPr>
          <ns1:jc ns1:val="center"/>
        </ns1:oMathParaPr>
        <ns1:oMath>
          <ns1:sSub>
            <ns1:e>
              <ns1:acc>
                <ns1:accPr>
                  <ns1:chr ns1:val="‾"/>
                </ns1:accPr>
                <ns1:e>
                  <ns1:r>
                    <ns1:t>y</ns1:t>
                  </ns1:r>
                </ns1:e>
              </ns1:acc>
            </ns1:e>
            <ns1:sub>
              <ns1:r>
                <ns1:t>g</ns1:t>
              </ns1:r>
              <ns1:r>
                <ns1:rPr>
                  <ns1:sty ns1:val="p"/>
                </ns1:rPr>
                <ns1:t>,</ns1:t>
              </ns1:r>
              <ns1:r>
                <ns1:t>k</ns1:t>
              </ns1:r>
              <ns1:r>
                <ns1:rPr>
                  <ns1:sty ns1:val="p"/>
                </ns1:rPr>
                <ns1:t>,</ns1:t>
              </ns1:r>
              <ns1:r>
                <ns1:t>n</ns1:t>
              </ns1:r>
              <ns1:r>
                <ns1:rPr>
                  <ns1:sty ns1:val="p"/>
                </ns1:rPr>
                <ns1:t>,</ns1:t>
              </ns1:r>
              <ns1:r>
                <ns1:t>m</ns1:t>
              </ns1:r>
            </ns1:sub>
          </ns1:sSub>
          <ns1:r>
            <ns1:rPr>
              <ns1:sty ns1:val="p"/>
            </ns1:rPr>
            <ns1:t>=</ns1:t>
          </ns1:r>
          <ns1:f>
            <ns1:fPr>
              <ns1:type ns1:val="bar"/>
            </ns1:fPr>
            <ns1:num>
              <ns1:r>
                <ns1:t>1</ns1:t>
              </ns1:r>
            </ns1:num>
            <ns1:den>
              <ns1:sSub>
                <ns1:e>
                  <ns1:r>
                    <ns1:t>r</ns1:t>
                  </ns1:r>
                </ns1:e>
                <ns1:sub>
                  <ns1:r>
                    <ns1:t>g</ns1:t>
                  </ns1:r>
                  <ns1:r>
                    <ns1:rPr>
                      <ns1:sty ns1:val="p"/>
                    </ns1:rPr>
                    <ns1:t>,</ns1:t>
                  </ns1:r>
                  <ns1:r>
                    <ns1:t>k</ns1:t>
                  </ns1:r>
                  <ns1:r>
                    <ns1:rPr>
                      <ns1:sty ns1:val="p"/>
                    </ns1:rPr>
                    <ns1:t>,</ns1:t>
                  </ns1:r>
                  <ns1:r>
                    <ns1:t>n</ns1:t>
                  </ns1:r>
                </ns1:sub>
              </ns1:sSub>
            </ns1:den>
          </ns1:f>
          <ns1:nary>
            <ns1:naryPr>
              <ns1:chr ns1:val="∑"/>
              <ns1:limLoc ns1:val="undOvr"/>
              <ns1:subHide ns1:val="off"/>
              <ns1:supHide ns1:val="on"/>
            </ns1:naryPr>
            <ns1:sub>
              <ns1:r>
                <ns1:t>s</ns1:t>
              </ns1:r>
              <ns1:r>
                <ns1:rPr>
                  <ns1:sty ns1:val="p"/>
                </ns1:rPr>
                <ns1:t>∈</ns1:t>
              </ns1:r>
              <ns1:sSub>
                <ns1:e>
                  <ns1:r>
                    <ns1:rPr>
                      <ns1:scr ns1:val="script"/>
                      <ns1:sty ns1:val="p"/>
                    </ns1:rPr>
                    <ns1:t>S</ns1:t>
                  </ns1:r>
                </ns1:e>
                <ns1:sub>
                  <ns1:r>
                    <ns1:t>g</ns1:t>
                  </ns1:r>
                  <ns1:r>
                    <ns1:rPr>
                      <ns1:sty ns1:val="p"/>
                    </ns1:rPr>
                    <ns1:t>,</ns1:t>
                  </ns1:r>
                  <ns1:r>
                    <ns1:t>k</ns1:t>
                  </ns1:r>
                  <ns1:r>
                    <ns1:rPr>
                      <ns1:sty ns1:val="p"/>
                    </ns1:rPr>
                    <ns1:t>,</ns1:t>
                  </ns1:r>
                  <ns1:r>
                    <ns1:t>n</ns1:t>
                  </ns1:r>
                </ns1:sub>
              </ns1:sSub>
            </ns1:sub>
            <ns1:sup>
              <ns1:r>
                <ns1:t>​</ns1:t>
              </ns1:r>
            </ns1:sup>
            <ns1:e>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e>
          </ns1:nary>
          <ns1:r>
            <ns1:rPr>
              <ns1:sty ns1:val="p"/>
            </ns1:rPr>
            <ns1:t>,</ns1:t>
          </ns1:r>
          <ns1:r>
            <ns1:t>  </ns1:t>
          </ns1:r>
          <ns1:r>
            <ns1:rPr>
              <ns1:sty ns1:val="p"/>
            </ns1:rPr>
            <ns1:t>(</ns1:t>
          </ns1:r>
          <ns1:r>
            <ns1:t>3.13</ns1:t>
          </ns1:r>
          <ns1:r>
            <ns1:rPr>
              <ns1:sty ns1:val="p"/>
            </ns1:rPr>
            <ns1:t>)</ns1:t>
          </ns1:r>
        </ns1:oMath>
      </ns1:oMathPara>
      <w:bookmarkEnd w:id="103"/>
    </w:p>
    <w:p>
      <w:pPr>
        <w:pStyle w:val="FirstParagraph"/>
        <w:spacing w:line="360" w:lineRule="auto"/>
        <w:jc w:val="both"/>
      </w:pPr>
      <w:r>
        <w:t xml:space="preserve">donde</w:t>
      </w:r>
      <w:r>
        <w:t xml:space="preserve"> </w:t>
      </w:r>
      <ns1:oMath>
        <ns1:sSub>
          <ns1:e>
            <ns1:r>
              <ns1:rPr>
                <ns1:scr ns1:val="script"/>
                <ns1:sty ns1:val="p"/>
              </ns1:rPr>
              <ns1:t>S</ns1:t>
            </ns1:r>
          </ns1:e>
          <ns1:sub>
            <ns1:r>
              <ns1:t>g</ns1:t>
            </ns1:r>
            <ns1:r>
              <ns1:rPr>
                <ns1:sty ns1:val="p"/>
              </ns1:rPr>
              <ns1:t>,</ns1:t>
            </ns1:r>
            <ns1:r>
              <ns1:t>k</ns1:t>
            </ns1:r>
            <ns1:r>
              <ns1:rPr>
                <ns1:sty ns1:val="p"/>
              </ns1:rPr>
              <ns1:t>,</ns1:t>
            </ns1:r>
            <ns1:r>
              <ns1:t>n</ns1:t>
            </ns1:r>
          </ns1:sub>
        </ns1:sSub>
      </ns1:oMath>
      <w:r>
        <w:t xml:space="preserve"> </w:t>
      </w:r>
      <w:r>
        <w:t xml:space="preserve">contiene únicamente semillas calificadas y</w:t>
      </w:r>
      <w:r>
        <w:t xml:space="preserve"> </w:t>
      </w:r>
      <ns1:oMath>
        <ns1:sSub>
          <ns1:e>
            <ns1:r>
              <ns1:t>r</ns1:t>
            </ns1:r>
          </ns1:e>
          <ns1:sub>
            <ns1:r>
              <ns1:t>g</ns1:t>
            </ns1:r>
            <ns1:r>
              <ns1:rPr>
                <ns1:sty ns1:val="p"/>
              </ns1:rPr>
              <ns1:t>,</ns1:t>
            </ns1:r>
            <ns1:r>
              <ns1:t>k</ns1:t>
            </ns1:r>
            <ns1:r>
              <ns1:rPr>
                <ns1:sty ns1:val="p"/>
              </ns1:rPr>
              <ns1:t>,</ns1:t>
            </ns1:r>
            <ns1:r>
              <ns1:t>n</ns1:t>
            </ns1:r>
          </ns1:sub>
        </ns1:sSub>
        <ns1:r>
          <ns1:rPr>
            <ns1:sty ns1:val="p"/>
          </ns1:rPr>
          <ns1:t>=</ns1:t>
        </ns1:r>
        <ns1:r>
          <ns1:rPr>
            <ns1:sty ns1:val="p"/>
          </ns1:rPr>
          <ns1:t>|</ns1:t>
        </ns1:r>
        <ns1:sSub>
          <ns1:e>
            <ns1:r>
              <ns1:rPr>
                <ns1:scr ns1:val="script"/>
                <ns1:sty ns1:val="p"/>
              </ns1:rPr>
              <ns1:t>S</ns1:t>
            </ns1:r>
          </ns1:e>
          <ns1:sub>
            <ns1:r>
              <ns1:t>g</ns1:t>
            </ns1:r>
            <ns1:r>
              <ns1:rPr>
                <ns1:sty ns1:val="p"/>
              </ns1:rPr>
              <ns1:t>,</ns1:t>
            </ns1:r>
            <ns1:r>
              <ns1:t>k</ns1:t>
            </ns1:r>
            <ns1:r>
              <ns1:rPr>
                <ns1:sty ns1:val="p"/>
              </ns1:rPr>
              <ns1:t>,</ns1:t>
            </ns1:r>
            <ns1:r>
              <ns1:t>n</ns1:t>
            </ns1:r>
          </ns1:sub>
        </ns1:sSub>
        <ns1:r>
          <ns1:rPr>
            <ns1:sty ns1:val="p"/>
          </ns1:rPr>
          <ns1:t>|</ns1:t>
        </ns1:r>
      </ns1:oMath>
      <w:r>
        <w:t xml:space="preserve">. SHAP y LIME aportan cinco semillas en cada</w:t>
      </w:r>
      <w:r>
        <w:t xml:space="preserve"> </w:t>
      </w:r>
      <w:r>
        <w:t xml:space="preserve">bloque; Anchors y DiCE aportan entre una y cinco según la cobertura documentada.</w:t>
      </w:r>
      <w:r>
        <w:t xml:space="preserve"> </w:t>
      </w:r>
      <w:r>
        <w:t xml:space="preserve">Las semillas reducen la incertidumbre de la puntuación del bloque, pero no se</w:t>
      </w:r>
      <w:r>
        <w:t xml:space="preserve"> </w:t>
      </w:r>
      <w:r>
        <w:t xml:space="preserve">tratan como 75 bloques Friedman independientes.</w:t>
      </w:r>
    </w:p>
    <w:p>
      <w:pPr>
        <w:pStyle w:val="Textoindependiente"/>
        <w:spacing w:line="360" w:lineRule="auto"/>
        <w:jc w:val="both"/>
      </w:pPr>
      <w:r>
        <w:t xml:space="preserve">Sobre esas medias de bloque, el estadístico de Friedman se calcula a partir de</w:t>
      </w:r>
      <w:r>
        <w:t xml:space="preserve"> </w:t>
      </w:r>
      <w:r>
        <w:t xml:space="preserve">los rangos medios de los</w:t>
      </w:r>
      <w:r>
        <w:t xml:space="preserve"> </w:t>
      </w:r>
      <ns1:oMath>
        <ns1:r>
          <ns1:t>k</ns1:t>
        </ns1:r>
      </ns1:oMath>
      <w:r>
        <w:t xml:space="preserve"> </w:t>
      </w:r>
      <w:r>
        <w:t xml:space="preserve">métodos en los</w:t>
      </w:r>
      <w:r>
        <w:t xml:space="preserve"> </w:t>
      </w:r>
      <ns1:oMath>
        <ns1:r>
          <ns1:t>B</ns1:t>
        </ns1:r>
      </ns1:oMath>
      <w:r>
        <w:t xml:space="preserve"> </w:t>
      </w:r>
      <w:r>
        <w:t xml:space="preserve">bloques (</w:t>
      </w:r>
      <w:hyperlink w:anchor="eq-friedman">
        <w:r>
          <w:rPr>
            <w:rStyle w:val="Hipervnculo"/>
          </w:rPr>
          <w:t xml:space="preserve">Ecuación 3.14</w:t>
        </w:r>
      </w:hyperlink>
      <w:r>
        <w:t xml:space="preserve">):</w:t>
      </w:r>
    </w:p>
    <w:p>
      <w:pPr>
        <w:pStyle w:val="Textoindependiente"/>
        <w:spacing w:line="360" w:lineRule="auto"/>
        <w:jc w:val="both"/>
      </w:pPr>
      <w:bookmarkStart w:id="104" w:name="eq-friedman"/>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r>
            <ns1:t>  </ns1:t>
          </ns1:r>
          <ns1:r>
            <ns1:rPr>
              <ns1:sty ns1:val="p"/>
            </ns1:rPr>
            <ns1:t>(</ns1:t>
          </ns1:r>
          <ns1:r>
            <ns1:t>3.14</ns1:t>
          </ns1:r>
          <ns1:r>
            <ns1:rPr>
              <ns1:sty ns1:val="p"/>
            </ns1:rPr>
            <ns1:t>)</ns1:t>
          </ns1:r>
        </ns1:oMath>
      </ns1:oMathPara>
      <w:bookmarkEnd w:id="104"/>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 (</w:t>
      </w:r>
      <w:hyperlink w:anchor="eq-kendall-w">
        <w:r>
          <w:rPr>
            <w:rStyle w:val="Hipervnculo"/>
          </w:rPr>
          <w:t xml:space="preserve">Ecuación 3.15</w:t>
        </w:r>
      </w:hyperlink>
      <w:r>
        <w:t xml:space="preserve">):</w:t>
      </w:r>
    </w:p>
    <w:p>
      <w:pPr>
        <w:pStyle w:val="Textoindependiente"/>
        <w:spacing w:line="360" w:lineRule="auto"/>
        <w:jc w:val="both"/>
      </w:pPr>
      <w:bookmarkStart w:id="105" w:name="eq-kendall-w"/>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r>
            <ns1:t>  </ns1:t>
          </ns1:r>
          <ns1:r>
            <ns1:rPr>
              <ns1:sty ns1:val="p"/>
            </ns1:rPr>
            <ns1:t>(</ns1:t>
          </ns1:r>
          <ns1:r>
            <ns1:t>3.15</ns1:t>
          </ns1:r>
          <ns1:r>
            <ns1:rPr>
              <ns1:sty ns1:val="p"/>
            </ns1:rPr>
            <ns1:t>)</ns1:t>
          </ns1:r>
        </ns1:oMath>
      </ns1:oMathPara>
      <w:bookmarkEnd w:id="105"/>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106"/>
    <w:bookmarkStart w:id="108" w:name="localización-post-hoc-nemenyi"/>
    <w:p>
      <w:pPr>
        <w:pStyle w:val="Ttulo3"/>
        <w:spacing w:line="360" w:lineRule="auto"/>
        <w:jc w:val="both"/>
      </w:pPr>
      <w:r>
        <w:t xml:space="preserve">3.8.2 </w:t>
      </w: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 la de la</w:t>
      </w:r>
      <w:r>
        <w:t xml:space="preserve"> </w:t>
      </w:r>
      <w:hyperlink w:anchor="eq-diferencia-critica">
        <w:r>
          <w:rPr>
            <w:rStyle w:val="Hipervnculo"/>
          </w:rPr>
          <w:t xml:space="preserve">Ecuación 3.16</w:t>
        </w:r>
      </w:hyperlink>
      <w:r>
        <w:t xml:space="preserve">:</w:t>
      </w:r>
    </w:p>
    <w:p>
      <w:pPr>
        <w:pStyle w:val="Textoindependiente"/>
        <w:spacing w:line="360" w:lineRule="auto"/>
        <w:jc w:val="both"/>
      </w:pPr>
      <w:bookmarkStart w:id="107" w:name="eq-diferencia-critica"/>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r>
            <ns1:t>  </ns1:t>
          </ns1:r>
          <ns1:r>
            <ns1:rPr>
              <ns1:sty ns1:val="p"/>
            </ns1:rPr>
            <ns1:t>(</ns1:t>
          </ns1:r>
          <ns1:r>
            <ns1:t>3.16</ns1:t>
          </ns1:r>
          <ns1:r>
            <ns1:rPr>
              <ns1:sty ns1:val="p"/>
            </ns1:rPr>
            <ns1:t>)</ns1:t>
          </ns1:r>
        </ns1:oMath>
      </ns1:oMathPara>
      <w:bookmarkEnd w:id="107"/>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108"/>
    <w:bookmarkStart w:id="109" w:name="X08bdaeec7e5b5ab89fd5fd5e96115413f920248"/>
    <w:p>
      <w:pPr>
        <w:pStyle w:val="Ttulo3"/>
        <w:spacing w:line="360" w:lineRule="auto"/>
        <w:jc w:val="both"/>
      </w:pPr>
      <w:r>
        <w:t xml:space="preserve">3.8.3 </w:t>
      </w:r>
      <w:r>
        <w:t xml:space="preserve">Seguimiento dirigido SHAP–LIME sobre bloques agregados</w:t>
      </w:r>
    </w:p>
    <w:p>
      <w:pPr>
        <w:pStyle w:val="FirstParagraph"/>
        <w:spacing w:line="360" w:lineRule="auto"/>
        <w:jc w:val="both"/>
      </w:pPr>
      <w:r>
        <w:t xml:space="preserve">Para responder a la observación del revisor en la misma unidad de análisis que</w:t>
      </w:r>
      <w:r>
        <w:t xml:space="preserve"> </w:t>
      </w:r>
      <w:r>
        <w:t xml:space="preserve">Friedman, se añade un seguimiento dirigido, motivado por la revisión y no</w:t>
      </w:r>
      <w:r>
        <w:t xml:space="preserve"> </w:t>
      </w:r>
      <w:r>
        <w:t xml:space="preserve">preespecificado, sobre 15 bloques agregados</w:t>
      </w:r>
      <w:r>
        <w:t xml:space="preserve"> </w:t>
      </w:r>
      <ns1:oMath>
        <ns1:r>
          <ns1:rPr>
            <ns1:sty ns1:val="p"/>
          </ns1:rPr>
          <ns1:t>(</ns1:t>
        </ns1:r>
        <ns1:r>
          <ns1:t>g</ns1:t>
        </ns1:r>
        <ns1:r>
          <ns1:rPr>
            <ns1:sty ns1:val="p"/>
          </ns1:rPr>
          <ns1:t>,</ns1:t>
        </ns1:r>
        <ns1:r>
          <ns1:t>n</ns1:t>
        </ns1:r>
        <ns1:r>
          <ns1:rPr>
            <ns1:sty ns1:val="p"/>
          </ns1:rPr>
          <ns1:t>)</ns1:t>
        </ns1:r>
      </ns1:oMath>
      <w:r>
        <w:t xml:space="preserve">. En cada bloque se parean</w:t>
      </w:r>
      <w:r>
        <w:t xml:space="preserve"> </w:t>
      </w:r>
      <w:r>
        <w:t xml:space="preserve">las medias de semillas de SHAP y LIME y se aplica un Wilcoxon bilateral de</w:t>
      </w:r>
      <w:r>
        <w:t xml:space="preserve"> </w:t>
      </w:r>
      <w:r>
        <w:t xml:space="preserve">rangos con signo a las cinco métricas primarias. Los cinco valores</w:t>
      </w:r>
      <w:r>
        <w:t xml:space="preserve"> </w:t>
      </w:r>
      <ns1:oMath>
        <ns1:r>
          <ns1:t>p</ns1:t>
        </ns1:r>
      </ns1:oMath>
      <w:r>
        <w:t xml:space="preserve"> </w:t>
      </w:r>
      <w:r>
        <w:t xml:space="preserve">forman</w:t>
      </w:r>
      <w:r>
        <w:t xml:space="preserve"> </w:t>
      </w:r>
      <w:r>
        <w:t xml:space="preserve">una familia propia con corrección de Holm-Bonferroni. Para fidelidad se reporta</w:t>
      </w:r>
      <w:r>
        <w:t xml:space="preserve"> </w:t>
      </w:r>
      <w:r>
        <w:t xml:space="preserve">además una prueba exacta bilateral de signos como corroboración direccional.</w:t>
      </w:r>
    </w:p>
    <w:p>
      <w:pPr>
        <w:pStyle w:val="Textoindependiente"/>
        <w:spacing w:line="360" w:lineRule="auto"/>
        <w:jc w:val="both"/>
      </w:pPr>
      <w:r>
        <w:t xml:space="preserve">Este seguimiento no reemplaza a Friedman ni a Nemenyi: Friedman conserva la</w:t>
      </w:r>
      <w:r>
        <w:t xml:space="preserve"> </w:t>
      </w:r>
      <w:r>
        <w:t xml:space="preserve">decisión global de H1, Nemenyi conserva la localización simultánea entre los</w:t>
      </w:r>
      <w:r>
        <w:t xml:space="preserve"> </w:t>
      </w:r>
      <w:r>
        <w:t xml:space="preserve">cuatro métodos, y el nuevo contraste responde solamente a la diferencia</w:t>
      </w:r>
      <w:r>
        <w:t xml:space="preserve"> </w:t>
      </w:r>
      <w:r>
        <w:t xml:space="preserve">dirigida SHAP–LIME con puntuaciones agregadas por bloque. Tampoco reemplaza el</w:t>
      </w:r>
      <w:r>
        <w:t xml:space="preserve"> </w:t>
      </w:r>
      <w:r>
        <w:t xml:space="preserve">Wilcoxon de H3 sobre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cuya unidad inferencial conserva cada</w:t>
      </w:r>
      <w:r>
        <w:t xml:space="preserve"> </w:t>
      </w:r>
      <w:r>
        <w:t xml:space="preserve">semilla emparejada.</w:t>
      </w:r>
    </w:p>
    <w:bookmarkEnd w:id="109"/>
    <w:bookmarkStart w:id="111" w:name="X82a710d830240cc18776e0ef609d9e71b3f53e7"/>
    <w:p>
      <w:pPr>
        <w:pStyle w:val="Ttulo3"/>
        <w:spacing w:line="360" w:lineRule="auto"/>
        <w:jc w:val="both"/>
      </w:pPr>
      <w:r>
        <w:t xml:space="preserve">3.8.4 </w:t>
      </w: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 definido en la</w:t>
      </w:r>
      <w:r>
        <w:t xml:space="preserve"> </w:t>
      </w:r>
      <w:hyperlink w:anchor="eq-dz">
        <w:r>
          <w:rPr>
            <w:rStyle w:val="Hipervnculo"/>
          </w:rPr>
          <w:t xml:space="preserve">Ecuación 3.17</w:t>
        </w:r>
      </w:hyperlink>
      <w:r>
        <w:t xml:space="preserve">:</w:t>
      </w:r>
    </w:p>
    <w:p>
      <w:pPr>
        <w:pStyle w:val="Textoindependiente"/>
        <w:spacing w:line="360" w:lineRule="auto"/>
        <w:jc w:val="both"/>
      </w:pPr>
      <w:bookmarkStart w:id="110" w:name="eq-dz"/>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r>
            <ns1:t>  </ns1:t>
          </ns1:r>
          <ns1:r>
            <ns1:rPr>
              <ns1:sty ns1:val="p"/>
            </ns1:rPr>
            <ns1:t>(</ns1:t>
          </ns1:r>
          <ns1:r>
            <ns1:t>3.17</ns1:t>
          </ns1:r>
          <ns1:r>
            <ns1:rPr>
              <ns1:sty ns1:val="p"/>
            </ns1:rPr>
            <ns1:t>)</ns1:t>
          </ns1:r>
        </ns1:oMath>
      </ns1:oMathPara>
      <w:bookmarkEnd w:id="110"/>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111"/>
    <w:bookmarkStart w:id="113" w:name="control-de-multiplicidad"/>
    <w:p>
      <w:pPr>
        <w:pStyle w:val="Ttulo3"/>
        <w:spacing w:line="360" w:lineRule="auto"/>
        <w:jc w:val="both"/>
      </w:pPr>
      <w:r>
        <w:t xml:space="preserve">3.8.5 </w:t>
      </w:r>
      <w:r>
        <w:t xml:space="preserve">Control de multiplicidad</w:t>
      </w:r>
    </w:p>
    <w:p>
      <w:pPr>
        <w:pStyle w:val="FirstParagraph"/>
        <w:spacing w:line="360" w:lineRule="auto"/>
        <w:jc w:val="both"/>
      </w:pPr>
      <w:r>
        <w:t xml:space="preserve">Las pruebas se organizan en cuatro familias inferenciales independientes, con</w:t>
      </w:r>
      <w:r>
        <w:t xml:space="preserve"> </w:t>
      </w:r>
      <w:r>
        <w:t xml:space="preserve">corrección de Holm-Bonferroni dentro de cada familia:</w:t>
      </w:r>
    </w:p>
    <w:tbl>
      <w:tblPr>
        <w:tblStyle w:val="Table"/>
        <w:tblW w:type="pct" w:w="5000"/>
        <w:jc w:val="center"/>
        <w:tblLayout w:type="fixed"/>
        <w:tblLook w:firstRow="0" w:lastRow="0" w:firstColumn="0" w:lastColumn="0" w:noHBand="0" w:noVBand="0" w:val="0000"/>
      </w:tblPr>
      <w:tblGrid>
        <w:gridCol w:w="7920"/>
      </w:tblGrid>
      <w:tr>
        <w:tc>
          <w:tcPr/>
          <w:bookmarkStart w:id="112" w:name="tbl-stat-plan"/>
          <w:p>
            <w:pPr>
              <w:pStyle w:val="ImageCaption"/>
              <w:spacing w:before="200" w:line="360" w:lineRule="auto"/>
              <w:jc w:val="center"/>
            </w:pPr>
            <w:r>
              <w:t xml:space="preserve">Tabla 3.6: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Tests</w:t>
                  </w:r>
                </w:p>
              </w:tc>
              <w:tc>
                <w:tcPr/>
                <w:p>
                  <w:pPr>
                    <w:pStyle w:val="Compact"/>
                    <w:jc w:val="both"/>
                    <w:jc w:val="center"/>
                    <w:spacing w:line="360" w:lineRule="auto"/>
                  </w:pPr>
                  <ns1:oMath>
                    <ns1:r>
                      <ns1:t>n</ns1:t>
                    </ns1:r>
                  </ns1:oMath>
                  <w:r>
                    <w:rPr>
                      <w:bCs/>
                      <w:b/>
                    </w:rPr>
                    <w:t xml:space="preserve">​</w:t>
                  </w:r>
                </w:p>
              </w:tc>
              <w:tc>
                <w:tcPr/>
                <w:p>
                  <w:pPr>
                    <w:pStyle w:val="Compact"/>
                    <w:jc w:val="both"/>
                    <w:jc w:val="center"/>
                    <w:spacing w:line="360" w:lineRule="auto"/>
                  </w:pPr>
                  <w:r>
                    <w:rPr>
                      <w:bCs/>
                      <w:b/>
                    </w:rPr>
                    <w:t xml:space="preserve">Corrección</w:t>
                  </w:r>
                </w:p>
              </w:tc>
            </w:tr>
            <w:tr>
              <w:tc>
                <w:tcPr/>
                <w:p>
                  <w:pPr>
                    <w:pStyle w:val="Compact"/>
                    <w:jc w:val="both"/>
                    <w:jc w:val="center"/>
                    <w:spacing w:line="360" w:lineRule="auto"/>
                  </w:pPr>
                  <w:r>
                    <w:t xml:space="preserve">Friedman (estudio omnibus)</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Wilcoxon-15 (seguimiento dirigido)</w:t>
                  </w:r>
                </w:p>
              </w:tc>
              <w:tc>
                <w:tcPr/>
                <w:p>
                  <w:pPr>
                    <w:pStyle w:val="Compact"/>
                    <w:jc w:val="both"/>
                    <w:jc w:val="center"/>
                    <w:spacing w:line="360" w:lineRule="auto"/>
                  </w:pPr>
                  <w:r>
                    <w:t xml:space="preserve">5</w:t>
                  </w:r>
                </w:p>
              </w:tc>
              <w:tc>
                <w:tcPr/>
                <w:p>
                  <w:pPr>
                    <w:pStyle w:val="Compact"/>
                    <w:jc w:val="both"/>
                    <w:jc w:val="center"/>
                    <w:spacing w:line="360" w:lineRule="auto"/>
                  </w:pPr>
                  <w:r>
                    <w:t xml:space="preserve">15 bloques agregados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omnibus)</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(omnibus y pareado)</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112"/>
          <w:p>
            <w:pPr>
              <w:spacing w:line="360" w:lineRule="auto"/>
              <w:jc w:val="both"/>
            </w:pPr>
          </w:p>
        </w:tc>
      </w:tr>
    </w:tbl>
    <w:bookmarkEnd w:id="113"/>
    <w:bookmarkStart w:id="115" w:name="X8d8a6fe44143f1c1b581a8bcb7389a6bd938df3"/>
    <w:p>
      <w:pPr>
        <w:pStyle w:val="Ttulo3"/>
        <w:spacing w:line="360" w:lineRule="auto"/>
        <w:jc w:val="both"/>
      </w:pPr>
      <w:r>
        <w:t xml:space="preserve">3.8.6 </w:t>
      </w:r>
      <w:r>
        <w:t xml:space="preserve">Resumen del plan estadístico por hipótesis</w:t>
      </w:r>
    </w:p>
    <w:tbl>
      <w:tblPr>
        <w:tblStyle w:val="Table"/>
        <w:tblW w:type="pct" w:w="5000"/>
        <w:jc w:val="center"/>
        <w:tblLayout w:type="fixed"/>
        <w:tblLook w:firstRow="0" w:lastRow="0" w:firstColumn="0" w:lastColumn="0" w:noHBand="0" w:noVBand="0" w:val="0000"/>
      </w:tblPr>
      <w:tblGrid>
        <w:gridCol w:w="7920"/>
      </w:tblGrid>
      <w:tr>
        <w:tc>
          <w:tcPr/>
          <w:bookmarkStart w:id="114" w:name="tbl-hypo-plan"/>
          <w:p>
            <w:pPr>
              <w:pStyle w:val="ImageCaption"/>
              <w:spacing w:before="200" w:line="360" w:lineRule="auto"/>
              <w:jc w:val="center"/>
            </w:pPr>
            <w:r>
              <w:t xml:space="preserve">Tabla 3.7: Plan de decisiones estadísticas por hipótesis.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rPr>
                      <w:bCs/>
                      <w:b/>
                    </w:rPr>
                    <w:t xml:space="preserve">Hipótesis</w:t>
                  </w:r>
                </w:p>
              </w:tc>
              <w:tc>
                <w:tcPr/>
                <w:p>
                  <w:pPr>
                    <w:pStyle w:val="Compact"/>
                    <w:jc w:val="both"/>
                    <w:jc w:val="center"/>
                    <w:spacing w:line="360" w:lineRule="auto"/>
                  </w:pPr>
                  <w:r>
                    <w:rPr>
                      <w:bCs/>
                      <w:b/>
                    </w:rPr>
                    <w:t xml:space="preserve">Test</w:t>
                  </w:r>
                </w:p>
              </w:tc>
              <w:tc>
                <w:tcPr/>
                <w:p>
                  <w:pPr>
                    <w:pStyle w:val="Compact"/>
                    <w:jc w:val="both"/>
                    <w:jc w:val="center"/>
                    <w:spacing w:line="360" w:lineRule="auto"/>
                  </w:pPr>
                  <ns1:oMath>
                    <ns1:r>
                      <ns1:t>n</ns1:t>
                    </ns1:r>
                  </ns1:oMath>
                  <w:r>
                    <w:rPr>
                      <w:bCs/>
                      <w:b/>
                    </w:rPr>
                    <w:t xml:space="preserve">​</w:t>
                  </w:r>
                </w:p>
              </w:tc>
              <w:tc>
                <w:tcPr/>
                <w:p>
                  <w:pPr>
                    <w:pStyle w:val="Compact"/>
                    <w:jc w:val="both"/>
                    <w:jc w:val="center"/>
                    <w:spacing w:line="360" w:lineRule="auto"/>
                  </w:pPr>
                  <w:r>
                    <w:rPr>
                      <w:bCs/>
                      <w:b/>
                    </w:rP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 seguimiento dirigido SHAP–LIME</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 contraste dirigido sobre las mismas medias de bloque</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114"/>
          <w:p>
            <w:pPr>
              <w:spacing w:line="360" w:lineRule="auto"/>
              <w:jc w:val="both"/>
            </w:pPr>
          </w:p>
        </w:tc>
      </w:tr>
    </w:tbl>
    <w:bookmarkEnd w:id="115"/>
    <w:bookmarkEnd w:id="116"/>
    <w:bookmarkStart w:id="118" w:name="amenazas-a-la-validez"/>
    <w:p>
      <w:pPr>
        <w:pStyle w:val="Ttulo2"/>
        <w:spacing w:line="360" w:lineRule="auto"/>
        <w:jc w:val="both"/>
      </w:pPr>
      <w:r>
        <w:t xml:space="preserve">3.9 </w:t>
      </w: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jc w:val="center"/>
        <w:tblLayout w:type="fixed"/>
        <w:tblLook w:firstRow="0" w:lastRow="0" w:firstColumn="0" w:lastColumn="0" w:noHBand="0" w:noVBand="0" w:val="0000"/>
      </w:tblPr>
      <w:tblGrid>
        <w:gridCol w:w="7920"/>
      </w:tblGrid>
      <w:tr>
        <w:tc>
          <w:tcPr/>
          <w:bookmarkStart w:id="117" w:name="tbl-validity-threats"/>
          <w:p>
            <w:pPr>
              <w:pStyle w:val="ImageCaption"/>
              <w:spacing w:before="200" w:line="360" w:lineRule="auto"/>
              <w:jc w:val="center"/>
            </w:pPr>
            <w:r>
              <w:t xml:space="preserve">Tabla 3.8: Amenazas a la validez, controles y riesgo residual.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Familia</w:t>
                  </w:r>
                </w:p>
              </w:tc>
              <w:tc>
                <w:tcPr/>
                <w:p>
                  <w:pPr>
                    <w:pStyle w:val="Compact"/>
                    <w:jc w:val="both"/>
                    <w:jc w:val="center"/>
                    <w:spacing w:line="360" w:lineRule="auto"/>
                  </w:pPr>
                  <w:r>
                    <w:rPr>
                      <w:bCs/>
                      <w:b/>
                    </w:rPr>
                    <w:t xml:space="preserve">Amenaza principal</w:t>
                  </w:r>
                </w:p>
              </w:tc>
              <w:tc>
                <w:tcPr/>
                <w:p>
                  <w:pPr>
                    <w:pStyle w:val="Compact"/>
                    <w:jc w:val="both"/>
                    <w:jc w:val="center"/>
                    <w:spacing w:line="360" w:lineRule="auto"/>
                  </w:pPr>
                  <w:r>
                    <w:rPr>
                      <w:bCs/>
                      <w:b/>
                    </w:rPr>
                    <w:t xml:space="preserve">Control aplicado</w:t>
                  </w:r>
                </w:p>
              </w:tc>
              <w:tc>
                <w:tcPr/>
                <w:p>
                  <w:pPr>
                    <w:pStyle w:val="Compact"/>
                    <w:jc w:val="both"/>
                    <w:jc w:val="center"/>
                    <w:spacing w:line="360" w:lineRule="auto"/>
                  </w:pPr>
                  <w:r>
                    <w:rPr>
                      <w:bCs/>
                      <w:b/>
                    </w:rP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 enmascaramiento independiente potencialmente OOD</w:t>
                  </w:r>
                </w:p>
              </w:tc>
              <w:tc>
                <w:tcPr/>
                <w:p>
                  <w:pPr>
                    <w:pStyle w:val="Compact"/>
                    <w:jc w:val="both"/>
                    <w:jc w:val="center"/>
                    <w:spacing w:line="360" w:lineRule="auto"/>
                  </w:pPr>
                  <w:r>
                    <w:t xml:space="preserve">Definición previa de las métricas como proxies functionally-grounded; mismo operador de media de entrenamiento para todos los métodos; alcance declarado</w:t>
                  </w:r>
                </w:p>
              </w:tc>
              <w:tc>
                <w:tcPr/>
                <w:p>
                  <w:pPr>
                    <w:pStyle w:val="Compact"/>
                    <w:jc w:val="both"/>
                    <w:jc w:val="center"/>
                    <w:spacing w:line="360" w:lineRule="auto"/>
                  </w:pPr>
                  <w:r>
                    <w:t xml:space="preserve">No se preserva la distribución conjunta y puede persistir sesgo diferencial entre explicadores; 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 estudio de seguimiento sobre 16 conjuntos de datos tabulares (§</w:t>
                  </w:r>
                  <w:hyperlink w:anchor="sec-seg-transferencia">
                    <w:r>
                      <w:rPr>
                        <w:rStyle w:val="Hipervnculo"/>
                      </w:rPr>
                      <w:t xml:space="preserve">6.4</w:t>
                    </w:r>
                  </w:hyperlink>
                  <w:r>
                    <w:t xml:space="preserve">)</w:t>
                  </w:r>
                </w:p>
              </w:tc>
              <w:tc>
                <w:tcPr/>
                <w:p>
                  <w:pPr>
                    <w:pStyle w:val="Compact"/>
                    <w:jc w:val="both"/>
                    <w:jc w:val="center"/>
                    <w:spacing w:line="360" w:lineRule="auto"/>
                  </w:pPr>
                  <w:r>
                    <w:t xml:space="preserve">El seguimiento cubre el orden de los métodos bajo un protocolo propio, no los valores de este benchmark; 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117"/>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118"/>
    <w:bookmarkStart w:id="119" w:name="trazabilidad-y-reproducibilidad"/>
    <w:p>
      <w:pPr>
        <w:pStyle w:val="Ttulo2"/>
        <w:spacing w:line="360" w:lineRule="auto"/>
        <w:jc w:val="both"/>
      </w:pPr>
      <w:r>
        <w:t xml:space="preserve">3.10 </w:t>
      </w: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10.5281/zenodo.21538180</w:t>
      </w:r>
      <w:r>
        <w:t xml:space="preserve"> </w:t>
      </w:r>
      <w:r>
        <w:t xml:space="preserve">(commit</w:t>
      </w:r>
      <w:r>
        <w:t xml:space="preserve"> </w:t>
      </w:r>
      <w:r>
        <w:rPr>
          <w:rStyle w:val="VerbatimChar"/>
        </w:rPr>
        <w:t xml:space="preserve">553f65d71b077ec181ad36da7bb6e7c9942fe116</w:t>
      </w:r>
      <w:r>
        <w:t xml:space="preserve">,</w:t>
      </w:r>
      <w:r>
        <w:t xml:space="preserve"> </w:t>
      </w:r>
      <w:r>
        <w:t xml:space="preserve">2026-07-24), que es el corte de evidencia efectivamente reportado en el</w:t>
      </w:r>
      <w:r>
        <w:t xml:space="preserve"> </w:t>
      </w:r>
      <w:r>
        <w:t xml:space="preserve">Capítulo 4: 299 artefactos comprometidos y 275 ejecuciones analizables tras la</w:t>
      </w:r>
      <w:r>
        <w:t xml:space="preserve"> </w:t>
      </w:r>
      <w:r>
        <w:t xml:space="preserve">superposición de recuperación. El DOI de concepto</w:t>
      </w:r>
      <w:r>
        <w:t xml:space="preserve"> </w:t>
      </w:r>
      <w:r>
        <w:rPr>
          <w:rStyle w:val="VerbatimChar"/>
        </w:rPr>
        <w:t xml:space="preserve">10.5281/zenodo.19297723</w:t>
      </w:r>
      <w:r>
        <w:t xml:space="preserve"> </w:t>
      </w:r>
      <w:r>
        <w:t xml:space="preserve">resuelve siempre a la versión más reciente. La</w:t>
      </w:r>
      <w:r>
        <w:t xml:space="preserve"> </w:t>
      </w:r>
      <w:r>
        <w:t xml:space="preserve">instantánea previa</w:t>
      </w:r>
      <w:r>
        <w:t xml:space="preserve"> </w:t>
      </w:r>
      <w:r>
        <w:rPr>
          <w:rStyle w:val="VerbatimChar"/>
        </w:rPr>
        <w:t xml:space="preserve">10.5281/zenodo.19297724</w:t>
      </w:r>
      <w:r>
        <w:t xml:space="preserve"> </w:t>
      </w:r>
      <w:r>
        <w:t xml:space="preserve">(abril de 2026) permanece</w:t>
      </w:r>
      <w:r>
        <w:t xml:space="preserve"> </w:t>
      </w:r>
      <w:r>
        <w:t xml:space="preserve">archivada por procedencia, pero es anterior a la superposición de recuperación</w:t>
      </w:r>
      <w:r>
        <w:t xml:space="preserve"> </w:t>
      </w:r>
      <w:r>
        <w:t xml:space="preserve">y no corresponde a las cifras reportadas aquí.</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scripts/run_exp2_block_paired_analysis.py</w:t>
      </w:r>
      <w:r>
        <w:t xml:space="preserve"> </w:t>
      </w:r>
      <w:r>
        <w:t xml:space="preserve">— seguimiento dirigido</w:t>
      </w:r>
      <w:r>
        <w:t xml:space="preserve"> </w:t>
      </w:r>
      <w:r>
        <w:t xml:space="preserve">SHAP–LIME sobre los 15 bloques agregados y prueba exacta de signos.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119"/>
    <w:bookmarkStart w:id="122" w:name="sec-estudios-complementarios"/>
    <w:p>
      <w:pPr>
        <w:pStyle w:val="Ttulo2"/>
        <w:spacing w:line="360" w:lineRule="auto"/>
        <w:jc w:val="both"/>
      </w:pPr>
      <w:r>
        <w:t xml:space="preserve">3.11 </w:t>
      </w: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p>
      <w:pPr>
        <w:pStyle w:val="Textoindependiente"/>
        <w:spacing w:line="360" w:lineRule="auto"/>
        <w:jc w:val="both"/>
      </w:pPr>
      <w:r>
        <w:t xml:space="preserve">Con posterioridad se realizaron tres estudios de seguimiento, que no forman</w:t>
      </w:r>
      <w:r>
        <w:t xml:space="preserve"> </w:t>
      </w:r>
      <w:r>
        <w:t xml:space="preserve">parte del plan descrito en este capítulo y cuyo diseño se expone junto a sus</w:t>
      </w:r>
      <w:r>
        <w:t xml:space="preserve"> </w:t>
      </w:r>
      <w:r>
        <w:t xml:space="preserve">resultados en el Capítulo 6 (§</w:t>
      </w:r>
      <w:hyperlink w:anchor="sec-seguimiento">
        <w:r>
          <w:rPr>
            <w:rStyle w:val="Hipervnculo"/>
          </w:rPr>
          <w:t xml:space="preserve">6</w:t>
        </w:r>
      </w:hyperlink>
      <w:r>
        <w:t xml:space="preserve">). El muestreo por cuadrante de</w:t>
      </w:r>
      <w:r>
        <w:t xml:space="preserve"> </w:t>
      </w:r>
      <w:r>
        <w:t xml:space="preserve">error de §</w:t>
      </w:r>
      <w:hyperlink w:anchor="sec-muestreo">
        <w:r>
          <w:rPr>
            <w:rStyle w:val="Hipervnculo"/>
          </w:rPr>
          <w:t xml:space="preserve">3.4</w:t>
        </w:r>
      </w:hyperlink>
      <w:r>
        <w:t xml:space="preserve"> </w:t>
      </w:r>
      <w:r>
        <w:t xml:space="preserve">es el que permite uno de ellos, el reanálisis por</w:t>
      </w:r>
      <w:r>
        <w:t xml:space="preserve"> </w:t>
      </w:r>
      <w:r>
        <w:t xml:space="preserve">corrección de la predicción.</w:t>
      </w:r>
    </w:p>
    <w:bookmarkStart w:id="120" w:name="sec-exp3-diseno"/>
    <w:p>
      <w:pPr>
        <w:pStyle w:val="Ttulo3"/>
        <w:spacing w:line="360" w:lineRule="auto"/>
        <w:jc w:val="both"/>
      </w:pPr>
      <w:r>
        <w:t xml:space="preserve">3.11.1 </w:t>
      </w:r>
      <w:r>
        <w:t xml:space="preserve">EXP3: Validación cruzada de fidelidad en datasets adicionales</w:t>
      </w:r>
    </w:p>
    <w:p>
      <w:pPr>
        <w:pStyle w:val="FirstParagraph"/>
        <w:spacing w:line="360" w:lineRule="auto"/>
        <w:jc w:val="both"/>
      </w:pPr>
      <w:r>
        <w:t xml:space="preserve">EXP3 replica parcialmente los ordenamientos de fidelidad fuera del dataset</w:t>
      </w:r>
      <w:r>
        <w:t xml:space="preserve"> </w:t>
      </w:r>
      <w:r>
        <w:t xml:space="preserve">primario mediante dos datasets tabulares de clasificación binaria:</w:t>
      </w:r>
    </w:p>
    <w:p>
      <w:pPr>
        <w:pStyle w:val="Compact"/>
        <w:numPr>
          <w:ilvl w:val="0"/>
          <w:numId w:val="1011"/>
        </w:numPr>
        <w:spacing w:line="360" w:lineRule="auto"/>
        <w:jc w:val="both"/>
      </w:pPr>
      <w:r>
        <w:rPr>
          <w:b/>
          <w:bCs/>
        </w:rPr>
        <w:t xml:space="preserve">Breast Cancer Wisconsin</w:t>
      </w:r>
      <w:r>
        <w:t xml:space="preserve"> </w:t>
      </w:r>
      <w:r>
        <w:t xml:space="preserve">(Dua y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y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base de EXP3 cruza dos modelos (Random Forest y XGBoost), tres</w:t>
      </w:r>
      <w:r>
        <w:t xml:space="preserve"> </w:t>
      </w:r>
      <w:r>
        <w:t xml:space="preserve">semillas (</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w:t>
      </w:r>
      <w:r>
        <w:t xml:space="preserve"> </w:t>
      </w:r>
      <w:r>
        <w:t xml:space="preserve">fidelidad con la misma operacionalización que EXP2</w:t>
      </w:r>
      <w:r>
        <w:t xml:space="preserve"> </w:t>
      </w:r>
      <w:r>
        <w:t xml:space="preserve">(correlación importancias–enmascaramiento). Una extensión posterior incorporó</w:t>
      </w:r>
      <w:r>
        <w:t xml:space="preserve"> </w:t>
      </w:r>
      <w:r>
        <w:t xml:space="preserve">LIME en los mismos datasets y modelos, reportando fidelidad y estabilidad de</w:t>
      </w:r>
      <w:r>
        <w:t xml:space="preserve"> </w:t>
      </w:r>
      <w:r>
        <w:t xml:space="preserve">LIME bajo el protocolo EXP2. Sin embargo, la estabilidad de SHAP no fue</w:t>
      </w:r>
      <w:r>
        <w:t xml:space="preserve"> </w:t>
      </w:r>
      <w:r>
        <w:t xml:space="preserve">instrumentada en esa extensión, por lo que EXP3 proporciona validación</w:t>
      </w:r>
      <w:r>
        <w:t xml:space="preserve"> </w:t>
      </w:r>
      <w:r>
        <w:t xml:space="preserve">cross-dataset parcial de los ordenamientos de fidelidad, pero no un contraste</w:t>
      </w:r>
      <w:r>
        <w:t xml:space="preserve"> </w:t>
      </w:r>
      <w:r>
        <w:t xml:space="preserve">pareado SHAP-LIME completo de estabilidad fuera de UCI Adult Income.</w:t>
      </w:r>
    </w:p>
    <w:bookmarkEnd w:id="120"/>
    <w:bookmarkStart w:id="121" w:name="sec-exp4-diseno"/>
    <w:p>
      <w:pPr>
        <w:pStyle w:val="Ttulo3"/>
        <w:spacing w:line="360" w:lineRule="auto"/>
        <w:jc w:val="both"/>
      </w:pPr>
      <w:r>
        <w:t xml:space="preserve">3.11.2 </w:t>
      </w: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 los corpus</w:t>
      </w:r>
      <w:r>
        <w:t xml:space="preserve"> </w:t>
      </w:r>
      <w:r>
        <w:t xml:space="preserve">experimentales de EXP2 y EXP3. Su función en la tesis es proporcionar evidencia</w:t>
      </w:r>
      <w:r>
        <w:t xml:space="preserve"> </w:t>
      </w:r>
      <w:r>
        <w:t xml:space="preserve">cuantitativa de la brecha de evaluación semántica identificada en la taxonomía</w:t>
      </w:r>
      <w:r>
        <w:t xml:space="preserve"> </w:t>
      </w:r>
      <w:r>
        <w:t xml:space="preserve">del Capítulo 5 (Brecha 3, §</w:t>
      </w:r>
      <w:hyperlink w:anchor="sec-taxonomia-brechas">
        <w:r>
          <w:rPr>
            <w:rStyle w:val="Hipervnculo"/>
          </w:rPr>
          <w:t xml:space="preserve">5.6</w:t>
        </w:r>
      </w:hyperlink>
      <w:r>
        <w:t xml:space="preserve">: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El inventario de EXP4 comprende</w:t>
      </w:r>
      <w:r>
        <w:t xml:space="preserve"> </w:t>
      </w:r>
      <ns1:oMath>
        <ns1:r>
          <ns1:t>n</ns1:t>
        </ns1:r>
        <ns1:r>
          <ns1:rPr>
            <ns1:sty ns1:val="p"/>
          </ns1:rPr>
          <ns1:t>=</ns1:t>
        </ns1:r>
        <ns1:r>
          <ns1:t>192</ns1:t>
        </ns1:r>
      </ns1:oMath>
      <w:r>
        <w:t xml:space="preserve"> </w:t>
      </w:r>
      <w:r>
        <w:t xml:space="preserve">casos. Cada caso es una</w:t>
      </w:r>
      <w:r>
        <w:t xml:space="preserve"> </w:t>
      </w:r>
      <w:r>
        <w:t xml:space="preserve">explicación individual de una instancia, no un par de explicaciones: 96 casos</w:t>
      </w:r>
      <w:r>
        <w:t xml:space="preserve"> </w:t>
      </w:r>
      <w:r>
        <w:t xml:space="preserve">proceden de EXP2 (Adult Income) y 96 de EXP3 (53 de German Credit y 43 de</w:t>
      </w:r>
      <w:r>
        <w:t xml:space="preserve"> </w:t>
      </w:r>
      <w:r>
        <w:t xml:space="preserve">Breast Cancer). Cubren cuatro familias de modelos (regresión logística, MLP,</w:t>
      </w:r>
      <w:r>
        <w:t xml:space="preserve"> </w:t>
      </w:r>
      <w:r>
        <w:t xml:space="preserve">Random Forest y XGBoost) y los cuatro métodos explicadores (76 casos de</w:t>
      </w:r>
      <w:r>
        <w:t xml:space="preserve"> </w:t>
      </w:r>
      <w:r>
        <w:t xml:space="preserve">Anchors, 52 de SHAP, 32 de DiCE y 32 de LIME). El ICC exige que los tres jueces</w:t>
      </w:r>
      <w:r>
        <w:t xml:space="preserve"> </w:t>
      </w:r>
      <w:r>
        <w:t xml:space="preserve">hayan puntuado el caso; en la cohorte original ese subconjunto completo fue de</w:t>
      </w:r>
      <w:r>
        <w:t xml:space="preserve"> </w:t>
      </w:r>
      <ns1:oMath>
        <ns1:r>
          <ns1:t>n</ns1:t>
        </ns1:r>
        <ns1:r>
          <ns1:rPr>
            <ns1:sty ns1:val="p"/>
          </ns1:rPr>
          <ns1:t>=</ns1:t>
        </ns1:r>
        <ns1:r>
          <ns1:t>147</ns1:t>
        </ns1:r>
      </ns1:oMath>
      <w:r>
        <w:t xml:space="preserve"> </w:t>
      </w:r>
      <w:r>
        <w:t xml:space="preserve">casos (§</w:t>
      </w:r>
      <w:hyperlink w:anchor="sec-exp4-fiabilidad">
        <w:r>
          <w:rPr>
            <w:rStyle w:val="Hipervnculo"/>
          </w:rPr>
          <w:t xml:space="preserve">5.8</w:t>
        </w:r>
      </w:hyperlink>
      <w:r>
        <w:t xml:space="preserve">).</w:t>
      </w:r>
    </w:p>
    <w:p>
      <w:pPr>
        <w:pStyle w:val="Textoindependiente"/>
        <w:spacing w:line="360" w:lineRule="auto"/>
        <w:jc w:val="both"/>
      </w:pPr>
      <w:r>
        <w:rPr>
          <w:b/>
          <w:bCs/>
        </w:rPr>
        <w:t xml:space="preserve">Jueces.</w:t>
      </w:r>
      <w:r>
        <w:t xml:space="preserve"> </w:t>
      </w:r>
      <w:r>
        <w:t xml:space="preserve">Tres jueces LLM independientes puntuaron cada caso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(las siete dimensiones se enumeran en la Tabla</w:t>
      </w:r>
      <w:r>
        <w:t xml:space="preserve"> </w:t>
      </w:r>
      <w:hyperlink w:anchor="tbl-exp4-icc">
        <w:r>
          <w:rPr>
            <w:rStyle w:val="Hipervnculo"/>
          </w:rPr>
          <w:t xml:space="preserve">5.3</w:t>
        </w:r>
      </w:hyperlink>
      <w:r>
        <w:t xml:space="preserve"> </w:t>
      </w:r>
      <w:r>
        <w:t xml:space="preserve">del Capítulo 5).</w:t>
      </w:r>
      <w:r>
        <w:t xml:space="preserve"> </w:t>
      </w:r>
      <w:r>
        <w:t xml:space="preserve">El diseño prevé tres condiciones de consigna, con tres réplicas por caso y</w:t>
      </w:r>
      <w:r>
        <w:t xml:space="preserve"> </w:t>
      </w:r>
      <w:r>
        <w:t xml:space="preserve">juez: la condición primaria, con la etiqueta verdadera oculta; una sonda de</w:t>
      </w:r>
      <w:r>
        <w:t xml:space="preserve"> </w:t>
      </w:r>
      <w:r>
        <w:t xml:space="preserve">sesgo, con la etiqueta visible; y una sonda de sensibilidad, con una redacción</w:t>
      </w:r>
      <w:r>
        <w:t xml:space="preserve"> </w:t>
      </w:r>
      <w:r>
        <w:t xml:space="preserve">alternativa de la rúbrica. Una revisión posterior encontró que el registro</w:t>
      </w:r>
      <w:r>
        <w:t xml:space="preserve"> </w:t>
      </w:r>
      <w:r>
        <w:t xml:space="preserve">entregado a los jueces permitía deducir la etiqueta también en la condición</w:t>
      </w:r>
      <w:r>
        <w:t xml:space="preserve"> </w:t>
      </w:r>
      <w:r>
        <w:t xml:space="preserve">primaria; §</w:t>
      </w:r>
      <w:hyperlink w:anchor="sec-seg-jueces">
        <w:r>
          <w:rPr>
            <w:rStyle w:val="Hipervnculo"/>
          </w:rPr>
          <w:t xml:space="preserve">6.5</w:t>
        </w:r>
      </w:hyperlink>
      <w:r>
        <w:t xml:space="preserve"> </w:t>
      </w:r>
      <w:r>
        <w:t xml:space="preserve">lo documenta y añade una condición sin esa</w:t>
      </w:r>
      <w:r>
        <w:t xml:space="preserve"> </w:t>
      </w:r>
      <w:r>
        <w:t xml:space="preserve">información.</w:t>
      </w:r>
      <w:r>
        <w:t xml:space="preserve"> </w:t>
      </w:r>
      <w:r>
        <w:t xml:space="preserve">El uso de modelos de lenguaje como instrumento de medida exige cautela: estos</w:t>
      </w:r>
      <w:r>
        <w:t xml:space="preserve"> </w:t>
      </w:r>
      <w:r>
        <w:t xml:space="preserve">sistemas producen salidas fluidas y plausibles con independencia de su</w:t>
      </w:r>
      <w:r>
        <w:t xml:space="preserve"> </w:t>
      </w:r>
      <w:r>
        <w:t xml:space="preserve">corrección factual, un modo de fallo ampliamente documentado en generación de</w:t>
      </w:r>
      <w:r>
        <w:t xml:space="preserve"> </w:t>
      </w:r>
      <w:r>
        <w:t xml:space="preserve">lenguaje natural</w:t>
      </w:r>
      <w:r>
        <w:t xml:space="preserve"> </w:t>
      </w:r>
      <w:r>
        <w:t xml:space="preserve">(Ji 2022)</w:t>
      </w:r>
      <w:r>
        <w:t xml:space="preserve">, por lo que su convergencia inter-juez debe</w:t>
      </w:r>
      <w:r>
        <w:t xml:space="preserve"> </w:t>
      </w:r>
      <w:r>
        <w:t xml:space="preserve">establecerse empíricamente antes de tratarla como evidencia.</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ICC(1,1) —modelo de efectos aleatorios unidireccional, evaluador</w:t>
      </w:r>
      <w:r>
        <w:t xml:space="preserve"> </w:t>
      </w:r>
      <w:r>
        <w:t xml:space="preserve">único— y el</w:t>
      </w:r>
      <w:r>
        <w:t xml:space="preserve"> </w:t>
      </w:r>
      <ns1:oMath>
        <ns1:r>
          <ns1:t>α</ns1:t>
        </ns1:r>
      </ns1:oMath>
      <w:r>
        <w:t xml:space="preserve"> </w:t>
      </w:r>
      <w:r>
        <w:t xml:space="preserve">de Krippendorff</w:t>
      </w:r>
      <w:r>
        <w:t xml:space="preserve"> </w:t>
      </w:r>
      <w:r>
        <w:t xml:space="preserve">(Krippendorff 2018)</w:t>
      </w:r>
      <w:r>
        <w:t xml:space="preserve">, estadístico que tolera</w:t>
      </w:r>
      <w:r>
        <w:t xml:space="preserve"> </w:t>
      </w:r>
      <w:r>
        <w:t xml:space="preserve">puntuaciones ausentes y admite escalas ordinales. Se prefieren ambos al</w:t>
      </w:r>
      <w:r>
        <w:t xml:space="preserve"> </w:t>
      </w:r>
      <w:r>
        <w:t xml:space="preserve">coeficiente</w:t>
      </w:r>
      <w:r>
        <w:t xml:space="preserve"> </w:t>
      </w:r>
      <ns1:oMath>
        <ns1:r>
          <ns1:t>κ</ns1:t>
        </ns1:r>
      </ns1:oMath>
      <w:r>
        <w:t xml:space="preserve"> </w:t>
      </w:r>
      <w:r>
        <w:t xml:space="preserve">de Cohen</w:t>
      </w:r>
      <w:r>
        <w:t xml:space="preserve"> </w:t>
      </w:r>
      <w:r>
        <w:t xml:space="preserve">(Cohen 1960)</w:t>
      </w:r>
      <w:r>
        <w:t xml:space="preserve"> </w:t>
      </w:r>
      <w:r>
        <w:t xml:space="preserve">porque este último se define para dos</w:t>
      </w:r>
      <w:r>
        <w:t xml:space="preserve"> </w:t>
      </w:r>
      <w:r>
        <w:t xml:space="preserve">evaluadores y escalas nominales, mientras que el diseño de EXP4 involucra tres</w:t>
      </w:r>
      <w:r>
        <w:t xml:space="preserve"> </w:t>
      </w:r>
      <w:r>
        <w:t xml:space="preserve">jueces y puntuaciones ordinales de 1 a 5. El umbral de fiabilidad</w:t>
      </w:r>
      <w:r>
        <w:t xml:space="preserve"> </w:t>
      </w:r>
      <w:r>
        <w:t xml:space="preserve">aceptable es</w:t>
      </w:r>
      <w:r>
        <w:t xml:space="preserve"> </w:t>
      </w:r>
      <ns1:oMath>
        <ns1:r>
          <ns1:rPr>
            <ns1:sty ns1:val="p"/>
          </ns1:rPr>
          <ns1:t>≥</ns1:t>
        </ns1:r>
        <ns1:r>
          <ns1:t>0.75</ns1:t>
        </ns1:r>
      </ns1:oMath>
      <w:r>
        <w:t xml:space="preserve"> </w:t>
      </w:r>
      <w:r>
        <w:t xml:space="preserve">(Koo y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y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declarada con su estatuto epistémico diferenciado</w:t>
      </w:r>
      <w:r>
        <w:t xml:space="preserve"> </w:t>
      </w:r>
      <w:r>
        <w:t xml:space="preserve">en el Capítulo 1 y reportada en los Capítulos 5, 6 y 7.</w:t>
      </w:r>
    </w:p>
    <w:p>
      <w:pPr>
        <w:pStyle w:val="Textoindependiente"/>
        <w:spacing w:line="360" w:lineRule="auto"/>
        <w:jc w:val="both"/>
      </w:pPr>
      <w:r>
        <w:rPr>
          <w:b/>
          <w:bCs/>
        </w:rPr>
        <w:t xml:space="preserve">Cohorte de replicación.</w:t>
      </w:r>
      <w:r>
        <w:t xml:space="preserve"> </w:t>
      </w:r>
      <w:r>
        <w:t xml:space="preserve">De la cohorte original se conservan los agregados</w:t>
      </w:r>
      <w:r>
        <w:t xml:space="preserve"> </w:t>
      </w:r>
      <w:r>
        <w:t xml:space="preserve">de fiabilidad, pero no las respuestas brutas de los jueces ni las plantillas de</w:t>
      </w:r>
      <w:r>
        <w:t xml:space="preserve"> </w:t>
      </w:r>
      <w:r>
        <w:t xml:space="preserve">consigna. Para disponer de datos brutos, EXP4 se ejecutó de nuevo en</w:t>
      </w:r>
      <w:r>
        <w:t xml:space="preserve"> </w:t>
      </w:r>
      <w:r>
        <w:t xml:space="preserve">septiembre de 2026 (cohorte 2) sobre los mismos 192 casos, recuperados por su</w:t>
      </w:r>
      <w:r>
        <w:t xml:space="preserve"> </w:t>
      </w:r>
      <w:r>
        <w:t xml:space="preserve">identificador a partir de la lista de casos de la cohorte original. El panel de</w:t>
      </w:r>
      <w:r>
        <w:t xml:space="preserve"> </w:t>
      </w:r>
      <w:r>
        <w:t xml:space="preserve">jueces es nuevo (GPT-5.4 mini, Claude Haiku 4.5 y Gemini 3.8 Flash), porque los</w:t>
      </w:r>
      <w:r>
        <w:t xml:space="preserve"> </w:t>
      </w:r>
      <w:r>
        <w:t xml:space="preserve">modelos originales ya no están todos disponibles. Las plantillas se</w:t>
      </w:r>
      <w:r>
        <w:t xml:space="preserve"> </w:t>
      </w:r>
      <w:r>
        <w:t xml:space="preserve">reconstruyeron a partir de la rúbrica documentada, y la redacción de la rúbrica</w:t>
      </w:r>
      <w:r>
        <w:t xml:space="preserve"> </w:t>
      </w:r>
      <w:r>
        <w:t xml:space="preserve">alternativa es nueva. La cohorte 2 cubre las tres condiciones con tres réplicas</w:t>
      </w:r>
      <w:r>
        <w:t xml:space="preserve"> </w:t>
      </w:r>
      <w:r>
        <w:t xml:space="preserve">y conserva todas las respuestas brutas. Es una replicación con otro panel, no</w:t>
      </w:r>
      <w:r>
        <w:t xml:space="preserve"> </w:t>
      </w:r>
      <w:r>
        <w:t xml:space="preserve">una reproducción: sus valores se reportan junto a los de la cohorte original,</w:t>
      </w:r>
      <w:r>
        <w:t xml:space="preserve"> </w:t>
      </w:r>
      <w:r>
        <w:t xml:space="preserve">sin sustituirlos. La estimación primaria de fiabilidad es el ICC(1,1) de la</w:t>
      </w:r>
      <w:r>
        <w:t xml:space="preserve"> </w:t>
      </w:r>
      <w:r>
        <w:t xml:space="preserve">condición primaria. La estimación que agrega todas las condiciones y réplicas,</w:t>
      </w:r>
      <w:r>
        <w:t xml:space="preserve"> </w:t>
      </w:r>
      <w:r>
        <w:t xml:space="preserve">que es la opción por defecto del código de análisis, y las estimaciones por</w:t>
      </w:r>
      <w:r>
        <w:t xml:space="preserve"> </w:t>
      </w:r>
      <w:r>
        <w:t xml:space="preserve">condición se reportan como análisis de sensibilidad.</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 el</w:t>
      </w:r>
      <w:r>
        <w:t xml:space="preserve"> </w:t>
      </w:r>
      <w:r>
        <w:t xml:space="preserve">Capítulo 6 reporta los estudios de seguimiento.</w:t>
      </w:r>
    </w:p>
    <w:bookmarkEnd w:id="121"/>
    <w:bookmarkEnd w:id="122"/>
    <w:bookmarkEnd w:id="123"/>
    <w:bookmarkStart w:id="184" w:name="resultados-y-discusión"/>
    <w:p>
      <w:pPr>
        <w:pStyle w:val="Ttulo1"/>
        <w:spacing w:line="360" w:lineRule="auto"/>
        <w:jc w:val="both"/>
      </w:pPr>
      <w:r>
        <w:t xml:space="preserve">Capítulo 4. </w:t>
      </w:r>
      <w:r>
        <w:t xml:space="preserve">Resultados y discusión</w:t>
      </w:r>
    </w:p>
    <w:p>
      <w:pPr>
        <w:pStyle w:val="FirstParagraph"/>
        <w:spacing w:line="360" w:lineRule="auto"/>
        <w:jc w:val="both"/>
      </w:pPr>
      <w:r>
        <w:t xml:space="preserve">Este capítulo presenta los resultados empíricos del Estudio Omnibus</w:t>
      </w:r>
      <w:r>
        <w:t xml:space="preserve"> </w:t>
      </w:r>
      <w:r>
        <w:t xml:space="preserve">Multimétrico y del Estudio Pareado LIME–SHAP, organizados conforme a las</w:t>
      </w:r>
      <w:r>
        <w:t xml:space="preserve"> </w:t>
      </w:r>
      <w:r>
        <w:t xml:space="preserve">hipótesis y proposición de trabajo establecidas en el Capítulo 1. La</w:t>
      </w:r>
      <w:r>
        <w:t xml:space="preserve"> </w:t>
      </w:r>
      <w:r>
        <w:t xml:space="preserve">exposición sigue la secuencia lógica del protocolo FOM-7: primero se</w:t>
      </w:r>
      <w:r>
        <w:t xml:space="preserve"> </w:t>
      </w:r>
      <w:r>
        <w:t xml:space="preserve">documentan los resultados del análisis omnibus multimétrico, luego el análisis</w:t>
      </w:r>
      <w:r>
        <w:t xml:space="preserve"> </w:t>
      </w:r>
      <w:r>
        <w:t xml:space="preserve">pareado SHAP-LIME, y finalmente la verificación de la proposición de</w:t>
      </w:r>
      <w:r>
        <w:t xml:space="preserve"> </w:t>
      </w:r>
      <w:r>
        <w:t xml:space="preserve">reproducibilidad (P1). La discusión integradora al final del capítulo articula</w:t>
      </w:r>
      <w:r>
        <w:t xml:space="preserve"> </w:t>
      </w:r>
      <w:r>
        <w:t xml:space="preserve">los hallazgos con la literatura y deriva criterios operativos de selección de</w:t>
      </w:r>
      <w:r>
        <w:t xml:space="preserve"> </w:t>
      </w:r>
      <w:r>
        <w:t xml:space="preserve">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25" w:name="X265f56e886428ba30debc49e85dcc5a7469d3ae"/>
    <w:p>
      <w:pPr>
        <w:pStyle w:val="Ttulo2"/>
        <w:spacing w:line="360" w:lineRule="auto"/>
        <w:jc w:val="both"/>
      </w:pPr>
      <w:r>
        <w:t xml:space="preserve">4.1 </w:t>
      </w: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4.1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jc w:val="center"/>
        <w:tblLayout w:type="fixed"/>
        <w:tblLook w:firstRow="0" w:lastRow="0" w:firstColumn="0" w:lastColumn="0" w:noHBand="0" w:noVBand="0" w:val="0000"/>
      </w:tblPr>
      <w:tblGrid>
        <w:gridCol w:w="7920"/>
      </w:tblGrid>
      <w:tr>
        <w:tc>
          <w:tcPr/>
          <w:bookmarkStart w:id="124" w:name="tbl-results-overview"/>
          <w:p>
            <w:pPr>
              <w:pStyle w:val="ImageCaption"/>
              <w:spacing w:before="200" w:line="360" w:lineRule="auto"/>
              <w:jc w:val="center"/>
            </w:pPr>
            <w:r>
              <w:t xml:space="preserve">Tabla 4.1: Resumen auditable de hipótesis, pruebas y decisiones.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Test</w:t>
                  </w:r>
                </w:p>
              </w:tc>
              <w:tc>
                <w:tcPr/>
                <w:p>
                  <w:pPr>
                    <w:pStyle w:val="Compact"/>
                    <w:jc w:val="both"/>
                    <w:jc w:val="center"/>
                    <w:spacing w:line="360" w:lineRule="auto"/>
                  </w:pPr>
                  <w:r>
                    <w:rPr>
                      <w:bCs/>
                      <w:b/>
                    </w:rPr>
                    <w:t xml:space="preserve">Unidad /</w:t>
                  </w:r>
                  <w:r>
                    <w:rPr>
                      <w:bCs/>
                      <w:b/>
                    </w:rPr>
                    <w:t xml:space="preserve"> </w:t>
                  </w:r>
                  <ns1:oMath>
                    <ns1:r>
                      <ns1:t>n</ns1:t>
                    </ns1:r>
                  </ns1:oMath>
                </w:p>
              </w:tc>
              <w:tc>
                <w:tcPr/>
                <w:p>
                  <w:pPr>
                    <w:pStyle w:val="Compact"/>
                    <w:jc w:val="both"/>
                    <w:jc w:val="center"/>
                    <w:spacing w:line="360" w:lineRule="auto"/>
                  </w:pPr>
                  <w:r>
                    <w:rPr>
                      <w:bCs/>
                      <w:b/>
                    </w:rP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w:r>
                    <w:rPr>
                      <w:bCs/>
                      <w:b/>
                    </w:rPr>
                    <w:t xml:space="preserve">Efecto</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 seguimiento dirigido SHAP–LIME</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r>
                    <w:t xml:space="preserve">; Wilcoxon</w:t>
                  </w:r>
                  <w:r>
                    <w:t xml:space="preserve"> </w:t>
                  </w:r>
                  <ns1:oMath>
                    <ns1:r>
                      <ns1:t>W</ns1:t>
                    </ns1:r>
                    <ns1:r>
                      <ns1:rPr>
                        <ns1:sty ns1:val="p"/>
                      </ns1:rPr>
                      <ns1:t>=</ns1:t>
                    </ns1:r>
                    <ns1:r>
                      <ns1:t>0</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r>
                    <w:t xml:space="preserve"> </w:t>
                  </w:r>
                  <w:r>
                    <w:t xml:space="preserve">(Friedman);</w:t>
                  </w:r>
                  <w:r>
                    <w:t xml:space="preserve"> </w:t>
                  </w:r>
                  <ns1:oMath>
                    <ns1:r>
                      <ns1:t>3.05</ns1:t>
                    </ns1:r>
                    <ns1:r>
                      <ns1:rPr>
                        <ns1:sty ns1:val="p"/>
                      </ns1:rPr>
                      <ns1:t>×</ns1:t>
                    </ns1:r>
                    <ns1:sSup>
                      <ns1:e>
                        <ns1:r>
                          <ns1:t>10</ns1:t>
                        </ns1:r>
                      </ns1:e>
                      <ns1:sup>
                        <ns1:r>
                          <ns1:rPr>
                            <ns1:sty ns1:val="p"/>
                          </ns1:rPr>
                          <ns1:t>−</ns1:t>
                        </ns1:r>
                        <ns1:r>
                          <ns1:t>4</ns1:t>
                        </ns1:r>
                      </ns1:sup>
                    </ns1:sSup>
                  </ns1:oMath>
                  <w:r>
                    <w:t xml:space="preserve"> </w:t>
                  </w:r>
                  <w:r>
                    <w:t xml:space="preserve">(seguimiento)</w:t>
                  </w:r>
                </w:p>
              </w:tc>
              <w:tc>
                <w:tcPr/>
                <w:p>
                  <w:pPr>
                    <w:pStyle w:val="Compact"/>
                    <w:jc w:val="both"/>
                    <w:jc w:val="center"/>
                    <w:spacing w:line="360" w:lineRule="auto"/>
                  </w:pPr>
                  <w:r>
                    <w:t xml:space="preserve">Kendall</w:t>
                  </w:r>
                  <w:r>
                    <w:t xml:space="preserve"> </w:t>
                  </w:r>
                  <ns1:oMath>
                    <ns1:r>
                      <ns1:t>W</ns1:t>
                    </ns1:r>
                    <ns1:r>
                      <ns1:rPr>
                        <ns1:sty ns1:val="p"/>
                      </ns1:rPr>
                      <ns1:t>=</ns1:t>
                    </ns1:r>
                    <ns1:r>
                      <ns1:t>0.936</ns1:t>
                    </ns1:r>
                  </ns1:oMath>
                  <w:r>
                    <w:t xml:space="preserve">; diferencia media SHAP–LIME</w:t>
                  </w:r>
                  <w:r>
                    <w:t xml:space="preserve"> </w:t>
                  </w:r>
                  <ns1:oMath>
                    <ns1:r>
                      <ns1:rPr>
                        <ns1:sty ns1:val="p"/>
                      </ns1:rPr>
                      <ns1:t>+</ns1:t>
                    </ns1:r>
                    <ns1:r>
                      <ns1:t>0.2479</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Nemenyi localiza tres pares y el seguimiento distingue SHAP de LIME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r>
                    <w:t xml:space="preserve">​</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ns1:oMath>
                    <ns1:r>
                      <ns1:t>W</ns1:t>
                    </ns1:r>
                    <ns1:r>
                      <ns1:rPr>
                        <ns1:sty ns1:val="p"/>
                      </ns1:rPr>
                      <ns1:t>=</ns1:t>
                    </ns1:r>
                    <ns1:r>
                      <ns1:t>0.904</ns1:t>
                    </ns1:r>
                  </ns1:oMath>
                  <w:r>
                    <w:t xml:space="preserve">​</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el estrato replicado</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24"/>
          <w:p>
            <w:pPr>
              <w:spacing w:line="360" w:lineRule="auto"/>
              <w:jc w:val="both"/>
            </w:pPr>
          </w:p>
        </w:tc>
      </w:tr>
    </w:tbl>
    <w:bookmarkEnd w:id="125"/>
    <w:bookmarkStart w:id="134" w:name="sec-estudio-a"/>
    <w:p>
      <w:pPr>
        <w:pStyle w:val="Ttulo2"/>
        <w:spacing w:line="360" w:lineRule="auto"/>
        <w:jc w:val="both"/>
      </w:pPr>
      <w:r>
        <w:t xml:space="preserve">4.2 </w:t>
      </w:r>
      <w:r>
        <w:t xml:space="preserve">Estudio Omnibus Multimétrico: H1 y H2</w:t>
      </w:r>
    </w:p>
    <w:bookmarkStart w:id="130" w:name="X41be5df394949178755daa825e68dc45d5470c0"/>
    <w:p>
      <w:pPr>
        <w:pStyle w:val="Ttulo3"/>
        <w:spacing w:line="360" w:lineRule="auto"/>
        <w:jc w:val="both"/>
      </w:pPr>
      <w:r>
        <w:t xml:space="preserve">4.2.1 </w:t>
      </w: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 el de la</w:t>
      </w:r>
      <w:r>
        <w:t xml:space="preserve"> </w:t>
      </w:r>
      <w:hyperlink w:anchor="eq-margen-fidelidad">
        <w:r>
          <w:rPr>
            <w:rStyle w:val="Hipervnculo"/>
          </w:rPr>
          <w:t xml:space="preserve">Ecuación 4.1</w:t>
        </w:r>
      </w:hyperlink>
      <w:r>
        <w:t xml:space="preserve">:</w:t>
      </w:r>
    </w:p>
    <w:p>
      <w:pPr>
        <w:pStyle w:val="Textoindependiente"/>
        <w:spacing w:line="360" w:lineRule="auto"/>
        <w:jc w:val="both"/>
      </w:pPr>
      <w:bookmarkStart w:id="126" w:name="eq-margen-fidelidad"/>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r>
            <ns1:t>  </ns1:t>
          </ns1:r>
          <ns1:r>
            <ns1:rPr>
              <ns1:sty ns1:val="p"/>
            </ns1:rPr>
            <ns1:t>(</ns1:t>
          </ns1:r>
          <ns1:r>
            <ns1:t>4.1</ns1:t>
          </ns1:r>
          <ns1:r>
            <ns1:rPr>
              <ns1:sty ns1:val="p"/>
            </ns1:rPr>
            <ns1:t>)</ns1:t>
          </ns1:r>
        </ns1:oMath>
      </ns1:oMathPara>
      <w:bookmarkEnd w:id="126"/>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jc w:val="center"/>
        <w:tblLayout w:type="fixed"/>
        <w:tblLook w:firstRow="0" w:lastRow="0" w:firstColumn="0" w:lastColumn="0" w:noHBand="0" w:noVBand="0" w:val="0000"/>
      </w:tblPr>
      <w:tblGrid>
        <w:gridCol w:w="7920"/>
      </w:tblGrid>
      <w:tr>
        <w:tc>
          <w:tcPr/>
          <w:bookmarkStart w:id="127" w:name="tbl-friedman-fidelity"/>
          <w:p>
            <w:pPr>
              <w:pStyle w:val="ImageCaption"/>
              <w:spacing w:before="200" w:line="360" w:lineRule="auto"/>
              <w:jc w:val="center"/>
            </w:pPr>
            <w:r>
              <w:t xml:space="preserve">Tabla 4.2: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27"/>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t xml:space="preserve">Estas magnitudes describen el comportamiento bajo el operador declarado:</w:t>
      </w:r>
      <w:r>
        <w:t xml:space="preserve"> </w:t>
      </w:r>
      <w:r>
        <w:t xml:space="preserve">reemplazo independiente por la media de entrenamiento en el espacio</w:t>
      </w:r>
      <w:r>
        <w:t xml:space="preserve"> </w:t>
      </w:r>
      <w:r>
        <w:t xml:space="preserve">transformado. Aplicar el mismo operador mejora la comparabilidad interna, pero</w:t>
      </w:r>
      <w:r>
        <w:t xml:space="preserve"> </w:t>
      </w:r>
      <w:r>
        <w:t xml:space="preserve">no preserva la distribución conjunta ni elimina el riesgo de observaciones OOD</w:t>
      </w:r>
      <w:r>
        <w:t xml:space="preserve"> </w:t>
      </w:r>
      <w:r>
        <w:t xml:space="preserve">(Hooker et al. 2019; Rong et al. 2022)</w:t>
      </w:r>
      <w:r>
        <w:t xml:space="preserve">. Por ello, el ordenamiento se acota</w:t>
      </w:r>
      <w:r>
        <w:t xml:space="preserve"> </w:t>
      </w:r>
      <w:r>
        <w:t xml:space="preserve">a esta operacionalización y no constituye por sí solo una prueba irrestricta de</w:t>
      </w:r>
      <w:r>
        <w:t xml:space="preserve"> </w:t>
      </w:r>
      <w:r>
        <w:t xml:space="preserve">corrección de las atribuciones.</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definida en la</w:t>
      </w:r>
      <w:r>
        <w:t xml:space="preserve"> </w:t>
      </w:r>
      <w:hyperlink w:anchor="eq-diferencia-critica">
        <w:r>
          <w:rPr>
            <w:rStyle w:val="Hipervnculo"/>
          </w:rPr>
          <w:t xml:space="preserve">Ecuación 3.16</w:t>
        </w:r>
      </w:hyperlink>
      <w:r>
        <w:t xml:space="preserve">, se calcula en la</w:t>
      </w:r>
      <w:r>
        <w:t xml:space="preserve"> </w:t>
      </w:r>
      <w:hyperlink w:anchor="eq-diferencia-critica-calculo">
        <w:r>
          <w:rPr>
            <w:rStyle w:val="Hipervnculo"/>
          </w:rPr>
          <w:t xml:space="preserve">Ecuación 4.2</w:t>
        </w:r>
      </w:hyperlink>
      <w:r>
        <w:t xml:space="preserve">:</w:t>
      </w:r>
    </w:p>
    <w:p>
      <w:pPr>
        <w:pStyle w:val="Textoindependiente"/>
        <w:spacing w:line="360" w:lineRule="auto"/>
        <w:jc w:val="both"/>
      </w:pPr>
      <w:bookmarkStart w:id="128" w:name="eq-diferencia-critica-calculo"/>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r>
            <ns1:t>  </ns1:t>
          </ns1:r>
          <ns1:r>
            <ns1:rPr>
              <ns1:sty ns1:val="p"/>
            </ns1:rPr>
            <ns1:t>(</ns1:t>
          </ns1:r>
          <ns1:r>
            <ns1:t>4.2</ns1:t>
          </ns1:r>
          <ns1:r>
            <ns1:rPr>
              <ns1:sty ns1:val="p"/>
            </ns1:rPr>
            <ns1:t>)</ns1:t>
          </ns1:r>
        </ns1:oMath>
      </ns1:oMathPara>
      <w:bookmarkEnd w:id="128"/>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Tres de las seis diferencias en rangos</w:t>
      </w:r>
      <w:r>
        <w:t xml:space="preserve"> </w:t>
      </w:r>
      <w:r>
        <w:t xml:space="preserve">medios superan la diferencia crítica: SHAP–Anchors, SHAP–DiCE y LIME–DiCE:</w:t>
      </w:r>
    </w:p>
    <w:tbl>
      <w:tblPr>
        <w:tblStyle w:val="Table"/>
        <w:tblW w:type="pct" w:w="5000"/>
        <w:jc w:val="center"/>
        <w:tblLayout w:type="fixed"/>
        <w:tblLook w:firstRow="0" w:lastRow="0" w:firstColumn="0" w:lastColumn="0" w:noHBand="0" w:noVBand="0" w:val="0000"/>
      </w:tblPr>
      <w:tblGrid>
        <w:gridCol w:w="7920"/>
      </w:tblGrid>
      <w:tr>
        <w:tc>
          <w:tcPr/>
          <w:bookmarkStart w:id="129" w:name="tbl-nemenyi-fidelity"/>
          <w:p>
            <w:pPr>
              <w:pStyle w:val="ImageCaption"/>
              <w:spacing w:before="200" w:line="360" w:lineRule="auto"/>
              <w:jc w:val="center"/>
            </w:pPr>
            <w:r>
              <w:t xml:space="preserve">Tabla 4.3: Comparaciones post-hoc de Nemenyi para fidelidad.</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r>
                    <w:rPr>
                      <w:bCs/>
                      <w:b/>
                    </w:rPr>
                    <w:t xml:space="preserve">​</w:t>
                  </w:r>
                </w:p>
              </w:tc>
              <w:tc>
                <w:tcPr/>
                <w:p>
                  <w:pPr>
                    <w:pStyle w:val="Compact"/>
                    <w:jc w:val="both"/>
                    <w:spacing w:line="360" w:lineRule="auto"/>
                  </w:pPr>
                  <w:r>
                    <w:rPr>
                      <w:bCs/>
                      <w:b/>
                    </w:rPr>
                    <w:t xml:space="preserve">CD</w:t>
                  </w:r>
                </w:p>
              </w:tc>
              <w:tc>
                <w:tcPr/>
                <w:p>
                  <w:pPr>
                    <w:pStyle w:val="Compact"/>
                    <w:jc w:val="both"/>
                    <w:spacing w:line="360" w:lineRule="auto"/>
                  </w:pPr>
                  <w:r>
                    <w:rPr>
                      <w:bCs/>
                      <w:b/>
                    </w:rP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29"/>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w:t>
      </w:r>
    </w:p>
    <w:p>
      <w:pPr>
        <w:pStyle w:val="Textoindependiente"/>
        <w:spacing w:line="360" w:lineRule="auto"/>
        <w:jc w:val="both"/>
      </w:pPr>
      <w:r>
        <w:rPr>
          <w:b/>
          <w:bCs/>
        </w:rPr>
        <w:t xml:space="preserve">Seguimiento dirigido SHAP–LIME.</w:t>
      </w:r>
      <w:r>
        <w:t xml:space="preserve"> </w:t>
      </w:r>
      <w:r>
        <w:t xml:space="preserve">Para evaluar esa diferencia con la misma</w:t>
      </w:r>
      <w:r>
        <w:t xml:space="preserve"> </w:t>
      </w:r>
      <w:r>
        <w:t xml:space="preserve">agregación que Friedman, se realizó un contraste bilateral de Wilcoxon sobre</w:t>
      </w:r>
      <w:r>
        <w:t xml:space="preserve"> </w:t>
      </w:r>
      <w:r>
        <w:t xml:space="preserve">los 15 bloques agregados</w:t>
      </w:r>
      <w:r>
        <w:t xml:space="preserve"> </w:t>
      </w:r>
      <ns1:oMath>
        <ns1:r>
          <ns1:rPr>
            <ns1:sty ns1:val="p"/>
          </ns1:rPr>
          <ns1:t>(</ns1:t>
        </ns1:r>
        <ns1:r>
          <ns1:t>g</ns1:t>
        </ns1:r>
        <ns1:r>
          <ns1:rPr>
            <ns1:sty ns1:val="p"/>
          </ns1:rPr>
          <ns1:t>,</ns1:t>
        </ns1:r>
        <ns1:r>
          <ns1:t>n</ns1:t>
        </ns1:r>
        <ns1:r>
          <ns1:rPr>
            <ns1:sty ns1:val="p"/>
          </ns1:rPr>
          <ns1:t>)</ns1:t>
        </ns1:r>
      </ns1:oMath>
      <w:r>
        <w:t xml:space="preserve">, cada uno construido como media de las cinco</w:t>
      </w:r>
      <w:r>
        <w:t xml:space="preserve"> </w:t>
      </w:r>
      <w:r>
        <w:t xml:space="preserve">semillas calificadas de cada método. SHAP superó a LIME en fidelidad en los 15</w:t>
      </w:r>
      <w:r>
        <w:t xml:space="preserve"> </w:t>
      </w:r>
      <w:r>
        <w:t xml:space="preserve">bloques: diferencia media por bloque de</w:t>
      </w:r>
      <w:r>
        <w:t xml:space="preserve"> </w:t>
      </w:r>
      <ns1:oMath>
        <ns1:r>
          <ns1:rPr>
            <ns1:sty ns1:val="p"/>
          </ns1:rPr>
          <ns1:t>+</ns1:t>
        </ns1:r>
        <ns1:r>
          <ns1:t>0.2479</ns1:t>
        </ns1:r>
      </ns1:oMath>
      <w:r>
        <w:t xml:space="preserve">, estadístico de rangos</w:t>
      </w:r>
      <w:r>
        <w:t xml:space="preserve"> </w:t>
      </w:r>
      <ns1:oMath>
        <ns1:r>
          <ns1:t>W</ns1:t>
        </ns1:r>
        <ns1:r>
          <ns1:rPr>
            <ns1:sty ns1:val="p"/>
          </ns1:rPr>
          <ns1:t>=</ns1:t>
        </ns1:r>
        <ns1:r>
          <ns1:t>0</ns1:t>
        </ns1:r>
      </ns1:oMath>
      <w:r>
        <w:t xml:space="preserve">,</w:t>
      </w:r>
      <w:r>
        <w:t xml:space="preserve"> </w:t>
      </w:r>
      <ns1:oMath>
        <ns1:sSub>
          <ns1:e>
            <ns1:r>
              <ns1:t>p</ns1:t>
            </ns1:r>
          </ns1:e>
          <ns1:sub>
            <ns1:r>
              <ns1:rPr>
                <ns1:sty ns1:val="p"/>
              </ns1:rPr>
              <ns1:t>r</ns1:t>
            </ns1:r>
            <ns1:r>
              <ns1:rPr>
                <ns1:sty ns1:val="p"/>
              </ns1:rPr>
              <ns1:t>a</ns1:t>
            </ns1:r>
            <ns1:r>
              <ns1:rPr>
                <ns1:sty ns1:val="p"/>
              </ns1:rPr>
              <ns1:t>w</ns1:t>
            </ns1:r>
          </ns1:sub>
        </ns1:sSub>
        <ns1:r>
          <ns1:rPr>
            <ns1:sty ns1:val="p"/>
          </ns1:rPr>
          <ns1:t>=</ns1:t>
        </ns1:r>
        <ns1:r>
          <ns1:t>6.10</ns1:t>
        </ns1:r>
        <ns1:r>
          <ns1:rPr>
            <ns1:sty ns1:val="p"/>
          </ns1:rPr>
          <ns1:t>×</ns1:t>
        </ns1:r>
        <ns1:sSup>
          <ns1:e>
            <ns1:r>
              <ns1:t>10</ns1:t>
            </ns1:r>
          </ns1:e>
          <ns1:sup>
            <ns1:r>
              <ns1:rPr>
                <ns1:sty ns1:val="p"/>
              </ns1:rPr>
              <ns1:t>−</ns1:t>
            </ns1:r>
            <ns1:r>
              <ns1:t>5</ns1:t>
            </ns1:r>
          </ns1:sup>
        </ns1:sSup>
      </ns1:oMath>
      <w:r>
        <w:t xml:space="preserve"> </w:t>
      </w:r>
      <w:r>
        <w:t xml:space="preserve">y</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r>
          <ns1:rPr>
            <ns1:sty ns1:val="p"/>
          </ns1:rPr>
          <ns1:t>=</ns1:t>
        </ns1:r>
        <ns1:r>
          <ns1:t>3.05</ns1:t>
        </ns1:r>
        <ns1:r>
          <ns1:rPr>
            <ns1:sty ns1:val="p"/>
          </ns1:rPr>
          <ns1:t>×</ns1:t>
        </ns1:r>
        <ns1:sSup>
          <ns1:e>
            <ns1:r>
              <ns1:t>10</ns1:t>
            </ns1:r>
          </ns1:e>
          <ns1:sup>
            <ns1:r>
              <ns1:rPr>
                <ns1:sty ns1:val="p"/>
              </ns1:rPr>
              <ns1:t>−</ns1:t>
            </ns1:r>
            <ns1:r>
              <ns1:t>4</ns1:t>
            </ns1:r>
          </ns1:sup>
        </ns1:sSup>
      </ns1:oMath>
      <w:r>
        <w:t xml:space="preserve"> </w:t>
      </w:r>
      <w:r>
        <w:t xml:space="preserve">dentro de la familia de cinco</w:t>
      </w:r>
      <w:r>
        <w:t xml:space="preserve"> </w:t>
      </w:r>
      <w:r>
        <w:t xml:space="preserve">métricas. Las diferencias tuvieron 15 positivas, 0 negativas y 0 empates; la</w:t>
      </w:r>
      <w:r>
        <w:t xml:space="preserve"> </w:t>
      </w:r>
      <w:r>
        <w:t xml:space="preserve">prueba exacta bilateral de signos (</w:t>
      </w:r>
      <ns1:oMath>
        <ns1:r>
          <ns1:t>p</ns1:t>
        </ns1:r>
        <ns1:r>
          <ns1:rPr>
            <ns1:sty ns1:val="p"/>
          </ns1:rPr>
          <ns1:t>=</ns1:t>
        </ns1:r>
        <ns1:r>
          <ns1:t>6.10</ns1:t>
        </ns1:r>
        <ns1:r>
          <ns1:rPr>
            <ns1:sty ns1:val="p"/>
          </ns1:rPr>
          <ns1:t>×</ns1:t>
        </ns1:r>
        <ns1:sSup>
          <ns1:e>
            <ns1:r>
              <ns1:t>10</ns1:t>
            </ns1:r>
          </ns1:e>
          <ns1:sup>
            <ns1:r>
              <ns1:rPr>
                <ns1:sty ns1:val="p"/>
              </ns1:rPr>
              <ns1:t>−</ns1:t>
            </ns1:r>
            <ns1:r>
              <ns1:t>5</ns1:t>
            </ns1:r>
          </ns1:sup>
        </ns1:sSup>
      </ns1:oMath>
      <w:r>
        <w:t xml:space="preserve">) confirma que la</w:t>
      </w:r>
      <w:r>
        <w:t xml:space="preserve"> </w:t>
      </w:r>
      <w:r>
        <w:t xml:space="preserve">dirección no depende de unos pocos bloques extremos.</w:t>
      </w:r>
    </w:p>
    <w:p>
      <w:pPr>
        <w:pStyle w:val="Textoindependiente"/>
        <w:spacing w:line="360" w:lineRule="auto"/>
        <w:jc w:val="both"/>
      </w:pPr>
      <w:r>
        <w:t xml:space="preserve">Este análisis es un seguimiento motivado por la revisión, no una prueba</w:t>
      </w:r>
      <w:r>
        <w:t xml:space="preserve"> </w:t>
      </w:r>
      <w:r>
        <w:t xml:space="preserve">preespecificada de H1. Nemenyi pregunta qué pares se separan bajo una</w:t>
      </w:r>
      <w:r>
        <w:t xml:space="preserve"> </w:t>
      </w:r>
      <w:r>
        <w:t xml:space="preserve">localización simultánea de cuatro métodos basada en rangos y, con solo 15</w:t>
      </w:r>
      <w:r>
        <w:t xml:space="preserve"> </w:t>
      </w:r>
      <w:r>
        <w:t xml:space="preserve">bloques, no separa SHAP de LIME. El seguimiento pregunta directamente si la</w:t>
      </w:r>
      <w:r>
        <w:t xml:space="preserve"> </w:t>
      </w:r>
      <w:r>
        <w:t xml:space="preserve">diferencia SHAP–LIME de magnitud es sistemática en esos mismos bloques y</w:t>
      </w:r>
      <w:r>
        <w:t xml:space="preserve"> </w:t>
      </w:r>
      <w:r>
        <w:t xml:space="preserve">controla multiplicidad sobre las cinco métricas. El Wilcoxon de H3 que se</w:t>
      </w:r>
      <w:r>
        <w:t xml:space="preserve"> </w:t>
      </w:r>
      <w:r>
        <w:t xml:space="preserve">presenta más adelante conserva otra unidad: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emparejadas.</w:t>
      </w:r>
    </w:p>
    <w:bookmarkEnd w:id="130"/>
    <w:bookmarkStart w:id="133" w:name="X117d71016dd8839ee57c9e60cc09d0400ac5f3d"/>
    <w:p>
      <w:pPr>
        <w:pStyle w:val="Ttulo3"/>
        <w:spacing w:line="360" w:lineRule="auto"/>
        <w:jc w:val="both"/>
      </w:pPr>
      <w:r>
        <w:t xml:space="preserve">4.2.2 </w:t>
      </w: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el margen de seguridad de la</w:t>
      </w:r>
      <w:r>
        <w:t xml:space="preserve"> </w:t>
      </w:r>
      <w:hyperlink w:anchor="eq-margen-estabilidad">
        <w:r>
          <w:rPr>
            <w:rStyle w:val="Hipervnculo"/>
          </w:rPr>
          <w:t xml:space="preserve">Ecuación 4.3</w:t>
        </w:r>
      </w:hyperlink>
      <w:r>
        <w:t xml:space="preserve">:</w:t>
      </w:r>
    </w:p>
    <w:p>
      <w:pPr>
        <w:pStyle w:val="Textoindependiente"/>
        <w:spacing w:line="360" w:lineRule="auto"/>
        <w:jc w:val="both"/>
      </w:pPr>
      <w:bookmarkStart w:id="131" w:name="eq-margen-estabilidad"/>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r>
            <ns1:t>  </ns1:t>
          </ns1:r>
          <ns1:r>
            <ns1:rPr>
              <ns1:sty ns1:val="p"/>
            </ns1:rPr>
            <ns1:t>(</ns1:t>
          </ns1:r>
          <ns1:r>
            <ns1:t>4.3</ns1:t>
          </ns1:r>
          <ns1:r>
            <ns1:rPr>
              <ns1:sty ns1:val="p"/>
            </ns1:rPr>
            <ns1:t>)</ns1:t>
          </ns1:r>
        </ns1:oMath>
      </ns1:oMathPara>
      <w:bookmarkEnd w:id="131"/>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jc w:val="center"/>
        <w:tblLayout w:type="fixed"/>
        <w:tblLook w:firstRow="0" w:lastRow="0" w:firstColumn="0" w:lastColumn="0" w:noHBand="0" w:noVBand="0" w:val="0000"/>
      </w:tblPr>
      <w:tblGrid>
        <w:gridCol w:w="7920"/>
      </w:tblGrid>
      <w:tr>
        <w:tc>
          <w:tcPr/>
          <w:bookmarkStart w:id="132" w:name="tbl-friedman-stability"/>
          <w:p>
            <w:pPr>
              <w:pStyle w:val="ImageCaption"/>
              <w:spacing w:before="200" w:line="360" w:lineRule="auto"/>
              <w:jc w:val="center"/>
            </w:pPr>
            <w:r>
              <w:t xml:space="preserve">Tabla 4.4: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Suma de rangos</w:t>
                  </w:r>
                </w:p>
              </w:tc>
              <w:tc>
                <w:tcPr/>
                <w:p>
                  <w:pPr>
                    <w:pStyle w:val="Compact"/>
                    <w:jc w:val="both"/>
                    <w:spacing w:line="360" w:lineRule="auto"/>
                  </w:pPr>
                  <w:r>
                    <w:rPr>
                      <w:bCs/>
                      <w:b/>
                    </w:rPr>
                    <w:t xml:space="preserve">Rango medio</w:t>
                  </w:r>
                </w:p>
              </w:tc>
              <w:tc>
                <w:tcPr/>
                <w:p>
                  <w:pPr>
                    <w:pStyle w:val="Compact"/>
                    <w:jc w:val="both"/>
                    <w:spacing w:line="360" w:lineRule="auto"/>
                  </w:pPr>
                  <w:r>
                    <w:rPr>
                      <w:bCs/>
                      <w:b/>
                    </w:rP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32"/>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33"/>
    <w:bookmarkEnd w:id="134"/>
    <w:bookmarkStart w:id="138" w:name="sec-estudio-b"/>
    <w:p>
      <w:pPr>
        <w:pStyle w:val="Ttulo2"/>
        <w:spacing w:line="360" w:lineRule="auto"/>
        <w:jc w:val="both"/>
      </w:pPr>
      <w:r>
        <w:t xml:space="preserve">4.3 </w:t>
      </w:r>
      <w:r>
        <w:t xml:space="preserve">Estudio Pareado LIME–SHAP: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36" w:name="diferencias-en-métricas-de-calidad"/>
    <w:p>
      <w:pPr>
        <w:pStyle w:val="Ttulo3"/>
        <w:spacing w:line="360" w:lineRule="auto"/>
        <w:jc w:val="both"/>
      </w:pPr>
      <w:r>
        <w:t xml:space="preserve">4.3.1 </w:t>
      </w: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jc w:val="center"/>
        <w:tblLayout w:type="fixed"/>
        <w:tblLook w:firstRow="0" w:lastRow="0" w:firstColumn="0" w:lastColumn="0" w:noHBand="0" w:noVBand="0" w:val="0000"/>
      </w:tblPr>
      <w:tblGrid>
        <w:gridCol w:w="7920"/>
      </w:tblGrid>
      <w:tr>
        <w:tc>
          <w:tcPr/>
          <w:bookmarkStart w:id="135" w:name="tbl-paired-shap-lime"/>
          <w:p>
            <w:pPr>
              <w:pStyle w:val="ImageCaption"/>
              <w:spacing w:before="200" w:line="360" w:lineRule="auto"/>
              <w:jc w:val="center"/>
            </w:pPr>
            <w:r>
              <w:t xml:space="preserve">Tabla 4.5: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rPr>
                      <w:bCs/>
                      <w:b/>
                    </w:rPr>
                    <w:t xml:space="preserve">Métrica</w:t>
                  </w:r>
                </w:p>
              </w:tc>
              <w:tc>
                <w:tcPr/>
                <w:p>
                  <w:pPr>
                    <w:pStyle w:val="Compact"/>
                    <w:jc w:val="both"/>
                    <w:spacing w:line="360" w:lineRule="auto"/>
                  </w:pPr>
                  <ns1:oMath>
                    <ns1:acc>
                      <ns1:accPr>
                        <ns1:chr ns1:val="‾"/>
                      </ns1:accPr>
                      <ns1:e>
                        <ns1:r>
                          <ns1:t>d</ns1:t>
                        </ns1:r>
                      </ns1:e>
                    </ns1:acc>
                  </ns1:oMath>
                  <w:r>
                    <w:rPr>
                      <w:bCs/>
                      <w:b/>
                    </w:rPr>
                    <w:t xml:space="preserve">​</w:t>
                  </w:r>
                </w:p>
              </w:tc>
              <w:tc>
                <w:tcPr/>
                <w:p>
                  <w:pPr>
                    <w:pStyle w:val="Compact"/>
                    <w:jc w:val="both"/>
                    <w:spacing w:line="360" w:lineRule="auto"/>
                  </w:pPr>
                  <ns1:oMath>
                    <ns1:sSub>
                      <ns1:e>
                        <ns1:r>
                          <ns1:t>s</ns1:t>
                        </ns1:r>
                      </ns1:e>
                      <ns1:sub>
                        <ns1:r>
                          <ns1:t>d</ns1:t>
                        </ns1:r>
                      </ns1:sub>
                    </ns1:sSub>
                  </ns1:oMath>
                  <w:r>
                    <w:rPr>
                      <w:bCs/>
                      <w:b/>
                    </w:rPr>
                    <w:t xml:space="preserve">​</w:t>
                  </w:r>
                </w:p>
              </w:tc>
              <w:tc>
                <w:tcPr/>
                <w:p>
                  <w:pPr>
                    <w:pStyle w:val="Compact"/>
                    <w:jc w:val="both"/>
                    <w:spacing w:line="360" w:lineRule="auto"/>
                  </w:pPr>
                  <ns1:oMath>
                    <ns1:sSub>
                      <ns1:e>
                        <ns1:r>
                          <ns1:t>d</ns1:t>
                        </ns1:r>
                      </ns1:e>
                      <ns1:sub>
                        <ns1:r>
                          <ns1:t>z</ns1:t>
                        </ns1:r>
                      </ns1:sub>
                    </ns1:sSub>
                  </ns1:oMath>
                  <w:r>
                    <w:rPr>
                      <w:bCs/>
                      <w:b/>
                    </w:rPr>
                    <w:t xml:space="preserve">​</w:t>
                  </w:r>
                </w:p>
              </w:tc>
              <w:tc>
                <w:tcPr/>
                <w:p>
                  <w:pPr>
                    <w:pStyle w:val="Compact"/>
                    <w:jc w:val="both"/>
                    <w:spacing w:line="360" w:lineRule="auto"/>
                  </w:pPr>
                  <w:r>
                    <w:rPr>
                      <w:bCs/>
                      <w:b/>
                    </w:rPr>
                    <w:t xml:space="preserve">Pos.</w:t>
                  </w:r>
                </w:p>
              </w:tc>
              <w:tc>
                <w:tcPr/>
                <w:p>
                  <w:pPr>
                    <w:pStyle w:val="Compact"/>
                    <w:jc w:val="both"/>
                    <w:spacing w:line="360" w:lineRule="auto"/>
                  </w:pPr>
                  <w:r>
                    <w:rPr>
                      <w:bCs/>
                      <w:b/>
                    </w:rPr>
                    <w:t xml:space="preserve">Neg.</w:t>
                  </w:r>
                </w:p>
              </w:tc>
              <w:tc>
                <w:tcPr/>
                <w:p>
                  <w:pPr>
                    <w:pStyle w:val="Compact"/>
                    <w:jc w:val="both"/>
                    <w:spacing w:line="360" w:lineRule="auto"/>
                  </w:pPr>
                  <ns1:oMath>
                    <ns1:r>
                      <ns1:t>n</ns1:t>
                    </ns1:r>
                  </ns1:oMath>
                  <w:r>
                    <w:rPr>
                      <w:bCs/>
                      <w:b/>
                    </w:rPr>
                    <w:t xml:space="preserve">​</w:t>
                  </w:r>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35"/>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36"/>
    <w:bookmarkStart w:id="137" w:name="X2c15e0a178907c68bf437d0d85cae845d1c590b"/>
    <w:p>
      <w:pPr>
        <w:pStyle w:val="Ttulo3"/>
        <w:spacing w:line="360" w:lineRule="auto"/>
        <w:jc w:val="both"/>
      </w:pPr>
      <w:r>
        <w:t xml:space="preserve">4.3.2 </w:t>
      </w: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37"/>
    <w:bookmarkEnd w:id="138"/>
    <w:bookmarkStart w:id="140" w:name="sec-p1"/>
    <w:p>
      <w:pPr>
        <w:pStyle w:val="Ttulo2"/>
        <w:spacing w:line="360" w:lineRule="auto"/>
        <w:jc w:val="both"/>
      </w:pPr>
      <w:r>
        <w:t xml:space="preserve">4.4 </w:t>
      </w: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jc w:val="center"/>
        <w:tblLayout w:type="fixed"/>
        <w:tblLook w:firstRow="0" w:lastRow="0" w:firstColumn="0" w:lastColumn="0" w:noHBand="0" w:noVBand="0" w:val="0000"/>
      </w:tblPr>
      <w:tblGrid>
        <w:gridCol w:w="7920"/>
      </w:tblGrid>
      <w:tr>
        <w:tc>
          <w:tcPr/>
          <w:bookmarkStart w:id="139" w:name="tbl-cv-p1"/>
          <w:p>
            <w:pPr>
              <w:pStyle w:val="ImageCaption"/>
              <w:spacing w:before="200" w:line="360" w:lineRule="auto"/>
              <w:jc w:val="center"/>
            </w:pPr>
            <w:r>
              <w:t xml:space="preserve">Tabla 4.6: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rPr>
                      <w:bCs/>
                      <w:b/>
                    </w:rPr>
                    <w:t xml:space="preserve">Método</w:t>
                  </w:r>
                </w:p>
              </w:tc>
              <w:tc>
                <w:tcPr/>
                <w:p>
                  <w:pPr>
                    <w:pStyle w:val="Compact"/>
                    <w:jc w:val="both"/>
                    <w:spacing w:line="360" w:lineRule="auto"/>
                  </w:pPr>
                  <w:r>
                    <w:rPr>
                      <w:bCs/>
                      <w:b/>
                    </w:rPr>
                    <w:t xml:space="preserve">Métrica</w:t>
                  </w:r>
                </w:p>
              </w:tc>
              <w:tc>
                <w:tcPr/>
                <w:p>
                  <w:pPr>
                    <w:pStyle w:val="Compact"/>
                    <w:jc w:val="both"/>
                    <w:spacing w:line="360" w:lineRule="auto"/>
                  </w:pPr>
                  <w:r>
                    <w:rPr>
                      <w:bCs/>
                      <w:b/>
                    </w:rPr>
                    <w:t xml:space="preserve">Media</w:t>
                  </w:r>
                </w:p>
              </w:tc>
              <w:tc>
                <w:tcPr/>
                <w:p>
                  <w:pPr>
                    <w:pStyle w:val="Compact"/>
                    <w:jc w:val="both"/>
                    <w:spacing w:line="360" w:lineRule="auto"/>
                  </w:pPr>
                  <w:r>
                    <w:rPr>
                      <w:bCs/>
                      <w:b/>
                    </w:rPr>
                    <w:t xml:space="preserve">Desv. típica</w:t>
                  </w:r>
                </w:p>
              </w:tc>
              <w:tc>
                <w:tcPr/>
                <w:p>
                  <w:pPr>
                    <w:pStyle w:val="Compact"/>
                    <w:jc w:val="both"/>
                    <w:spacing w:line="360" w:lineRule="auto"/>
                  </w:pPr>
                  <w:r>
                    <w:rPr>
                      <w:bCs/>
                      <w:b/>
                    </w:rPr>
                    <w:t xml:space="preserve">CV (%)</w:t>
                  </w:r>
                </w:p>
              </w:tc>
              <w:tc>
                <w:tcPr/>
                <w:p>
                  <w:pPr>
                    <w:pStyle w:val="Compact"/>
                    <w:jc w:val="both"/>
                    <w:spacing w:line="360" w:lineRule="auto"/>
                  </w:pPr>
                  <w:r>
                    <w:rPr>
                      <w:bCs/>
                      <w:b/>
                    </w:rP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39"/>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del método bajo esta</w:t>
      </w:r>
      <w:r>
        <w:t xml:space="preserve"> </w:t>
      </w:r>
      <w:r>
        <w:t xml:space="preserve">configuración, no de la irreproducibilidad del protocolo.</w:t>
      </w:r>
    </w:p>
    <w:p>
      <w:pPr>
        <w:pStyle w:val="Textoindependiente"/>
        <w:spacing w:line="360" w:lineRule="auto"/>
        <w:jc w:val="both"/>
      </w:pPr>
      <w:r>
        <w:t xml:space="preserve">Para la generalización global, el CV en fidelidad agrupando todas las</w:t>
      </w:r>
      <w:r>
        <w:t xml:space="preserve"> </w:t>
      </w:r>
      <w:r>
        <w:t xml:space="preserve">ejecuciones calificadas de cada método es de 11.4% (SHAP) y 12.0% (LIME) —es</w:t>
      </w:r>
      <w:r>
        <w:t xml:space="preserve"> </w:t>
      </w:r>
      <w:r>
        <w:t xml:space="preserve">decir, SHAP es además el más reproducible de los dos, no el más disperso—,</w:t>
      </w:r>
      <w:r>
        <w:t xml:space="preserve"> </w:t>
      </w:r>
      <w:r>
        <w:t xml:space="preserve">confirmando que la variabilidad métrica debida a la aleatoriedad de la semilla</w:t>
      </w:r>
      <w:r>
        <w:t xml:space="preserve"> </w:t>
      </w:r>
      <w:r>
        <w:t xml:space="preserve">es controlada y uniforme, y que ambos valores quedan por debajo del umbral del</w:t>
      </w:r>
      <w:r>
        <w:t xml:space="preserve"> </w:t>
      </w:r>
      <w:r>
        <w:t xml:space="preserve">15% fijado en P1.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40"/>
    <w:bookmarkStart w:id="145" w:name="sec-perfiles"/>
    <w:p>
      <w:pPr>
        <w:pStyle w:val="Ttulo2"/>
        <w:spacing w:line="360" w:lineRule="auto"/>
        <w:jc w:val="both"/>
      </w:pPr>
      <w:r>
        <w:t xml:space="preserve">4.5 </w:t>
      </w: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41" w:name="shap"/>
    <w:p>
      <w:pPr>
        <w:pStyle w:val="Ttulo3"/>
        <w:spacing w:line="360" w:lineRule="auto"/>
        <w:jc w:val="both"/>
      </w:pPr>
      <w:r>
        <w:t xml:space="preserve">4.5.1 </w:t>
      </w: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las 75 ejecuciones calificadas son:</w:t>
      </w:r>
      <w:r>
        <w:t xml:space="preserve"> </w:t>
      </w:r>
      <w:r>
        <w:t xml:space="preserve">fidelidad = 0.808, estabilidad = 0.732, parsimonia = 0.226, brecha de</w:t>
      </w:r>
      <w:r>
        <w:t xml:space="preserve"> </w:t>
      </w:r>
      <w:r>
        <w:t xml:space="preserve">fidelidad = 0.380, coste = 11,708 ms. El ratio activo más alto de todos los</w:t>
      </w:r>
      <w:r>
        <w:t xml:space="preserve"> </w:t>
      </w:r>
      <w:r>
        <w:t xml:space="preserve">métodos (0.226 frente a 0.085 de LIME) refleja que SHAP puede distribuir</w:t>
      </w:r>
      <w:r>
        <w:t xml:space="preserve"> </w:t>
      </w:r>
      <w:r>
        <w:t xml:space="preserve">importancias entre un mayor número de características cuando el modelo así lo</w:t>
      </w:r>
      <w:r>
        <w:t xml:space="preserve"> </w:t>
      </w:r>
      <w:r>
        <w:t xml:space="preserve">requiere, lo que es un reflejo adecuado de la complejidad real del modelo; por</w:t>
      </w:r>
      <w:r>
        <w:t xml:space="preserve"> </w:t>
      </w:r>
      <w:r>
        <w:t xml:space="preserve">la dirección de la métrica (§</w:t>
      </w:r>
      <w:hyperlink w:anchor="sec-metricas">
        <w:r>
          <w:rPr>
            <w:rStyle w:val="Hipervnculo"/>
          </w:rPr>
          <w:t xml:space="preserve">3.5</w:t>
        </w:r>
      </w:hyperlink>
      <w:r>
        <w:t xml:space="preserve">), esto significa que SHAP es el</w:t>
      </w:r>
      <w:r>
        <w:t xml:space="preserve"> </w:t>
      </w:r>
      <w:r>
        <w:t xml:space="preserve">método</w:t>
      </w:r>
      <w:r>
        <w:t xml:space="preserve"> </w:t>
      </w:r>
      <w:r>
        <w:rPr>
          <w:i/>
          <w:iCs/>
        </w:rPr>
        <w:t xml:space="preserve">menos</w:t>
      </w:r>
      <w:r>
        <w:t xml:space="preserve"> </w:t>
      </w:r>
      <w:r>
        <w:t xml:space="preserve">parsimonioso del benchmark.</w:t>
      </w:r>
    </w:p>
    <w:p>
      <w:pPr>
        <w:pStyle w:val="Textoindependiente"/>
        <w:spacing w:line="360" w:lineRule="auto"/>
        <w:jc w:val="both"/>
      </w:pPr>
      <w:r>
        <w:t xml:space="preserve">El coste es la dimensión adversa de SHAP. Todas las cifras de coste de esta</w:t>
      </w:r>
      <w:r>
        <w:t xml:space="preserve"> </w:t>
      </w:r>
      <w:r>
        <w:t xml:space="preserve">sección son medias por instancia agregadas a nivel de ejecución</w:t>
      </w:r>
      <w:r>
        <w:t xml:space="preserve"> </w:t>
      </w:r>
      <w:r>
        <w:t xml:space="preserve">(instancia → ejecución), la misma unidad usada en los contrastes pareados. La</w:t>
      </w:r>
      <w:r>
        <w:t xml:space="preserve"> </w:t>
      </w:r>
      <w:r>
        <w:t xml:space="preserve">media de 11,708 ms esconde una distribución fuertemente asimétrica: la mediana</w:t>
      </w:r>
      <w:r>
        <w:t xml:space="preserve"> </w:t>
      </w:r>
      <w:r>
        <w:t xml:space="preserve">por ejecución es de solo 684 ms, y la heterogeneidad entre familias de modelos</w:t>
      </w:r>
      <w:r>
        <w:t xml:space="preserve"> </w:t>
      </w:r>
      <w:r>
        <w:t xml:space="preserve">alcanza tres órdenes de magnitud —para XGBoost, TreeSHAP opera en ~21 ms de</w:t>
      </w:r>
      <w:r>
        <w:t xml:space="preserve"> </w:t>
      </w:r>
      <w:r>
        <w:t xml:space="preserve">media (mediana 18 ms), mientras que KernelSHAP sobre SVM requiere ~54,231 ms.</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(0.882),</w:t>
      </w:r>
      <w:r>
        <w:t xml:space="preserve"> </w:t>
      </w:r>
      <w:r>
        <w:t xml:space="preserve">donde la linealidad o la estructura de margen del modelo facilita la aproximación</w:t>
      </w:r>
      <w:r>
        <w:t xml:space="preserve"> </w:t>
      </w:r>
      <w:r>
        <w:t xml:space="preserve">local por valores de Shapley. Las fidelidades más bajas se registran en MLP</w:t>
      </w:r>
      <w:r>
        <w:t xml:space="preserve"> </w:t>
      </w:r>
      <w:r>
        <w:t xml:space="preserve">(0.725) y RF (0.729), coherente con la complejidad de sus superficies de</w:t>
      </w:r>
      <w:r>
        <w:t xml:space="preserve"> </w:t>
      </w:r>
      <w:r>
        <w:t xml:space="preserve">decisión. XGBoost presenta el balance óptimo calidad-coste: fidelidad 0.759 con</w:t>
      </w:r>
      <w:r>
        <w:t xml:space="preserve"> </w:t>
      </w:r>
      <w:r>
        <w:t xml:space="preserve">un coste medio de 21 ms.</w:t>
      </w:r>
    </w:p>
    <w:bookmarkEnd w:id="141"/>
    <w:bookmarkStart w:id="142" w:name="lime"/>
    <w:p>
      <w:pPr>
        <w:pStyle w:val="Ttulo3"/>
        <w:spacing w:line="360" w:lineRule="auto"/>
        <w:jc w:val="both"/>
      </w:pPr>
      <w:r>
        <w:t xml:space="preserve">4.5.2 </w:t>
      </w:r>
      <w:r>
        <w:t xml:space="preserve">LIME</w:t>
      </w:r>
    </w:p>
    <w:p>
      <w:pPr>
        <w:pStyle w:val="FirstParagraph"/>
        <w:spacing w:line="360" w:lineRule="auto"/>
        <w:jc w:val="both"/>
      </w:pPr>
      <w:r>
        <w:t xml:space="preserve">LIME es el método más económico en coste (media 3,661 ms, mediana por ejecución</w:t>
      </w:r>
      <w:r>
        <w:t xml:space="preserve"> </w:t>
      </w:r>
      <w:r>
        <w:t xml:space="preserve">65.7 ms, con medias por familia de modelo de 52 ms en MLP a 17,620 ms en SVM),</w:t>
      </w:r>
      <w:r>
        <w:t xml:space="preserve"> </w:t>
      </w:r>
      <w:r>
        <w:t xml:space="preserve">con una fidelidad media moderada (0.560) y ratio activo bajo y consistente</w:t>
      </w:r>
      <w:r>
        <w:t xml:space="preserve"> </w:t>
      </w:r>
      <w:r>
        <w:t xml:space="preserve">(0.085 en todos los modelos, por diseño), es decir, el método más parsimonioso</w:t>
      </w:r>
      <w:r>
        <w:t xml:space="preserve"> </w:t>
      </w:r>
      <w:r>
        <w:t xml:space="preserve">del benchmark.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principal de LIME en este benchmark es su estabilidad casi nula</w:t>
      </w:r>
      <w:r>
        <w:t xml:space="preserve"> </w:t>
      </w:r>
      <w:r>
        <w:t xml:space="preserve">(0.014) bajo la configuración de referencia.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y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42"/>
    <w:bookmarkStart w:id="143" w:name="anchors"/>
    <w:p>
      <w:pPr>
        <w:pStyle w:val="Ttulo3"/>
        <w:spacing w:line="360" w:lineRule="auto"/>
        <w:jc w:val="both"/>
      </w:pPr>
      <w:r>
        <w:t xml:space="preserve">4.5.3 </w:t>
      </w:r>
      <w:r>
        <w:t xml:space="preserve">Anchors</w:t>
      </w:r>
    </w:p>
    <w:p>
      <w:pPr>
        <w:pStyle w:val="FirstParagraph"/>
        <w:spacing w:line="360" w:lineRule="auto"/>
        <w:jc w:val="both"/>
      </w:pPr>
      <w:r>
        <w:t xml:space="preserve">Anchors tiene una cobertura de solo 57 celdas calificadas (76.0%), lo que</w:t>
      </w:r>
      <w:r>
        <w:t xml:space="preserve"> </w:t>
      </w:r>
      <w:r>
        <w:t xml:space="preserve">refleja que en los estratos de mayor incertidumbre el algoritmo de búsqueda de</w:t>
      </w:r>
      <w:r>
        <w:t xml:space="preserve"> </w:t>
      </w:r>
      <w:r>
        <w:t xml:space="preserve">reglas no converge a una regla con la precisión mínima exigida. Sobre las 57</w:t>
      </w:r>
      <w:r>
        <w:t xml:space="preserve"> </w:t>
      </w:r>
      <w:r>
        <w:t xml:space="preserve">ejecuciones calificadas, la fidelidad media es 0.388 y la estabilidad 0.052,</w:t>
      </w:r>
      <w:r>
        <w:t xml:space="preserve"> </w:t>
      </w:r>
      <w:r>
        <w:t xml:space="preserve">ambas inferiores a las de SHAP y LIME. Estos valores son medias a nivel de</w:t>
      </w:r>
      <w:r>
        <w:t xml:space="preserve"> </w:t>
      </w:r>
      <w:r>
        <w:t xml:space="preserve">ejecución; las medias a nivel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que alimentan el test de</w:t>
      </w:r>
      <w:r>
        <w:t xml:space="preserve"> </w:t>
      </w:r>
      <w:r>
        <w:t xml:space="preserve">Friedman son 0.389 y 0.043 (</w:t>
      </w:r>
      <w:hyperlink w:anchor="tbl-friedman-fidelity">
        <w:r>
          <w:rPr>
            <w:rStyle w:val="Hipervnculo"/>
          </w:rPr>
          <w:t xml:space="preserve">Tabla 4.2</w:t>
        </w:r>
      </w:hyperlink>
      <w:r>
        <w:t xml:space="preserve">,</w:t>
      </w:r>
      <w:r>
        <w:t xml:space="preserve"> </w:t>
      </w:r>
      <w:hyperlink w:anchor="tbl-friedman-stability">
        <w:r>
          <w:rPr>
            <w:rStyle w:val="Hipervnculo"/>
          </w:rPr>
          <w:t xml:space="preserve">Tabla 4.4</w:t>
        </w:r>
      </w:hyperlink>
      <w:r>
        <w:t xml:space="preserve">). La</w:t>
      </w:r>
      <w:r>
        <w:t xml:space="preserve"> </w:t>
      </w:r>
      <w:r>
        <w:t xml:space="preserve">discrepancia en estabilidad —0.052 frente a 0.043— es específica de Anchors y</w:t>
      </w:r>
      <w:r>
        <w:t xml:space="preserve"> </w:t>
      </w:r>
      <w:r>
        <w:t xml:space="preserve">refleja que su cobertura se distribuye de forma desigual entre bloques, de modo</w:t>
      </w:r>
      <w:r>
        <w:t xml:space="preserve"> </w:t>
      </w:r>
      <w:r>
        <w:t xml:space="preserve">que promediar ejecuciones y promediar bloques no son operaciones equivalentes;</w:t>
      </w:r>
      <w:r>
        <w:t xml:space="preserve"> </w:t>
      </w:r>
      <w:r>
        <w:t xml:space="preserve">para SHAP y LIME, con cobertura completa, ambas agregaciones coinciden. El coste es el más elevado del benchmark y muy</w:t>
      </w:r>
      <w:r>
        <w:t xml:space="preserve"> </w:t>
      </w:r>
      <w:r>
        <w:t xml:space="preserve">variable: media global de 38,159 ms, con medias por familia de modelo desde</w:t>
      </w:r>
      <w:r>
        <w:t xml:space="preserve"> </w:t>
      </w:r>
      <w:r>
        <w:t xml:space="preserve">2,918 ms para logreg hasta 48,955 ms para RF y 57,705 ms para XGBoost.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43"/>
    <w:bookmarkStart w:id="144" w:name="dice"/>
    <w:p>
      <w:pPr>
        <w:pStyle w:val="Ttulo3"/>
        <w:spacing w:line="360" w:lineRule="auto"/>
        <w:jc w:val="both"/>
      </w:pPr>
      <w:r>
        <w:t xml:space="preserve">4.5.4 </w:t>
      </w: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Su coste medio</w:t>
      </w:r>
      <w:r>
        <w:t xml:space="preserve"> </w:t>
      </w:r>
      <w:r>
        <w:t xml:space="preserve">(28,209 ms; mediana por ejecución 11,880 ms) lo sitúa por debajo de Anchors</w:t>
      </w:r>
      <w:r>
        <w:t xml:space="preserve"> </w:t>
      </w:r>
      <w:r>
        <w:t xml:space="preserve">(38,159 ms) pero muy por encima de SHAP y LIME.</w:t>
      </w:r>
    </w:p>
    <w:bookmarkEnd w:id="144"/>
    <w:bookmarkEnd w:id="145"/>
    <w:bookmarkStart w:id="148" w:name="sec-transversal"/>
    <w:p>
      <w:pPr>
        <w:pStyle w:val="Ttulo2"/>
        <w:spacing w:line="360" w:lineRule="auto"/>
        <w:jc w:val="both"/>
      </w:pPr>
      <w:r>
        <w:t xml:space="preserve">4.6 </w:t>
      </w:r>
      <w:r>
        <w:t xml:space="preserve">Análisis transversal: efecto del modelo base y del tamaño de muestra</w:t>
      </w:r>
    </w:p>
    <w:bookmarkStart w:id="146" w:name="Xd0dc4cebb30e80d859f681a41b6366a7a2cd5a6"/>
    <w:p>
      <w:pPr>
        <w:pStyle w:val="Ttulo3"/>
        <w:spacing w:line="360" w:lineRule="auto"/>
        <w:jc w:val="both"/>
      </w:pPr>
      <w:r>
        <w:t xml:space="preserve">4.6.1 </w:t>
      </w: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Todas las</w:t>
      </w:r>
      <w:r>
        <w:t xml:space="preserve"> </w:t>
      </w:r>
      <w:r>
        <w:t xml:space="preserve">cifras de este apartado son medias por familia de modelo sobre las ejecuciones</w:t>
      </w:r>
      <w:r>
        <w:t xml:space="preserve"> </w:t>
      </w:r>
      <w:r>
        <w:t xml:space="preserve">calificadas (semillas y tamaños de muestra agregados); los valores de celda</w:t>
      </w:r>
      <w:r>
        <w:t xml:space="preserve"> </w:t>
      </w:r>
      <w:r>
        <w:t xml:space="preserve">única correspondientes a los estudios de sensibilidad se reportan por separado</w:t>
      </w:r>
      <w:r>
        <w:t xml:space="preserve"> </w:t>
      </w:r>
      <w:r>
        <w:t xml:space="preserve">en el Apéndice C y no deben leerse como resúmenes por modelo. Las diferencias</w:t>
      </w:r>
      <w:r>
        <w:t xml:space="preserve"> </w:t>
      </w:r>
      <w:r>
        <w:t xml:space="preserve">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con un coste medio de 21 ms (mediana 18 ms). Esto se debe al uso de</w:t>
      </w:r>
      <w:r>
        <w:t xml:space="preserve"> </w:t>
      </w:r>
      <w:r>
        <w:t xml:space="preserve">TreeSHAP</w:t>
      </w:r>
      <w:r>
        <w:t xml:space="preserve"> </w:t>
      </w:r>
      <w:r>
        <w:t xml:space="preserve">(Lundberg 2017)</w:t>
      </w:r>
      <w:r>
        <w:t xml:space="preserve">, que calcula valores exactos de Shapley aprovechando la</w:t>
      </w:r>
      <w:r>
        <w:t xml:space="preserve"> </w:t>
      </w:r>
      <w:r>
        <w:t xml:space="preserve">estructura de árbol y no requiere muestreo ni perturbación. Es la única familia</w:t>
      </w:r>
      <w:r>
        <w:t xml:space="preserve"> </w:t>
      </w:r>
      <w:r>
        <w:t xml:space="preserve">de modelo donde SHAP tiene un coste computacional inferior al de LIME</w:t>
      </w:r>
      <w:r>
        <w:t xml:space="preserve"> </w:t>
      </w:r>
      <w:r>
        <w:t xml:space="preserve">(122 ms de media, mediana 62 ms).</w:t>
      </w:r>
    </w:p>
    <w:p>
      <w:pPr>
        <w:pStyle w:val="Textoindependiente"/>
        <w:spacing w:line="360" w:lineRule="auto"/>
        <w:jc w:val="both"/>
      </w:pPr>
      <w:r>
        <w:rPr>
          <w:b/>
          <w:bCs/>
        </w:rPr>
        <w:t xml:space="preserve">SVM</w:t>
      </w:r>
      <w:r>
        <w:t xml:space="preserve"> </w:t>
      </w:r>
      <w:r>
        <w:t xml:space="preserve">es el modelo con el coste SHAP más elevado (54,231 ms de media).</w:t>
      </w:r>
      <w:r>
        <w:t xml:space="preserve"> </w:t>
      </w:r>
      <w:r>
        <w:t xml:space="preserve">KernelSHAP requiere resolver un problema de optimización cuadrática por</w:t>
      </w:r>
      <w:r>
        <w:t xml:space="preserve"> </w:t>
      </w:r>
      <w:r>
        <w:t xml:space="preserve">instancia, que escala con el número de muestras de referencia; el Apéndice C</w:t>
      </w:r>
      <w:r>
        <w:t xml:space="preserve"> </w:t>
      </w:r>
      <w:r>
        <w:t xml:space="preserve">(</w:t>
      </w:r>
      <w:hyperlink w:anchor="tbl-appendix-shap-sensitivity">
        <w:r>
          <w:rPr>
            <w:rStyle w:val="Hipervnculo"/>
          </w:rPr>
          <w:t xml:space="preserve">Tabla 7.9</w:t>
        </w:r>
      </w:hyperlink>
      <w:r>
        <w:t xml:space="preserve">) cuantifica ese escalado en una celda concreta</w:t>
      </w:r>
      <w:r>
        <w:t xml:space="preserve"> </w:t>
      </w:r>
      <w:r>
        <w:t xml:space="preserve">(SVM, semilla 42,</w:t>
      </w:r>
      <w:r>
        <w:t xml:space="preserve"> </w:t>
      </w:r>
      <ns1:oMath>
        <ns1:r>
          <ns1:t>N</ns1:t>
        </ns1:r>
        <ns1:r>
          <ns1:rPr>
            <ns1:sty ns1:val="p"/>
          </ns1:rPr>
          <ns1:t>=</ns1:t>
        </ns1:r>
        <ns1:r>
          <ns1:t>100</ns1:t>
        </ns1:r>
      </ns1:oMath>
      <w:r>
        <w:t xml:space="preserve">), donde el coste pasa de 41,233 ms con</w:t>
      </w:r>
      <w:r>
        <w:t xml:space="preserve"> </w:t>
      </w:r>
      <ns1:oMath>
        <ns1:r>
          <ns1:t>k</ns1:t>
        </ns1:r>
        <ns1:r>
          <ns1:rPr>
            <ns1:sty ns1:val="p"/>
          </ns1:rPr>
          <ns1:t>=</ns1:t>
        </ns1:r>
        <ns1:r>
          <ns1:t>25</ns1:t>
        </ns1:r>
      </ns1:oMath>
      <w:r>
        <w:t xml:space="preserve"> </w:t>
      </w:r>
      <w:r>
        <w:t xml:space="preserve">a</w:t>
      </w:r>
      <w:r>
        <w:t xml:space="preserve"> </w:t>
      </w:r>
      <w:r>
        <w:t xml:space="preserve">614,820 ms con</w:t>
      </w:r>
      <w:r>
        <w:t xml:space="preserve"> </w:t>
      </w:r>
      <ns1:oMath>
        <ns1:r>
          <ns1:t>k</ns1:t>
        </ns1:r>
        <ns1:r>
          <ns1:rPr>
            <ns1:sty ns1:val="p"/>
          </ns1:rPr>
          <ns1:t>=</ns1:t>
        </ns1:r>
        <ns1:r>
          <ns1:t>100</ns1:t>
        </ns1:r>
      </ns1:oMath>
      <w:r>
        <w:t xml:space="preserve">. La fidelidad media de SHAP sobre SVM (0.882) es la</w:t>
      </w:r>
      <w:r>
        <w:t xml:space="preserve"> </w:t>
      </w:r>
      <w:r>
        <w:t xml:space="preserve">segunda más alta del benchmark. Para SVM, Anchors también es costoso</w:t>
      </w:r>
      <w:r>
        <w:t xml:space="preserve"> </w:t>
      </w:r>
      <w:r>
        <w:t xml:space="preserve">(37,415 ms de media)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entre los modelos no basados en árboles, un coste SHAP bajo (936 ms de media).</w:t>
      </w:r>
      <w:r>
        <w:t xml:space="preserve"> </w:t>
      </w:r>
      <w:r>
        <w:t xml:space="preserve">La linealidad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SHAP=0.725,</w:t>
      </w:r>
      <w:r>
        <w:t xml:space="preserve"> </w:t>
      </w:r>
      <w:r>
        <w:t xml:space="preserve">LIME=0.541, Anchors=0.299, DiCE=0.026. La complejidad del espacio de gradientes</w:t>
      </w:r>
      <w:r>
        <w:t xml:space="preserve"> </w:t>
      </w:r>
      <w:r>
        <w:t xml:space="preserve">de redes profundas dificulta la aproximación local de cualquier explicador</w:t>
      </w:r>
      <w:r>
        <w:t xml:space="preserve"> </w:t>
      </w:r>
      <w:r>
        <w:t xml:space="preserve">post-hoc. El coste de Anchors sobre MLP (15,564 ms de media) es intermedio</w:t>
      </w:r>
      <w:r>
        <w:t xml:space="preserve"> </w:t>
      </w:r>
      <w:r>
        <w:t xml:space="preserve">dentro de ese método, pero la baja fidelidad restringe su uso como evidencia</w:t>
      </w:r>
      <w:r>
        <w:t xml:space="preserve"> </w:t>
      </w:r>
      <w:r>
        <w:t xml:space="preserve">primaria en auditoría.</w:t>
      </w:r>
    </w:p>
    <w:bookmarkEnd w:id="146"/>
    <w:bookmarkStart w:id="147" w:name="X4b1cce5291d3b83ee4e2fe33ac88be27315f5a8"/>
    <w:p>
      <w:pPr>
        <w:pStyle w:val="Ttulo3"/>
        <w:spacing w:line="360" w:lineRule="auto"/>
        <w:jc w:val="both"/>
      </w:pPr>
      <w:r>
        <w:t xml:space="preserve">4.6.2 </w:t>
      </w: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0.809,</w:t>
      </w:r>
      <w:r>
        <w:t xml:space="preserve"> </w:t>
      </w:r>
      <ns1:oMath>
        <ns1:r>
          <ns1:t>N</ns1:t>
        </ns1:r>
        <ns1:r>
          <ns1:rPr>
            <ns1:sty ns1:val="p"/>
          </ns1:rPr>
          <ns1:t>=</ns1:t>
        </ns1:r>
        <ns1:r>
          <ns1:t>100</ns1:t>
        </ns1:r>
      </ns1:oMath>
      <w:r>
        <w:t xml:space="preserve">: 0.809,</w:t>
      </w:r>
      <w:r>
        <w:t xml:space="preserve"> </w:t>
      </w:r>
      <ns1:oMath>
        <ns1:r>
          <ns1:t>N</ns1:t>
        </ns1:r>
        <ns1:r>
          <ns1:rPr>
            <ns1:sty ns1:val="p"/>
          </ns1:rPr>
          <ns1:t>=</ns1:t>
        </ns1:r>
        <ns1:r>
          <ns1:t>200</ns1:t>
        </ns1:r>
      </ns1:oMath>
      <w:r>
        <w:t xml:space="preserve">: 0.807,</w:t>
      </w:r>
      <w:r>
        <w:t xml:space="preserve"> </w:t>
      </w:r>
      <w:r>
        <w:t xml:space="preserve">con diferencias absolutas inferiores a 0.002.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47"/>
    <w:bookmarkEnd w:id="148"/>
    <w:bookmarkStart w:id="150" w:name="sec-trazabilidad-resultados"/>
    <w:p>
      <w:pPr>
        <w:pStyle w:val="Ttulo2"/>
        <w:spacing w:line="360" w:lineRule="auto"/>
        <w:jc w:val="both"/>
      </w:pPr>
      <w:r>
        <w:t xml:space="preserve">4.7 </w:t>
      </w: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4.7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jc w:val="center"/>
        <w:tblLayout w:type="fixed"/>
        <w:tblLook w:firstRow="0" w:lastRow="0" w:firstColumn="0" w:lastColumn="0" w:noHBand="0" w:noVBand="0" w:val="0000"/>
      </w:tblPr>
      <w:tblGrid>
        <w:gridCol w:w="7920"/>
      </w:tblGrid>
      <w:tr>
        <w:tc>
          <w:tcPr/>
          <w:bookmarkStart w:id="149" w:name="tbl-claim-traceability"/>
          <w:p>
            <w:pPr>
              <w:pStyle w:val="ImageCaption"/>
              <w:spacing w:before="200" w:line="360" w:lineRule="auto"/>
              <w:jc w:val="center"/>
            </w:pPr>
            <w:r>
              <w:t xml:space="preserve">Tabla 4.7: Trazabilidad de claims, artefactos y alcance inferencial.</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Claim</w:t>
                  </w:r>
                </w:p>
              </w:tc>
              <w:tc>
                <w:tcPr/>
                <w:p>
                  <w:pPr>
                    <w:pStyle w:val="Compact"/>
                    <w:jc w:val="both"/>
                    <w:jc w:val="center"/>
                    <w:spacing w:line="360" w:lineRule="auto"/>
                  </w:pPr>
                  <w:r>
                    <w:rPr>
                      <w:bCs/>
                      <w:b/>
                    </w:rPr>
                    <w:t xml:space="preserve">Evidencia en tesis</w:t>
                  </w:r>
                </w:p>
              </w:tc>
              <w:tc>
                <w:tcPr/>
                <w:p>
                  <w:pPr>
                    <w:pStyle w:val="Compact"/>
                    <w:jc w:val="both"/>
                    <w:jc w:val="center"/>
                    <w:spacing w:line="360" w:lineRule="auto"/>
                  </w:pPr>
                  <w:r>
                    <w:rPr>
                      <w:bCs/>
                      <w:b/>
                    </w:rPr>
                    <w:t xml:space="preserve">Artefacto fuente</w:t>
                  </w:r>
                </w:p>
              </w:tc>
              <w:tc>
                <w:tcPr/>
                <w:p>
                  <w:pPr>
                    <w:pStyle w:val="Compact"/>
                    <w:jc w:val="both"/>
                    <w:jc w:val="center"/>
                    <w:spacing w:line="360" w:lineRule="auto"/>
                  </w:pPr>
                  <w:r>
                    <w:rPr>
                      <w:bCs/>
                      <w:b/>
                    </w:rPr>
                    <w:t xml:space="preserve">Script / proceso</w:t>
                  </w:r>
                </w:p>
              </w:tc>
              <w:tc>
                <w:tcPr/>
                <w:p>
                  <w:pPr>
                    <w:pStyle w:val="Compact"/>
                    <w:jc w:val="both"/>
                    <w:jc w:val="center"/>
                    <w:spacing w:line="360" w:lineRule="auto"/>
                  </w:pPr>
                  <w:r>
                    <w:rPr>
                      <w:bCs/>
                      <w:b/>
                    </w:rP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4.2</w:t>
                    </w:r>
                  </w:hyperlink>
                  <w:r>
                    <w:t xml:space="preserve"> </w:t>
                  </w:r>
                  <w:r>
                    <w:t xml:space="preserve">y</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SHAP supera a LIME en fidelidad en la agregación del análisis global</w:t>
                  </w:r>
                </w:p>
              </w:tc>
              <w:tc>
                <w:tcPr/>
                <w:p>
                  <w:pPr>
                    <w:pStyle w:val="Compact"/>
                    <w:jc w:val="both"/>
                    <w:jc w:val="center"/>
                    <w:spacing w:line="360" w:lineRule="auto"/>
                  </w:pPr>
                  <w:r>
                    <w:t xml:space="preserve">Seguimiento dirigido tras la Tabla</w:t>
                  </w:r>
                  <w:r>
                    <w:t xml:space="preserve"> </w:t>
                  </w:r>
                  <w:hyperlink w:anchor="tbl-nemenyi-fidelity">
                    <w:r>
                      <w:rPr>
                        <w:rStyle w:val="Hipervnculo"/>
                      </w:rPr>
                      <w:t xml:space="preserve">4.3</w:t>
                    </w:r>
                  </w:hyperlink>
                </w:p>
              </w:tc>
              <w:tc>
                <w:tcPr/>
                <w:p>
                  <w:pPr>
                    <w:pStyle w:val="Compact"/>
                    <w:jc w:val="both"/>
                    <w:jc w:val="center"/>
                    <w:spacing w:line="360" w:lineRule="auto"/>
                  </w:pPr>
                  <w:r>
                    <w:rPr>
                      <w:rStyle w:val="VerbatimChar"/>
                    </w:rPr>
                    <w:t xml:space="preserve">paired_blocks_shap_lime.csv</w:t>
                  </w:r>
                  <w:r>
                    <w:t xml:space="preserve">,</w:t>
                  </w:r>
                  <w:r>
                    <w:t xml:space="preserve"> </w:t>
                  </w:r>
                  <w:r>
                    <w:rPr>
                      <w:rStyle w:val="VerbatimChar"/>
                    </w:rPr>
                    <w:t xml:space="preserve">wilcoxon_shap_lime_blocks.csv</w:t>
                  </w:r>
                  <w:r>
                    <w:t xml:space="preserve">,</w:t>
                  </w:r>
                  <w:r>
                    <w:t xml:space="preserve"> </w:t>
                  </w:r>
                  <w:r>
                    <w:rPr>
                      <w:rStyle w:val="VerbatimChar"/>
                    </w:rPr>
                    <w:t xml:space="preserve">sign_test_shap_lime_blocks.csv</w:t>
                  </w:r>
                </w:p>
              </w:tc>
              <w:tc>
                <w:tcPr/>
                <w:p>
                  <w:pPr>
                    <w:pStyle w:val="Compact"/>
                    <w:jc w:val="both"/>
                    <w:jc w:val="center"/>
                    <w:spacing w:line="360" w:lineRule="auto"/>
                  </w:pPr>
                  <w:r>
                    <w:rPr>
                      <w:rStyle w:val="VerbatimChar"/>
                    </w:rPr>
                    <w:t xml:space="preserve">scripts/run_exp2_block_paired_analysis.py</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r>
                    <w:t xml:space="preserve">; análisis motivado por revisión, distinto del H3 de 75 celdas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4.4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4.5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4.6</w:t>
                    </w:r>
                  </w:hyperlink>
                </w:p>
              </w:tc>
              <w:tc>
                <w:tcPr/>
                <w:p>
                  <w:pPr>
                    <w:pStyle w:val="Compact"/>
                    <w:jc w:val="both"/>
                    <w:jc w:val="center"/>
                    <w:spacing w:line="360" w:lineRule="auto"/>
                  </w:pPr>
                  <w:r>
                    <w:rPr>
                      <w:rStyle w:val="VerbatimChar"/>
                    </w:rPr>
                    <w:t xml:space="preserve">outputs/analysis/paper_a_exp2_stats/exp2_run_level_metrics.csv</w:t>
                  </w:r>
                  <w:r>
                    <w:t xml:space="preserve"> </w:t>
                  </w:r>
                  <w:r>
                    <w:t xml:space="preserve">(estrato RF/</w:t>
                  </w:r>
                  <ns1:oMath>
                    <ns1:r>
                      <ns1:t>N</ns1:t>
                    </ns1:r>
                    <ns1:r>
                      <ns1:rPr>
                        <ns1:sty ns1:val="p"/>
                      </ns1:rPr>
                      <ns1:t>=</ns1:t>
                    </ns1:r>
                    <ns1:r>
                      <ns1:t>100</ns1:t>
                    </ns1:r>
                  </ns1:oMath>
                  <w:r>
                    <w:t xml:space="preserve">, cinco semillas); perfil complementario en</w:t>
                  </w:r>
                  <w:r>
                    <w:t xml:space="preserve"> </w:t>
                  </w:r>
                  <w:r>
                    <w:rPr>
                      <w:rStyle w:val="VerbatimChar"/>
                    </w:rPr>
                    <w:t xml:space="preserve">experiments/exp1_adult/reproducibility/reproducibility_report.csv</w:t>
                  </w:r>
                </w:p>
              </w:tc>
              <w:tc>
                <w:tcPr/>
                <w:p>
                  <w:pPr>
                    <w:pStyle w:val="Compact"/>
                    <w:jc w:val="both"/>
                    <w:jc w:val="center"/>
                    <w:spacing w:line="360" w:lineRule="auto"/>
                  </w:pPr>
                  <w:r>
                    <w:t xml:space="preserve">Agregación por celda desde el nivel de ejecución</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49"/>
          <w:p>
            <w:pPr>
              <w:spacing w:line="360" w:lineRule="auto"/>
              <w:jc w:val="both"/>
            </w:pPr>
          </w:p>
        </w:tc>
      </w:tr>
    </w:tbl>
    <w:bookmarkEnd w:id="150"/>
    <w:bookmarkStart w:id="179" w:name="sec-visualizaciones-resultados"/>
    <w:p>
      <w:pPr>
        <w:pStyle w:val="Ttulo2"/>
        <w:spacing w:line="360" w:lineRule="auto"/>
        <w:jc w:val="both"/>
      </w:pPr>
      <w:r>
        <w:t xml:space="preserve">4.8 </w:t>
      </w: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jc w:val="center"/>
        <w:tblLayout w:type="fixed"/>
        <w:tblLook w:firstRow="0" w:lastRow="0" w:firstColumn="0" w:lastColumn="0" w:noHBand="0" w:noVBand="0" w:val="0000"/>
      </w:tblPr>
      <w:tblGrid>
        <w:gridCol w:w="7920"/>
      </w:tblGrid>
      <w:tr>
        <w:tc>
          <w:tcPr/>
          <w:bookmarkStart w:id="154" w:name="fig-estabilidad-coste"/>
          <w:p>
            <w:pPr>
              <w:pStyle w:val="Compact"/>
              <w:jc w:val="center"/>
              <w:spacing w:line="360" w:lineRule="auto"/>
            </w:pPr>
            <w:r>
              <w:drawing>
                <ns2:inline>
                  <ns2:extent cx="5052060" cy="3154709"/>
                  <ns2:effectExtent b="0" l="0" r="0" t="0"/>
                  <ns2:docPr descr="" title="" id="152" name="Picture"/>
                  <ns3:graphic>
                    <ns3:graphicData uri="http://schemas.openxmlformats.org/drawingml/2006/picture">
                      <ns4:pic>
                        <ns4:nvPicPr>
                          <ns4:cNvPr descr="assets/figures/fig_estabilidad_coste_es.png" id="153" name="Picture"/>
                          <ns4:cNvPicPr>
                            <ns3:picLocks noChangeArrowheads="1" noChangeAspect="1"/>
                          </ns4:cNvPicPr>
                        </ns4:nvPicPr>
                        <ns4:blipFill>
                          <ns3:blip ns5:embed="rId151"/>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54"/>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58" w:name="fig-correlacion-metricas"/>
          <w:p>
            <w:pPr>
              <w:pStyle w:val="Compact"/>
              <w:jc w:val="center"/>
              <w:spacing w:line="360" w:lineRule="auto"/>
            </w:pPr>
            <w:r>
              <w:drawing>
                <ns2:inline>
                  <ns2:extent cx="5052060" cy="3771160"/>
                  <ns2:effectExtent b="0" l="0" r="0" t="0"/>
                  <ns2:docPr descr="" title="" id="156" name="Picture"/>
                  <ns3:graphic>
                    <ns3:graphicData uri="http://schemas.openxmlformats.org/drawingml/2006/picture">
                      <ns4:pic>
                        <ns4:nvPicPr>
                          <ns4:cNvPr descr="assets/figures/fig_correlacion_metricas_es.png" id="157" name="Picture"/>
                          <ns4:cNvPicPr>
                            <ns3:picLocks noChangeArrowheads="1" noChangeAspect="1"/>
                          </ns4:cNvPicPr>
                        </ns4:nvPicPr>
                        <ns4:blipFill>
                          <ns3:blip ns5:embed="rId155"/>
                          <ns3:stretch>
                            <ns3:fillRect/>
                          </ns3:stretch>
                        </ns4:blipFill>
                        <ns4:spPr bwMode="auto">
                          <ns3:xfrm>
                            <ns3:off x="0" y="0"/>
                            <ns3:ext cx="5052060" cy="3771160"/>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58"/>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62" w:name="fig-cobertura-exp2"/>
          <w:p>
            <w:pPr>
              <w:pStyle w:val="Compact"/>
              <w:jc w:val="center"/>
              <w:spacing w:line="360" w:lineRule="auto"/>
            </w:pPr>
            <w:r>
              <w:drawing>
                <ns2:inline>
                  <ns2:extent cx="5052060" cy="3573315"/>
                  <ns2:effectExtent b="0" l="0" r="0" t="0"/>
                  <ns2:docPr descr="" title="" id="160" name="Picture"/>
                  <ns3:graphic>
                    <ns3:graphicData uri="http://schemas.openxmlformats.org/drawingml/2006/picture">
                      <ns4:pic>
                        <ns4:nvPicPr>
                          <ns4:cNvPr descr="assets/figures/fig_cobertura_exp2_es.png" id="161" name="Picture"/>
                          <ns4:cNvPicPr>
                            <ns3:picLocks noChangeArrowheads="1" noChangeAspect="1"/>
                          </ns4:cNvPicPr>
                        </ns4:nvPicPr>
                        <ns4:blipFill>
                          <ns3:blip ns5:embed="rId159"/>
                          <ns3:stretch>
                            <ns3:fillRect/>
                          </ns3:stretch>
                        </ns4:blipFill>
                        <ns4:spPr bwMode="auto">
                          <ns3:xfrm>
                            <ns3:off x="0" y="0"/>
                            <ns3:ext cx="5052060" cy="3573315"/>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4.3: Cobertura analítica EXP2 por modelo y método. La figura muestra cuántas de</w:t>
            </w:r>
            <w:r>
              <w:t xml:space="preserve"> </w:t>
            </w:r>
            <w:r>
              <w:t xml:space="preserve">las 15 celdas planificadas por combinación son analizables tras la auditoría de</w:t>
            </w:r>
            <w:r>
              <w:t xml:space="preserve"> </w:t>
            </w:r>
            <w:r>
              <w:t xml:space="preserve">integridad FOM-7 y la superposición de recuperación documentada (275</w:t>
            </w:r>
            <w:r>
              <w:t xml:space="preserve"> </w:t>
            </w:r>
            <w:r>
              <w:t xml:space="preserve">ejecuciones en total, las mismas de la</w:t>
            </w:r>
            <w:r>
              <w:t xml:space="preserve"> </w:t>
            </w:r>
            <w:hyperlink w:anchor="tbl-coverage-method">
              <w:r>
                <w:rPr>
                  <w:rStyle w:val="Hipervnculo"/>
                </w:rPr>
                <w:t xml:space="preserve">Tabla 3.5</w:t>
              </w:r>
            </w:hyperlink>
            <w:r>
              <w:t xml:space="preserve">).</w:t>
            </w:r>
          </w:p>
          <w:bookmarkEnd w:id="162"/>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66" w:name="fig-cd-diagram"/>
          <w:p>
            <w:pPr>
              <w:pStyle w:val="Compact"/>
              <w:jc w:val="center"/>
              <w:spacing w:line="360" w:lineRule="auto"/>
            </w:pPr>
            <w:r>
              <w:drawing>
                <ns2:inline>
                  <ns2:extent cx="5646420" cy="2061021"/>
                  <ns2:effectExtent b="0" l="0" r="0" t="0"/>
                  <ns2:docPr descr="" title="" id="164" name="Picture"/>
                  <ns3:graphic>
                    <ns3:graphicData uri="http://schemas.openxmlformats.org/drawingml/2006/picture">
                      <ns4:pic>
                        <ns4:nvPicPr>
                          <ns4:cNvPr descr="assets/figures/fig_cd_diagram_es.png" id="165" name="Picture"/>
                          <ns4:cNvPicPr>
                            <ns3:picLocks noChangeArrowheads="1" noChangeAspect="1"/>
                          </ns4:cNvPicPr>
                        </ns4:nvPicPr>
                        <ns4:blipFill>
                          <ns3:blip ns5:embed="rId163"/>
                          <ns3:stretch>
                            <ns3:fillRect/>
                          </ns3:stretch>
                        </ns4:blipFill>
                        <ns4:spPr bwMode="auto">
                          <ns3:xfrm>
                            <ns3:off x="0" y="0"/>
                            <ns3:ext cx="5646420" cy="2061021"/>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las barras se encadenan: SHAP y</w:t>
            </w:r>
            <w:r>
              <w:t xml:space="preserve"> </w:t>
            </w:r>
            <w:r>
              <w:t xml:space="preserve">LIME no se distinguen entre sí, tampoco LIME y Anchors, ni Anchors y DiCE; sí</w:t>
            </w:r>
            <w:r>
              <w:t xml:space="preserve"> </w:t>
            </w:r>
            <w:r>
              <w:t xml:space="preserve">se distinguen SHAP de Anchors y de DiCE, y LIME de DiCE, como recoge la</w:t>
            </w:r>
            <w:r>
              <w:t xml:space="preserve"> </w:t>
            </w:r>
            <w:hyperlink w:anchor="tbl-nemenyi-fidelity">
              <w:r>
                <w:rPr>
                  <w:rStyle w:val="Hipervnculo"/>
                </w:rPr>
                <w:t xml:space="preserve">Tabla 4.3</w:t>
              </w:r>
            </w:hyperlink>
            <w:r>
              <w:t xml:space="preserve">. En estabilidad, el reordenamiento es notable: SHAP y</w:t>
            </w:r>
            <w:r>
              <w:t xml:space="preserve"> </w:t>
            </w:r>
            <w:r>
              <w:t xml:space="preserve">DiCE forman el grupo estable, mientras LIME y Anchors son indistinguibles entre</w:t>
            </w:r>
            <w:r>
              <w:t xml:space="preserve"> </w:t>
            </w:r>
            <w:r>
              <w:t xml:space="preserve">sí pero claramente inferiores.</w:t>
            </w:r>
          </w:p>
          <w:bookmarkEnd w:id="166"/>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0" w:name="fig-boxplots-metricas"/>
          <w:p>
            <w:pPr>
              <w:pStyle w:val="Compact"/>
              <w:jc w:val="center"/>
              <w:spacing w:line="360" w:lineRule="auto"/>
            </w:pPr>
            <w:r>
              <w:drawing>
                <ns2:inline>
                  <ns2:extent cx="5646420" cy="2646298"/>
                  <ns2:effectExtent b="0" l="0" r="0" t="0"/>
                  <ns2:docPr descr="" title="" id="168" name="Picture"/>
                  <ns3:graphic>
                    <ns3:graphicData uri="http://schemas.openxmlformats.org/drawingml/2006/picture">
                      <ns4:pic>
                        <ns4:nvPicPr>
                          <ns4:cNvPr descr="assets/figures/fig_boxplots_metricas_es.png" id="169" name="Picture"/>
                          <ns4:cNvPicPr>
                            <ns3:picLocks noChangeArrowheads="1" noChangeAspect="1"/>
                          </ns4:cNvPicPr>
                        </ns4:nvPicPr>
                        <ns4:blipFill>
                          <ns3:blip ns5:embed="rId167"/>
                          <ns3:stretch>
                            <ns3:fillRect/>
                          </ns3:stretch>
                        </ns4:blipFill>
                        <ns4:spPr bwMode="auto">
                          <ns3:xfrm>
                            <ns3:off x="0" y="0"/>
                            <ns3:ext cx="5646420" cy="2646298"/>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 ≈ 0.014),</w:t>
            </w:r>
            <w:r>
              <w:t xml:space="preserve"> </w:t>
            </w:r>
            <w:r>
              <w:t xml:space="preserve">confirmando que la inestabilidad afecta a todos los bloques del</w:t>
            </w:r>
            <w:r>
              <w:t xml:space="preserve"> </w:t>
            </w:r>
            <w:r>
              <w:t xml:space="preserve">benchmark y no a un subconjunto de modelos.</w:t>
            </w:r>
          </w:p>
          <w:bookmarkEnd w:id="170"/>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4" w:name="fig-diferencias-pareadas"/>
          <w:p>
            <w:pPr>
              <w:pStyle w:val="Compact"/>
              <w:jc w:val="center"/>
              <w:spacing w:line="360" w:lineRule="auto"/>
            </w:pPr>
            <w:r>
              <w:drawing>
                <ns2:inline>
                  <ns2:extent cx="5646420" cy="2293858"/>
                  <ns2:effectExtent b="0" l="0" r="0" t="0"/>
                  <ns2:docPr descr="" title="" id="172" name="Picture"/>
                  <ns3:graphic>
                    <ns3:graphicData uri="http://schemas.openxmlformats.org/drawingml/2006/picture">
                      <ns4:pic>
                        <ns4:nvPicPr>
                          <ns4:cNvPr descr="assets/figures/fig_diferencias_pareadas_es.png" id="173" name="Picture"/>
                          <ns4:cNvPicPr>
                            <ns3:picLocks noChangeArrowheads="1" noChangeAspect="1"/>
                          </ns4:cNvPicPr>
                        </ns4:nvPicPr>
                        <ns4:blipFill>
                          <ns3:blip ns5:embed="rId171"/>
                          <ns3:stretch>
                            <ns3:fillRect/>
                          </ns3:stretch>
                        </ns4:blipFill>
                        <ns4:spPr bwMode="auto">
                          <ns3:xfrm>
                            <ns3:off x="0" y="0"/>
                            <ns3:ext cx="5646420" cy="2293858"/>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rojas indican ventaja de SHAP; las azules,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azules confirma que la</w:t>
            </w:r>
            <w:r>
              <w:t xml:space="preserve"> </w:t>
            </w:r>
            <w:r>
              <w:t xml:space="preserve">ventaja de SHAP no es un artefacto de valores</w:t>
            </w:r>
            <w:r>
              <w:t xml:space="preserve"> </w:t>
            </w:r>
            <w:r>
              <w:t xml:space="preserve">atípicos.</w:t>
            </w:r>
          </w:p>
          <w:bookmarkEnd w:id="174"/>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178" w:name="fig-radar-metodos"/>
          <w:p>
            <w:pPr>
              <w:pStyle w:val="Compact"/>
              <w:jc w:val="center"/>
              <w:spacing w:line="360" w:lineRule="auto"/>
            </w:pPr>
            <w:r>
              <w:drawing>
                <ns2:inline>
                  <ns2:extent cx="4160520" cy="3822776"/>
                  <ns2:effectExtent b="0" l="0" r="0" t="0"/>
                  <ns2:docPr descr="" title="" id="176" name="Picture"/>
                  <ns3:graphic>
                    <ns3:graphicData uri="http://schemas.openxmlformats.org/drawingml/2006/picture">
                      <ns4:pic>
                        <ns4:nvPicPr>
                          <ns4:cNvPr descr="assets/figures/fig_radar_metodos_es.png" id="177" name="Picture"/>
                          <ns4:cNvPicPr>
                            <ns3:picLocks noChangeArrowheads="1" noChangeAspect="1"/>
                          </ns4:cNvPicPr>
                        </ns4:nvPicPr>
                        <ns4:blipFill>
                          <ns3:blip ns5:embed="rId175"/>
                          <ns3:stretch>
                            <ns3:fillRect/>
                          </ns3:stretch>
                        </ns4:blipFill>
                        <ns4:spPr bwMode="auto">
                          <ns3:xfrm>
                            <ns3:off x="0" y="0"/>
                            <ns3:ext cx="4160520" cy="3822776"/>
                          </ns3:xfrm>
                          <ns3:prstGeom prst="rect">
                            <ns3:avLst/>
                          </ns3:prstGeom>
                          <ns3:noFill/>
                          <ns3:ln w="9525">
                            <ns3:noFill/>
                            <ns3:headEnd/>
                            <ns3:tailEnd/>
                          </ns3:ln>
                        </ns4:spPr>
                      </ns4:pic>
                    </ns3:graphicData>
                  </ns3:graphic>
                </ns2:inline>
              </w:drawing>
            </w:r>
          </w:p>
          <w:p>
            <w:pPr>
              <w:pStyle w:val="ImageCaption"/>
              <w:spacing w:before="200" w:line="360" w:lineRule="auto"/>
              <w:jc w:val="center"/>
            </w:pPr>
            <w:r>
              <w:t xml:space="preserve">Figura 4.7: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DiCE en parsimonia y LIME en eficiencia de coste; DiCE es además intermedio en</w:t>
            </w:r>
            <w:r>
              <w:t xml:space="preserve"> </w:t>
            </w:r>
            <w:r>
              <w:t xml:space="preserve">estabilidad pero muy bajo en fidelidad. Este patrón valida la necesidad del enfoque</w:t>
            </w:r>
            <w:r>
              <w:t xml:space="preserve"> </w:t>
            </w:r>
            <w:r>
              <w:t xml:space="preserve">multi-métrico de FOM-7.</w:t>
            </w:r>
          </w:p>
          <w:bookmarkEnd w:id="178"/>
        </w:tc>
      </w:tr>
    </w:tbl>
    <w:bookmarkEnd w:id="179"/>
    <w:bookmarkStart w:id="183" w:name="sec-discusion"/>
    <w:p>
      <w:pPr>
        <w:pStyle w:val="Ttulo2"/>
        <w:spacing w:line="360" w:lineRule="auto"/>
        <w:jc w:val="both"/>
      </w:pPr>
      <w:r>
        <w:t xml:space="preserve">4.9 </w:t>
      </w:r>
      <w:r>
        <w:t xml:space="preserve">Discusión</w:t>
      </w:r>
    </w:p>
    <w:bookmarkStart w:id="180" w:name="interpretación-conjunta-de-h1-h2-y-h3"/>
    <w:p>
      <w:pPr>
        <w:pStyle w:val="Ttulo3"/>
        <w:spacing w:line="360" w:lineRule="auto"/>
        <w:jc w:val="both"/>
      </w:pPr>
      <w:r>
        <w:t xml:space="preserve">4.9.1 </w:t>
      </w: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80"/>
    <w:bookmarkStart w:id="181" w:name="Xbd024e4a7bd7bf8de011157bde8f5cf667c76a0"/>
    <w:p>
      <w:pPr>
        <w:pStyle w:val="Ttulo3"/>
        <w:spacing w:line="360" w:lineRule="auto"/>
        <w:jc w:val="both"/>
      </w:pPr>
      <w:r>
        <w:t xml:space="preserve">4.9.2 </w:t>
      </w: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en ambas dimensiones, pero el umbral operativo debe</w:t>
      </w:r>
      <w:r>
        <w:t xml:space="preserve"> </w:t>
      </w:r>
      <w:r>
        <w:t xml:space="preserve">verificarse por familia de modelo y no sobre la media global. La media de</w:t>
      </w:r>
      <w:r>
        <w:t xml:space="preserve"> </w:t>
      </w:r>
      <w:r>
        <w:t xml:space="preserve">fidelidad de SHAP (0.808) supera 0.80, y la de estabilidad (0.732) supera 0.70;</w:t>
      </w:r>
      <w:r>
        <w:t xml:space="preserve"> </w:t>
      </w:r>
      <w:r>
        <w:t xml:space="preserve">por familia, sin embargo, solo logreg (0.946) y SVM (0.882) alcanzan</w:t>
      </w:r>
      <w:r>
        <w:t xml:space="preserve"> </w:t>
      </w:r>
      <w:r>
        <w:t xml:space="preserve">fidelidad ≥ 0.80, y solo logreg (0.880), RF (0.949) y SVM (0.925) alcanzan</w:t>
      </w:r>
      <w:r>
        <w:t xml:space="preserve"> </w:t>
      </w:r>
      <w:r>
        <w:t xml:space="preserve">estabilidad ≥ 0.70. En XGBoost la estabilidad desciende a 0.575 y en MLP a</w:t>
      </w:r>
      <w:r>
        <w:t xml:space="preserve"> </w:t>
      </w:r>
      <w:r>
        <w:t xml:space="preserve">0.331, de modo que un requisito de consistencia explicativa no queda garantizado</w:t>
      </w:r>
      <w:r>
        <w:t xml:space="preserve"> </w:t>
      </w:r>
      <w:r>
        <w:t xml:space="preserve">en esas dos familias por el mero hecho de elegir SHAP. Para modelos</w:t>
      </w:r>
      <w:r>
        <w:t xml:space="preserve"> </w:t>
      </w:r>
      <w:r>
        <w:t xml:space="preserve">basados en árboles, el coste de TreeSHAP hace esta elección también</w:t>
      </w:r>
      <w:r>
        <w:t xml:space="preserve"> </w:t>
      </w:r>
      <w:r>
        <w:t xml:space="preserve">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cuyas medias por familia de modelo</w:t>
      </w:r>
      <w:r>
        <w:t xml:space="preserve"> </w:t>
      </w:r>
      <w:r>
        <w:t xml:space="preserve">—52 ms (mlp), 73 ms (logreg) y 122 ms (xgb) por instancia, agregadas a nivel de</w:t>
      </w:r>
      <w:r>
        <w:t xml:space="preserve"> </w:t>
      </w:r>
      <w:r>
        <w:t xml:space="preserve">ejecución— se mantienen dos órdenes de magnitud por debajo de las de SVM</w:t>
      </w:r>
      <w:r>
        <w:t xml:space="preserve"> </w:t>
      </w:r>
      <w:r>
        <w:t xml:space="preserve">(17,620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81"/>
    <w:bookmarkStart w:id="182" w:name="X99626a17a471bd5fb48825a2c4d4fcdcb69bcee"/>
    <w:p>
      <w:pPr>
        <w:pStyle w:val="Ttulo3"/>
        <w:spacing w:line="360" w:lineRule="auto"/>
        <w:jc w:val="both"/>
      </w:pPr>
      <w:r>
        <w:t xml:space="preserve">4.9.3 </w:t>
      </w: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de LIME bajo la configuración de</w:t>
      </w:r>
      <w:r>
        <w:t xml:space="preserve"> </w:t>
      </w:r>
      <w:r>
        <w:t xml:space="preserve">referencia, un hallazgo</w:t>
      </w:r>
      <w:r>
        <w:t xml:space="preserve"> </w:t>
      </w:r>
      <w:r>
        <w:t xml:space="preserve">que los estudios basados en fidelidad exclusiva sistemáticamente omiten</w:t>
      </w:r>
      <w:r>
        <w:t xml:space="preserve"> </w:t>
      </w:r>
      <w:r>
        <w:t xml:space="preserve">(Bhattacharya y Verbert 2024)</w:t>
      </w:r>
      <w:r>
        <w:t xml:space="preserve">. En tercer lugar, demuestran que el protocolo FOM-7</w:t>
      </w:r>
      <w:r>
        <w:t xml:space="preserve"> </w:t>
      </w:r>
      <w:r>
        <w:t xml:space="preserve">produce resultados reproducibles (CV &lt; 3% en fidelidad para el subgrupo</w:t>
      </w:r>
      <w:r>
        <w:t xml:space="preserve"> </w:t>
      </w:r>
      <w:r>
        <w:t xml:space="preserve">replicado RF/</w:t>
      </w:r>
      <ns1:oMath>
        <ns1:r>
          <ns1:t>N</ns1:t>
        </ns1:r>
        <ns1:r>
          <ns1:rPr>
            <ns1:sty ns1:val="p"/>
          </ns1:rPr>
          <ns1:t>=</ns1:t>
        </ns1:r>
        <ns1:r>
          <ns1:t>100</ns1:t>
        </ns1:r>
      </ns1:oMath>
      <w:r>
        <w:t xml:space="preserve">, y CV agrupado de 11.4% para SHAP y 12.0% para LIME sobre</w:t>
      </w:r>
      <w:r>
        <w:t xml:space="preserve"> </w:t>
      </w:r>
      <w:r>
        <w:t xml:space="preserve">el conjunto completo de ejecuciones, todos dentro del umbral del 15% fijado en</w:t>
      </w:r>
      <w:r>
        <w:t xml:space="preserve"> </w:t>
      </w:r>
      <w:r>
        <w:t xml:space="preserve">P1)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w:t>
      </w:r>
      <w:r>
        <w:t xml:space="preserve"> </w:t>
      </w:r>
      <w:r>
        <w:t xml:space="preserve">operacionalizaciones específicas de los constructos de calidad. La fidelidad</w:t>
      </w:r>
      <w:r>
        <w:t xml:space="preserve"> </w:t>
      </w:r>
      <w:r>
        <w:t xml:space="preserve">sustituye cada característica de forma independiente por su media de</w:t>
      </w:r>
      <w:r>
        <w:t xml:space="preserve"> </w:t>
      </w:r>
      <w:r>
        <w:t xml:space="preserve">entrenamiento; este enmascaramiento puede romper dependencias, producir</w:t>
      </w:r>
      <w:r>
        <w:t xml:space="preserve"> </w:t>
      </w:r>
      <w:r>
        <w:t xml:space="preserve">instancias OOD y sesgar diferencialmente la comparación entre explicadores</w:t>
      </w:r>
      <w:r>
        <w:t xml:space="preserve"> </w:t>
      </w:r>
      <w:r>
        <w:t xml:space="preserve">(Hooker et al. 2019; Rong et al. 2022)</w:t>
      </w:r>
      <w:r>
        <w:t xml:space="preserve">. El uso de un operador común</w:t>
      </w:r>
      <w:r>
        <w:t xml:space="preserve"> </w:t>
      </w:r>
      <w:r>
        <w:t xml:space="preserve">asegura comparabilidad procedimental, no validez distribucional. Otras</w:t>
      </w:r>
      <w:r>
        <w:t xml:space="preserve"> </w:t>
      </w:r>
      <w:r>
        <w:t xml:space="preserve">operacionalizaciones, como</w:t>
      </w:r>
      <w:r>
        <w:t xml:space="preserve"> </w:t>
      </w:r>
      <w:r>
        <w:rPr>
          <w:i/>
          <w:iCs/>
        </w:rPr>
        <w:t xml:space="preserve">remove-and-retrain</w:t>
      </w:r>
      <w:r>
        <w:t xml:space="preserve"> </w:t>
      </w:r>
      <w:r>
        <w:t xml:space="preserve">o perturbaciones condicionadas,</w:t>
      </w:r>
      <w:r>
        <w:t xml:space="preserve"> </w:t>
      </w:r>
      <w:r>
        <w:t xml:space="preserve">pueden producir ordenamientos distintos; el alcance se desarrolla en</w:t>
      </w:r>
      <w:r>
        <w:t xml:space="preserve"> </w:t>
      </w:r>
      <w:r>
        <w:t xml:space="preserve">§</w:t>
      </w:r>
      <w:hyperlink w:anchor="sec-limitaciones">
        <w:r>
          <w:rPr>
            <w:rStyle w:val="Hipervnculo"/>
          </w:rPr>
          <w:t xml:space="preserve">7.4</w:t>
        </w:r>
      </w:hyperlink>
      <w:r>
        <w:t xml:space="preserve">.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82"/>
    <w:bookmarkEnd w:id="183"/>
    <w:bookmarkEnd w:id="184"/>
    <w:bookmarkStart w:id="197" w:name="Xa967782ce714a135dc69dc69099ccfe835ec70b"/>
    <w:p>
      <w:pPr>
        <w:pStyle w:val="Ttulo1"/>
        <w:spacing w:line="360" w:lineRule="auto"/>
        <w:jc w:val="both"/>
      </w:pPr>
      <w:r>
        <w:t xml:space="preserve">Capítulo 5. </w:t>
      </w: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prácticamente nula bajo la configuración de referencia del</w:t>
      </w:r>
      <w:r>
        <w:t xml:space="preserve"> </w:t>
      </w:r>
      <w:r>
        <w:t xml:space="preserve">benchmark: similitud coseno media de 0.014 y coeficiente de variación del 86.2%</w:t>
      </w:r>
      <w:r>
        <w:t xml:space="preserve"> </w:t>
      </w:r>
      <w:r>
        <w:t xml:space="preserve">entre explicaciones generadas para la misma instancia con distintas semillas</w:t>
      </w:r>
      <w:r>
        <w:t xml:space="preserve"> </w:t>
      </w:r>
      <w:r>
        <w:t xml:space="preserve">(el Capítulo 7 delimita el alcance de este resultado, que depende del espacio</w:t>
      </w:r>
      <w:r>
        <w:t xml:space="preserve"> </w:t>
      </w:r>
      <w:r>
        <w:t xml:space="preserve">de características y del ancho del kernel). SHAP, en cambio, mantuvo fidelidad de 0.808</w:t>
      </w:r>
      <w:r>
        <w:t xml:space="preserve"> </w:t>
      </w:r>
      <w:r>
        <w:t xml:space="preserve">y estabilidad de 0.732,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Figura 4.2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(0.017 de ratio activo, la más concisa del benchmark) y su fidelidad baja</w:t>
      </w:r>
      <w:r>
        <w:t xml:space="preserve"> </w:t>
      </w:r>
      <w:r>
        <w:t xml:space="preserve">(0.172) responden a una lógica distinta a la de SHAP o LIME: DiCE minimiza la</w:t>
      </w:r>
      <w:r>
        <w:t xml:space="preserve"> </w:t>
      </w:r>
      <w:r>
        <w:t xml:space="preserve">perturbación del contrafactual, no la aproximación local al modelo. Que DiCE</w:t>
      </w:r>
      <w:r>
        <w:t xml:space="preserve"> </w:t>
      </w:r>
      <w:r>
        <w:t xml:space="preserve">tenga perfil óptimo en parsimonia —aunque no en coste, donde su media de</w:t>
      </w:r>
      <w:r>
        <w:t xml:space="preserve"> </w:t>
      </w:r>
      <w:r>
        <w:t xml:space="preserve">28,209 ms solo mejora a la de Anchors— pero deficiente en fidelidad técnica,</w:t>
      </w:r>
      <w:r>
        <w:t xml:space="preserve"> </w:t>
      </w:r>
      <w:r>
        <w:t xml:space="preserve">indica que los ejes de calidad no colapsan sobre un único factor latente. La</w:t>
      </w:r>
      <w:r>
        <w:t xml:space="preserve"> </w:t>
      </w:r>
      <w:hyperlink w:anchor="fig-radar-metodos">
        <w:r>
          <w:rPr>
            <w:rStyle w:val="Hipervnculo"/>
          </w:rPr>
          <w:t xml:space="preserve">Figura 4.7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0.808, LIME: 0.560,</w:t>
      </w:r>
      <w:r>
        <w:t xml:space="preserve"> </w:t>
      </w:r>
      <w:r>
        <w:t xml:space="preserve">Anchors: 0.388, DiCE: 0.172)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Taxonómico de la tesis: una taxonomía</w:t>
      </w:r>
      <w:r>
        <w:t xml:space="preserve"> </w:t>
      </w:r>
      <w:r>
        <w:t xml:space="preserve">estructurada del espacio de métricas de evaluación XAI. Su función es dar peso</w:t>
      </w:r>
      <w:r>
        <w:t xml:space="preserve"> </w:t>
      </w:r>
      <w:r>
        <w:t xml:space="preserve">conceptual propio a la tercera contribución doctoral. Los capítulos anteriores</w:t>
      </w:r>
      <w:r>
        <w:t xml:space="preserve"> </w:t>
      </w:r>
      <w:r>
        <w:t xml:space="preserve">mostraron que FOM-7 necesita distinguir objetos explicativos, constructos de</w:t>
      </w:r>
      <w:r>
        <w:t xml:space="preserve"> </w:t>
      </w:r>
      <w:r>
        <w:t xml:space="preserve">calidad, fuentes de evidencia y contextos de uso. Este capítulo convierte esa</w:t>
      </w:r>
      <w:r>
        <w:t xml:space="preserve"> </w:t>
      </w:r>
      <w:r>
        <w:t xml:space="preserve">necesidad en una matriz de clasificación que permite interpretar el benchmark</w:t>
      </w:r>
      <w:r>
        <w:t xml:space="preserve"> </w:t>
      </w:r>
      <w:r>
        <w:t xml:space="preserve">y, al mismo 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85" w:name="sec-taxonomia-metodo"/>
    <w:p>
      <w:pPr>
        <w:pStyle w:val="Ttulo2"/>
        <w:spacing w:line="360" w:lineRule="auto"/>
        <w:jc w:val="both"/>
      </w:pPr>
      <w:r>
        <w:t xml:space="preserve">5.1 </w:t>
      </w: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Primero, revisiones y</w:t>
      </w:r>
      <w:r>
        <w:t xml:space="preserve"> </w:t>
      </w:r>
      <w:r>
        <w:t xml:space="preserve">taxonomías de interpretabilidad y XAI que establecen el vocabulario conceptual</w:t>
      </w:r>
      <w:r>
        <w:t xml:space="preserve"> </w:t>
      </w:r>
      <w:r>
        <w:t xml:space="preserve">del campo, incluyendo las revisiones fundacionales de</w:t>
      </w:r>
      <w:r>
        <w:t xml:space="preserve"> </w:t>
      </w:r>
      <w:r>
        <w:t xml:space="preserve">Arrieta (2019)</w:t>
      </w:r>
      <w:r>
        <w:t xml:space="preserve">,</w:t>
      </w:r>
      <w:r>
        <w:t xml:space="preserve"> </w:t>
      </w:r>
      <w:r>
        <w:t xml:space="preserve">Lipton (2018)</w:t>
      </w:r>
      <w:r>
        <w:t xml:space="preserve">,</w:t>
      </w:r>
      <w:r>
        <w:t xml:space="preserve"> </w:t>
      </w:r>
      <w:r>
        <w:t xml:space="preserve">Linardatos (2020)</w:t>
      </w:r>
      <w:r>
        <w:t xml:space="preserve">, la historia breve del campo de</w:t>
      </w:r>
      <w:r>
        <w:t xml:space="preserve"> </w:t>
      </w:r>
      <w:r>
        <w:t xml:space="preserve">Molnar et al.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el banco de</w:t>
      </w:r>
      <w:r>
        <w:t xml:space="preserve"> </w:t>
      </w:r>
      <w:r>
        <w:t xml:space="preserve">pruebas de</w:t>
      </w:r>
      <w:r>
        <w:t xml:space="preserve"> </w:t>
      </w:r>
      <w:r>
        <w:t xml:space="preserve">Sithakoul et al. (2024)</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y Verbert (2024)</w:t>
      </w:r>
      <w:r>
        <w:t xml:space="preserve">, la agenda</w:t>
      </w:r>
      <w:r>
        <w:t xml:space="preserve"> </w:t>
      </w:r>
      <w:r>
        <w:t xml:space="preserve">de</w:t>
      </w:r>
      <w:r>
        <w:t xml:space="preserve"> </w:t>
      </w:r>
      <w:r>
        <w:t xml:space="preserve">Ehsan et al. (2023)</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El corpus se amplió durante la revisión hasta las</w:t>
      </w:r>
      <w:r>
        <w:t xml:space="preserve"> </w:t>
      </w:r>
      <w:r>
        <w:rPr>
          <w:b/>
          <w:bCs/>
        </w:rPr>
        <w:t xml:space="preserve">127 referencias de contenido</w:t>
      </w:r>
      <w:r>
        <w:rPr>
          <w:b/>
          <w:bCs/>
        </w:rPr>
        <w:t xml:space="preserve"> </w:t>
      </w:r>
      <w:r>
        <w:rPr>
          <w:b/>
          <w:bCs/>
        </w:rPr>
        <w:t xml:space="preserve">XAI</w:t>
      </w:r>
      <w:r>
        <w:t xml:space="preserve"> </w:t>
      </w:r>
      <w:r>
        <w:t xml:space="preserve">que sostienen esta tesis —la bibliografía completa suma 140 entradas, de</w:t>
      </w:r>
      <w:r>
        <w:t xml:space="preserve"> </w:t>
      </w:r>
      <w:r>
        <w:t xml:space="preserve">las cuales 13 corresponden a infraestructura estadística, conjuntos de datos y</w:t>
      </w:r>
      <w:r>
        <w:t xml:space="preserve"> </w:t>
      </w:r>
      <w:r>
        <w:t xml:space="preserve">familias de modelo, no al objeto de la taxonomía—. De ese corpus,</w:t>
      </w:r>
      <w:r>
        <w:t xml:space="preserve"> </w:t>
      </w:r>
      <w:r>
        <w:rPr>
          <w:b/>
          <w:bCs/>
        </w:rPr>
        <w:t xml:space="preserve">107</w:t>
      </w:r>
      <w:r>
        <w:rPr>
          <w:b/>
          <w:bCs/>
        </w:rPr>
        <w:t xml:space="preserve"> </w:t>
      </w:r>
      <w:r>
        <w:rPr>
          <w:b/>
          <w:bCs/>
        </w:rPr>
        <w:t xml:space="preserve">documentos se conservan a texto completo</w:t>
      </w:r>
      <w:r>
        <w:t xml:space="preserve"> </w:t>
      </w:r>
      <w:r>
        <w:t xml:space="preserve">en el repositorio público de la tesis</w:t>
      </w:r>
      <w:r>
        <w:t xml:space="preserve"> </w:t>
      </w:r>
      <w:r>
        <w:t xml:space="preserve">(</w:t>
      </w:r>
      <w:r>
        <w:rPr>
          <w:rStyle w:val="VerbatimChar"/>
        </w:rPr>
        <w:t xml:space="preserve">thesis/papers/</w:t>
      </w:r>
      <w:r>
        <w:t xml:space="preserve">), de modo que la base documental de la taxonomía es auditable</w:t>
      </w:r>
      <w:r>
        <w:t xml:space="preserve"> </w:t>
      </w:r>
      <w:r>
        <w:t xml:space="preserve">y no solamente declarada: cada entrada de la bibliografía está citada en el</w:t>
      </w:r>
      <w:r>
        <w:t xml:space="preserve"> </w:t>
      </w:r>
      <w:r>
        <w:t xml:space="preserve">cuerpo del texto, y no existen referencias registradas sin uso.</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5.1</w:t>
        </w:r>
      </w:hyperlink>
      <w:r>
        <w:t xml:space="preserve"> </w:t>
      </w:r>
      <w:r>
        <w:t xml:space="preserve">son el resultado de consolidar y desambiguar los constructos identificados en el</w:t>
      </w:r>
      <w:r>
        <w:t xml:space="preserve"> </w:t>
      </w:r>
      <w:r>
        <w:t xml:space="preserve">corpus descrito; se reportan como una selección representativa, no como</w:t>
      </w:r>
      <w:r>
        <w:t xml:space="preserve"> </w:t>
      </w:r>
      <w:r>
        <w:t xml:space="preserve">un catálogo exhaustivo.</w:t>
      </w:r>
    </w:p>
    <w:bookmarkEnd w:id="185"/>
    <w:bookmarkStart w:id="186" w:name="sec-taxonomia-motivacion"/>
    <w:p>
      <w:pPr>
        <w:pStyle w:val="Ttulo2"/>
        <w:spacing w:line="360" w:lineRule="auto"/>
        <w:jc w:val="both"/>
      </w:pPr>
      <w:r>
        <w:t xml:space="preserve">5.2 </w:t>
      </w: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y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dos estudios empíricos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86"/>
    <w:bookmarkStart w:id="187" w:name="sec-taxonomia-ejes"/>
    <w:p>
      <w:pPr>
        <w:pStyle w:val="Ttulo2"/>
        <w:spacing w:line="360" w:lineRule="auto"/>
        <w:jc w:val="both"/>
      </w:pPr>
      <w:r>
        <w:t xml:space="preserve">5.3 </w:t>
      </w: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y Verbert 2024; Arrieta 2019;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 Bhattacharya y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87"/>
    <w:bookmarkStart w:id="189" w:name="sec-taxonomia-matriz"/>
    <w:p>
      <w:pPr>
        <w:pStyle w:val="Ttulo2"/>
        <w:spacing w:line="360" w:lineRule="auto"/>
        <w:jc w:val="both"/>
      </w:pPr>
      <w:r>
        <w:t xml:space="preserve">5.4 </w:t>
      </w: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5.1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jc w:val="center"/>
        <w:tblLayout w:type="fixed"/>
        <w:tblLook w:firstRow="0" w:lastRow="0" w:firstColumn="0" w:lastColumn="0" w:noHBand="0" w:noVBand="0" w:val="0000"/>
      </w:tblPr>
      <w:tblGrid>
        <w:gridCol w:w="7920"/>
      </w:tblGrid>
      <w:tr>
        <w:tc>
          <w:tcPr/>
          <w:bookmarkStart w:id="188" w:name="tbl-taxonomia-ampliada"/>
          <w:p>
            <w:pPr>
              <w:pStyle w:val="ImageCaption"/>
              <w:spacing w:before="200" w:line="360" w:lineRule="auto"/>
              <w:jc w:val="center"/>
            </w:pPr>
            <w:r>
              <w:t xml:space="preserve">Tabla 5.1: Taxonomía ampliada de métricas y constructos de evaluación XAI.</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Pr>
                    <w:t xml:space="preserve">Métrica / constructo</w:t>
                  </w:r>
                </w:p>
              </w:tc>
              <w:tc>
                <w:tcPr/>
                <w:p>
                  <w:pPr>
                    <w:pStyle w:val="Compact"/>
                    <w:jc w:val="both"/>
                    <w:jc w:val="center"/>
                    <w:spacing w:line="360" w:lineRule="auto"/>
                  </w:pPr>
                  <w:r>
                    <w:rPr>
                      <w:bCs/>
                      <w:b/>
                    </w:rPr>
                    <w:t xml:space="preserve">Objetivo</w:t>
                  </w:r>
                </w:p>
              </w:tc>
              <w:tc>
                <w:tcPr/>
                <w:p>
                  <w:pPr>
                    <w:pStyle w:val="Compact"/>
                    <w:jc w:val="both"/>
                    <w:jc w:val="center"/>
                    <w:spacing w:line="360" w:lineRule="auto"/>
                  </w:pPr>
                  <w:r>
                    <w:rPr>
                      <w:bCs/>
                      <w:b/>
                    </w:rPr>
                    <w:t xml:space="preserve">Fuente de evidencia</w:t>
                  </w:r>
                </w:p>
              </w:tc>
              <w:tc>
                <w:tcPr/>
                <w:p>
                  <w:pPr>
                    <w:pStyle w:val="Compact"/>
                    <w:jc w:val="both"/>
                    <w:jc w:val="center"/>
                    <w:spacing w:line="360" w:lineRule="auto"/>
                  </w:pPr>
                  <w:r>
                    <w:rPr>
                      <w:bCs/>
                      <w:b/>
                    </w:rPr>
                    <w:t xml:space="preserve">Propiedad</w:t>
                  </w:r>
                </w:p>
              </w:tc>
              <w:tc>
                <w:tcPr/>
                <w:p>
                  <w:pPr>
                    <w:pStyle w:val="Compact"/>
                    <w:jc w:val="both"/>
                    <w:jc w:val="center"/>
                    <w:spacing w:line="360" w:lineRule="auto"/>
                  </w:pPr>
                  <w:r>
                    <w:rPr>
                      <w:bCs/>
                      <w:b/>
                    </w:rPr>
                    <w:t xml:space="preserve">Contexto típico</w:t>
                  </w:r>
                </w:p>
              </w:tc>
              <w:tc>
                <w:tcPr/>
                <w:p>
                  <w:pPr>
                    <w:pStyle w:val="Compact"/>
                    <w:jc w:val="both"/>
                    <w:jc w:val="center"/>
                    <w:spacing w:line="360" w:lineRule="auto"/>
                  </w:pPr>
                  <w:r>
                    <w:rPr>
                      <w:bCs/>
                      <w:b/>
                    </w:rP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88"/>
          <w:p>
            <w:pPr>
              <w:spacing w:line="360" w:lineRule="auto"/>
              <w:jc w:val="both"/>
            </w:pPr>
          </w:p>
        </w:tc>
      </w:tr>
    </w:tbl>
    <w:bookmarkEnd w:id="189"/>
    <w:bookmarkStart w:id="191" w:name="sec-taxonomia-benchmark"/>
    <w:p>
      <w:pPr>
        <w:pStyle w:val="Ttulo2"/>
        <w:spacing w:line="360" w:lineRule="auto"/>
        <w:jc w:val="both"/>
      </w:pPr>
      <w:r>
        <w:t xml:space="preserve">5.5 </w:t>
      </w:r>
      <w:r>
        <w:t xml:space="preserve">Mapeo del benchmark a la taxonomía</w:t>
      </w:r>
    </w:p>
    <w:p>
      <w:pPr>
        <w:pStyle w:val="FirstParagraph"/>
        <w:spacing w:line="360" w:lineRule="auto"/>
        <w:jc w:val="both"/>
      </w:pPr>
      <w:r>
        <w:t xml:space="preserve">Las cinco métricas operacionalizadas en el Estudio Omnibus Multimétrico y el</w:t>
      </w:r>
      <w:r>
        <w:t xml:space="preserve"> </w:t>
      </w:r>
      <w:r>
        <w:t xml:space="preserve">Estudio Pareado LIME–SHAP se localizan en la taxonomía de la siguiente manera:</w:t>
      </w:r>
    </w:p>
    <w:tbl>
      <w:tblPr>
        <w:tblStyle w:val="Table"/>
        <w:tblW w:type="pct" w:w="5000"/>
        <w:jc w:val="center"/>
        <w:tblLayout w:type="fixed"/>
        <w:tblLook w:firstRow="0" w:lastRow="0" w:firstColumn="0" w:lastColumn="0" w:noHBand="0" w:noVBand="0" w:val="0000"/>
      </w:tblPr>
      <w:tblGrid>
        <w:gridCol w:w="7920"/>
      </w:tblGrid>
      <w:tr>
        <w:tc>
          <w:tcPr/>
          <w:bookmarkStart w:id="190" w:name="tbl-taxonomia-benchmark"/>
          <w:p>
            <w:pPr>
              <w:pStyle w:val="ImageCaption"/>
              <w:spacing w:before="200" w:line="360" w:lineRule="auto"/>
              <w:jc w:val="center"/>
            </w:pPr>
            <w:r>
              <w:t xml:space="preserve">Tabla 5.2: Mapeo de las métricas del benchmark a los cuatro ejes de la taxonomía.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w:r>
                    <w:rPr>
                      <w:bCs/>
                      <w:b/>
                    </w:rPr>
                    <w:t xml:space="preserve">Eje 1: objetivo</w:t>
                  </w:r>
                </w:p>
              </w:tc>
              <w:tc>
                <w:tcPr/>
                <w:p>
                  <w:pPr>
                    <w:pStyle w:val="Compact"/>
                    <w:jc w:val="both"/>
                    <w:jc w:val="center"/>
                    <w:spacing w:line="360" w:lineRule="auto"/>
                  </w:pPr>
                  <w:r>
                    <w:rPr>
                      <w:bCs/>
                      <w:b/>
                    </w:rPr>
                    <w:t xml:space="preserve">Eje 2: fuente de evidencia</w:t>
                  </w:r>
                </w:p>
              </w:tc>
              <w:tc>
                <w:tcPr/>
                <w:p>
                  <w:pPr>
                    <w:pStyle w:val="Compact"/>
                    <w:jc w:val="both"/>
                    <w:jc w:val="center"/>
                    <w:spacing w:line="360" w:lineRule="auto"/>
                  </w:pPr>
                  <w:r>
                    <w:rPr>
                      <w:bCs/>
                      <w:b/>
                    </w:rPr>
                    <w:t xml:space="preserve">Eje 3: propiedad</w:t>
                  </w:r>
                </w:p>
              </w:tc>
              <w:tc>
                <w:tcPr/>
                <w:p>
                  <w:pPr>
                    <w:pStyle w:val="Compact"/>
                    <w:jc w:val="both"/>
                    <w:jc w:val="center"/>
                    <w:spacing w:line="360" w:lineRule="auto"/>
                  </w:pPr>
                  <w:r>
                    <w:rPr>
                      <w:bCs/>
                      <w:b/>
                    </w:rP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90"/>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91"/>
    <w:bookmarkStart w:id="192" w:name="sec-taxonomia-brechas"/>
    <w:p>
      <w:pPr>
        <w:pStyle w:val="Ttulo2"/>
        <w:spacing w:line="360" w:lineRule="auto"/>
        <w:jc w:val="both"/>
      </w:pPr>
      <w:r>
        <w:t xml:space="preserve">5.6 </w:t>
      </w:r>
      <w:r>
        <w:t xml:space="preserve">Brechas de constructo que la taxonomía hace explícitas</w:t>
      </w:r>
    </w:p>
    <w:p>
      <w:pPr>
        <w:pStyle w:val="FirstParagraph"/>
        <w:spacing w:line="360" w:lineRule="auto"/>
        <w:jc w:val="both"/>
      </w:pPr>
      <w:r>
        <w:t xml:space="preserve">El mapeo anterior no solo localiza lo que el benchmark mide: delimita lo que no</w:t>
      </w:r>
      <w:r>
        <w:t xml:space="preserve"> </w:t>
      </w:r>
      <w:r>
        <w:t xml:space="preserve">mide y por qué. Las tres brechas siguientes se derivan de esa delimitación y se</w:t>
      </w:r>
      <w:r>
        <w:t xml:space="preserve"> </w:t>
      </w:r>
      <w:r>
        <w:t xml:space="preserve">numeran aquí porque el resto de la tesis se refiere a ellas de forma abreviada.</w:t>
      </w:r>
      <w:r>
        <w:t xml:space="preserve"> </w:t>
      </w:r>
      <w:r>
        <w:t xml:space="preserve">No son defectos del diseño experimental, sino distancias estructurales entre lo</w:t>
      </w:r>
      <w:r>
        <w:t xml:space="preserve"> </w:t>
      </w:r>
      <w:r>
        <w:t xml:space="preserve">que una métrica computa y lo que un claim pretende afirmar.</w:t>
      </w:r>
    </w:p>
    <w:p>
      <w:pPr>
        <w:pStyle w:val="Textoindependiente"/>
        <w:spacing w:line="360" w:lineRule="auto"/>
        <w:jc w:val="both"/>
      </w:pPr>
      <w:r>
        <w:rPr>
          <w:b/>
          <w:bCs/>
        </w:rPr>
        <w:t xml:space="preserve">Brecha 1 — Distancia entre proxy y constructo.</w:t>
      </w:r>
      <w:r>
        <w:t xml:space="preserve"> </w:t>
      </w:r>
      <w:r>
        <w:t xml:space="preserve">Ninguna de las cinco métricas</w:t>
      </w:r>
      <w:r>
        <w:t xml:space="preserve"> </w:t>
      </w:r>
      <w:r>
        <w:t xml:space="preserve">del benchmark mide el constructo que su nombre sugiere en sentido pleno: la</w:t>
      </w:r>
      <w:r>
        <w:t xml:space="preserve"> </w:t>
      </w:r>
      <w:r>
        <w:t xml:space="preserve">fidelidad por correlación de importancias no autoriza a afirmar utilidad humana,</w:t>
      </w:r>
      <w:r>
        <w:t xml:space="preserve"> </w:t>
      </w:r>
      <w:r>
        <w:t xml:space="preserve">la estabilidad bajo perturbación no prueba causalidad, una regla Anchor de alta</w:t>
      </w:r>
      <w:r>
        <w:t xml:space="preserve"> </w:t>
      </w:r>
      <w:r>
        <w:t xml:space="preserve">precisión no garantiza cobertura amplia y un contrafactual válido para el modelo</w:t>
      </w:r>
      <w:r>
        <w:t xml:space="preserve"> </w:t>
      </w:r>
      <w:r>
        <w:t xml:space="preserve">no es necesariamente accionable para la persona (Capítulo 2). La brecha se</w:t>
      </w:r>
      <w:r>
        <w:t xml:space="preserve"> </w:t>
      </w:r>
      <w:r>
        <w:t xml:space="preserve">agrava cuando la métrica produce una cifra fácil de tabular, porque la forma</w:t>
      </w:r>
      <w:r>
        <w:t xml:space="preserve"> </w:t>
      </w:r>
      <w:r>
        <w:t xml:space="preserve">tabular sugiere una objetividad mayor que la disponible. La taxonomía la</w:t>
      </w:r>
      <w:r>
        <w:t xml:space="preserve"> </w:t>
      </w:r>
      <w:r>
        <w:t xml:space="preserve">gestiona obligando a que cada métrica declare su alcance inferencial admisible</w:t>
      </w:r>
      <w:r>
        <w:t xml:space="preserve"> </w:t>
      </w:r>
      <w:r>
        <w:t xml:space="preserve">en la columna correspondiente de la Tabla</w:t>
      </w:r>
      <w:r>
        <w:t xml:space="preserve"> </w:t>
      </w:r>
      <w:hyperlink w:anchor="tbl-taxonomia-ampliada">
        <w:r>
          <w:rPr>
            <w:rStyle w:val="Hipervnculo"/>
          </w:rPr>
          <w:t xml:space="preserve">5.1</w:t>
        </w:r>
      </w:hyperlink>
      <w:r>
        <w:t xml:space="preserve">.</w:t>
      </w:r>
    </w:p>
    <w:p>
      <w:pPr>
        <w:pStyle w:val="Textoindependiente"/>
        <w:spacing w:line="360" w:lineRule="auto"/>
        <w:jc w:val="both"/>
      </w:pPr>
      <w:r>
        <w:rPr>
          <w:b/>
          <w:bCs/>
        </w:rPr>
        <w:t xml:space="preserve">Brecha 2 — Ausencia de evidencia human-grounded y application-grounded.</w:t>
      </w:r>
      <w:r>
        <w:t xml:space="preserve"> </w:t>
      </w:r>
      <w:r>
        <w:t xml:space="preserve">El</w:t>
      </w:r>
      <w:r>
        <w:t xml:space="preserve"> </w:t>
      </w:r>
      <w:r>
        <w:t xml:space="preserve">mapeo de la Tabla</w:t>
      </w:r>
      <w:r>
        <w:t xml:space="preserve"> </w:t>
      </w:r>
      <w:hyperlink w:anchor="tbl-taxonomia-benchmark">
        <w:r>
          <w:rPr>
            <w:rStyle w:val="Hipervnculo"/>
          </w:rPr>
          <w:t xml:space="preserve">5.2</w:t>
        </w:r>
      </w:hyperlink>
      <w:r>
        <w:t xml:space="preserve"> </w:t>
      </w:r>
      <w:r>
        <w:t xml:space="preserve">muestra que las cinco métricas se</w:t>
      </w:r>
      <w:r>
        <w:t xml:space="preserve"> </w:t>
      </w:r>
      <w:r>
        <w:t xml:space="preserve">concentran en dos fuentes de evidencia —enmascaramiento y perturbación— y dejan</w:t>
      </w:r>
      <w:r>
        <w:t xml:space="preserve"> </w:t>
      </w:r>
      <w:r>
        <w:t xml:space="preserve">vacías las celdas de</w:t>
      </w:r>
      <w:r>
        <w:t xml:space="preserve"> </w:t>
      </w:r>
      <w:r>
        <w:rPr>
          <w:i/>
          <w:iCs/>
        </w:rPr>
        <w:t xml:space="preserve">estudio con usuario</w:t>
      </w:r>
      <w:r>
        <w:t xml:space="preserve"> </w:t>
      </w:r>
      <w:r>
        <w:t xml:space="preserve">y</w:t>
      </w:r>
      <w:r>
        <w:t xml:space="preserve"> </w:t>
      </w:r>
      <w:r>
        <w:rPr>
          <w:i/>
          <w:iCs/>
        </w:rPr>
        <w:t xml:space="preserve">comparación con verdad-terreno</w:t>
      </w:r>
      <w:r>
        <w:t xml:space="preserve">.</w:t>
      </w:r>
      <w:r>
        <w:t xml:space="preserve"> </w:t>
      </w:r>
      <w:r>
        <w:t xml:space="preserve">En consecuencia, plausibilidad, comprensibilidad, satisfacción y utilidad en</w:t>
      </w:r>
      <w:r>
        <w:t xml:space="preserve"> </w:t>
      </w:r>
      <w:r>
        <w:t xml:space="preserve">tarea quedan fuera del alcance de los dos estudios empíricos. Esta brecha es de</w:t>
      </w:r>
      <w:r>
        <w:t xml:space="preserve"> </w:t>
      </w:r>
      <w:r>
        <w:t xml:space="preserve">cobertura, no de validez: se cierra añadiendo estudios con participantes</w:t>
      </w:r>
      <w:r>
        <w:t xml:space="preserve"> </w:t>
      </w:r>
      <w:r>
        <w:t xml:space="preserve">humanos, no reinterpretando las métricas existentes.</w:t>
      </w:r>
    </w:p>
    <w:p>
      <w:pPr>
        <w:pStyle w:val="Textoindependiente"/>
        <w:spacing w:line="360" w:lineRule="auto"/>
        <w:jc w:val="both"/>
      </w:pPr>
      <w:r>
        <w:rPr>
          <w:b/>
          <w:bCs/>
        </w:rPr>
        <w:t xml:space="preserve">Brecha 3 — La evaluación semántica crece más rápido que su base de validación</w:t>
      </w:r>
      <w:r>
        <w:rPr>
          <w:b/>
          <w:bCs/>
        </w:rPr>
        <w:t xml:space="preserve"> </w:t>
      </w:r>
      <w:r>
        <w:rPr>
          <w:b/>
          <w:bCs/>
        </w:rPr>
        <w:t xml:space="preserve">empírica.</w:t>
      </w:r>
      <w:r>
        <w:t xml:space="preserve"> </w:t>
      </w:r>
      <w:r>
        <w:t xml:space="preserve">La respuesta natural a la Brecha 2 ha sido delegar el juicio</w:t>
      </w:r>
      <w:r>
        <w:t xml:space="preserve"> </w:t>
      </w:r>
      <w:r>
        <w:t xml:space="preserve">semántico en evaluadores automáticos —crecientemente, jueces LLM— que prometen</w:t>
      </w:r>
      <w:r>
        <w:t xml:space="preserve"> </w:t>
      </w:r>
      <w:r>
        <w:t xml:space="preserve">aproximar el criterio humano sin el coste de un estudio con participantes. El</w:t>
      </w:r>
      <w:r>
        <w:t xml:space="preserve"> </w:t>
      </w:r>
      <w:r>
        <w:t xml:space="preserve">problema es que esos evaluadores se adoptan como instrumento de medida antes de</w:t>
      </w:r>
      <w:r>
        <w:t xml:space="preserve"> </w:t>
      </w:r>
      <w:r>
        <w:t xml:space="preserve">que su fiabilidad haya sido establecida: se usan para puntuar explicaciones sin</w:t>
      </w:r>
      <w:r>
        <w:t xml:space="preserve"> </w:t>
      </w:r>
      <w:r>
        <w:t xml:space="preserve">que exista evidencia de que dos jueces independientes puntúan igual la misma</w:t>
      </w:r>
      <w:r>
        <w:t xml:space="preserve"> </w:t>
      </w:r>
      <w:r>
        <w:t xml:space="preserve">explicación. La brecha, por tanto, no es de cobertura sino de calibración del</w:t>
      </w:r>
      <w:r>
        <w:t xml:space="preserve"> </w:t>
      </w:r>
      <w:r>
        <w:t xml:space="preserve">instrumento, y es contrastable empíricamente. EXP4 la contrasta y la confirma en</w:t>
      </w:r>
      <w:r>
        <w:t xml:space="preserve"> </w:t>
      </w:r>
      <w:r>
        <w:t xml:space="preserve">§</w:t>
      </w:r>
      <w:hyperlink w:anchor="sec-exp4-fiabilidad">
        <w:r>
          <w:rPr>
            <w:rStyle w:val="Hipervnculo"/>
          </w:rPr>
          <w:t xml:space="preserve">5.8</w:t>
        </w:r>
      </w:hyperlink>
      <w:r>
        <w:t xml:space="preserve">.</w:t>
      </w:r>
    </w:p>
    <w:bookmarkEnd w:id="192"/>
    <w:bookmarkStart w:id="193" w:name="sec-taxonomia-contribucion"/>
    <w:p>
      <w:pPr>
        <w:pStyle w:val="Ttulo2"/>
        <w:spacing w:line="360" w:lineRule="auto"/>
        <w:jc w:val="both"/>
      </w:pPr>
      <w:r>
        <w:t xml:space="preserve">5.7 </w:t>
      </w: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y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93"/>
    <w:bookmarkStart w:id="196" w:name="sec-exp4-fiabilidad"/>
    <w:p>
      <w:pPr>
        <w:pStyle w:val="Ttulo2"/>
        <w:spacing w:line="360" w:lineRule="auto"/>
        <w:jc w:val="both"/>
      </w:pPr>
      <w:r>
        <w:t xml:space="preserve">5.8 </w:t>
      </w:r>
      <w:r>
        <w:t xml:space="preserve">Estudio de Fiabilidad Inter-juez (EXP4)</w:t>
      </w:r>
    </w:p>
    <w:p>
      <w:pPr>
        <w:pStyle w:val="FirstParagraph"/>
        <w:spacing w:line="360" w:lineRule="auto"/>
        <w:jc w:val="both"/>
      </w:pPr>
      <w:r>
        <w:t xml:space="preserve">La Brecha 3 (§</w:t>
      </w:r>
      <w:hyperlink w:anchor="sec-taxonomia-brechas">
        <w:r>
          <w:rPr>
            <w:rStyle w:val="Hipervnculo"/>
          </w:rPr>
          <w:t xml:space="preserve">5.6</w:t>
        </w:r>
      </w:hyperlink>
      <w:r>
        <w:t xml:space="preserve">) identifica que la evaluación semántica</w:t>
      </w:r>
      <w:r>
        <w:t xml:space="preserve"> </w:t>
      </w:r>
      <w:r>
        <w:t xml:space="preserve">crece más rápido que su base de validación empírica. EXP4 (diseñado en</w:t>
      </w:r>
      <w:r>
        <w:t xml:space="preserve"> </w:t>
      </w:r>
      <w:r>
        <w:t xml:space="preserve">§</w:t>
      </w:r>
      <w:hyperlink w:anchor="sec-exp4-diseno">
        <w:r>
          <w:rPr>
            <w:rStyle w:val="Hipervnculo"/>
          </w:rPr>
          <w:t xml:space="preserve">3.11.2</w:t>
        </w:r>
      </w:hyperlink>
      <w:r>
        <w:t xml:space="preserve">,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5.3</w:t>
        </w:r>
      </w:hyperlink>
      <w:r>
        <w:t xml:space="preserve"> </w:t>
      </w:r>
      <w:r>
        <w:t xml:space="preserve">reporta ICC(1,1) y</w:t>
      </w:r>
      <w:r>
        <w:t xml:space="preserve"> </w:t>
      </w:r>
      <ns1:oMath>
        <ns1:r>
          <ns1:t>α</ns1:t>
        </ns1:r>
      </ns1:oMath>
      <w:r>
        <w:t xml:space="preserve"> </w:t>
      </w:r>
      <w:r>
        <w:t xml:space="preserve">de</w:t>
      </w:r>
      <w:r>
        <w:t xml:space="preserve"> </w:t>
      </w:r>
      <w:r>
        <w:t xml:space="preserve">Krippendorff por dimensión para los tres jueces LLM de la cohorte original. Los dos estadísticos se</w:t>
      </w:r>
      <w:r>
        <w:t xml:space="preserve"> </w:t>
      </w:r>
      <w:r>
        <w:t xml:space="preserve">calculan sobre conjuntos de casos distintos: el ICC se obtiene de una</w:t>
      </w:r>
      <w:r>
        <w:t xml:space="preserve"> </w:t>
      </w:r>
      <w:r>
        <w:t xml:space="preserve">descomposición unidireccional de efectos aleatorios, que exige una matriz completa</w:t>
      </w:r>
      <w:r>
        <w:t xml:space="preserve"> </w:t>
      </w:r>
      <w:r>
        <w:t xml:space="preserve">de casos</w:t>
      </w:r>
      <w:r>
        <w:t xml:space="preserve"> </w:t>
      </w:r>
      <ns1:oMath>
        <ns1:r>
          <ns1:rPr>
            <ns1:sty ns1:val="p"/>
          </ns1:rPr>
          <ns1:t>×</ns1:t>
        </ns1:r>
      </ns1:oMath>
      <w:r>
        <w:t xml:space="preserve"> </w:t>
      </w:r>
      <w:r>
        <w:t xml:space="preserve">jueces y se restringe por tanto a los</w:t>
      </w:r>
      <w:r>
        <w:t xml:space="preserve"> </w:t>
      </w:r>
      <ns1:oMath>
        <ns1:r>
          <ns1:t>n</ns1:t>
        </ns1:r>
        <ns1:r>
          <ns1:rPr>
            <ns1:sty ns1:val="p"/>
          </ns1:rPr>
          <ns1:t>=</ns1:t>
        </ns1:r>
        <ns1:r>
          <ns1:t>147</ns1:t>
        </ns1:r>
      </ns1:oMath>
      <w:r>
        <w:t xml:space="preserve"> </w:t>
      </w:r>
      <w:r>
        <w:t xml:space="preserve">casos</w:t>
      </w:r>
      <w:r>
        <w:t xml:space="preserve"> </w:t>
      </w:r>
      <w:r>
        <w:t xml:space="preserve">puntuados por los tres jueces, mientras que</w:t>
      </w:r>
      <w:r>
        <w:t xml:space="preserve"> </w:t>
      </w:r>
      <ns1:oMath>
        <ns1:r>
          <ns1:t>α</ns1:t>
        </ns1:r>
      </ns1:oMath>
      <w:r>
        <w:t xml:space="preserve"> </w:t>
      </w:r>
      <w:r>
        <w:t xml:space="preserve">de Krippendorff tolera</w:t>
      </w:r>
      <w:r>
        <w:t xml:space="preserve"> </w:t>
      </w:r>
      <w:r>
        <w:t xml:space="preserve">puntuaciones ausentes y se calcula sobre el conjunto más amplio de</w:t>
      </w:r>
      <w:r>
        <w:t xml:space="preserve"> </w:t>
      </w:r>
      <ns1:oMath>
        <ns1:r>
          <ns1:t>n</ns1:t>
        </ns1:r>
        <ns1:r>
          <ns1:rPr>
            <ns1:sty ns1:val="p"/>
          </ns1:rPr>
          <ns1:t>=</ns1:t>
        </ns1:r>
        <ns1:r>
          <ns1:t>192</ns1:t>
        </ns1:r>
      </ns1:oMath>
      <w:r>
        <w:t xml:space="preserve"> </w:t>
      </w:r>
      <w:r>
        <w:t xml:space="preserve">casos, que incluye aquellos con al menos una puntuación de juez faltante.</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y Li 2016)</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194" w:name="tbl-exp4-icc"/>
          <w:p>
            <w:pPr>
              <w:pStyle w:val="ImageCaption"/>
              <w:spacing w:before="200" w:line="360" w:lineRule="auto"/>
              <w:jc w:val="center"/>
            </w:pPr>
            <w:r>
              <w:t xml:space="preserve">Tabla 5.3: Fiabilidad inter-juez LLM en siete dimensiones semánticas (EXP4, cohorte original; ICC sobre</w:t>
            </w:r>
            <w:r>
              <w:t xml:space="preserve"> </w:t>
            </w:r>
            <ns1:oMath>
              <ns1:r>
                <ns1:t>n</ns1:t>
              </ns1:r>
              <ns1:r>
                <ns1:rPr>
                  <ns1:sty ns1:val="p"/>
                </ns1:rPr>
                <ns1:t>=</ns1:t>
              </ns1:r>
              <ns1:r>
                <ns1:t>147</ns1:t>
              </ns1:r>
            </ns1:oMath>
            <w:r>
              <w:t xml:space="preserve"> </w:t>
            </w:r>
            <w:r>
              <w:t xml:space="preserve">casos con puntuación completa,</w:t>
            </w:r>
            <w:r>
              <w:t xml:space="preserve"> </w:t>
            </w:r>
            <ns1:oMath>
              <ns1:r>
                <ns1:t>α</ns1:t>
              </ns1:r>
            </ns1:oMath>
            <w:r>
              <w:t xml:space="preserve"> </w:t>
            </w:r>
            <w:r>
              <w:t xml:space="preserve">de Krippendorff sobre</w:t>
            </w:r>
            <w:r>
              <w:t xml:space="preserve"> </w:t>
            </w:r>
            <ns1:oMath>
              <ns1:r>
                <ns1:t>n</ns1:t>
              </ns1:r>
              <ns1:r>
                <ns1:rPr>
                  <ns1:sty ns1:val="p"/>
                </ns1:rPr>
                <ns1:t>=</ns1:t>
              </ns1:r>
              <ns1:r>
                <ns1:t>192</ns1:t>
              </ns1:r>
            </ns1:oMath>
            <w:r>
              <w:t xml:space="preserve"> </w:t>
            </w:r>
            <w:r>
              <w:t xml:space="preserve">casos —véase el texto—; 3 jueces LLM). ICC(1,1): modelo unidireccional</w:t>
            </w:r>
            <w:r>
              <w:t xml:space="preserve"> </w:t>
            </w:r>
            <w:r>
              <w:t xml:space="preserve">de efectos aleatorios, evaluador único. Un modelo unidireccional trata los</w:t>
            </w:r>
            <w:r>
              <w:t xml:space="preserve"> </w:t>
            </w:r>
            <w:r>
              <w:t xml:space="preserve">sesgos sistemáticos entre jueces como error y no como efecto separable, por lo</w:t>
            </w:r>
            <w:r>
              <w:t xml:space="preserve"> </w:t>
            </w:r>
            <w:r>
              <w:t xml:space="preserve">que estos valores son conservadores respecto de ICC(2,1). Ninguna dimensión alcanza el</w:t>
            </w:r>
            <w:r>
              <w:t xml:space="preserve"> </w:t>
            </w:r>
            <w:r>
              <w:t xml:space="preserve">umbral aceptable</w:t>
            </w:r>
            <w:r>
              <w:t xml:space="preserve"> </w:t>
            </w:r>
            <ns1:oMath>
              <ns1:r>
                <ns1:rPr>
                  <ns1:sty ns1:val="p"/>
                </ns1:rPr>
                <ns1:t>≥</ns1:t>
              </ns1:r>
              <ns1:r>
                <ns1:t>0.75</ns1:t>
              </ns1:r>
            </ns1:oMath>
            <w:r>
              <w:t xml:space="preserve"> </w:t>
            </w:r>
            <w:r>
              <w:t xml:space="preserve">(Koo y Li 2016)</w:t>
            </w:r>
            <w:r>
              <w:t xml:space="preserve">.</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w:t>
                  </w:r>
                </w:p>
              </w:tc>
              <w:tc>
                <w:tcPr/>
                <w:p>
                  <w:pPr>
                    <w:pStyle w:val="Compact"/>
                    <w:jc w:val="both"/>
                    <w:jc w:val="center"/>
                    <w:spacing w:line="360" w:lineRule="auto"/>
                  </w:pPr>
                  <w:r>
                    <w:rPr>
                      <w:bCs/>
                      <w:b/>
                    </w:rPr>
                    <w:t xml:space="preserve">Krippendorff</w:t>
                  </w:r>
                  <w:r>
                    <w:rPr>
                      <w:bCs/>
                      <w:b/>
                    </w:rP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94"/>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ICC(1,1)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y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Replicación con un segundo panel de jueces.</w:t>
      </w:r>
      <w:r>
        <w:t xml:space="preserve"> </w:t>
      </w:r>
      <w:r>
        <w:t xml:space="preserve">La cohorte 2 (§</w:t>
      </w:r>
      <w:hyperlink w:anchor="sec-exp4-diseno">
        <w:r>
          <w:rPr>
            <w:rStyle w:val="Hipervnculo"/>
          </w:rPr>
          <w:t xml:space="preserve">3.11.2</w:t>
        </w:r>
      </w:hyperlink>
      <w:r>
        <w:t xml:space="preserve">)</w:t>
      </w:r>
      <w:r>
        <w:t xml:space="preserve"> </w:t>
      </w:r>
      <w:r>
        <w:t xml:space="preserve">puntuó los mismos 192 casos con un panel de jueces distinto. Todos los casos</w:t>
      </w:r>
      <w:r>
        <w:t xml:space="preserve"> </w:t>
      </w:r>
      <w:r>
        <w:t xml:space="preserve">quedaron puntuados por los tres jueces, de modo que el ICC y el</w:t>
      </w:r>
      <w:r>
        <w:t xml:space="preserve"> </w:t>
      </w:r>
      <ns1:oMath>
        <ns1:r>
          <ns1:t>α</ns1:t>
        </ns1:r>
      </ns1:oMath>
      <w:r>
        <w:t xml:space="preserve"> </w:t>
      </w:r>
      <w:r>
        <w:t xml:space="preserve">se</w:t>
      </w:r>
      <w:r>
        <w:t xml:space="preserve"> </w:t>
      </w:r>
      <w:r>
        <w:t xml:space="preserve">calculan sobre</w:t>
      </w:r>
      <w:r>
        <w:t xml:space="preserve"> </w:t>
      </w:r>
      <ns1:oMath>
        <ns1:r>
          <ns1:t>n</ns1:t>
        </ns1:r>
        <ns1:r>
          <ns1:rPr>
            <ns1:sty ns1:val="p"/>
          </ns1:rPr>
          <ns1:t>=</ns1:t>
        </ns1:r>
        <ns1:r>
          <ns1:t>192</ns1:t>
        </ns1:r>
      </ns1:oMath>
      <w:r>
        <w:t xml:space="preserve"> </w:t>
      </w:r>
      <w:r>
        <w:t xml:space="preserve">casos. La Tabla</w:t>
      </w:r>
      <w:r>
        <w:t xml:space="preserve"> </w:t>
      </w:r>
      <w:hyperlink w:anchor="tbl-exp4-icc-c2">
        <w:r>
          <w:rPr>
            <w:rStyle w:val="Hipervnculo"/>
          </w:rPr>
          <w:t xml:space="preserve">5.4</w:t>
        </w:r>
      </w:hyperlink>
      <w:r>
        <w:t xml:space="preserve"> </w:t>
      </w:r>
      <w:r>
        <w:t xml:space="preserve">reporta la condición</w:t>
      </w:r>
      <w:r>
        <w:t xml:space="preserve"> </w:t>
      </w:r>
      <w:r>
        <w:t xml:space="preserve">primaria, con la etiqueta oculta, y la estimación agregada sobre todas las</w:t>
      </w:r>
      <w:r>
        <w:t xml:space="preserve"> </w:t>
      </w:r>
      <w:r>
        <w:t xml:space="preserve">condiciones y réplicas.</w:t>
      </w:r>
    </w:p>
    <w:tbl>
      <w:tblPr>
        <w:tblStyle w:val="Table"/>
        <w:tblW w:type="pct" w:w="5000"/>
        <w:jc w:val="center"/>
        <w:tblLayout w:type="fixed"/>
        <w:tblLook w:firstRow="0" w:lastRow="0" w:firstColumn="0" w:lastColumn="0" w:noHBand="0" w:noVBand="0" w:val="0000"/>
      </w:tblPr>
      <w:tblGrid>
        <w:gridCol w:w="7920"/>
      </w:tblGrid>
      <w:tr>
        <w:tc>
          <w:tcPr/>
          <w:bookmarkStart w:id="195" w:name="tbl-exp4-icc-c2"/>
          <w:p>
            <w:pPr>
              <w:pStyle w:val="ImageCaption"/>
              <w:spacing w:before="200" w:line="360" w:lineRule="auto"/>
              <w:jc w:val="center"/>
            </w:pPr>
            <w:r>
              <w:t xml:space="preserve">Tabla 5.4: Fiabilidad inter-juez LLM en la cohorte de replicación (EXP4, cohorte 2;</w:t>
            </w:r>
            <w:r>
              <w:t xml:space="preserve"> </w:t>
            </w:r>
            <ns1:oMath>
              <ns1:r>
                <ns1:t>n</ns1:t>
              </ns1:r>
              <ns1:r>
                <ns1:rPr>
                  <ns1:sty ns1:val="p"/>
                </ns1:rPr>
                <ns1:t>=</ns1:t>
              </ns1:r>
              <ns1:r>
                <ns1:t>192</ns1:t>
              </ns1:r>
            </ns1:oMath>
            <w:r>
              <w:t xml:space="preserve"> </w:t>
            </w:r>
            <w:r>
              <w:t xml:space="preserve">casos, 3 jueces LLM distintos de los originales). Las tres primeras</w:t>
            </w:r>
            <w:r>
              <w:t xml:space="preserve"> </w:t>
            </w:r>
            <w:r>
              <w:t xml:space="preserve">columnas corresponden a la condición primaria. La última promedia cada par caso</w:t>
            </w:r>
            <w:r>
              <w:t xml:space="preserve"> </w:t>
            </w:r>
            <ns1:oMath>
              <ns1:r>
                <ns1:rPr>
                  <ns1:sty ns1:val="p"/>
                </ns1:rPr>
                <ns1:t>×</ns1:t>
              </ns1:r>
            </ns1:oMath>
            <w:r>
              <w:t xml:space="preserve"> </w:t>
            </w:r>
            <w:r>
              <w:t xml:space="preserve">juez sobre las tres condiciones y las tres réplicas antes de calcular</w:t>
            </w:r>
            <w:r>
              <w:t xml:space="preserve"> </w:t>
            </w:r>
            <w:r>
              <w:t xml:space="preserve">el ICC, que es la opción por defecto del código de análisis. Ninguna dimensión</w:t>
            </w:r>
            <w:r>
              <w:t xml:space="preserve"> </w:t>
            </w:r>
            <w:r>
              <w:t xml:space="preserve">alcanza 0.75 en la condición primaria.</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193"/>
              <w:gridCol w:w="2169"/>
              <w:gridCol w:w="2495"/>
              <w:gridCol w:w="2061"/>
            </w:tblGrid>
            <w:tr>
              <w:trPr>
                <w:tblHeader w:val="on"/>
              </w:trPr>
              <w:tc>
                <w:tcPr/>
                <w:p>
                  <w:pPr>
                    <w:pStyle w:val="Compact"/>
                    <w:jc w:val="both"/>
                    <w:jc w:val="center"/>
                    <w:spacing w:line="360" w:lineRule="auto"/>
                  </w:pPr>
                  <w:r>
                    <w:rPr>
                      <w:bCs/>
                      <w:b/>
                    </w:rPr>
                    <w:t xml:space="preserve">Dimensión</w:t>
                  </w:r>
                </w:p>
              </w:tc>
              <w:tc>
                <w:tcPr/>
                <w:p>
                  <w:pPr>
                    <w:pStyle w:val="Compact"/>
                    <w:jc w:val="both"/>
                    <w:jc w:val="center"/>
                    <w:spacing w:line="360" w:lineRule="auto"/>
                  </w:pPr>
                  <w:r>
                    <w:rPr>
                      <w:bCs/>
                      <w:b/>
                    </w:rPr>
                    <w:t xml:space="preserve">ICC(1,1) [IC 95 %]</w:t>
                  </w:r>
                </w:p>
              </w:tc>
              <w:tc>
                <w:tcPr/>
                <w:p>
                  <w:pPr>
                    <w:pStyle w:val="Compact"/>
                    <w:jc w:val="both"/>
                    <w:jc w:val="center"/>
                    <w:spacing w:line="360" w:lineRule="auto"/>
                  </w:pPr>
                  <w:r>
                    <w:rPr>
                      <w:bCs/>
                      <w:b/>
                    </w:rPr>
                    <w:t xml:space="preserve">Krippendorff</w:t>
                  </w:r>
                  <w:r>
                    <w:rPr>
                      <w:bCs/>
                      <w:b/>
                    </w:rPr>
                    <w:t xml:space="preserve"> </w:t>
                  </w:r>
                  <ns1:oMath>
                    <ns1:r>
                      <ns1:t>α</ns1:t>
                    </ns1:r>
                  </ns1:oMath>
                </w:p>
              </w:tc>
              <w:tc>
                <w:tcPr/>
                <w:p>
                  <w:pPr>
                    <w:pStyle w:val="Compact"/>
                    <w:jc w:val="both"/>
                    <w:jc w:val="center"/>
                    <w:spacing w:line="360" w:lineRule="auto"/>
                  </w:pPr>
                  <w:r>
                    <w:rPr>
                      <w:bCs/>
                      <w:b/>
                    </w:rPr>
                    <w:t xml:space="preserve">ICC(1,1) agregado</w:t>
                  </w:r>
                </w:p>
              </w:tc>
            </w:tr>
            <w:tr>
              <w:tc>
                <w:tcPr/>
                <w:p>
                  <w:pPr>
                    <w:pStyle w:val="Compact"/>
                    <w:jc w:val="both"/>
                    <w:jc w:val="center"/>
                    <w:spacing w:line="360" w:lineRule="auto"/>
                  </w:pPr>
                  <w:r>
                    <w:t xml:space="preserve">Claridad</w:t>
                  </w:r>
                </w:p>
              </w:tc>
              <w:tc>
                <w:tcPr/>
                <w:p>
                  <w:pPr>
                    <w:pStyle w:val="Compact"/>
                    <w:jc w:val="both"/>
                    <w:jc w:val="center"/>
                    <w:spacing w:line="360" w:lineRule="auto"/>
                  </w:pPr>
                  <ns1:oMath>
                    <ns1:r>
                      <ns1:rPr>
                        <ns1:sty ns1:val="p"/>
                      </ns1:rPr>
                      <ns1:t>−</ns1:t>
                    </ns1:r>
                    <ns1:r>
                      <ns1:t>0.019</ns1:t>
                    </ns1:r>
                  </ns1:oMath>
                  <w:r>
                    <w:t xml:space="preserve"> </w:t>
                  </w:r>
                  <w:r>
                    <w:t xml:space="preserve">[</w:t>
                  </w:r>
                  <ns1:oMath>
                    <ns1:r>
                      <ns1:rPr>
                        <ns1:sty ns1:val="p"/>
                      </ns1:rPr>
                      <ns1:t>−</ns1:t>
                    </ns1:r>
                    <ns1:r>
                      <ns1:t>0.160</ns1:t>
                    </ns1:r>
                  </ns1:oMath>
                  <w:r>
                    <w:t xml:space="preserve">, 0.123]</w:t>
                  </w:r>
                </w:p>
              </w:tc>
              <w:tc>
                <w:tcPr/>
                <w:p>
                  <w:pPr>
                    <w:pStyle w:val="Compact"/>
                    <w:jc w:val="both"/>
                    <w:jc w:val="center"/>
                    <w:spacing w:line="360" w:lineRule="auto"/>
                  </w:pPr>
                  <ns1:oMath>
                    <ns1:r>
                      <ns1:rPr>
                        <ns1:sty ns1:val="p"/>
                      </ns1:rPr>
                      <ns1:t>−</ns1:t>
                    </ns1:r>
                    <ns1:r>
                      <ns1:t>0.019</ns1:t>
                    </ns1:r>
                  </ns1:oMath>
                  <w:r>
                    <w:t xml:space="preserve">​</w:t>
                  </w:r>
                </w:p>
              </w:tc>
              <w:tc>
                <w:tcPr/>
                <w:p>
                  <w:pPr>
                    <w:pStyle w:val="Compact"/>
                    <w:jc w:val="both"/>
                    <w:jc w:val="center"/>
                    <w:spacing w:line="360" w:lineRule="auto"/>
                  </w:pPr>
                  <ns1:oMath>
                    <ns1:r>
                      <ns1:rPr>
                        <ns1:sty ns1:val="p"/>
                      </ns1:rPr>
                      <ns1:t>−</ns1:t>
                    </ns1:r>
                    <ns1:r>
                      <ns1:t>0.090</ns1:t>
                    </ns1:r>
                  </ns1:oMath>
                  <w:r>
                    <w:t xml:space="preserve">​</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0.373 [0.244, 0.489]</w:t>
                  </w:r>
                </w:p>
              </w:tc>
              <w:tc>
                <w:tcPr/>
                <w:p>
                  <w:pPr>
                    <w:pStyle w:val="Compact"/>
                    <w:jc w:val="both"/>
                    <w:jc w:val="center"/>
                    <w:spacing w:line="360" w:lineRule="auto"/>
                  </w:pPr>
                  <w:r>
                    <w:t xml:space="preserve">0.372</w:t>
                  </w:r>
                </w:p>
              </w:tc>
              <w:tc>
                <w:tcPr/>
                <w:p>
                  <w:pPr>
                    <w:pStyle w:val="Compact"/>
                    <w:jc w:val="both"/>
                    <w:jc w:val="center"/>
                    <w:spacing w:line="360" w:lineRule="auto"/>
                  </w:pPr>
                  <w:r>
                    <w:t xml:space="preserve">0.524</w:t>
                  </w:r>
                </w:p>
              </w:tc>
            </w:tr>
            <w:tr>
              <w:tc>
                <w:tcPr/>
                <w:p>
                  <w:pPr>
                    <w:pStyle w:val="Compact"/>
                    <w:jc w:val="both"/>
                    <w:jc w:val="center"/>
                    <w:spacing w:line="360" w:lineRule="auto"/>
                  </w:pPr>
                  <w:r>
                    <w:t xml:space="preserve">Accionabilidad</w:t>
                  </w:r>
                </w:p>
              </w:tc>
              <w:tc>
                <w:tcPr/>
                <w:p>
                  <w:pPr>
                    <w:pStyle w:val="Compact"/>
                    <w:jc w:val="both"/>
                    <w:jc w:val="center"/>
                    <w:spacing w:line="360" w:lineRule="auto"/>
                  </w:pPr>
                  <ns1:oMath>
                    <ns1:r>
                      <ns1:rPr>
                        <ns1:sty ns1:val="p"/>
                      </ns1:rPr>
                      <ns1:t>−</ns1:t>
                    </ns1:r>
                    <ns1:r>
                      <ns1:t>0.025</ns1:t>
                    </ns1:r>
                  </ns1:oMath>
                  <w:r>
                    <w:t xml:space="preserve"> </w:t>
                  </w:r>
                  <w:r>
                    <w:t xml:space="preserve">[</w:t>
                  </w:r>
                  <ns1:oMath>
                    <ns1:r>
                      <ns1:rPr>
                        <ns1:sty ns1:val="p"/>
                      </ns1:rPr>
                      <ns1:t>−</ns1:t>
                    </ns1:r>
                    <ns1:r>
                      <ns1:t>0.166</ns1:t>
                    </ns1:r>
                  </ns1:oMath>
                  <w:r>
                    <w:t xml:space="preserve">, 0.117]</w:t>
                  </w:r>
                </w:p>
              </w:tc>
              <w:tc>
                <w:tcPr/>
                <w:p>
                  <w:pPr>
                    <w:pStyle w:val="Compact"/>
                    <w:jc w:val="both"/>
                    <w:jc w:val="center"/>
                    <w:spacing w:line="360" w:lineRule="auto"/>
                  </w:pPr>
                  <ns1:oMath>
                    <ns1:r>
                      <ns1:rPr>
                        <ns1:sty ns1:val="p"/>
                      </ns1:rPr>
                      <ns1:t>−</ns1:t>
                    </ns1:r>
                    <ns1:r>
                      <ns1:t>0.025</ns1:t>
                    </ns1:r>
                  </ns1:oMath>
                  <w:r>
                    <w:t xml:space="preserve">​</w:t>
                  </w:r>
                </w:p>
              </w:tc>
              <w:tc>
                <w:tcPr/>
                <w:p>
                  <w:pPr>
                    <w:pStyle w:val="Compact"/>
                    <w:jc w:val="both"/>
                    <w:jc w:val="center"/>
                    <w:spacing w:line="360" w:lineRule="auto"/>
                  </w:pPr>
                  <w:r>
                    <w:t xml:space="preserve">0.039</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0.699 [0.619, 0.765]</w:t>
                  </w:r>
                </w:p>
              </w:tc>
              <w:tc>
                <w:tcPr/>
                <w:p>
                  <w:pPr>
                    <w:pStyle w:val="Compact"/>
                    <w:jc w:val="both"/>
                    <w:jc w:val="center"/>
                    <w:spacing w:line="360" w:lineRule="auto"/>
                  </w:pPr>
                  <w:r>
                    <w:t xml:space="preserve">0.699</w:t>
                  </w:r>
                </w:p>
              </w:tc>
              <w:tc>
                <w:tcPr/>
                <w:p>
                  <w:pPr>
                    <w:pStyle w:val="Compact"/>
                    <w:jc w:val="both"/>
                    <w:jc w:val="center"/>
                    <w:spacing w:line="360" w:lineRule="auto"/>
                  </w:pPr>
                  <w:r>
                    <w:t xml:space="preserve">0.820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0.731 [0.657, 0.791]</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0.839</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0.604 [0.506, 0.687]</w:t>
                  </w:r>
                </w:p>
              </w:tc>
              <w:tc>
                <w:tcPr/>
                <w:p>
                  <w:pPr>
                    <w:pStyle w:val="Compact"/>
                    <w:jc w:val="both"/>
                    <w:jc w:val="center"/>
                    <w:spacing w:line="360" w:lineRule="auto"/>
                  </w:pPr>
                  <w:r>
                    <w:t xml:space="preserve">0.603</w:t>
                  </w:r>
                </w:p>
              </w:tc>
              <w:tc>
                <w:tcPr/>
                <w:p>
                  <w:pPr>
                    <w:pStyle w:val="Compact"/>
                    <w:jc w:val="both"/>
                    <w:jc w:val="center"/>
                    <w:spacing w:line="360" w:lineRule="auto"/>
                  </w:pPr>
                  <w:r>
                    <w:t xml:space="preserve">0.664</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0.660 [0.571, 0.733]</w:t>
                  </w:r>
                </w:p>
              </w:tc>
              <w:tc>
                <w:tcPr/>
                <w:p>
                  <w:pPr>
                    <w:pStyle w:val="Compact"/>
                    <w:jc w:val="both"/>
                    <w:jc w:val="center"/>
                    <w:spacing w:line="360" w:lineRule="auto"/>
                  </w:pPr>
                  <w:r>
                    <w:t xml:space="preserve">0.659</w:t>
                  </w:r>
                </w:p>
              </w:tc>
              <w:tc>
                <w:tcPr/>
                <w:p>
                  <w:pPr>
                    <w:pStyle w:val="Compact"/>
                    <w:jc w:val="both"/>
                    <w:jc w:val="center"/>
                    <w:spacing w:line="360" w:lineRule="auto"/>
                  </w:pPr>
                  <w:r>
                    <w:t xml:space="preserve">0.706</w:t>
                  </w:r>
                </w:p>
              </w:tc>
            </w:tr>
          </w:tbl>
          <w:bookmarkEnd w:id="195"/>
          <w:p>
            <w:pPr>
              <w:spacing w:line="360" w:lineRule="auto"/>
              <w:jc w:val="both"/>
            </w:pPr>
          </w:p>
        </w:tc>
      </w:tr>
    </w:tbl>
    <w:p>
      <w:pPr>
        <w:pStyle w:val="Textoindependiente"/>
        <w:spacing w:line="360" w:lineRule="auto"/>
        <w:jc w:val="both"/>
      </w:pPr>
      <w:r>
        <w:t xml:space="preserve">La replicación confirma el resultado negativo en la condición primaria: ninguna</w:t>
      </w:r>
      <w:r>
        <w:t xml:space="preserve"> </w:t>
      </w:r>
      <w:r>
        <w:t xml:space="preserve">dimensión alcanza 0.75, y el máximo corresponde a Completitud (0.731). No</w:t>
      </w:r>
      <w:r>
        <w:t xml:space="preserve"> </w:t>
      </w:r>
      <w:r>
        <w:t xml:space="preserve">replica, en cambio, el margen respecto del umbral. Los límites superiores del</w:t>
      </w:r>
      <w:r>
        <w:t xml:space="preserve"> </w:t>
      </w:r>
      <w:r>
        <w:t xml:space="preserve">intervalo de Completitud (0.791) y de Utilidad para auditoría (0.765) superan</w:t>
      </w:r>
      <w:r>
        <w:t xml:space="preserve"> </w:t>
      </w:r>
      <w:r>
        <w:t xml:space="preserve">0.75. En dos vistas secundarias el umbral llega a cruzarse:</w:t>
      </w:r>
    </w:p>
    <w:p>
      <w:pPr>
        <w:pStyle w:val="Compact"/>
        <w:numPr>
          <w:ilvl w:val="0"/>
          <w:numId w:val="1018"/>
        </w:numPr>
        <w:spacing w:line="360" w:lineRule="auto"/>
        <w:jc w:val="both"/>
      </w:pPr>
      <w:r>
        <w:t xml:space="preserve">con la rúbrica alternativa, Completitud alcanza 0.753;</w:t>
      </w:r>
    </w:p>
    <w:p>
      <w:pPr>
        <w:pStyle w:val="Compact"/>
        <w:numPr>
          <w:ilvl w:val="0"/>
          <w:numId w:val="1018"/>
        </w:numPr>
        <w:spacing w:line="360" w:lineRule="auto"/>
        <w:jc w:val="both"/>
      </w:pPr>
      <w:r>
        <w:t xml:space="preserve">en la estimación agregada, Completitud (0.839) y Utilidad para auditoría</w:t>
      </w:r>
      <w:r>
        <w:t xml:space="preserve"> </w:t>
      </w:r>
      <w:r>
        <w:t xml:space="preserve">(0.820) superan 0.75.</w:t>
      </w:r>
    </w:p>
    <w:p>
      <w:pPr>
        <w:pStyle w:val="FirstParagraph"/>
        <w:spacing w:line="360" w:lineRule="auto"/>
        <w:jc w:val="both"/>
      </w:pPr>
      <w:r>
        <w:t xml:space="preserve">Promediar nueve respuestas por caso y juez atenúa el ruido de respuesta y eleva</w:t>
      </w:r>
      <w:r>
        <w:t xml:space="preserve"> </w:t>
      </w:r>
      <w:r>
        <w:t xml:space="preserve">el ICC. Por eso la estimación primaria es la de la condición primaria, y la</w:t>
      </w:r>
      <w:r>
        <w:t xml:space="preserve"> </w:t>
      </w:r>
      <w:r>
        <w:t xml:space="preserve">agregación debe declararse siempre que se reporte. Mostrar la etiqueta</w:t>
      </w:r>
      <w:r>
        <w:t xml:space="preserve"> </w:t>
      </w:r>
      <w:r>
        <w:t xml:space="preserve">verdadera apenas altera las puntuaciones: el desplazamiento medio máximo es de</w:t>
      </w:r>
      <w:r>
        <w:t xml:space="preserve"> </w:t>
      </w:r>
      <w:r>
        <w:t xml:space="preserve">0.14 puntos. La redacción de la rúbrica pesa más: desplaza las puntuaciones</w:t>
      </w:r>
      <w:r>
        <w:t xml:space="preserve"> </w:t>
      </w:r>
      <w:r>
        <w:t xml:space="preserve">hasta 0.50 puntos y modifica la fiabilidad en ambos sentidos.</w:t>
      </w:r>
    </w:p>
    <w:p>
      <w:pPr>
        <w:pStyle w:val="Textoindependiente"/>
        <w:spacing w:line="360" w:lineRule="auto"/>
        <w:jc w:val="both"/>
      </w:pPr>
      <w:r>
        <w:rPr>
          <w:b/>
          <w:bCs/>
        </w:rPr>
        <w:t xml:space="preserve">Interpretación.</w:t>
      </w:r>
      <w:r>
        <w:t xml:space="preserve"> </w:t>
      </w:r>
      <w:r>
        <w:t xml:space="preserve">En la cohorte original, el gradiente relativo es</w:t>
      </w:r>
      <w:r>
        <w:t xml:space="preserve"> </w:t>
      </w:r>
      <w:r>
        <w:t xml:space="preserve">consistente con una mayor convergencia cuando la dimensión dispone de</w:t>
      </w:r>
      <w:r>
        <w:t xml:space="preserve"> </w:t>
      </w:r>
      <w:r>
        <w:t xml:space="preserve">referentes semánticos verificables: Completitud y Plausibilidad Semántica</w:t>
      </w:r>
      <w:r>
        <w:t xml:space="preserve"> </w:t>
      </w:r>
      <w:r>
        <w:t xml:space="preserve">preguntan si se cubren factores relevantes y si la explicación es coherente con</w:t>
      </w:r>
      <w:r>
        <w:t xml:space="preserve"> </w:t>
      </w:r>
      <w:r>
        <w:t xml:space="preserve">el dominio, mientras que Claridad y Utilidad para auditoría dependen más del</w:t>
      </w:r>
      <w:r>
        <w:t xml:space="preserve"> </w:t>
      </w:r>
      <w:r>
        <w:t xml:space="preserve">perfil del destinatario y del contexto de uso, que la rúbrica no especificó. La</w:t>
      </w:r>
      <w:r>
        <w:t xml:space="preserve"> </w:t>
      </w:r>
      <w:r>
        <w:t xml:space="preserve">replicación sostiene ese gradiente solo en parte:</w:t>
      </w:r>
    </w:p>
    <w:p>
      <w:pPr>
        <w:pStyle w:val="Compact"/>
        <w:numPr>
          <w:ilvl w:val="0"/>
          <w:numId w:val="1019"/>
        </w:numPr>
        <w:spacing w:line="360" w:lineRule="auto"/>
        <w:jc w:val="both"/>
      </w:pPr>
      <w:r>
        <w:t xml:space="preserve">Completitud y Plausibilidad Semántica siguen entre las dimensiones de mayor</w:t>
      </w:r>
      <w:r>
        <w:t xml:space="preserve"> </w:t>
      </w:r>
      <w:r>
        <w:t xml:space="preserve">acuerdo, y Claridad sigue siendo la de menor acuerdo.</w:t>
      </w:r>
    </w:p>
    <w:p>
      <w:pPr>
        <w:pStyle w:val="Compact"/>
        <w:numPr>
          <w:ilvl w:val="0"/>
          <w:numId w:val="1019"/>
        </w:numPr>
        <w:spacing w:line="360" w:lineRule="auto"/>
        <w:jc w:val="both"/>
      </w:pPr>
      <w:r>
        <w:t xml:space="preserve">Utilidad para auditoría pasa a figurar entre las de mayor acuerdo, lo que no</w:t>
      </w:r>
      <w:r>
        <w:t xml:space="preserve"> </w:t>
      </w:r>
      <w:r>
        <w:t xml:space="preserve">apoya su clasificación como dimensión dependiente del destinatario.</w:t>
      </w:r>
    </w:p>
    <w:p>
      <w:pPr>
        <w:pStyle w:val="Compact"/>
        <w:numPr>
          <w:ilvl w:val="0"/>
          <w:numId w:val="1019"/>
        </w:numPr>
        <w:spacing w:line="360" w:lineRule="auto"/>
        <w:jc w:val="both"/>
      </w:pPr>
      <w:r>
        <w:t xml:space="preserve">Accionabilidad cae a un acuerdo prácticamente nulo por efecto suelo: casi</w:t>
      </w:r>
      <w:r>
        <w:t xml:space="preserve"> </w:t>
      </w:r>
      <w:r>
        <w:t xml:space="preserve">todas las puntuaciones son 1, de modo que apenas queda varianza que acordar.</w:t>
      </w:r>
    </w:p>
    <w:p>
      <w:pPr>
        <w:pStyle w:val="FirstParagraph"/>
        <w:spacing w:line="360" w:lineRule="auto"/>
        <w:jc w:val="both"/>
      </w:pPr>
      <w:r>
        <w:t xml:space="preserve">El patrón sigue siendo generador de hipótesis, no una demostración causal de</w:t>
      </w:r>
      <w:r>
        <w:t xml:space="preserve"> </w:t>
      </w:r>
      <w:r>
        <w:t xml:space="preserve">que el tipo de criterio explique las diferencias de acuerdo. La replicación</w:t>
      </w:r>
      <w:r>
        <w:t xml:space="preserve"> </w:t>
      </w:r>
      <w:r>
        <w:t xml:space="preserve">añade una observación propia: el orden de las dimensiones depende del panel de</w:t>
      </w:r>
      <w:r>
        <w:t xml:space="preserve"> </w:t>
      </w:r>
      <w:r>
        <w:t xml:space="preserve">jueces y de la redacción de la rúbrica, no solo del constructo evaluado.</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 La prioridad es calibrar</w:t>
      </w:r>
      <w:r>
        <w:t xml:space="preserve"> </w:t>
      </w:r>
      <w:r>
        <w:t xml:space="preserve">por dimensión: formalizar primero criterios verificables y añadir información</w:t>
      </w:r>
      <w:r>
        <w:t xml:space="preserve"> </w:t>
      </w:r>
      <w:r>
        <w:t xml:space="preserve">del stakeholder en las dimensiones dependientes del contexto. El gradiente no</w:t>
      </w:r>
      <w:r>
        <w:t xml:space="preserve"> </w:t>
      </w:r>
      <w:r>
        <w:t xml:space="preserve">autoriza un uso confirmativo, ni siquiera restringido a las dimensiones con</w:t>
      </w:r>
      <w:r>
        <w:t xml:space="preserve"> </w:t>
      </w:r>
      <w:r>
        <w:t xml:space="preserve">mayor acuerdo. En la condición primaria, el ICC(1,1) queda por debajo de 0.75</w:t>
      </w:r>
      <w:r>
        <w:t xml:space="preserve"> </w:t>
      </w:r>
      <w:r>
        <w:t xml:space="preserve">en todas las dimensiones y en ambas cohortes. Los cruces del umbral en las</w:t>
      </w:r>
      <w:r>
        <w:t xml:space="preserve"> </w:t>
      </w:r>
      <w:r>
        <w:t xml:space="preserve">vistas secundarias dependen de la redacción de la rúbrica y de la agregación, y</w:t>
      </w:r>
      <w:r>
        <w:t xml:space="preserve"> </w:t>
      </w:r>
      <w:r>
        <w:t xml:space="preserve">el orden de las dimensiones cambia de un panel a otro.</w:t>
      </w:r>
    </w:p>
    <w:p>
      <w:pPr>
        <w:pStyle w:val="Textoindependiente"/>
        <w:spacing w:line="360" w:lineRule="auto"/>
        <w:jc w:val="both"/>
      </w:pPr>
      <w:r>
        <w:rPr>
          <w:b/>
          <w:bCs/>
        </w:rPr>
        <w:t xml:space="preserve">Controles posteriores.</w:t>
      </w:r>
      <w:r>
        <w:t xml:space="preserve"> </w:t>
      </w:r>
      <w:r>
        <w:t xml:space="preserve">Tres análisis realizados después sobre la cohorte 2</w:t>
      </w:r>
      <w:r>
        <w:t xml:space="preserve"> </w:t>
      </w:r>
      <w:r>
        <w:t xml:space="preserve">examinan sobre qué recae el acuerdo observado, y una revisión del material</w:t>
      </w:r>
      <w:r>
        <w:t xml:space="preserve"> </w:t>
      </w:r>
      <w:r>
        <w:t xml:space="preserve">entregado a los jueces encontró que la condición primaria no ocultaba la</w:t>
      </w:r>
      <w:r>
        <w:t xml:space="preserve"> </w:t>
      </w:r>
      <w:r>
        <w:t xml:space="preserve">etiqueta de forma efectiva. Ambos puntos se reportan en §</w:t>
      </w:r>
      <w:hyperlink w:anchor="sec-seg-jueces">
        <w:r>
          <w:rPr>
            <w:rStyle w:val="Hipervnculo"/>
          </w:rPr>
          <w:t xml:space="preserve">6.5</w:t>
        </w:r>
      </w:hyperlink>
      <w:r>
        <w:t xml:space="preserve">.</w:t>
      </w:r>
      <w:r>
        <w:t xml:space="preserve"> </w:t>
      </w:r>
      <w:r>
        <w:t xml:space="preserve">Precisan la lectura del gradiente entre dimensiones y no modifican el resultado</w:t>
      </w:r>
      <w:r>
        <w:t xml:space="preserve"> </w:t>
      </w:r>
      <w:r>
        <w:t xml:space="preserve">negativo.</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reporta los estudios de seguimiento, que examinan</w:t>
      </w:r>
      <w:r>
        <w:t xml:space="preserve"> </w:t>
      </w:r>
      <w:r>
        <w:t xml:space="preserve">el alcance de validez de estas conclusiones ante el error de clasificación, el</w:t>
      </w:r>
      <w:r>
        <w:t xml:space="preserve"> </w:t>
      </w:r>
      <w:r>
        <w:t xml:space="preserve">cambio de explicador y el cambio de conjunto de datos, y añade controles al</w:t>
      </w:r>
      <w:r>
        <w:t xml:space="preserve"> </w:t>
      </w:r>
      <w:r>
        <w:t xml:space="preserve">estudio de fiabilidad inter-juez. El Capítulo 7 cierra la tesis sintetizando las</w:t>
      </w:r>
      <w:r>
        <w:t xml:space="preserve"> </w:t>
      </w:r>
      <w:r>
        <w:t xml:space="preserve">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96"/>
    <w:bookmarkEnd w:id="197"/>
    <w:bookmarkStart w:id="209" w:name="sec-seguimiento"/>
    <w:p>
      <w:pPr>
        <w:pStyle w:val="Ttulo1"/>
        <w:spacing w:line="360" w:lineRule="auto"/>
        <w:jc w:val="both"/>
      </w:pPr>
      <w:r>
        <w:t xml:space="preserve">Capítulo 6. </w:t>
      </w:r>
      <w:r>
        <w:t xml:space="preserve">Estudios de seguimiento: alcance de validez de las conclusiones</w:t>
      </w:r>
    </w:p>
    <w:p>
      <w:pPr>
        <w:pStyle w:val="FirstParagraph"/>
        <w:spacing w:line="360" w:lineRule="auto"/>
        <w:jc w:val="both"/>
      </w:pPr>
      <w:r>
        <w:t xml:space="preserve">Los capítulos anteriores responden a las hipótesis y proposiciones fijadas en el</w:t>
      </w:r>
      <w:r>
        <w:t xml:space="preserve"> </w:t>
      </w:r>
      <w:r>
        <w:t xml:space="preserve">plan confirmativo. Este capítulo reúne cuatro trabajos realizados después de ese</w:t>
      </w:r>
      <w:r>
        <w:t xml:space="preserve"> </w:t>
      </w:r>
      <w:r>
        <w:t xml:space="preserve">plan. Tres son estudios nuevos y el cuarto añade controles al Estudio de</w:t>
      </w:r>
      <w:r>
        <w:t xml:space="preserve"> </w:t>
      </w:r>
      <w:r>
        <w:t xml:space="preserve">Fiabilidad Inter-juez. Todos atienden a la cláusula final del objetivo general:</w:t>
      </w:r>
      <w:r>
        <w:t xml:space="preserve"> </w:t>
      </w:r>
      <w:r>
        <w:t xml:space="preserve">delimitar el alcance de validez de la evidencia obtenida. Cada uno examina un</w:t>
      </w:r>
      <w:r>
        <w:t xml:space="preserve"> </w:t>
      </w:r>
      <w:r>
        <w:t xml:space="preserve">eje sobre el cual una conclusión del benchmark podría no sostenerse: que la</w:t>
      </w:r>
      <w:r>
        <w:t xml:space="preserve"> </w:t>
      </w:r>
      <w:r>
        <w:t xml:space="preserve">predicción explicada sea errónea, que se cambie de explicador para la misma</w:t>
      </w:r>
      <w:r>
        <w:t xml:space="preserve"> </w:t>
      </w:r>
      <w:r>
        <w:t xml:space="preserve">instancia, que se cambie de conjunto de datos, y que el juez semántico acuerde</w:t>
      </w:r>
      <w:r>
        <w:t xml:space="preserve"> </w:t>
      </w:r>
      <w:r>
        <w:t xml:space="preserve">sobre algo distinto de la calidad de la explicación.</w:t>
      </w:r>
    </w:p>
    <w:bookmarkStart w:id="199" w:name="sec-seg-estatuto"/>
    <w:p>
      <w:pPr>
        <w:pStyle w:val="Ttulo2"/>
        <w:spacing w:line="360" w:lineRule="auto"/>
        <w:jc w:val="both"/>
      </w:pPr>
      <w:r>
        <w:t xml:space="preserve">6.1 </w:t>
      </w:r>
      <w:r>
        <w:t xml:space="preserve">Estatuto de estos estudios</w:t>
      </w:r>
    </w:p>
    <w:p>
      <w:pPr>
        <w:pStyle w:val="FirstParagraph"/>
        <w:spacing w:line="360" w:lineRule="auto"/>
        <w:jc w:val="both"/>
      </w:pPr>
      <w:r>
        <w:t xml:space="preserve">El estatuto de estos trabajos es distinto del de H1–H3 y P1, y se declara aquí</w:t>
      </w:r>
      <w:r>
        <w:t xml:space="preserve"> </w:t>
      </w:r>
      <w:r>
        <w:t xml:space="preserve">antes de reportar ningún resultado, por la misma razón que el Capítulo 1 lo</w:t>
      </w:r>
      <w:r>
        <w:t xml:space="preserve"> </w:t>
      </w:r>
      <w:r>
        <w:t xml:space="preserve">hace para P2.</w:t>
      </w:r>
    </w:p>
    <w:p>
      <w:pPr>
        <w:pStyle w:val="Compact"/>
        <w:numPr>
          <w:ilvl w:val="0"/>
          <w:numId w:val="1020"/>
        </w:numPr>
        <w:spacing w:line="360" w:lineRule="auto"/>
        <w:jc w:val="both"/>
      </w:pPr>
      <w:r>
        <w:rPr>
          <w:b/>
          <w:bCs/>
        </w:rPr>
        <w:t xml:space="preserve">Son posteriores.</w:t>
      </w:r>
      <w:r>
        <w:t xml:space="preserve"> </w:t>
      </w:r>
      <w:r>
        <w:t xml:space="preserve">Ninguno forma parte del plan inferencial congelado en la</w:t>
      </w:r>
      <w:r>
        <w:t xml:space="preserve"> </w:t>
      </w:r>
      <w:r>
        <w:t xml:space="preserve">puerta 1 del protocolo FOM-7. Se formularon después de conocer los resultados</w:t>
      </w:r>
      <w:r>
        <w:t xml:space="preserve"> </w:t>
      </w:r>
      <w:r>
        <w:t xml:space="preserve">de los estudios principales.</w:t>
      </w:r>
    </w:p>
    <w:p>
      <w:pPr>
        <w:pStyle w:val="Compact"/>
        <w:numPr>
          <w:ilvl w:val="0"/>
          <w:numId w:val="1020"/>
        </w:numPr>
        <w:spacing w:line="360" w:lineRule="auto"/>
        <w:jc w:val="both"/>
      </w:pPr>
      <w:r>
        <w:rPr>
          <w:b/>
          <w:bCs/>
        </w:rPr>
        <w:t xml:space="preserve">No añaden objetivos ni hipótesis a la tesis.</w:t>
      </w:r>
      <w:r>
        <w:t xml:space="preserve"> </w:t>
      </w:r>
      <w:r>
        <w:t xml:space="preserve">No se enuncia para ellos</w:t>
      </w:r>
      <w:r>
        <w:t xml:space="preserve"> </w:t>
      </w:r>
      <w:r>
        <w:t xml:space="preserve">ningún objetivo específico nuevo, porque un objetivo se formula antes de su</w:t>
      </w:r>
      <w:r>
        <w:t xml:space="preserve"> </w:t>
      </w:r>
      <w:r>
        <w:t xml:space="preserve">resultado. Se adscriben al objetivo general.</w:t>
      </w:r>
    </w:p>
    <w:p>
      <w:pPr>
        <w:pStyle w:val="Compact"/>
        <w:numPr>
          <w:ilvl w:val="0"/>
          <w:numId w:val="1020"/>
        </w:numPr>
        <w:spacing w:line="360" w:lineRule="auto"/>
        <w:jc w:val="both"/>
      </w:pPr>
      <w:r>
        <w:rPr>
          <w:b/>
          <w:bCs/>
        </w:rPr>
        <w:t xml:space="preserve">Cada uno tuvo su propio plan.</w:t>
      </w:r>
      <w:r>
        <w:t xml:space="preserve"> </w:t>
      </w:r>
      <w:r>
        <w:t xml:space="preserve">El plan de análisis de cada estudio se</w:t>
      </w:r>
      <w:r>
        <w:t xml:space="preserve"> </w:t>
      </w:r>
      <w:r>
        <w:t xml:space="preserve">registró en el repositorio antes de calcular sus resultados. Los análisis</w:t>
      </w:r>
      <w:r>
        <w:t xml:space="preserve"> </w:t>
      </w:r>
      <w:r>
        <w:t xml:space="preserve">añadidos después de ver resultados se señalan como</w:t>
      </w:r>
      <w:r>
        <w:t xml:space="preserve"> </w:t>
      </w:r>
      <w:r>
        <w:rPr>
          <w:i/>
          <w:iCs/>
        </w:rPr>
        <w:t xml:space="preserve">post hoc</w:t>
      </w:r>
      <w:r>
        <w:t xml:space="preserve"> </w:t>
      </w:r>
      <w:r>
        <w:t xml:space="preserve">en el texto.</w:t>
      </w:r>
    </w:p>
    <w:p>
      <w:pPr>
        <w:pStyle w:val="Compact"/>
        <w:numPr>
          <w:ilvl w:val="0"/>
          <w:numId w:val="1020"/>
        </w:numPr>
        <w:spacing w:line="360" w:lineRule="auto"/>
        <w:jc w:val="both"/>
      </w:pPr>
      <w:r>
        <w:rPr>
          <w:b/>
          <w:bCs/>
        </w:rPr>
        <w:t xml:space="preserve">No modifican la resolución de las hipótesis.</w:t>
      </w:r>
      <w:r>
        <w:t xml:space="preserve"> </w:t>
      </w:r>
      <w:r>
        <w:t xml:space="preserve">El resultado de H1, H2, H3,</w:t>
      </w:r>
      <w:r>
        <w:t xml:space="preserve"> </w:t>
      </w:r>
      <w:r>
        <w:t xml:space="preserve">P1 y P2 es el reportado en los capítulos anteriores. Lo que estos estudios</w:t>
      </w:r>
      <w:r>
        <w:t xml:space="preserve"> </w:t>
      </w:r>
      <w:r>
        <w:t xml:space="preserve">cambian es la extensión con que esos resultados pueden generalizarse.</w:t>
      </w:r>
    </w:p>
    <w:tbl>
      <w:tblPr>
        <w:tblStyle w:val="Table"/>
        <w:tblW w:type="pct" w:w="5000"/>
        <w:jc w:val="center"/>
        <w:tblLayout w:type="fixed"/>
        <w:tblLook w:firstRow="0" w:lastRow="0" w:firstColumn="0" w:lastColumn="0" w:noHBand="0" w:noVBand="0" w:val="0000"/>
      </w:tblPr>
      <w:tblGrid>
        <w:gridCol w:w="7920"/>
      </w:tblGrid>
      <w:tr>
        <w:tc>
          <w:tcPr/>
          <w:bookmarkStart w:id="198" w:name="tbl-seg-estudios"/>
          <w:p>
            <w:pPr>
              <w:pStyle w:val="ImageCaption"/>
              <w:spacing w:before="200" w:line="360" w:lineRule="auto"/>
              <w:jc w:val="center"/>
            </w:pPr>
            <w:r>
              <w:t xml:space="preserve">Tabla 6.1: Estudios de seguimiento, pregunta y eje de validez que examina cada uno.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296"/>
              <w:gridCol w:w="3312"/>
              <w:gridCol w:w="2304"/>
              <w:gridCol w:w="1007"/>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Pregunta que responde</w:t>
                  </w:r>
                </w:p>
              </w:tc>
              <w:tc>
                <w:tcPr/>
                <w:p>
                  <w:pPr>
                    <w:pStyle w:val="Compact"/>
                    <w:jc w:val="both"/>
                    <w:jc w:val="center"/>
                    <w:spacing w:line="360" w:lineRule="auto"/>
                  </w:pPr>
                  <w:r>
                    <w:rPr>
                      <w:bCs/>
                      <w:b/>
                    </w:rPr>
                    <w:t xml:space="preserve">Eje de validez</w:t>
                  </w:r>
                </w:p>
              </w:tc>
              <w:tc>
                <w:tcPr/>
                <w:p>
                  <w:pPr>
                    <w:pStyle w:val="Compact"/>
                    <w:jc w:val="both"/>
                    <w:jc w:val="center"/>
                    <w:spacing w:line="360" w:lineRule="auto"/>
                  </w:pPr>
                  <w:r>
                    <w:rPr>
                      <w:bCs/>
                      <w:b/>
                    </w:rPr>
                    <w:t xml:space="preserve">Datos</w:t>
                  </w:r>
                </w:p>
              </w:tc>
            </w:tr>
            <w:tr>
              <w:tc>
                <w:tcPr/>
                <w:p>
                  <w:pPr>
                    <w:pStyle w:val="Compact"/>
                    <w:jc w:val="both"/>
                    <w:jc w:val="center"/>
                    <w:spacing w:line="360" w:lineRule="auto"/>
                  </w:pPr>
                  <w:r>
                    <w:rPr>
                      <w:b/>
                      <w:bCs/>
                    </w:rPr>
                    <w:t xml:space="preserve">Estudio de Fiabilidad ante el Error</w:t>
                  </w:r>
                </w:p>
              </w:tc>
              <w:tc>
                <w:tcPr/>
                <w:p>
                  <w:pPr>
                    <w:pStyle w:val="Compact"/>
                    <w:jc w:val="both"/>
                    <w:jc w:val="center"/>
                    <w:spacing w:line="360" w:lineRule="auto"/>
                  </w:pPr>
                  <w:r>
                    <w:t xml:space="preserve">¿Son menos fiables las explicaciones cuando el modelo se equivoca?</w:t>
                  </w:r>
                </w:p>
              </w:tc>
              <w:tc>
                <w:tcPr/>
                <w:p>
                  <w:pPr>
                    <w:pStyle w:val="Compact"/>
                    <w:jc w:val="both"/>
                    <w:jc w:val="center"/>
                    <w:spacing w:line="360" w:lineRule="auto"/>
                  </w:pPr>
                  <w:r>
                    <w:t xml:space="preserve">Corrección de la predicción</w:t>
                  </w:r>
                </w:p>
              </w:tc>
              <w:tc>
                <w:tcPr/>
                <w:p>
                  <w:pPr>
                    <w:pStyle w:val="Compact"/>
                    <w:jc w:val="both"/>
                    <w:jc w:val="center"/>
                    <w:spacing w:line="360" w:lineRule="auto"/>
                  </w:pPr>
                  <w:r>
                    <w:t xml:space="preserve">Reanálisis de las ejecuciones del benchmark primario</w:t>
                  </w:r>
                </w:p>
              </w:tc>
            </w:tr>
            <w:tr>
              <w:tc>
                <w:tcPr/>
                <w:p>
                  <w:pPr>
                    <w:pStyle w:val="Compact"/>
                    <w:jc w:val="both"/>
                    <w:jc w:val="center"/>
                    <w:spacing w:line="360" w:lineRule="auto"/>
                  </w:pPr>
                  <w:r>
                    <w:rPr>
                      <w:b/>
                      <w:bCs/>
                    </w:rPr>
                    <w:t xml:space="preserve">Estudio de Concordancia entre Explicadores</w:t>
                  </w:r>
                </w:p>
              </w:tc>
              <w:tc>
                <w:tcPr/>
                <w:p>
                  <w:pPr>
                    <w:pStyle w:val="Compact"/>
                    <w:jc w:val="both"/>
                    <w:jc w:val="center"/>
                    <w:spacing w:line="360" w:lineRule="auto"/>
                  </w:pPr>
                  <w:r>
                    <w:t xml:space="preserve">¿Cuánto coinciden SHAP y LIME al explicar la misma instancia?</w:t>
                  </w:r>
                </w:p>
              </w:tc>
              <w:tc>
                <w:tcPr/>
                <w:p>
                  <w:pPr>
                    <w:pStyle w:val="Compact"/>
                    <w:jc w:val="both"/>
                    <w:jc w:val="center"/>
                    <w:spacing w:line="360" w:lineRule="auto"/>
                  </w:pPr>
                  <w:r>
                    <w:t xml:space="preserve">Elección del explicador</w:t>
                  </w:r>
                </w:p>
              </w:tc>
              <w:tc>
                <w:tcPr/>
                <w:p>
                  <w:pPr>
                    <w:pStyle w:val="Compact"/>
                    <w:jc w:val="both"/>
                    <w:jc w:val="center"/>
                    <w:spacing w:line="360" w:lineRule="auto"/>
                  </w:pPr>
                  <w:r>
                    <w:t xml:space="preserve">Benchmark primario y EXP3, con una cohorte nueva de LIME</w:t>
                  </w:r>
                </w:p>
              </w:tc>
            </w:tr>
            <w:tr>
              <w:tc>
                <w:tcPr/>
                <w:p>
                  <w:pPr>
                    <w:pStyle w:val="Compact"/>
                    <w:jc w:val="both"/>
                    <w:jc w:val="center"/>
                    <w:spacing w:line="360" w:lineRule="auto"/>
                  </w:pPr>
                  <w:r>
                    <w:rPr>
                      <w:b/>
                      <w:bCs/>
                    </w:rPr>
                    <w:t xml:space="preserve">Estudio de Transferencia entre Conjuntos de Datos</w:t>
                  </w:r>
                </w:p>
              </w:tc>
              <w:tc>
                <w:tcPr/>
                <w:p>
                  <w:pPr>
                    <w:pStyle w:val="Compact"/>
                    <w:jc w:val="both"/>
                    <w:jc w:val="center"/>
                    <w:spacing w:line="360" w:lineRule="auto"/>
                  </w:pPr>
                  <w:r>
                    <w:t xml:space="preserve">¿Se mantiene el orden de los métodos al cambiar de conjunto de datos?</w:t>
                  </w:r>
                </w:p>
              </w:tc>
              <w:tc>
                <w:tcPr/>
                <w:p>
                  <w:pPr>
                    <w:pStyle w:val="Compact"/>
                    <w:jc w:val="both"/>
                    <w:jc w:val="center"/>
                    <w:spacing w:line="360" w:lineRule="auto"/>
                  </w:pPr>
                  <w:r>
                    <w:t xml:space="preserve">Conjunto de datos</w:t>
                  </w:r>
                </w:p>
              </w:tc>
              <w:tc>
                <w:tcPr/>
                <w:p>
                  <w:pPr>
                    <w:pStyle w:val="Compact"/>
                    <w:jc w:val="both"/>
                    <w:jc w:val="center"/>
                    <w:spacing w:line="360" w:lineRule="auto"/>
                  </w:pPr>
                  <w:r>
                    <w:t xml:space="preserve">Experimento nuevo sobre 16 conjuntos de datos</w:t>
                  </w:r>
                </w:p>
              </w:tc>
            </w:tr>
            <w:tr>
              <w:tc>
                <w:tcPr/>
                <w:p>
                  <w:pPr>
                    <w:pStyle w:val="Compact"/>
                    <w:jc w:val="both"/>
                    <w:jc w:val="center"/>
                    <w:spacing w:line="360" w:lineRule="auto"/>
                  </w:pPr>
                  <w:r>
                    <w:rPr>
                      <w:b/>
                      <w:bCs/>
                    </w:rPr>
                    <w:t xml:space="preserve">Controles posteriores del Estudio de Fiabilidad Inter-juez</w:t>
                  </w:r>
                </w:p>
              </w:tc>
              <w:tc>
                <w:tcPr/>
                <w:p>
                  <w:pPr>
                    <w:pStyle w:val="Compact"/>
                    <w:jc w:val="both"/>
                    <w:jc w:val="center"/>
                    <w:spacing w:line="360" w:lineRule="auto"/>
                  </w:pPr>
                  <w:r>
                    <w:t xml:space="preserve">¿Sobre qué acuerdan los jueces cuando acuerdan?</w:t>
                  </w:r>
                </w:p>
              </w:tc>
              <w:tc>
                <w:tcPr/>
                <w:p>
                  <w:pPr>
                    <w:pStyle w:val="Compact"/>
                    <w:jc w:val="both"/>
                    <w:jc w:val="center"/>
                    <w:spacing w:line="360" w:lineRule="auto"/>
                  </w:pPr>
                  <w:r>
                    <w:t xml:space="preserve">Instrumento semántico</w:t>
                  </w:r>
                </w:p>
              </w:tc>
              <w:tc>
                <w:tcPr/>
                <w:p>
                  <w:pPr>
                    <w:pStyle w:val="Compact"/>
                    <w:jc w:val="both"/>
                    <w:jc w:val="center"/>
                    <w:spacing w:line="360" w:lineRule="auto"/>
                  </w:pPr>
                  <w:r>
                    <w:t xml:space="preserve">Segunda cohorte de EXP4</w:t>
                  </w:r>
                </w:p>
              </w:tc>
            </w:tr>
          </w:tbl>
          <w:bookmarkEnd w:id="198"/>
          <w:p>
            <w:pPr>
              <w:spacing w:line="360" w:lineRule="auto"/>
              <w:jc w:val="both"/>
            </w:pPr>
          </w:p>
        </w:tc>
      </w:tr>
    </w:tbl>
    <w:bookmarkEnd w:id="199"/>
    <w:bookmarkStart w:id="201" w:name="sec-seg-error"/>
    <w:p>
      <w:pPr>
        <w:pStyle w:val="Ttulo2"/>
        <w:spacing w:line="360" w:lineRule="auto"/>
        <w:jc w:val="both"/>
      </w:pPr>
      <w:r>
        <w:t xml:space="preserve">6.2 </w:t>
      </w:r>
      <w:r>
        <w:t xml:space="preserve">Estudio de Fiabilidad ante el Error</w:t>
      </w:r>
    </w:p>
    <w:p>
      <w:pPr>
        <w:pStyle w:val="FirstParagraph"/>
        <w:spacing w:line="360" w:lineRule="auto"/>
        <w:jc w:val="both"/>
      </w:pPr>
      <w:r>
        <w:rPr>
          <w:b/>
          <w:bCs/>
        </w:rPr>
        <w:t xml:space="preserve">Pregunta.</w:t>
      </w:r>
      <w:r>
        <w:t xml:space="preserve"> </w:t>
      </w:r>
      <w:r>
        <w:t xml:space="preserve">Una explicación se consulta sobre todo cuando la predicción está</w:t>
      </w:r>
      <w:r>
        <w:t xml:space="preserve"> </w:t>
      </w:r>
      <w:r>
        <w:t xml:space="preserve">en duda. Las métricas del Capítulo 4, en cambio, son promedios sobre todas las</w:t>
      </w:r>
      <w:r>
        <w:t xml:space="preserve"> </w:t>
      </w:r>
      <w:r>
        <w:t xml:space="preserve">instancias. Este estudio pregunta si la calidad de la explicación difiere entre</w:t>
      </w:r>
      <w:r>
        <w:t xml:space="preserve"> </w:t>
      </w:r>
      <w:r>
        <w:t xml:space="preserve">las instancias bien clasificadas y las mal clasificadas.</w:t>
      </w:r>
    </w:p>
    <w:p>
      <w:pPr>
        <w:pStyle w:val="Textoindependiente"/>
        <w:spacing w:line="360" w:lineRule="auto"/>
        <w:jc w:val="both"/>
      </w:pPr>
      <w:r>
        <w:rPr>
          <w:b/>
          <w:bCs/>
        </w:rPr>
        <w:t xml:space="preserve">Diseño.</w:t>
      </w:r>
      <w:r>
        <w:t xml:space="preserve"> </w:t>
      </w:r>
      <w:r>
        <w:t xml:space="preserve">Es un reanálisis de las ejecuciones del benchmark primario, cuyo</w:t>
      </w:r>
      <w:r>
        <w:t xml:space="preserve"> </w:t>
      </w:r>
      <w:r>
        <w:t xml:space="preserve">muestreo por cuadrante de error (§</w:t>
      </w:r>
      <w:hyperlink w:anchor="sec-muestreo">
        <w:r>
          <w:rPr>
            <w:rStyle w:val="Hipervnculo"/>
          </w:rPr>
          <w:t xml:space="preserve">3.4</w:t>
        </w:r>
      </w:hyperlink>
      <w:r>
        <w:t xml:space="preserve">) deja representadas en</w:t>
      </w:r>
      <w:r>
        <w:t xml:space="preserve"> </w:t>
      </w:r>
      <w:r>
        <w:t xml:space="preserve">proporción similar las predicciones correctas y las erróneas. De las 299</w:t>
      </w:r>
      <w:r>
        <w:t xml:space="preserve"> </w:t>
      </w:r>
      <w:r>
        <w:t xml:space="preserve">ejecuciones se analizaron 265, que contienen 122,529 instancias explicadas. La</w:t>
      </w:r>
      <w:r>
        <w:t xml:space="preserve"> </w:t>
      </w:r>
      <w:r>
        <w:t xml:space="preserve">unidad de inferencia es la ejecución: para cada una se calcula la diferencia</w:t>
      </w:r>
      <w:r>
        <w:t xml:space="preserve"> </w:t>
      </w:r>
      <ns1:oMath>
        <ns1:r>
          <ns1:rPr>
            <ns1:sty ns1:val="p"/>
          </ns1:rPr>
          <ns1:t>Δ</ns1:t>
        </ns1:r>
      </ns1:oMath>
      <w:r>
        <w:t xml:space="preserve"> </w:t>
      </w:r>
      <w:r>
        <w:t xml:space="preserve">entre la media de la métrica en las instancias mal clasificadas y en</w:t>
      </w:r>
      <w:r>
        <w:t xml:space="preserve"> </w:t>
      </w:r>
      <w:r>
        <w:t xml:space="preserve">las bien clasificadas, de modo que un valor negativo indica menor calidad en</w:t>
      </w:r>
      <w:r>
        <w:t xml:space="preserve"> </w:t>
      </w:r>
      <w:r>
        <w:t xml:space="preserve">los errores. El contraste es una prueba de Wilcoxon bilateral por explicador y</w:t>
      </w:r>
      <w:r>
        <w:t xml:space="preserve"> </w:t>
      </w:r>
      <w:r>
        <w:t xml:space="preserve">métrica, con corrección de Holm sobre las doce pruebas</w:t>
      </w:r>
      <w:r>
        <w:t xml:space="preserve"> </w:t>
      </w:r>
      <w:r>
        <w:t xml:space="preserve">(Wilcoxon 1945)</w:t>
      </w:r>
      <w:r>
        <w:t xml:space="preserve"> </w:t>
      </w:r>
      <w:r>
        <w:t xml:space="preserve">y tamaño</w:t>
      </w:r>
      <w:r>
        <w:t xml:space="preserve"> </w:t>
      </w:r>
      <w:r>
        <w:t xml:space="preserve">de efecto</w:t>
      </w:r>
      <w:r>
        <w:t xml:space="preserve"> </w:t>
      </w:r>
      <ns1:oMath>
        <ns1:sSub>
          <ns1:e>
            <ns1:r>
              <ns1:t>d</ns1:t>
            </ns1:r>
          </ns1:e>
          <ns1:sub>
            <ns1:r>
              <ns1:t>z</ns1:t>
            </ns1:r>
          </ns1:sub>
        </ns1:sSub>
      </ns1:oMath>
      <w:r>
        <w:t xml:space="preserve"> </w:t>
      </w:r>
      <w:r>
        <w:t xml:space="preserve">(Lakens 2013)</w:t>
      </w:r>
      <w:r>
        <w:t xml:space="preserve">. Como los errores se concentran cerca de la</w:t>
      </w:r>
      <w:r>
        <w:t xml:space="preserve"> </w:t>
      </w:r>
      <w:r>
        <w:t xml:space="preserve">frontera de decisión, un segundo análisis ajusta por el margen de predicción</w:t>
      </w:r>
      <w:r>
        <w:t xml:space="preserve"> </w:t>
      </w:r>
      <ns1:oMath>
        <ns1:r>
          <ns1:rPr>
            <ns1:sty ns1:val="p"/>
          </ns1:rPr>
          <ns1:t>|</ns1:t>
        </ns1:r>
        <ns1:acc>
          <ns1:accPr>
            <ns1:chr ns1:val="̂"/>
          </ns1:accPr>
          <ns1:e>
            <ns1:r>
              <ns1:t>p</ns1:t>
            </ns1:r>
          </ns1:e>
        </ns1:acc>
        <ns1:r>
          <ns1:rPr>
            <ns1:sty ns1:val="p"/>
          </ns1:rPr>
          <ns1:t>−</ns1:t>
        </ns1:r>
        <ns1:r>
          <ns1:t>0.5</ns1:t>
        </ns1:r>
        <ns1:r>
          <ns1:rPr>
            <ns1:sty ns1:val="p"/>
          </ns1:rPr>
          <ns1:t>|</ns1:t>
        </ns1:r>
      </ns1:oMath>
      <w:r>
        <w:t xml:space="preserve"> </w:t>
      </w:r>
      <w:r>
        <w:t xml:space="preserve">mediante una regresión con efectos fijos de ejecución y</w:t>
      </w:r>
      <w:r>
        <w:t xml:space="preserve"> </w:t>
      </w:r>
      <w:r>
        <w:t xml:space="preserve">errores estándar agrupados por ejecución. German Credit sirve de contraste</w:t>
      </w:r>
      <w:r>
        <w:t xml:space="preserve"> </w:t>
      </w:r>
      <w:r>
        <w:t xml:space="preserve">externo descriptivo.</w:t>
      </w:r>
    </w:p>
    <w:p>
      <w:pPr>
        <w:pStyle w:val="Textoindependiente"/>
        <w:spacing w:line="360" w:lineRule="auto"/>
        <w:jc w:val="both"/>
      </w:pPr>
      <w:r>
        <w:rPr>
          <w:b/>
          <w:bCs/>
        </w:rPr>
        <w:t xml:space="preserve">Resultados.</w:t>
      </w:r>
      <w:r>
        <w:t xml:space="preserve"> </w:t>
      </w:r>
      <w:r>
        <w:t xml:space="preserve">La estabilidad fue menor en las instancias mal clasificadas para</w:t>
      </w:r>
      <w:r>
        <w:t xml:space="preserve"> </w:t>
      </w:r>
      <w:r>
        <w:t xml:space="preserve">los cuatro explicadores (</w:t>
      </w:r>
      <w:hyperlink w:anchor="tbl-seg-error">
        <w:r>
          <w:rPr>
            <w:rStyle w:val="Hipervnculo"/>
          </w:rPr>
          <w:t xml:space="preserve">Tabla 6.2</w:t>
        </w:r>
      </w:hyperlink>
      <w:r>
        <w:t xml:space="preserve">). El déficit fue grande para SHAP, en</w:t>
      </w:r>
      <w:r>
        <w:t xml:space="preserve"> </w:t>
      </w:r>
      <w:r>
        <w:t xml:space="preserve">las 65 ejecuciones, y para DiCE, en 67 de 68. Para LIME fue consistente pero</w:t>
      </w:r>
      <w:r>
        <w:t xml:space="preserve"> </w:t>
      </w:r>
      <w:r>
        <w:t xml:space="preserve">pequeño, porque su estabilidad en estos datos es cercana a cero. La fidelidad</w:t>
      </w:r>
      <w:r>
        <w:t xml:space="preserve"> </w:t>
      </w:r>
      <w:r>
        <w:t xml:space="preserve">cambió poco y en sentidos opuestos según el explicador. De las doce pruebas,</w:t>
      </w:r>
      <w:r>
        <w:t xml:space="preserve"> </w:t>
      </w:r>
      <w:r>
        <w:t xml:space="preserve">nueve fueron significativas y tres alcanzaron además el criterio de relevancia</w:t>
      </w:r>
      <w:r>
        <w:t xml:space="preserve"> </w:t>
      </w:r>
      <w:r>
        <w:t xml:space="preserve">práctica fijado en el plan: la estabilidad de SHAP, y la estabilidad y la</w:t>
      </w:r>
      <w:r>
        <w:t xml:space="preserve"> </w:t>
      </w:r>
      <w:r>
        <w:t xml:space="preserve">fidelidad de DiCE.</w:t>
      </w:r>
    </w:p>
    <w:tbl>
      <w:tblPr>
        <w:tblStyle w:val="Table"/>
        <w:tblW w:type="pct" w:w="5000"/>
        <w:jc w:val="center"/>
        <w:tblLayout w:type="fixed"/>
        <w:tblLook w:firstRow="0" w:lastRow="0" w:firstColumn="0" w:lastColumn="0" w:noHBand="0" w:noVBand="0" w:val="0000"/>
      </w:tblPr>
      <w:tblGrid>
        <w:gridCol w:w="7920"/>
      </w:tblGrid>
      <w:tr>
        <w:tc>
          <w:tcPr/>
          <w:bookmarkStart w:id="200" w:name="tbl-seg-error"/>
          <w:p>
            <w:pPr>
              <w:pStyle w:val="ImageCaption"/>
              <w:spacing w:before="200" w:line="360" w:lineRule="auto"/>
              <w:jc w:val="center"/>
            </w:pPr>
            <w:r>
              <w:t xml:space="preserve">Tabla 6.2: Estabilidad en instancias mal clasificadas frente a bien clasificadas (UCI</w:t>
            </w:r>
            <w:r>
              <w:t xml:space="preserve"> </w:t>
            </w:r>
            <w:r>
              <w:t xml:space="preserve">Adult).</w:t>
            </w:r>
            <w:r>
              <w:t xml:space="preserve"> </w:t>
            </w:r>
            <ns1:oMath>
              <ns1:r>
                <ns1:rPr>
                  <ns1:sty ns1:val="p"/>
                </ns1:rPr>
                <ns1:t>Δ</ns1:t>
              </ns1:r>
            </ns1:oMath>
            <w:r>
              <w:t xml:space="preserve">: diferencia por ejecución, mal clasificadas menos bien</w:t>
            </w:r>
            <w:r>
              <w:t xml:space="preserve"> </w:t>
            </w:r>
            <w:r>
              <w:t xml:space="preserve">clasificadas; las cuatro diferencias son significativas tras la corrección de</w:t>
            </w:r>
            <w:r>
              <w:t xml:space="preserve"> </w:t>
            </w:r>
            <w:r>
              <w:t xml:space="preserve">Holm.</w:t>
            </w:r>
            <w:r>
              <w:t xml:space="preserve"> </w:t>
            </w:r>
            <ns1:oMath>
              <ns1:r>
                <ns1:t>β</ns1:t>
              </ns1:r>
            </ns1:oMath>
            <w:r>
              <w:t xml:space="preserve">: coeficiente de la clasificación errónea en la regresión con</w:t>
            </w:r>
            <w:r>
              <w:t xml:space="preserve"> </w:t>
            </w:r>
            <w:r>
              <w:t xml:space="preserve">efectos fijos de ejecución, sin y con el margen de predicción, sobre las 223</w:t>
            </w:r>
            <w:r>
              <w:t xml:space="preserve"> </w:t>
            </w:r>
            <w:r>
              <w:t xml:space="preserve">ejecuciones cuyo modelo almacenado reproduce las predicciones registradas.</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021"/>
              <w:gridCol w:w="1107"/>
              <w:gridCol w:w="1788"/>
              <w:gridCol w:w="596"/>
              <w:gridCol w:w="1703"/>
              <w:gridCol w:w="1703"/>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Ejecuciones</w:t>
                  </w:r>
                </w:p>
              </w:tc>
              <w:tc>
                <w:tcPr/>
                <w:p>
                  <w:pPr>
                    <w:pStyle w:val="Compact"/>
                    <w:jc w:val="both"/>
                    <w:jc w:val="center"/>
                    <w:spacing w:line="360" w:lineRule="auto"/>
                  </w:pPr>
                  <w:r>
                    <w:rPr>
                      <w:bCs/>
                      <w:b/>
                    </w:rPr>
                    <w:t xml:space="preserve">Mediana de</w:t>
                  </w:r>
                  <w:r>
                    <w:rPr>
                      <w:bCs/>
                      <w:b/>
                    </w:rPr>
                    <w:t xml:space="preserve"> </w:t>
                  </w:r>
                  <ns1:oMath>
                    <ns1:r>
                      <ns1:rPr>
                        <ns1:sty ns1:val="p"/>
                      </ns1:rPr>
                      <ns1:t>Δ</ns1:t>
                    </ns1:r>
                  </ns1:oMath>
                </w:p>
              </w:tc>
              <w:tc>
                <w:tcPr/>
                <w:p>
                  <w:pPr>
                    <w:pStyle w:val="Compact"/>
                    <w:jc w:val="both"/>
                    <w:jc w:val="center"/>
                    <w:spacing w:line="360" w:lineRule="auto"/>
                  </w:pPr>
                  <ns1:oMath>
                    <ns1:sSub>
                      <ns1:e>
                        <ns1:r>
                          <ns1:t>d</ns1:t>
                        </ns1:r>
                      </ns1:e>
                      <ns1:sub>
                        <ns1:r>
                          <ns1:t>z</ns1:t>
                        </ns1:r>
                      </ns1:sub>
                    </ns1:sSub>
                  </ns1:oMath>
                  <w:r>
                    <w:rPr>
                      <w:bCs/>
                      <w:b/>
                    </w:rPr>
                    <w:t xml:space="preserve">​</w:t>
                  </w:r>
                </w:p>
              </w:tc>
              <w:tc>
                <w:tcPr/>
                <w:p>
                  <w:pPr>
                    <w:pStyle w:val="Compact"/>
                    <w:jc w:val="both"/>
                    <w:jc w:val="center"/>
                    <w:spacing w:line="360" w:lineRule="auto"/>
                  </w:pPr>
                  <ns1:oMath>
                    <ns1:r>
                      <ns1:t>β</ns1:t>
                    </ns1:r>
                  </ns1:oMath>
                  <w:r>
                    <w:rPr>
                      <w:bCs/>
                      <w:b/>
                    </w:rPr>
                    <w:t xml:space="preserve"> </w:t>
                  </w:r>
                  <w:r>
                    <w:rPr>
                      <w:bCs/>
                      <w:b/>
                    </w:rPr>
                    <w:t xml:space="preserve">sin margen</w:t>
                  </w:r>
                </w:p>
              </w:tc>
              <w:tc>
                <w:tcPr/>
                <w:p>
                  <w:pPr>
                    <w:pStyle w:val="Compact"/>
                    <w:jc w:val="both"/>
                    <w:jc w:val="center"/>
                    <w:spacing w:line="360" w:lineRule="auto"/>
                  </w:pPr>
                  <ns1:oMath>
                    <ns1:r>
                      <ns1:t>β</ns1:t>
                    </ns1:r>
                  </ns1:oMath>
                  <w:r>
                    <w:rPr>
                      <w:bCs/>
                      <w:b/>
                    </w:rPr>
                    <w:t xml:space="preserve"> </w:t>
                  </w:r>
                  <w:r>
                    <w:rPr>
                      <w:bCs/>
                      <w:b/>
                    </w:rPr>
                    <w:t xml:space="preserve">con margen</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65</w:t>
                  </w:r>
                </w:p>
              </w:tc>
              <w:tc>
                <w:tcPr/>
                <w:p>
                  <w:pPr>
                    <w:pStyle w:val="Compact"/>
                    <w:jc w:val="both"/>
                    <w:jc w:val="center"/>
                    <w:spacing w:line="360" w:lineRule="auto"/>
                  </w:pPr>
                  <ns1:oMath>
                    <ns1:r>
                      <ns1:rPr>
                        <ns1:sty ns1:val="p"/>
                      </ns1:rPr>
                      <ns1:t>−</ns1:t>
                    </ns1:r>
                    <ns1:r>
                      <ns1:t>0.076</ns1:t>
                    </ns1:r>
                  </ns1:oMath>
                  <w:r>
                    <w:t xml:space="preserve">​</w:t>
                  </w:r>
                </w:p>
              </w:tc>
              <w:tc>
                <w:tcPr/>
                <w:p>
                  <w:pPr>
                    <w:pStyle w:val="Compact"/>
                    <w:jc w:val="both"/>
                    <w:jc w:val="center"/>
                    <w:spacing w:line="360" w:lineRule="auto"/>
                  </w:pPr>
                  <ns1:oMath>
                    <ns1:r>
                      <ns1:rPr>
                        <ns1:sty ns1:val="p"/>
                      </ns1:rPr>
                      <ns1:t>−</ns1:t>
                    </ns1:r>
                    <ns1:r>
                      <ns1:t>1.36</ns1:t>
                    </ns1:r>
                  </ns1:oMath>
                  <w:r>
                    <w:t xml:space="preserve">​</w:t>
                  </w:r>
                </w:p>
              </w:tc>
              <w:tc>
                <w:tcPr/>
                <w:p>
                  <w:pPr>
                    <w:pStyle w:val="Compact"/>
                    <w:jc w:val="both"/>
                    <w:jc w:val="center"/>
                    <w:spacing w:line="360" w:lineRule="auto"/>
                  </w:pPr>
                  <ns1:oMath>
                    <ns1:r>
                      <ns1:rPr>
                        <ns1:sty ns1:val="p"/>
                      </ns1:rPr>
                      <ns1:t>−</ns1:t>
                    </ns1:r>
                    <ns1:r>
                      <ns1:t>0.146</ns1:t>
                    </ns1:r>
                  </ns1:oMath>
                  <w:r>
                    <w:t xml:space="preserve">​</w:t>
                  </w:r>
                </w:p>
              </w:tc>
              <w:tc>
                <w:tcPr/>
                <w:p>
                  <w:pPr>
                    <w:pStyle w:val="Compact"/>
                    <w:jc w:val="both"/>
                    <w:jc w:val="center"/>
                    <w:spacing w:line="360" w:lineRule="auto"/>
                  </w:pPr>
                  <ns1:oMath>
                    <ns1:r>
                      <ns1:rPr>
                        <ns1:sty ns1:val="p"/>
                      </ns1:rPr>
                      <ns1:t>−</ns1:t>
                    </ns1:r>
                    <ns1:r>
                      <ns1:t>0.042</ns1:t>
                    </ns1:r>
                  </ns1:oMath>
                  <w:r>
                    <w:t xml:space="preserve">​</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ns1:oMath>
                    <ns1:r>
                      <ns1:rPr>
                        <ns1:sty ns1:val="p"/>
                      </ns1:rPr>
                      <ns1:t>−</ns1:t>
                    </ns1:r>
                    <ns1:r>
                      <ns1:t>0.003</ns1:t>
                    </ns1:r>
                  </ns1:oMath>
                  <w:r>
                    <w:t xml:space="preserve">​</w:t>
                  </w:r>
                </w:p>
              </w:tc>
              <w:tc>
                <w:tcPr/>
                <w:p>
                  <w:pPr>
                    <w:pStyle w:val="Compact"/>
                    <w:jc w:val="both"/>
                    <w:jc w:val="center"/>
                    <w:spacing w:line="360" w:lineRule="auto"/>
                  </w:pPr>
                  <ns1:oMath>
                    <ns1:r>
                      <ns1:rPr>
                        <ns1:sty ns1:val="p"/>
                      </ns1:rPr>
                      <ns1:t>−</ns1:t>
                    </ns1:r>
                    <ns1:r>
                      <ns1:t>1.06</ns1:t>
                    </ns1:r>
                  </ns1:oMath>
                  <w:r>
                    <w:t xml:space="preserve">​</w:t>
                  </w:r>
                </w:p>
              </w:tc>
              <w:tc>
                <w:tcPr/>
                <w:p>
                  <w:pPr>
                    <w:pStyle w:val="Compact"/>
                    <w:jc w:val="both"/>
                    <w:jc w:val="center"/>
                    <w:spacing w:line="360" w:lineRule="auto"/>
                  </w:pPr>
                  <ns1:oMath>
                    <ns1:r>
                      <ns1:rPr>
                        <ns1:sty ns1:val="p"/>
                      </ns1:rPr>
                      <ns1:t>−</ns1:t>
                    </ns1:r>
                    <ns1:r>
                      <ns1:t>0.008</ns1:t>
                    </ns1:r>
                  </ns1:oMath>
                  <w:r>
                    <w:t xml:space="preserve">​</w:t>
                  </w:r>
                </w:p>
              </w:tc>
              <w:tc>
                <w:tcPr/>
                <w:p>
                  <w:pPr>
                    <w:pStyle w:val="Compact"/>
                    <w:jc w:val="both"/>
                    <w:jc w:val="center"/>
                    <w:spacing w:line="360" w:lineRule="auto"/>
                  </w:pPr>
                  <ns1:oMath>
                    <ns1:r>
                      <ns1:rPr>
                        <ns1:sty ns1:val="p"/>
                      </ns1:rPr>
                      <ns1:t>−</ns1:t>
                    </ns1:r>
                    <ns1:r>
                      <ns1:t>0.003</ns1:t>
                    </ns1:r>
                  </ns1:oMath>
                  <w:r>
                    <w:t xml:space="preserve">​</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57</w:t>
                  </w:r>
                </w:p>
              </w:tc>
              <w:tc>
                <w:tcPr/>
                <w:p>
                  <w:pPr>
                    <w:pStyle w:val="Compact"/>
                    <w:jc w:val="both"/>
                    <w:jc w:val="center"/>
                    <w:spacing w:line="360" w:lineRule="auto"/>
                  </w:pPr>
                  <ns1:oMath>
                    <ns1:r>
                      <ns1:t>0.000</ns1:t>
                    </ns1:r>
                  </ns1:oMath>
                  <w:r>
                    <w:t xml:space="preserve">​</w:t>
                  </w:r>
                </w:p>
              </w:tc>
              <w:tc>
                <w:tcPr/>
                <w:p>
                  <w:pPr>
                    <w:pStyle w:val="Compact"/>
                    <w:jc w:val="both"/>
                    <w:jc w:val="center"/>
                    <w:spacing w:line="360" w:lineRule="auto"/>
                  </w:pPr>
                  <ns1:oMath>
                    <ns1:r>
                      <ns1:rPr>
                        <ns1:sty ns1:val="p"/>
                      </ns1:rPr>
                      <ns1:t>−</ns1:t>
                    </ns1:r>
                    <ns1:r>
                      <ns1:t>0.28</ns1:t>
                    </ns1:r>
                  </ns1:oMath>
                  <w:r>
                    <w:t xml:space="preserve">​</w:t>
                  </w:r>
                </w:p>
              </w:tc>
              <w:tc>
                <w:tcPr/>
                <w:p>
                  <w:pPr>
                    <w:pStyle w:val="Compact"/>
                    <w:jc w:val="both"/>
                    <w:jc w:val="center"/>
                    <w:spacing w:line="360" w:lineRule="auto"/>
                  </w:pPr>
                  <ns1:oMath>
                    <ns1:r>
                      <ns1:rPr>
                        <ns1:sty ns1:val="p"/>
                      </ns1:rPr>
                      <ns1:t>−</ns1:t>
                    </ns1:r>
                    <ns1:r>
                      <ns1:t>0.030</ns1:t>
                    </ns1:r>
                  </ns1:oMath>
                  <w:r>
                    <w:t xml:space="preserve">​</w:t>
                  </w:r>
                </w:p>
              </w:tc>
              <w:tc>
                <w:tcPr/>
                <w:p>
                  <w:pPr>
                    <w:pStyle w:val="Compact"/>
                    <w:jc w:val="both"/>
                    <w:jc w:val="center"/>
                    <w:spacing w:line="360" w:lineRule="auto"/>
                  </w:pPr>
                  <ns1:oMath>
                    <ns1:r>
                      <ns1:rPr>
                        <ns1:sty ns1:val="p"/>
                      </ns1:rPr>
                      <ns1:t>−</ns1:t>
                    </ns1:r>
                    <ns1:r>
                      <ns1:t>0.025</ns1:t>
                    </ns1:r>
                  </ns1:oMath>
                  <w:r>
                    <w:t xml:space="preserv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68</w:t>
                  </w:r>
                </w:p>
              </w:tc>
              <w:tc>
                <w:tcPr/>
                <w:p>
                  <w:pPr>
                    <w:pStyle w:val="Compact"/>
                    <w:jc w:val="both"/>
                    <w:jc w:val="center"/>
                    <w:spacing w:line="360" w:lineRule="auto"/>
                  </w:pPr>
                  <ns1:oMath>
                    <ns1:r>
                      <ns1:rPr>
                        <ns1:sty ns1:val="p"/>
                      </ns1:rPr>
                      <ns1:t>−</ns1:t>
                    </ns1:r>
                    <ns1:r>
                      <ns1:t>0.210</ns1:t>
                    </ns1:r>
                  </ns1:oMath>
                  <w:r>
                    <w:t xml:space="preserve">​</w:t>
                  </w:r>
                </w:p>
              </w:tc>
              <w:tc>
                <w:tcPr/>
                <w:p>
                  <w:pPr>
                    <w:pStyle w:val="Compact"/>
                    <w:jc w:val="both"/>
                    <w:jc w:val="center"/>
                    <w:spacing w:line="360" w:lineRule="auto"/>
                  </w:pPr>
                  <ns1:oMath>
                    <ns1:r>
                      <ns1:rPr>
                        <ns1:sty ns1:val="p"/>
                      </ns1:rPr>
                      <ns1:t>−</ns1:t>
                    </ns1:r>
                    <ns1:r>
                      <ns1:t>2.15</ns1:t>
                    </ns1:r>
                  </ns1:oMath>
                  <w:r>
                    <w:t xml:space="preserve">​</w:t>
                  </w:r>
                </w:p>
              </w:tc>
              <w:tc>
                <w:tcPr/>
                <w:p>
                  <w:pPr>
                    <w:pStyle w:val="Compact"/>
                    <w:jc w:val="both"/>
                    <w:jc w:val="center"/>
                    <w:spacing w:line="360" w:lineRule="auto"/>
                  </w:pPr>
                  <ns1:oMath>
                    <ns1:r>
                      <ns1:rPr>
                        <ns1:sty ns1:val="p"/>
                      </ns1:rPr>
                      <ns1:t>−</ns1:t>
                    </ns1:r>
                    <ns1:r>
                      <ns1:t>0.191</ns1:t>
                    </ns1:r>
                  </ns1:oMath>
                  <w:r>
                    <w:t xml:space="preserve">​</w:t>
                  </w:r>
                </w:p>
              </w:tc>
              <w:tc>
                <w:tcPr/>
                <w:p>
                  <w:pPr>
                    <w:pStyle w:val="Compact"/>
                    <w:jc w:val="both"/>
                    <w:jc w:val="center"/>
                    <w:spacing w:line="360" w:lineRule="auto"/>
                  </w:pPr>
                  <ns1:oMath>
                    <ns1:r>
                      <ns1:rPr>
                        <ns1:sty ns1:val="p"/>
                      </ns1:rPr>
                      <ns1:t>−</ns1:t>
                    </ns1:r>
                    <ns1:r>
                      <ns1:t>0.014</ns1:t>
                    </ns1:r>
                  </ns1:oMath>
                  <w:r>
                    <w:t xml:space="preserve">​</w:t>
                  </w:r>
                </w:p>
              </w:tc>
            </w:tr>
          </w:tbl>
          <w:bookmarkEnd w:id="200"/>
          <w:p>
            <w:pPr>
              <w:spacing w:line="360" w:lineRule="auto"/>
              <w:jc w:val="both"/>
            </w:pPr>
          </w:p>
        </w:tc>
      </w:tr>
    </w:tbl>
    <w:p>
      <w:pPr>
        <w:pStyle w:val="Textoindependiente"/>
        <w:spacing w:line="360" w:lineRule="auto"/>
        <w:jc w:val="both"/>
      </w:pPr>
      <w:r>
        <w:t xml:space="preserve">El ajuste por el margen separa dos causas. Los errores están más cerca de la</w:t>
      </w:r>
      <w:r>
        <w:t xml:space="preserve"> </w:t>
      </w:r>
      <w:r>
        <w:t xml:space="preserve">frontera: en las ejecuciones de SHAP, la mediana del margen es 0.18 en los</w:t>
      </w:r>
      <w:r>
        <w:t xml:space="preserve"> </w:t>
      </w:r>
      <w:r>
        <w:t xml:space="preserve">errores frente a 0.43 en los aciertos. Con el margen controlado, el déficit de</w:t>
      </w:r>
      <w:r>
        <w:t xml:space="preserve"> </w:t>
      </w:r>
      <w:r>
        <w:t xml:space="preserve">DiCE casi desaparece (</w:t>
      </w:r>
      <ns1:oMath>
        <ns1:r>
          <ns1:rPr>
            <ns1:sty ns1:val="p"/>
          </ns1:rPr>
          <ns1:t>−</ns1:t>
        </ns1:r>
        <ns1:r>
          <ns1:t>0.014</ns1:t>
        </ns1:r>
      </ns1:oMath>
      <w:r>
        <w:t xml:space="preserve">): cerca de la frontera un contrafactual requiere</w:t>
      </w:r>
      <w:r>
        <w:t xml:space="preserve"> </w:t>
      </w:r>
      <w:r>
        <w:t xml:space="preserve">un cambio pequeño, que varía más bajo ruido, sea correcta o no la predicción.</w:t>
      </w:r>
      <w:r>
        <w:t xml:space="preserve"> </w:t>
      </w:r>
      <w:r>
        <w:t xml:space="preserve">El déficit de SHAP se reduce pero permanece (</w:t>
      </w:r>
      <ns1:oMath>
        <ns1:r>
          <ns1:rPr>
            <ns1:sty ns1:val="p"/>
          </ns1:rPr>
          <ns1:t>−</ns1:t>
        </ns1:r>
        <ns1:r>
          <ns1:t>0.042</ns1:t>
        </ns1:r>
      </ns1:oMath>
      <w:r>
        <w:t xml:space="preserve">). A igual margen, además,</w:t>
      </w:r>
      <w:r>
        <w:t xml:space="preserve"> </w:t>
      </w:r>
      <w:r>
        <w:t xml:space="preserve">las características que SHAP sitúa primero sostienen una parte menor de una</w:t>
      </w:r>
      <w:r>
        <w:t xml:space="preserve"> </w:t>
      </w:r>
      <w:r>
        <w:t xml:space="preserve">predicción errónea.</w:t>
      </w:r>
    </w:p>
    <w:p>
      <w:pPr>
        <w:pStyle w:val="Textoindependiente"/>
        <w:spacing w:line="360" w:lineRule="auto"/>
        <w:jc w:val="both"/>
      </w:pPr>
      <w:r>
        <w:t xml:space="preserve">Una comprobación se añadió</w:t>
      </w:r>
      <w:r>
        <w:t xml:space="preserve"> </w:t>
      </w:r>
      <w:r>
        <w:rPr>
          <w:i/>
          <w:iCs/>
        </w:rPr>
        <w:t xml:space="preserve">post hoc</w:t>
      </w:r>
      <w:r>
        <w:t xml:space="preserve">. Parte de las instancias explicadas</w:t>
      </w:r>
      <w:r>
        <w:t xml:space="preserve"> </w:t>
      </w:r>
      <w:r>
        <w:t xml:space="preserve">pertenece a los datos de entrenamiento de los modelos (70,788 de las</w:t>
      </w:r>
      <w:r>
        <w:t xml:space="preserve"> </w:t>
      </w:r>
      <w:r>
        <w:t xml:space="preserve">analizadas). Sobre las instancias fuera de entrenamiento, el déficit de</w:t>
      </w:r>
      <w:r>
        <w:t xml:space="preserve"> </w:t>
      </w:r>
      <w:r>
        <w:t xml:space="preserve">estabilidad se mantiene: la mediana es</w:t>
      </w:r>
      <w:r>
        <w:t xml:space="preserve"> </w:t>
      </w:r>
      <ns1:oMath>
        <ns1:r>
          <ns1:rPr>
            <ns1:sty ns1:val="p"/>
          </ns1:rPr>
          <ns1:t>−</ns1:t>
        </ns1:r>
        <ns1:r>
          <ns1:t>0.068</ns1:t>
        </ns1:r>
      </ns1:oMath>
      <w:r>
        <w:t xml:space="preserve"> </w:t>
      </w:r>
      <w:r>
        <w:t xml:space="preserve">para SHAP y</w:t>
      </w:r>
      <w:r>
        <w:t xml:space="preserve"> </w:t>
      </w:r>
      <ns1:oMath>
        <ns1:r>
          <ns1:rPr>
            <ns1:sty ns1:val="p"/>
          </ns1:rPr>
          <ns1:t>−</ns1:t>
        </ns1:r>
        <ns1:r>
          <ns1:t>0.212</ns1:t>
        </ns1:r>
      </ns1:oMath>
      <w:r>
        <w:t xml:space="preserve"> </w:t>
      </w:r>
      <w:r>
        <w:t xml:space="preserve">para DiCE.</w:t>
      </w:r>
    </w:p>
    <w:p>
      <w:pPr>
        <w:pStyle w:val="Textoindependiente"/>
        <w:spacing w:line="360" w:lineRule="auto"/>
        <w:jc w:val="both"/>
      </w:pPr>
      <w:r>
        <w:rPr>
          <w:b/>
          <w:bCs/>
        </w:rPr>
        <w:t xml:space="preserve">Límites.</w:t>
      </w:r>
      <w:r>
        <w:t xml:space="preserve"> </w:t>
      </w:r>
      <w:r>
        <w:t xml:space="preserve">El patrón depende de la familia de modelos. El contraste externo</w:t>
      </w:r>
      <w:r>
        <w:t xml:space="preserve"> </w:t>
      </w:r>
      <w:r>
        <w:t xml:space="preserve">no reproduce el déficit de estabilidad de SHAP: en German Credit, la estabilidad</w:t>
      </w:r>
      <w:r>
        <w:t xml:space="preserve"> </w:t>
      </w:r>
      <w:r>
        <w:t xml:space="preserve">de SHAP fue mayor en los errores en cuatro de seis ejecuciones (mediana</w:t>
      </w:r>
      <w:r>
        <w:t xml:space="preserve"> </w:t>
      </w:r>
      <ns1:oMath>
        <ns1:r>
          <ns1:rPr>
            <ns1:sty ns1:val="p"/>
          </ns1:rPr>
          <ns1:t>+</ns1:t>
        </ns1:r>
        <ns1:r>
          <ns1:t>0.025</ns1:t>
        </ns1:r>
      </ns1:oMath>
      <w:r>
        <w:t xml:space="preserve">), y la causa de esa inversión no se conoce. El contraste externo</w:t>
      </w:r>
      <w:r>
        <w:t xml:space="preserve"> </w:t>
      </w:r>
      <w:r>
        <w:t xml:space="preserve">dispone de seis ejecuciones por explicador y solo de modelos de árboles. Las</w:t>
      </w:r>
      <w:r>
        <w:t xml:space="preserve"> </w:t>
      </w:r>
      <w:r>
        <w:t xml:space="preserve">métricas son las</w:t>
      </w:r>
      <w:r>
        <w:t xml:space="preserve"> </w:t>
      </w:r>
      <w:r>
        <w:rPr>
          <w:i/>
          <w:iCs/>
        </w:rPr>
        <w:t xml:space="preserve">proxies</w:t>
      </w:r>
      <w:r>
        <w:t xml:space="preserve"> </w:t>
      </w:r>
      <w:r>
        <w:t xml:space="preserve">del Capítulo 3: que un usuario resulte engañado por</w:t>
      </w:r>
      <w:r>
        <w:t xml:space="preserve"> </w:t>
      </w:r>
      <w:r>
        <w:t xml:space="preserve">la explicación de una predicción errónea no se ha medido.</w:t>
      </w:r>
    </w:p>
    <w:p>
      <w:pPr>
        <w:pStyle w:val="Textoindependiente"/>
        <w:spacing w:line="360" w:lineRule="auto"/>
        <w:jc w:val="both"/>
      </w:pPr>
      <w:r>
        <w:rPr>
          <w:b/>
          <w:bCs/>
        </w:rPr>
        <w:t xml:space="preserve">Consecuencia.</w:t>
      </w:r>
      <w:r>
        <w:t xml:space="preserve"> </w:t>
      </w:r>
      <w:r>
        <w:t xml:space="preserve">Los promedios del Capítulo 4 describen mejor las explicaciones</w:t>
      </w:r>
      <w:r>
        <w:t xml:space="preserve"> </w:t>
      </w:r>
      <w:r>
        <w:t xml:space="preserve">de las predicciones correctas que las de las erróneas. Una auditoría que use</w:t>
      </w:r>
      <w:r>
        <w:t xml:space="preserve"> </w:t>
      </w:r>
      <w:r>
        <w:t xml:space="preserve">estos métodos debería reportar la calidad de la explicación por separado para</w:t>
      </w:r>
      <w:r>
        <w:t xml:space="preserve"> </w:t>
      </w:r>
      <w:r>
        <w:t xml:space="preserve">aciertos y errores, y comprobar la estabilidad de la explicación concreta que</w:t>
      </w:r>
      <w:r>
        <w:t xml:space="preserve"> </w:t>
      </w:r>
      <w:r>
        <w:t xml:space="preserve">se emplee para impugnar o justificar una decisión.</w:t>
      </w:r>
    </w:p>
    <w:bookmarkEnd w:id="201"/>
    <w:bookmarkStart w:id="203" w:name="sec-seg-concordancia"/>
    <w:p>
      <w:pPr>
        <w:pStyle w:val="Ttulo2"/>
        <w:spacing w:line="360" w:lineRule="auto"/>
        <w:jc w:val="both"/>
      </w:pPr>
      <w:r>
        <w:t xml:space="preserve">6.3 </w:t>
      </w:r>
      <w:r>
        <w:t xml:space="preserve">Estudio de Concordancia entre Explicadores</w:t>
      </w:r>
    </w:p>
    <w:p>
      <w:pPr>
        <w:pStyle w:val="FirstParagraph"/>
        <w:spacing w:line="360" w:lineRule="auto"/>
        <w:jc w:val="both"/>
      </w:pPr>
      <w:r>
        <w:rPr>
          <w:b/>
          <w:bCs/>
        </w:rPr>
        <w:t xml:space="preserve">Pregunta.</w:t>
      </w:r>
      <w:r>
        <w:t xml:space="preserve"> </w:t>
      </w:r>
      <w:r>
        <w:t xml:space="preserve">El Estudio Pareado LIME–SHAP compara los dos métodos por sus</w:t>
      </w:r>
      <w:r>
        <w:t xml:space="preserve"> </w:t>
      </w:r>
      <w:r>
        <w:t xml:space="preserve">métricas de calidad. No dice si, para una misma predicción, ambos señalan las</w:t>
      </w:r>
      <w:r>
        <w:t xml:space="preserve"> </w:t>
      </w:r>
      <w:r>
        <w:t xml:space="preserve">mismas características. Este estudio mide esa concordancia instancia por</w:t>
      </w:r>
      <w:r>
        <w:t xml:space="preserve"> </w:t>
      </w:r>
      <w:r>
        <w:t xml:space="preserve">instancia.</w:t>
      </w:r>
    </w:p>
    <w:p>
      <w:pPr>
        <w:pStyle w:val="Textoindependiente"/>
        <w:spacing w:line="360" w:lineRule="auto"/>
        <w:jc w:val="both"/>
      </w:pPr>
      <w:r>
        <w:rPr>
          <w:b/>
          <w:bCs/>
        </w:rPr>
        <w:t xml:space="preserve">Diseño.</w:t>
      </w:r>
      <w:r>
        <w:t xml:space="preserve"> </w:t>
      </w:r>
      <w:r>
        <w:t xml:space="preserve">SHAP y LIME explicaron las mismas instancias de los mismos modelos</w:t>
      </w:r>
      <w:r>
        <w:t xml:space="preserve"> </w:t>
      </w:r>
      <w:r>
        <w:t xml:space="preserve">en tres conjuntos de datos: Adult, German Credit y Breast Cancer Wisconsin. Para</w:t>
      </w:r>
      <w:r>
        <w:t xml:space="preserve"> </w:t>
      </w:r>
      <w:r>
        <w:t xml:space="preserve">los dos últimos se produjo una cohorte nueva de LIME sobre exactamente las</w:t>
      </w:r>
      <w:r>
        <w:t xml:space="preserve"> </w:t>
      </w:r>
      <w:r>
        <w:t xml:space="preserve">instancias almacenadas en las ejecuciones de SHAP de EXP3. El resultado son</w:t>
      </w:r>
      <w:r>
        <w:t xml:space="preserve"> </w:t>
      </w:r>
      <w:r>
        <w:t xml:space="preserve">31,411 explicaciones pareadas en 86 ejecuciones. La medida primaria es el</w:t>
      </w:r>
      <w:r>
        <w:t xml:space="preserve"> </w:t>
      </w:r>
      <w:r>
        <w:t xml:space="preserve">solapamiento de Jaccard entre las cinco características de mayor peso absoluto</w:t>
      </w:r>
      <w:r>
        <w:t xml:space="preserve"> </w:t>
      </w:r>
      <w:r>
        <w:t xml:space="preserve">de cada método,</w:t>
      </w:r>
      <w:r>
        <w:t xml:space="preserve"> </w:t>
      </w:r>
      <ns1:oMath>
        <ns1:sSub>
          <ns1:e>
            <ns1:r>
              <ns1:t>J</ns1:t>
            </ns1:r>
          </ns1:e>
          <ns1:sub>
            <ns1:r>
              <ns1:t>5</ns1:t>
            </ns1:r>
          </ns1:sub>
        </ns1:sSub>
      </ns1:oMath>
      <w:r>
        <w:t xml:space="preserve">. Cada medida se promedia primero dentro de la ejecución,</w:t>
      </w:r>
      <w:r>
        <w:t xml:space="preserve"> </w:t>
      </w:r>
      <w:r>
        <w:t xml:space="preserve">y los intervalos remuestrean semillas, no instancias. El plan no preveía</w:t>
      </w:r>
      <w:r>
        <w:t xml:space="preserve"> </w:t>
      </w:r>
      <w:r>
        <w:t xml:space="preserve">pruebas de hipótesis y no se reporta ningún valor</w:t>
      </w:r>
      <w:r>
        <w:t xml:space="preserve"> </w:t>
      </w:r>
      <ns1:oMath>
        <ns1:r>
          <ns1:t>p</ns1:t>
        </ns1:r>
      </ns1:oMath>
      <w:r>
        <w:t xml:space="preserve">.</w:t>
      </w:r>
    </w:p>
    <w:p>
      <w:pPr>
        <w:pStyle w:val="Textoindependiente"/>
        <w:spacing w:line="360" w:lineRule="auto"/>
        <w:jc w:val="both"/>
      </w:pPr>
      <w:r>
        <w:rPr>
          <w:b/>
          <w:bCs/>
        </w:rPr>
        <w:t xml:space="preserve">Resultados.</w:t>
      </w:r>
      <w:r>
        <w:t xml:space="preserve"> </w:t>
      </w:r>
      <w:r>
        <w:t xml:space="preserve">La concordancia es parcial (</w:t>
      </w:r>
      <w:hyperlink w:anchor="tbl-seg-concordancia">
        <w:r>
          <w:rPr>
            <w:rStyle w:val="Hipervnculo"/>
          </w:rPr>
          <w:t xml:space="preserve">Tabla 6.3</w:t>
        </w:r>
      </w:hyperlink>
      <w:r>
        <w:t xml:space="preserve">). En Adult y</w:t>
      </w:r>
      <w:r>
        <w:t xml:space="preserve"> </w:t>
      </w:r>
      <w:r>
        <w:t xml:space="preserve">en German Credit, los dos métodos comparten de media menos de tres de sus cinco</w:t>
      </w:r>
      <w:r>
        <w:t xml:space="preserve"> </w:t>
      </w:r>
      <w:r>
        <w:t xml:space="preserve">características principales.</w:t>
      </w:r>
    </w:p>
    <w:tbl>
      <w:tblPr>
        <w:tblStyle w:val="Table"/>
        <w:tblW w:type="pct" w:w="5000"/>
        <w:jc w:val="center"/>
        <w:tblLayout w:type="fixed"/>
        <w:tblLook w:firstRow="0" w:lastRow="0" w:firstColumn="0" w:lastColumn="0" w:noHBand="0" w:noVBand="0" w:val="0000"/>
      </w:tblPr>
      <w:tblGrid>
        <w:gridCol w:w="7920"/>
      </w:tblGrid>
      <w:tr>
        <w:tc>
          <w:tcPr/>
          <w:bookmarkStart w:id="202" w:name="tbl-seg-concordancia"/>
          <w:p>
            <w:pPr>
              <w:pStyle w:val="ImageCaption"/>
              <w:spacing w:before="200" w:line="360" w:lineRule="auto"/>
              <w:jc w:val="center"/>
            </w:pPr>
            <w:r>
              <w:t xml:space="preserve">Tabla 6.3: Solapamiento medio de las cinco características principales de SHAP y LIME</w:t>
            </w:r>
            <w:r>
              <w:t xml:space="preserve"> </w:t>
            </w:r>
            <w:r>
              <w:t xml:space="preserve">para la misma instancia, y solapamiento entre la lista de SHAP de una instancia</w:t>
            </w:r>
            <w:r>
              <w:t xml:space="preserve"> </w:t>
            </w:r>
            <w:r>
              <w:t xml:space="preserve">y la lista de LIME de otra instancia de la misma ejecución (referencia de</w:t>
            </w:r>
            <w:r>
              <w:t xml:space="preserve"> </w:t>
            </w:r>
            <w:r>
              <w:t xml:space="preserve">permutación,</w:t>
            </w:r>
            <w:r>
              <w:t xml:space="preserve"> </w:t>
            </w:r>
            <w:r>
              <w:rPr>
                <w:i/>
                <w:iCs/>
              </w:rPr>
              <w:t xml:space="preserve">post hoc</w:t>
            </w:r>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770"/>
              <w:gridCol w:w="652"/>
              <w:gridCol w:w="2329"/>
              <w:gridCol w:w="3168"/>
            </w:tblGrid>
            <w:tr>
              <w:trPr>
                <w:tblHeader w:val="on"/>
              </w:trPr>
              <w:tc>
                <w:tcPr/>
                <w:p>
                  <w:pPr>
                    <w:pStyle w:val="Compact"/>
                    <w:jc w:val="both"/>
                    <w:jc w:val="center"/>
                    <w:spacing w:line="360" w:lineRule="auto"/>
                  </w:pPr>
                  <w:r>
                    <w:rPr>
                      <w:bCs/>
                      <w:b/>
                    </w:rPr>
                    <w:t xml:space="preserve">Conjunto de datos</w:t>
                  </w:r>
                </w:p>
              </w:tc>
              <w:tc>
                <w:tcPr/>
                <w:p>
                  <w:pPr>
                    <w:pStyle w:val="Compact"/>
                    <w:jc w:val="both"/>
                    <w:jc w:val="center"/>
                    <w:spacing w:line="360" w:lineRule="auto"/>
                  </w:pPr>
                  <w:r>
                    <w:rPr>
                      <w:bCs/>
                      <w:b/>
                    </w:rPr>
                    <w:t xml:space="preserve">Pares</w:t>
                  </w:r>
                </w:p>
              </w:tc>
              <w:tc>
                <w:tcPr/>
                <w:p>
                  <w:pPr>
                    <w:pStyle w:val="Compact"/>
                    <w:jc w:val="both"/>
                    <w:jc w:val="center"/>
                    <w:spacing w:line="360" w:lineRule="auto"/>
                  </w:pPr>
                  <ns1:oMath>
                    <ns1:sSub>
                      <ns1:e>
                        <ns1:r>
                          <ns1:t>J</ns1:t>
                        </ns1:r>
                      </ns1:e>
                      <ns1:sub>
                        <ns1:r>
                          <ns1:t>5</ns1:t>
                        </ns1:r>
                      </ns1:sub>
                    </ns1:sSub>
                  </ns1:oMath>
                  <w:r>
                    <w:rPr>
                      <w:bCs/>
                      <w:b/>
                    </w:rPr>
                    <w:t xml:space="preserve"> </w:t>
                  </w:r>
                  <w:r>
                    <w:rPr>
                      <w:bCs/>
                      <w:b/>
                    </w:rPr>
                    <w:t xml:space="preserve">entre SHAP y LIME</w:t>
                  </w:r>
                </w:p>
              </w:tc>
              <w:tc>
                <w:tcPr/>
                <w:p>
                  <w:pPr>
                    <w:pStyle w:val="Compact"/>
                    <w:jc w:val="both"/>
                    <w:jc w:val="center"/>
                    <w:spacing w:line="360" w:lineRule="auto"/>
                  </w:pPr>
                  <ns1:oMath>
                    <ns1:sSub>
                      <ns1:e>
                        <ns1:r>
                          <ns1:t>J</ns1:t>
                        </ns1:r>
                      </ns1:e>
                      <ns1:sub>
                        <ns1:r>
                          <ns1:t>5</ns1:t>
                        </ns1:r>
                      </ns1:sub>
                    </ns1:sSub>
                  </ns1:oMath>
                  <w:r>
                    <w:rPr>
                      <w:bCs/>
                      <w:b/>
                    </w:rPr>
                    <w:t xml:space="preserve"> </w:t>
                  </w:r>
                  <w:r>
                    <w:rPr>
                      <w:bCs/>
                      <w:b/>
                    </w:rPr>
                    <w:t xml:space="preserve">entre instancias distintas</w:t>
                  </w:r>
                </w:p>
              </w:tc>
            </w:tr>
            <w:tr>
              <w:tc>
                <w:tcPr/>
                <w:p>
                  <w:pPr>
                    <w:pStyle w:val="Compact"/>
                    <w:jc w:val="both"/>
                    <w:jc w:val="center"/>
                    <w:spacing w:line="360" w:lineRule="auto"/>
                  </w:pPr>
                  <w:r>
                    <w:t xml:space="preserve">Adult</w:t>
                  </w:r>
                </w:p>
              </w:tc>
              <w:tc>
                <w:tcPr/>
                <w:p>
                  <w:pPr>
                    <w:pStyle w:val="Compact"/>
                    <w:jc w:val="both"/>
                    <w:jc w:val="center"/>
                    <w:spacing w:line="360" w:lineRule="auto"/>
                  </w:pPr>
                  <w:r>
                    <w:t xml:space="preserve">29,667</w:t>
                  </w:r>
                </w:p>
              </w:tc>
              <w:tc>
                <w:tcPr/>
                <w:p>
                  <w:pPr>
                    <w:pStyle w:val="Compact"/>
                    <w:jc w:val="both"/>
                    <w:jc w:val="center"/>
                    <w:spacing w:line="360" w:lineRule="auto"/>
                  </w:pPr>
                  <w:r>
                    <w:t xml:space="preserve">0.393</w:t>
                  </w:r>
                </w:p>
              </w:tc>
              <w:tc>
                <w:tcPr/>
                <w:p>
                  <w:pPr>
                    <w:pStyle w:val="Compact"/>
                    <w:jc w:val="both"/>
                    <w:jc w:val="center"/>
                    <w:spacing w:line="360" w:lineRule="auto"/>
                  </w:pPr>
                  <w:r>
                    <w:t xml:space="preserve">0.203</w:t>
                  </w:r>
                </w:p>
              </w:tc>
            </w:tr>
            <w:tr>
              <w:tc>
                <w:tcPr/>
                <w:p>
                  <w:pPr>
                    <w:pStyle w:val="Compact"/>
                    <w:jc w:val="both"/>
                    <w:jc w:val="center"/>
                    <w:spacing w:line="360" w:lineRule="auto"/>
                  </w:pPr>
                  <w:r>
                    <w:t xml:space="preserve">German Credit</w:t>
                  </w:r>
                </w:p>
              </w:tc>
              <w:tc>
                <w:tcPr/>
                <w:p>
                  <w:pPr>
                    <w:pStyle w:val="Compact"/>
                    <w:jc w:val="both"/>
                    <w:jc w:val="center"/>
                    <w:spacing w:line="360" w:lineRule="auto"/>
                  </w:pPr>
                  <w:r>
                    <w:t xml:space="preserve">1,060</w:t>
                  </w:r>
                </w:p>
              </w:tc>
              <w:tc>
                <w:tcPr/>
                <w:p>
                  <w:pPr>
                    <w:pStyle w:val="Compact"/>
                    <w:jc w:val="both"/>
                    <w:jc w:val="center"/>
                    <w:spacing w:line="360" w:lineRule="auto"/>
                  </w:pPr>
                  <w:r>
                    <w:t xml:space="preserve">0.387</w:t>
                  </w:r>
                </w:p>
              </w:tc>
              <w:tc>
                <w:tcPr/>
                <w:p>
                  <w:pPr>
                    <w:pStyle w:val="Compact"/>
                    <w:jc w:val="both"/>
                    <w:jc w:val="center"/>
                    <w:spacing w:line="360" w:lineRule="auto"/>
                  </w:pPr>
                  <w:r>
                    <w:t xml:space="preserve">0.287</w:t>
                  </w:r>
                </w:p>
              </w:tc>
            </w:tr>
            <w:tr>
              <w:tc>
                <w:tcPr/>
                <w:p>
                  <w:pPr>
                    <w:pStyle w:val="Compact"/>
                    <w:jc w:val="both"/>
                    <w:jc w:val="center"/>
                    <w:spacing w:line="360" w:lineRule="auto"/>
                  </w:pPr>
                  <w:r>
                    <w:t xml:space="preserve">Breast Cancer</w:t>
                  </w:r>
                </w:p>
              </w:tc>
              <w:tc>
                <w:tcPr/>
                <w:p>
                  <w:pPr>
                    <w:pStyle w:val="Compact"/>
                    <w:jc w:val="both"/>
                    <w:jc w:val="center"/>
                    <w:spacing w:line="360" w:lineRule="auto"/>
                  </w:pPr>
                  <w:r>
                    <w:t xml:space="preserve">684</w:t>
                  </w:r>
                </w:p>
              </w:tc>
              <w:tc>
                <w:tcPr/>
                <w:p>
                  <w:pPr>
                    <w:pStyle w:val="Compact"/>
                    <w:jc w:val="both"/>
                    <w:jc w:val="center"/>
                    <w:spacing w:line="360" w:lineRule="auto"/>
                  </w:pPr>
                  <w:r>
                    <w:t xml:space="preserve">0.714</w:t>
                  </w:r>
                </w:p>
              </w:tc>
              <w:tc>
                <w:tcPr/>
                <w:p>
                  <w:pPr>
                    <w:pStyle w:val="Compact"/>
                    <w:jc w:val="both"/>
                    <w:jc w:val="center"/>
                    <w:spacing w:line="360" w:lineRule="auto"/>
                  </w:pPr>
                  <w:r>
                    <w:t xml:space="preserve">0.648</w:t>
                  </w:r>
                </w:p>
              </w:tc>
            </w:tr>
          </w:tbl>
          <w:bookmarkEnd w:id="202"/>
          <w:p>
            <w:pPr>
              <w:spacing w:line="360" w:lineRule="auto"/>
              <w:jc w:val="both"/>
            </w:pPr>
          </w:p>
        </w:tc>
      </w:tr>
    </w:tbl>
    <w:p>
      <w:pPr>
        <w:pStyle w:val="Textoindependiente"/>
        <w:spacing w:line="360" w:lineRule="auto"/>
        <w:jc w:val="both"/>
      </w:pPr>
      <w:r>
        <w:t xml:space="preserve">Tres análisis</w:t>
      </w:r>
      <w:r>
        <w:t xml:space="preserve"> </w:t>
      </w:r>
      <w:r>
        <w:rPr>
          <w:i/>
          <w:iCs/>
        </w:rPr>
        <w:t xml:space="preserve">post hoc</w:t>
      </w:r>
      <w:r>
        <w:t xml:space="preserve"> </w:t>
      </w:r>
      <w:r>
        <w:t xml:space="preserve">precisan la lectura de esa cifra.</w:t>
      </w:r>
    </w:p>
    <w:p>
      <w:pPr>
        <w:pStyle w:val="Compact"/>
        <w:numPr>
          <w:ilvl w:val="0"/>
          <w:numId w:val="1021"/>
        </w:numPr>
        <w:spacing w:line="360" w:lineRule="auto"/>
        <w:jc w:val="both"/>
      </w:pPr>
      <w:r>
        <w:rPr>
          <w:b/>
          <w:bCs/>
        </w:rPr>
        <w:t xml:space="preserve">Una parte del solapamiento no depende de la instancia.</w:t>
      </w:r>
      <w:r>
        <w:t xml:space="preserve"> </w:t>
      </w:r>
      <w:r>
        <w:t xml:space="preserve">La lista de SHAP</w:t>
      </w:r>
      <w:r>
        <w:t xml:space="preserve"> </w:t>
      </w:r>
      <w:r>
        <w:t xml:space="preserve">de una instancia y la lista de LIME de otra instancia distinta ya se solapan</w:t>
      </w:r>
      <w:r>
        <w:t xml:space="preserve"> </w:t>
      </w:r>
      <w:r>
        <w:t xml:space="preserve">de forma apreciable (última columna). La parte propia de la instancia es</w:t>
      </w:r>
      <w:r>
        <w:t xml:space="preserve"> </w:t>
      </w:r>
      <w:r>
        <w:t xml:space="preserve">0.191 en Adult y menor en los otros dos conjuntos. El solapamiento alto de</w:t>
      </w:r>
      <w:r>
        <w:t xml:space="preserve"> </w:t>
      </w:r>
      <w:r>
        <w:t xml:space="preserve">Breast Cancer refleja sobre todo un orden de las características común a</w:t>
      </w:r>
      <w:r>
        <w:t xml:space="preserve"> </w:t>
      </w:r>
      <w:r>
        <w:t xml:space="preserve">casi todas las instancias.</w:t>
      </w:r>
    </w:p>
    <w:p>
      <w:pPr>
        <w:pStyle w:val="Compact"/>
        <w:numPr>
          <w:ilvl w:val="0"/>
          <w:numId w:val="1021"/>
        </w:numPr>
        <w:spacing w:line="360" w:lineRule="auto"/>
        <w:jc w:val="both"/>
      </w:pPr>
      <w:r>
        <w:rPr>
          <w:b/>
          <w:bCs/>
        </w:rPr>
        <w:t xml:space="preserve">Ningún método se reproduce por completo a sí mismo.</w:t>
      </w:r>
      <w:r>
        <w:t xml:space="preserve"> </w:t>
      </w:r>
      <w:r>
        <w:t xml:space="preserve">Al repetir la</w:t>
      </w:r>
      <w:r>
        <w:t xml:space="preserve"> </w:t>
      </w:r>
      <w:r>
        <w:t xml:space="preserve">explicación con otro estado aleatorio, el solapamiento entre las dos</w:t>
      </w:r>
      <w:r>
        <w:t xml:space="preserve"> </w:t>
      </w:r>
      <w:r>
        <w:t xml:space="preserve">repeticiones en Adult fue 0.690 para LIME y 0.782 para SHAP. La concordancia</w:t>
      </w:r>
      <w:r>
        <w:t xml:space="preserve"> </w:t>
      </w:r>
      <w:r>
        <w:t xml:space="preserve">entre métodos quedó por debajo de esa autoconcordancia en todos los modelos</w:t>
      </w:r>
      <w:r>
        <w:t xml:space="preserve"> </w:t>
      </w:r>
      <w:r>
        <w:t xml:space="preserve">probados. El desacuerdo entre métodos es, por tanto, real, pero una</w:t>
      </w:r>
      <w:r>
        <w:t xml:space="preserve"> </w:t>
      </w:r>
      <w:r>
        <w:t xml:space="preserve">comparación que ignore la repetibilidad de cada uno lo sobrestima.</w:t>
      </w:r>
    </w:p>
    <w:p>
      <w:pPr>
        <w:pStyle w:val="Compact"/>
        <w:numPr>
          <w:ilvl w:val="0"/>
          <w:numId w:val="1021"/>
        </w:numPr>
        <w:spacing w:line="360" w:lineRule="auto"/>
        <w:jc w:val="both"/>
      </w:pPr>
      <w:r>
        <w:rPr>
          <w:b/>
          <w:bCs/>
        </w:rPr>
        <w:t xml:space="preserve">Los signos requieren la misma magnitud.</w:t>
      </w:r>
      <w:r>
        <w:t xml:space="preserve"> </w:t>
      </w:r>
      <w:r>
        <w:t xml:space="preserve">LIME sin discretización devuelve</w:t>
      </w:r>
      <w:r>
        <w:t xml:space="preserve"> </w:t>
      </w:r>
      <w:r>
        <w:t xml:space="preserve">pendientes locales, y SHAP devuelve contribuciones respecto de una referencia.</w:t>
      </w:r>
      <w:r>
        <w:t xml:space="preserve"> </w:t>
      </w:r>
      <w:r>
        <w:t xml:space="preserve">Convertidas las pendientes en contribuciones, los signos de las</w:t>
      </w:r>
      <w:r>
        <w:t xml:space="preserve"> </w:t>
      </w:r>
      <w:r>
        <w:t xml:space="preserve">características compartidas coinciden entre 0.945 y 0.990 de los casos, un</w:t>
      </w:r>
      <w:r>
        <w:t xml:space="preserve"> </w:t>
      </w:r>
      <w:r>
        <w:t xml:space="preserve">nivel que también alcanza una dirección fija por característica.</w:t>
      </w:r>
    </w:p>
    <w:p>
      <w:pPr>
        <w:pStyle w:val="FirstParagraph"/>
        <w:spacing w:line="360" w:lineRule="auto"/>
        <w:jc w:val="both"/>
      </w:pPr>
      <w:r>
        <w:t xml:space="preserve">La concordancia varió con el modelo y con el conjunto de datos, y no fue</w:t>
      </w:r>
      <w:r>
        <w:t xml:space="preserve"> </w:t>
      </w:r>
      <w:r>
        <w:t xml:space="preserve">sistemáticamente menor en las instancias mal clasificadas.</w:t>
      </w:r>
    </w:p>
    <w:p>
      <w:pPr>
        <w:pStyle w:val="Textoindependiente"/>
        <w:spacing w:line="360" w:lineRule="auto"/>
        <w:jc w:val="both"/>
      </w:pPr>
      <w:r>
        <w:rPr>
          <w:b/>
          <w:bCs/>
        </w:rPr>
        <w:t xml:space="preserve">Límites.</w:t>
      </w:r>
      <w:r>
        <w:t xml:space="preserve"> </w:t>
      </w:r>
      <w:r>
        <w:t xml:space="preserve">Tres conjuntos de datos tabulares y una configuración por</w:t>
      </w:r>
      <w:r>
        <w:t xml:space="preserve"> </w:t>
      </w:r>
      <w:r>
        <w:t xml:space="preserve">explicador; LIME se usó con ancho de kernel 3.0, el mismo del benchmark</w:t>
      </w:r>
      <w:r>
        <w:t xml:space="preserve"> </w:t>
      </w:r>
      <w:r>
        <w:t xml:space="preserve">primario. Cinco semillas en Adult y tres en los otros dos conjuntos, de modo</w:t>
      </w:r>
      <w:r>
        <w:t xml:space="preserve"> </w:t>
      </w:r>
      <w:r>
        <w:t xml:space="preserve">que los intervalos describen la dispersión entre semillas. El experimento de</w:t>
      </w:r>
      <w:r>
        <w:t xml:space="preserve"> </w:t>
      </w:r>
      <w:r>
        <w:t xml:space="preserve">autoconcordancia usó una submuestra. Las ejecuciones de SHAP sobre SVM están</w:t>
      </w:r>
      <w:r>
        <w:t xml:space="preserve"> </w:t>
      </w:r>
      <w:r>
        <w:t xml:space="preserve">incompletas y esa familia aporta menos pares.</w:t>
      </w:r>
    </w:p>
    <w:p>
      <w:pPr>
        <w:pStyle w:val="Textoindependiente"/>
        <w:spacing w:line="360" w:lineRule="auto"/>
        <w:jc w:val="both"/>
      </w:pPr>
      <w:r>
        <w:rPr>
          <w:b/>
          <w:bCs/>
        </w:rPr>
        <w:t xml:space="preserve">Consecuencia.</w:t>
      </w:r>
      <w:r>
        <w:t xml:space="preserve"> </w:t>
      </w:r>
      <w:r>
        <w:t xml:space="preserve">SHAP y LIME no son intercambiables a nivel de instancia. Una</w:t>
      </w:r>
      <w:r>
        <w:t xml:space="preserve"> </w:t>
      </w:r>
      <w:r>
        <w:t xml:space="preserve">explicación mostrada a un usuario debe nombrar el explicador que la produjo, y</w:t>
      </w:r>
      <w:r>
        <w:t xml:space="preserve"> </w:t>
      </w:r>
      <w:r>
        <w:t xml:space="preserve">un informe de concordancia entre explicadores debe indicar el modelo, el</w:t>
      </w:r>
      <w:r>
        <w:t xml:space="preserve"> </w:t>
      </w:r>
      <w:r>
        <w:t xml:space="preserve">conjunto de datos, la configuración y la repetibilidad de cada método.</w:t>
      </w:r>
    </w:p>
    <w:bookmarkEnd w:id="203"/>
    <w:bookmarkStart w:id="205" w:name="sec-seg-transferencia"/>
    <w:p>
      <w:pPr>
        <w:pStyle w:val="Ttulo2"/>
        <w:spacing w:line="360" w:lineRule="auto"/>
        <w:jc w:val="both"/>
      </w:pPr>
      <w:r>
        <w:t xml:space="preserve">6.4 </w:t>
      </w:r>
      <w:r>
        <w:t xml:space="preserve">Estudio de Transferencia entre Conjuntos de Datos</w:t>
      </w:r>
    </w:p>
    <w:p>
      <w:pPr>
        <w:pStyle w:val="FirstParagraph"/>
        <w:spacing w:line="360" w:lineRule="auto"/>
        <w:jc w:val="both"/>
      </w:pPr>
      <w:r>
        <w:rPr>
          <w:b/>
          <w:bCs/>
        </w:rPr>
        <w:t xml:space="preserve">Pregunta.</w:t>
      </w:r>
      <w:r>
        <w:t xml:space="preserve"> </w:t>
      </w:r>
      <w:r>
        <w:t xml:space="preserve">La limitación de validez externa declarada en el Capítulo 3 es que</w:t>
      </w:r>
      <w:r>
        <w:t xml:space="preserve"> </w:t>
      </w:r>
      <w:r>
        <w:t xml:space="preserve">el benchmark opera sobre un solo conjunto de datos, con una extensión parcial a</w:t>
      </w:r>
      <w:r>
        <w:t xml:space="preserve"> </w:t>
      </w:r>
      <w:r>
        <w:t xml:space="preserve">otros dos (EXP3). Este estudio pregunta si el orden de los cuatro métodos,</w:t>
      </w:r>
      <w:r>
        <w:t xml:space="preserve"> </w:t>
      </w:r>
      <w:r>
        <w:t xml:space="preserve">obtenido en un conjunto de datos tabular, se mantiene en otros.</w:t>
      </w:r>
    </w:p>
    <w:p>
      <w:pPr>
        <w:pStyle w:val="Textoindependiente"/>
        <w:spacing w:line="360" w:lineRule="auto"/>
        <w:jc w:val="both"/>
      </w:pPr>
      <w:r>
        <w:rPr>
          <w:b/>
          <w:bCs/>
        </w:rPr>
        <w:t xml:space="preserve">Diseño.</w:t>
      </w:r>
      <w:r>
        <w:t xml:space="preserve"> </w:t>
      </w:r>
      <w:r>
        <w:t xml:space="preserve">Es un experimento nuevo, con protocolo propio. Dieciséis conjuntos</w:t>
      </w:r>
      <w:r>
        <w:t xml:space="preserve"> </w:t>
      </w:r>
      <w:r>
        <w:t xml:space="preserve">de datos públicos, tabulares y de clasificación binaria, se eligieron con una</w:t>
      </w:r>
      <w:r>
        <w:t xml:space="preserve"> </w:t>
      </w:r>
      <w:r>
        <w:t xml:space="preserve">regla fijada antes de calcular ninguna explicación. Sobre cada uno se entrenaron</w:t>
      </w:r>
      <w:r>
        <w:t xml:space="preserve"> </w:t>
      </w:r>
      <w:r>
        <w:t xml:space="preserve">cuatro clasificadores (regresión logística, bosque aleatorio, XGBoost y</w:t>
      </w:r>
      <w:r>
        <w:t xml:space="preserve"> </w:t>
      </w:r>
      <w:r>
        <w:t xml:space="preserve">perceptrón multicapa) y se aplicaron los cuatro métodos con una única</w:t>
      </w:r>
      <w:r>
        <w:t xml:space="preserve"> </w:t>
      </w:r>
      <w:r>
        <w:t xml:space="preserve">configuración, sin ajuste por conjunto de datos, con cinco semillas y 200</w:t>
      </w:r>
      <w:r>
        <w:t xml:space="preserve"> </w:t>
      </w:r>
      <w:r>
        <w:t xml:space="preserve">instancias por ejecución. El diseño factorial completo comprende 1,280</w:t>
      </w:r>
      <w:r>
        <w:t xml:space="preserve"> </w:t>
      </w:r>
      <w:r>
        <w:t xml:space="preserve">ejecuciones y 256,000 instancias explicadas; dentro de cada bloque, los cuatro</w:t>
      </w:r>
      <w:r>
        <w:t xml:space="preserve"> </w:t>
      </w:r>
      <w:r>
        <w:t xml:space="preserve">métodos explican las mismas instancias del mismo clasificador.</w:t>
      </w:r>
    </w:p>
    <w:p>
      <w:pPr>
        <w:pStyle w:val="Textoindependiente"/>
        <w:spacing w:line="360" w:lineRule="auto"/>
        <w:jc w:val="both"/>
      </w:pPr>
      <w:r>
        <w:t xml:space="preserve">Los métodos se ordenan en cuatro medidas definidas sobre las características que</w:t>
      </w:r>
      <w:r>
        <w:t xml:space="preserve"> </w:t>
      </w:r>
      <w:r>
        <w:t xml:space="preserve">una explicación nombra: una brecha de fidelidad por enmascaramiento, la</w:t>
      </w:r>
      <w:r>
        <w:t xml:space="preserve"> </w:t>
      </w:r>
      <w:r>
        <w:t xml:space="preserve">estabilidad, la parsimonia y el coste. Sus definiciones operativas no son las</w:t>
      </w:r>
      <w:r>
        <w:t xml:space="preserve"> </w:t>
      </w:r>
      <w:r>
        <w:t xml:space="preserve">del Capítulo 3 —la estabilidad, por ejemplo, es aquí el solapamiento de las</w:t>
      </w:r>
      <w:r>
        <w:t xml:space="preserve"> </w:t>
      </w:r>
      <w:r>
        <w:t xml:space="preserve">cinco características principales bajo ruido, y no la similitud coseno de la</w:t>
      </w:r>
      <w:r>
        <w:t xml:space="preserve"> </w:t>
      </w:r>
      <w:hyperlink w:anchor="eq-estabilidad">
        <w:r>
          <w:rPr>
            <w:rStyle w:val="Hipervnculo"/>
          </w:rPr>
          <w:t xml:space="preserve">Ecuación 3.6</w:t>
        </w:r>
      </w:hyperlink>
      <w:r>
        <w:t xml:space="preserve">—, de modo que este estudio no</w:t>
      </w:r>
      <w:r>
        <w:t xml:space="preserve"> </w:t>
      </w:r>
      <w:r>
        <w:t xml:space="preserve">replica las cifras del Capítulo 4. La unidad de análisis es el conjunto de</w:t>
      </w:r>
      <w:r>
        <w:t xml:space="preserve"> </w:t>
      </w:r>
      <w:r>
        <w:t xml:space="preserve">datos. La concordancia entre conjuntos de datos es la correlación de rangos</w:t>
      </w:r>
      <w:r>
        <w:t xml:space="preserve"> </w:t>
      </w:r>
      <w:r>
        <w:t xml:space="preserve">media entre los órdenes de todos los pares de conjuntos, con intervalo</w:t>
      </w:r>
      <w:r>
        <w:t xml:space="preserve"> </w:t>
      </w:r>
      <w:r>
        <w:rPr>
          <w:i/>
          <w:iCs/>
        </w:rPr>
        <w:t xml:space="preserve">bootstrap</w:t>
      </w:r>
      <w:r>
        <w:t xml:space="preserve"> </w:t>
      </w:r>
      <w:r>
        <w:t xml:space="preserve">y prueba de permutación corregida por Holm. La regla de decisión se</w:t>
      </w:r>
      <w:r>
        <w:t xml:space="preserve"> </w:t>
      </w:r>
      <w:r>
        <w:t xml:space="preserve">fijó de antemano: el orden «generaliza» si el intervalo queda por encima de</w:t>
      </w:r>
      <w:r>
        <w:t xml:space="preserve"> </w:t>
      </w:r>
      <w:r>
        <w:t xml:space="preserve">0.5.</w:t>
      </w:r>
    </w:p>
    <w:p>
      <w:pPr>
        <w:pStyle w:val="Textoindependiente"/>
        <w:spacing w:line="360" w:lineRule="auto"/>
        <w:jc w:val="both"/>
      </w:pPr>
      <w:r>
        <w:rPr>
          <w:b/>
          <w:bCs/>
        </w:rPr>
        <w:t xml:space="preserve">Resultados.</w:t>
      </w:r>
      <w:r>
        <w:t xml:space="preserve"> </w:t>
      </w:r>
      <w:r>
        <w:t xml:space="preserve">El orden de los métodos coincide entre conjuntos de datos mucho</w:t>
      </w:r>
      <w:r>
        <w:t xml:space="preserve"> </w:t>
      </w:r>
      <w:r>
        <w:t xml:space="preserve">más de lo esperable por azar en las cuatro medidas (</w:t>
      </w:r>
      <w:hyperlink w:anchor="tbl-seg-transferencia">
        <w:r>
          <w:rPr>
            <w:rStyle w:val="Hipervnculo"/>
          </w:rPr>
          <w:t xml:space="preserve">Tabla 6.4</w:t>
        </w:r>
      </w:hyperlink>
      <w:r>
        <w:t xml:space="preserve">;</w:t>
      </w:r>
      <w:r>
        <w:t xml:space="preserve"> </w:t>
      </w:r>
      <ns1:oMath>
        <ns1:r>
          <ns1:t>p</ns1:t>
        </ns1:r>
        <ns1:r>
          <ns1:rPr>
            <ns1:sty ns1:val="p"/>
          </ns1:rPr>
          <ns1:t>&lt;</ns1:t>
        </ns1:r>
        <ns1:r>
          <ns1:t>0.001</ns1:t>
        </ns1:r>
      </ns1:oMath>
      <w:r>
        <w:t xml:space="preserve"> </w:t>
      </w:r>
      <w:r>
        <w:t xml:space="preserve">en todas).</w:t>
      </w:r>
    </w:p>
    <w:tbl>
      <w:tblPr>
        <w:tblStyle w:val="Table"/>
        <w:tblW w:type="pct" w:w="5000"/>
        <w:jc w:val="center"/>
        <w:tblLayout w:type="fixed"/>
        <w:tblLook w:firstRow="0" w:lastRow="0" w:firstColumn="0" w:lastColumn="0" w:noHBand="0" w:noVBand="0" w:val="0000"/>
      </w:tblPr>
      <w:tblGrid>
        <w:gridCol w:w="7920"/>
      </w:tblGrid>
      <w:tr>
        <w:tc>
          <w:tcPr/>
          <w:bookmarkStart w:id="204" w:name="tbl-seg-transferencia"/>
          <w:p>
            <w:pPr>
              <w:pStyle w:val="ImageCaption"/>
              <w:spacing w:before="200" w:line="360" w:lineRule="auto"/>
              <w:jc w:val="center"/>
            </w:pPr>
            <w:r>
              <w:t xml:space="preserve">Tabla 6.4: Rango medio de cada método en los 16 conjuntos de datos (1 = mejor),</w:t>
            </w:r>
            <w:r>
              <w:t xml:space="preserve"> </w:t>
            </w:r>
            <w:r>
              <w:t xml:space="preserve">concordancia de los órdenes entre conjuntos de datos y concordancia entre</w:t>
            </w:r>
            <w:r>
              <w:t xml:space="preserve"> </w:t>
            </w:r>
            <w:r>
              <w:t xml:space="preserve">semillas dentro de un mismo conjunto.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44"/>
              <w:gridCol w:w="633"/>
              <w:gridCol w:w="633"/>
              <w:gridCol w:w="950"/>
              <w:gridCol w:w="633"/>
              <w:gridCol w:w="2534"/>
              <w:gridCol w:w="1689"/>
            </w:tblGrid>
            <w:tr>
              <w:trPr>
                <w:tblHeader w:val="on"/>
              </w:trPr>
              <w:tc>
                <w:tcPr/>
                <w:p>
                  <w:pPr>
                    <w:pStyle w:val="Compact"/>
                    <w:jc w:val="both"/>
                    <w:jc w:val="center"/>
                    <w:spacing w:line="360" w:lineRule="auto"/>
                  </w:pPr>
                  <w:r>
                    <w:rPr>
                      <w:bCs/>
                      <w:b/>
                    </w:rPr>
                    <w:t xml:space="preserve">Medida</w:t>
                  </w:r>
                </w:p>
              </w:tc>
              <w:tc>
                <w:tcPr/>
                <w:p>
                  <w:pPr>
                    <w:pStyle w:val="Compact"/>
                    <w:jc w:val="both"/>
                    <w:jc w:val="center"/>
                    <w:spacing w:line="360" w:lineRule="auto"/>
                  </w:pPr>
                  <w:r>
                    <w:rPr>
                      <w:bCs/>
                      <w:b/>
                    </w:rPr>
                    <w:t xml:space="preserve">LIME</w:t>
                  </w:r>
                </w:p>
              </w:tc>
              <w:tc>
                <w:tcPr/>
                <w:p>
                  <w:pPr>
                    <w:pStyle w:val="Compact"/>
                    <w:jc w:val="both"/>
                    <w:jc w:val="center"/>
                    <w:spacing w:line="360" w:lineRule="auto"/>
                  </w:pPr>
                  <w:r>
                    <w:rPr>
                      <w:bCs/>
                      <w:b/>
                    </w:rPr>
                    <w:t xml:space="preserve">SHAP</w:t>
                  </w:r>
                </w:p>
              </w:tc>
              <w:tc>
                <w:tcPr/>
                <w:p>
                  <w:pPr>
                    <w:pStyle w:val="Compact"/>
                    <w:jc w:val="both"/>
                    <w:jc w:val="center"/>
                    <w:spacing w:line="360" w:lineRule="auto"/>
                  </w:pPr>
                  <w:r>
                    <w:rPr>
                      <w:bCs/>
                      <w:b/>
                    </w:rPr>
                    <w:t xml:space="preserve">Anchors</w:t>
                  </w:r>
                </w:p>
              </w:tc>
              <w:tc>
                <w:tcPr/>
                <w:p>
                  <w:pPr>
                    <w:pStyle w:val="Compact"/>
                    <w:jc w:val="both"/>
                    <w:jc w:val="center"/>
                    <w:spacing w:line="360" w:lineRule="auto"/>
                  </w:pPr>
                  <w:r>
                    <w:rPr>
                      <w:bCs/>
                      <w:b/>
                    </w:rPr>
                    <w:t xml:space="preserve">DiCE</w:t>
                  </w:r>
                </w:p>
              </w:tc>
              <w:tc>
                <w:tcPr/>
                <w:p>
                  <w:pPr>
                    <w:pStyle w:val="Compact"/>
                    <w:jc w:val="both"/>
                    <w:jc w:val="center"/>
                    <w:spacing w:line="360" w:lineRule="auto"/>
                  </w:pPr>
                  <w:r>
                    <w:rPr>
                      <w:bCs/>
                      <w:b/>
                    </w:rPr>
                    <w:t xml:space="preserve">Concordancia [IC 95 %]</w:t>
                  </w:r>
                </w:p>
              </w:tc>
              <w:tc>
                <w:tcPr/>
                <w:p>
                  <w:pPr>
                    <w:pStyle w:val="Compact"/>
                    <w:jc w:val="both"/>
                    <w:jc w:val="center"/>
                    <w:spacing w:line="360" w:lineRule="auto"/>
                  </w:pPr>
                  <w:r>
                    <w:rPr>
                      <w:bCs/>
                      <w:b/>
                    </w:rPr>
                    <w:t xml:space="preserve">Entre semillas</w:t>
                  </w:r>
                </w:p>
              </w:tc>
            </w:tr>
            <w:tr>
              <w:tc>
                <w:tcPr/>
                <w:p>
                  <w:pPr>
                    <w:pStyle w:val="Compact"/>
                    <w:jc w:val="both"/>
                    <w:jc w:val="center"/>
                    <w:spacing w:line="360" w:lineRule="auto"/>
                  </w:pPr>
                  <w:r>
                    <w:t xml:space="preserve">Brecha de fidelidad</w:t>
                  </w:r>
                </w:p>
              </w:tc>
              <w:tc>
                <w:tcPr/>
                <w:p>
                  <w:pPr>
                    <w:pStyle w:val="Compact"/>
                    <w:jc w:val="both"/>
                    <w:jc w:val="center"/>
                    <w:spacing w:line="360" w:lineRule="auto"/>
                  </w:pPr>
                  <w:r>
                    <w:t xml:space="preserve">2.12</w:t>
                  </w:r>
                </w:p>
              </w:tc>
              <w:tc>
                <w:tcPr/>
                <w:p>
                  <w:pPr>
                    <w:pStyle w:val="Compact"/>
                    <w:jc w:val="both"/>
                    <w:jc w:val="center"/>
                    <w:spacing w:line="360" w:lineRule="auto"/>
                  </w:pPr>
                  <w:r>
                    <w:t xml:space="preserve">1.19</w:t>
                  </w:r>
                </w:p>
              </w:tc>
              <w:tc>
                <w:tcPr/>
                <w:p>
                  <w:pPr>
                    <w:pStyle w:val="Compact"/>
                    <w:jc w:val="both"/>
                    <w:jc w:val="center"/>
                    <w:spacing w:line="360" w:lineRule="auto"/>
                  </w:pPr>
                  <w:r>
                    <w:t xml:space="preserve">3.06</w:t>
                  </w:r>
                </w:p>
              </w:tc>
              <w:tc>
                <w:tcPr/>
                <w:p>
                  <w:pPr>
                    <w:pStyle w:val="Compact"/>
                    <w:jc w:val="both"/>
                    <w:jc w:val="center"/>
                    <w:spacing w:line="360" w:lineRule="auto"/>
                  </w:pPr>
                  <w:r>
                    <w:t xml:space="preserve">3.62</w:t>
                  </w:r>
                </w:p>
              </w:tc>
              <w:tc>
                <w:tcPr/>
                <w:p>
                  <w:pPr>
                    <w:pStyle w:val="Compact"/>
                    <w:jc w:val="both"/>
                    <w:jc w:val="center"/>
                    <w:spacing w:line="360" w:lineRule="auto"/>
                  </w:pPr>
                  <w:r>
                    <w:t xml:space="preserve">0.67 [0.49, 0.85]</w:t>
                  </w:r>
                </w:p>
              </w:tc>
              <w:tc>
                <w:tcPr/>
                <w:p>
                  <w:pPr>
                    <w:pStyle w:val="Compact"/>
                    <w:jc w:val="both"/>
                    <w:jc w:val="center"/>
                    <w:spacing w:line="360" w:lineRule="auto"/>
                  </w:pPr>
                  <w:r>
                    <w:t xml:space="preserve">0.948</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2.06</w:t>
                  </w:r>
                </w:p>
              </w:tc>
              <w:tc>
                <w:tcPr/>
                <w:p>
                  <w:pPr>
                    <w:pStyle w:val="Compact"/>
                    <w:jc w:val="both"/>
                    <w:jc w:val="center"/>
                    <w:spacing w:line="360" w:lineRule="auto"/>
                  </w:pPr>
                  <w:r>
                    <w:t xml:space="preserve">1.12</w:t>
                  </w:r>
                </w:p>
              </w:tc>
              <w:tc>
                <w:tcPr/>
                <w:p>
                  <w:pPr>
                    <w:pStyle w:val="Compact"/>
                    <w:jc w:val="both"/>
                    <w:jc w:val="center"/>
                    <w:spacing w:line="360" w:lineRule="auto"/>
                  </w:pPr>
                  <w:r>
                    <w:t xml:space="preserve">2.81</w:t>
                  </w:r>
                </w:p>
              </w:tc>
              <w:tc>
                <w:tcPr/>
                <w:p>
                  <w:pPr>
                    <w:pStyle w:val="Compact"/>
                    <w:jc w:val="both"/>
                    <w:jc w:val="center"/>
                    <w:spacing w:line="360" w:lineRule="auto"/>
                  </w:pPr>
                  <w:r>
                    <w:t xml:space="preserve">4.00</w:t>
                  </w:r>
                </w:p>
              </w:tc>
              <w:tc>
                <w:tcPr/>
                <w:p>
                  <w:pPr>
                    <w:pStyle w:val="Compact"/>
                    <w:jc w:val="both"/>
                    <w:jc w:val="center"/>
                    <w:spacing w:line="360" w:lineRule="auto"/>
                  </w:pPr>
                  <w:r>
                    <w:t xml:space="preserve">0.88 [0.79, 0.95]</w:t>
                  </w:r>
                </w:p>
              </w:tc>
              <w:tc>
                <w:tcPr/>
                <w:p>
                  <w:pPr>
                    <w:pStyle w:val="Compact"/>
                    <w:jc w:val="both"/>
                    <w:jc w:val="center"/>
                    <w:spacing w:line="360" w:lineRule="auto"/>
                  </w:pPr>
                  <w:r>
                    <w:t xml:space="preserve">0.973</w:t>
                  </w:r>
                </w:p>
              </w:tc>
            </w:tr>
            <w:tr>
              <w:tc>
                <w:tcPr/>
                <w:p>
                  <w:pPr>
                    <w:pStyle w:val="Compact"/>
                    <w:jc w:val="both"/>
                    <w:jc w:val="center"/>
                    <w:spacing w:line="360" w:lineRule="auto"/>
                  </w:pPr>
                  <w:r>
                    <w:t xml:space="preserve">Parsimonia</w:t>
                  </w:r>
                </w:p>
              </w:tc>
              <w:tc>
                <w:tcPr/>
                <w:p>
                  <w:pPr>
                    <w:pStyle w:val="Compact"/>
                    <w:jc w:val="both"/>
                    <w:jc w:val="center"/>
                    <w:spacing w:line="360" w:lineRule="auto"/>
                  </w:pPr>
                  <w:r>
                    <w:t xml:space="preserve">2.97</w:t>
                  </w:r>
                </w:p>
              </w:tc>
              <w:tc>
                <w:tcPr/>
                <w:p>
                  <w:pPr>
                    <w:pStyle w:val="Compact"/>
                    <w:jc w:val="both"/>
                    <w:jc w:val="center"/>
                    <w:spacing w:line="360" w:lineRule="auto"/>
                  </w:pPr>
                  <w:r>
                    <w:t xml:space="preserve">3.91</w:t>
                  </w:r>
                </w:p>
              </w:tc>
              <w:tc>
                <w:tcPr/>
                <w:p>
                  <w:pPr>
                    <w:pStyle w:val="Compact"/>
                    <w:jc w:val="both"/>
                    <w:jc w:val="center"/>
                    <w:spacing w:line="360" w:lineRule="auto"/>
                  </w:pPr>
                  <w:r>
                    <w:t xml:space="preserve">1.69</w:t>
                  </w:r>
                </w:p>
              </w:tc>
              <w:tc>
                <w:tcPr/>
                <w:p>
                  <w:pPr>
                    <w:pStyle w:val="Compact"/>
                    <w:jc w:val="both"/>
                    <w:jc w:val="center"/>
                    <w:spacing w:line="360" w:lineRule="auto"/>
                  </w:pPr>
                  <w:r>
                    <w:t xml:space="preserve">1.44</w:t>
                  </w:r>
                </w:p>
              </w:tc>
              <w:tc>
                <w:tcPr/>
                <w:p>
                  <w:pPr>
                    <w:pStyle w:val="Compact"/>
                    <w:jc w:val="both"/>
                    <w:jc w:val="center"/>
                    <w:spacing w:line="360" w:lineRule="auto"/>
                  </w:pPr>
                  <w:r>
                    <w:t xml:space="preserve">0.79 [0.66, 0.92]</w:t>
                  </w:r>
                </w:p>
              </w:tc>
              <w:tc>
                <w:tcPr/>
                <w:p>
                  <w:pPr>
                    <w:pStyle w:val="Compact"/>
                    <w:jc w:val="both"/>
                    <w:jc w:val="center"/>
                    <w:spacing w:line="360" w:lineRule="auto"/>
                  </w:pPr>
                  <w:r>
                    <w:t xml:space="preserve">0.995</w:t>
                  </w:r>
                </w:p>
              </w:tc>
            </w:tr>
            <w:tr>
              <w:tc>
                <w:tcPr/>
                <w:p>
                  <w:pPr>
                    <w:pStyle w:val="Compact"/>
                    <w:jc w:val="both"/>
                    <w:jc w:val="center"/>
                    <w:spacing w:line="360" w:lineRule="auto"/>
                  </w:pPr>
                  <w:r>
                    <w:t xml:space="preserve">Coste</w:t>
                  </w:r>
                </w:p>
              </w:tc>
              <w:tc>
                <w:tcPr/>
                <w:p>
                  <w:pPr>
                    <w:pStyle w:val="Compact"/>
                    <w:jc w:val="both"/>
                    <w:jc w:val="center"/>
                    <w:spacing w:line="360" w:lineRule="auto"/>
                  </w:pPr>
                  <w:r>
                    <w:t xml:space="preserve">1.06</w:t>
                  </w:r>
                </w:p>
              </w:tc>
              <w:tc>
                <w:tcPr/>
                <w:p>
                  <w:pPr>
                    <w:pStyle w:val="Compact"/>
                    <w:jc w:val="both"/>
                    <w:jc w:val="center"/>
                    <w:spacing w:line="360" w:lineRule="auto"/>
                  </w:pPr>
                  <w:r>
                    <w:t xml:space="preserve">1.94</w:t>
                  </w:r>
                </w:p>
              </w:tc>
              <w:tc>
                <w:tcPr/>
                <w:p>
                  <w:pPr>
                    <w:pStyle w:val="Compact"/>
                    <w:jc w:val="both"/>
                    <w:jc w:val="center"/>
                    <w:spacing w:line="360" w:lineRule="auto"/>
                  </w:pPr>
                  <w:r>
                    <w:t xml:space="preserve">3.50</w:t>
                  </w:r>
                </w:p>
              </w:tc>
              <w:tc>
                <w:tcPr/>
                <w:p>
                  <w:pPr>
                    <w:pStyle w:val="Compact"/>
                    <w:jc w:val="both"/>
                    <w:jc w:val="center"/>
                    <w:spacing w:line="360" w:lineRule="auto"/>
                  </w:pPr>
                  <w:r>
                    <w:t xml:space="preserve">3.50</w:t>
                  </w:r>
                </w:p>
              </w:tc>
              <w:tc>
                <w:tcPr/>
                <w:p>
                  <w:pPr>
                    <w:pStyle w:val="Compact"/>
                    <w:jc w:val="both"/>
                    <w:jc w:val="center"/>
                    <w:spacing w:line="360" w:lineRule="auto"/>
                  </w:pPr>
                  <w:r>
                    <w:t xml:space="preserve">0.87 [0.82, 0.91]</w:t>
                  </w:r>
                </w:p>
              </w:tc>
              <w:tc>
                <w:tcPr/>
                <w:p>
                  <w:pPr>
                    <w:pStyle w:val="Compact"/>
                    <w:jc w:val="both"/>
                    <w:jc w:val="center"/>
                    <w:spacing w:line="360" w:lineRule="auto"/>
                  </w:pPr>
                  <w:r>
                    <w:t xml:space="preserve">0.975</w:t>
                  </w:r>
                </w:p>
              </w:tc>
            </w:tr>
          </w:tbl>
          <w:bookmarkEnd w:id="204"/>
          <w:p>
            <w:pPr>
              <w:spacing w:line="360" w:lineRule="auto"/>
              <w:jc w:val="both"/>
            </w:pPr>
          </w:p>
        </w:tc>
      </w:tr>
    </w:tbl>
    <w:p>
      <w:pPr>
        <w:pStyle w:val="Textoindependiente"/>
        <w:spacing w:line="360" w:lineRule="auto"/>
        <w:jc w:val="both"/>
      </w:pPr>
      <w:r>
        <w:t xml:space="preserve">Según la regla fijada, el orden generaliza en estabilidad, parsimonia y coste.</w:t>
      </w:r>
      <w:r>
        <w:t xml:space="preserve"> </w:t>
      </w:r>
      <w:r>
        <w:t xml:space="preserve">En la brecha de fidelidad el orden es compartido, pero su fuerza queda</w:t>
      </w:r>
      <w:r>
        <w:t xml:space="preserve"> </w:t>
      </w:r>
      <w:r>
        <w:t xml:space="preserve">indeterminada, porque el intervalo alcanza un valor inferior a 0.5. En todas las</w:t>
      </w:r>
      <w:r>
        <w:t xml:space="preserve"> </w:t>
      </w:r>
      <w:r>
        <w:t xml:space="preserve">medidas, la concordancia entre conjuntos de datos es menor que la concordancia</w:t>
      </w:r>
      <w:r>
        <w:t xml:space="preserve"> </w:t>
      </w:r>
      <w:r>
        <w:t xml:space="preserve">entre semillas: el conjunto de datos sí desplaza el orden, y lo desplaza más en</w:t>
      </w:r>
      <w:r>
        <w:t xml:space="preserve"> </w:t>
      </w:r>
      <w:r>
        <w:t xml:space="preserve">las posiciones intermedias y bajas que en la primera.</w:t>
      </w:r>
    </w:p>
    <w:p>
      <w:pPr>
        <w:pStyle w:val="Textoindependiente"/>
        <w:spacing w:line="360" w:lineRule="auto"/>
        <w:jc w:val="both"/>
      </w:pPr>
      <w:r>
        <w:t xml:space="preserve">Tomando Adult como referencia, de las 24 comparaciones entre pares de métodos,</w:t>
      </w:r>
      <w:r>
        <w:t xml:space="preserve"> </w:t>
      </w:r>
      <w:r>
        <w:t xml:space="preserve">12 conservan su orden en los otros 15 conjuntos de datos y 21 lo conservan en al</w:t>
      </w:r>
      <w:r>
        <w:t xml:space="preserve"> </w:t>
      </w:r>
      <w:r>
        <w:t xml:space="preserve">menos 12. Las tres débiles son todas entre Anchors y DiCE; en coste, ese par</w:t>
      </w:r>
      <w:r>
        <w:t xml:space="preserve"> </w:t>
      </w:r>
      <w:r>
        <w:t xml:space="preserve">mantiene el orden de Adult en 7 de 15 conjuntos. SHAP ocupa la primera posición</w:t>
      </w:r>
      <w:r>
        <w:t xml:space="preserve"> </w:t>
      </w:r>
      <w:r>
        <w:t xml:space="preserve">en la brecha de fidelidad en 13 de los 16 conjuntos y en estabilidad en 14.</w:t>
      </w:r>
    </w:p>
    <w:p>
      <w:pPr>
        <w:pStyle w:val="Textoindependiente"/>
        <w:spacing w:line="360" w:lineRule="auto"/>
        <w:jc w:val="both"/>
      </w:pPr>
      <w:r>
        <w:rPr>
          <w:b/>
          <w:bCs/>
        </w:rPr>
        <w:t xml:space="preserve">Límites.</w:t>
      </w:r>
      <w:r>
        <w:t xml:space="preserve"> </w:t>
      </w:r>
      <w:r>
        <w:t xml:space="preserve">Tres límites condicionan la lectura, y los tres se establecieron</w:t>
      </w:r>
      <w:r>
        <w:t xml:space="preserve"> </w:t>
      </w:r>
      <w:r>
        <w:t xml:space="preserve">tras revisar los resultados.</w:t>
      </w:r>
    </w:p>
    <w:p>
      <w:pPr>
        <w:pStyle w:val="Compact"/>
        <w:numPr>
          <w:ilvl w:val="0"/>
          <w:numId w:val="1022"/>
        </w:numPr>
        <w:spacing w:line="360" w:lineRule="auto"/>
        <w:jc w:val="both"/>
      </w:pPr>
      <w:r>
        <w:t xml:space="preserve">Buena parte de la concordancia se sigue del formato de salida y de la</w:t>
      </w:r>
      <w:r>
        <w:t xml:space="preserve"> </w:t>
      </w:r>
      <w:r>
        <w:t xml:space="preserve">configuración de cada método —el número de características que nombra, el</w:t>
      </w:r>
      <w:r>
        <w:t xml:space="preserve"> </w:t>
      </w:r>
      <w:r>
        <w:t xml:space="preserve">algoritmo, los parámetros fijados—, no de una propiedad de las explicaciones.</w:t>
      </w:r>
    </w:p>
    <w:p>
      <w:pPr>
        <w:pStyle w:val="Compact"/>
        <w:numPr>
          <w:ilvl w:val="0"/>
          <w:numId w:val="1022"/>
        </w:numPr>
        <w:spacing w:line="360" w:lineRule="auto"/>
        <w:jc w:val="both"/>
      </w:pPr>
      <w:r>
        <w:t xml:space="preserve">Las medidas son</w:t>
      </w:r>
      <w:r>
        <w:t xml:space="preserve"> </w:t>
      </w:r>
      <w:r>
        <w:rPr>
          <w:i/>
          <w:iCs/>
        </w:rPr>
        <w:t xml:space="preserve">proxies</w:t>
      </w:r>
      <w:r>
        <w:t xml:space="preserve"> </w:t>
      </w:r>
      <w:r>
        <w:t xml:space="preserve">comunes que descartan lo propio de cada salida: el</w:t>
      </w:r>
      <w:r>
        <w:t xml:space="preserve"> </w:t>
      </w:r>
      <w:r>
        <w:t xml:space="preserve">signo de una atribución, la regla como condición suficiente y la dirección</w:t>
      </w:r>
      <w:r>
        <w:t xml:space="preserve"> </w:t>
      </w:r>
      <w:r>
        <w:t xml:space="preserve">del cambio que propone un contrafactual.</w:t>
      </w:r>
    </w:p>
    <w:p>
      <w:pPr>
        <w:pStyle w:val="Compact"/>
        <w:numPr>
          <w:ilvl w:val="0"/>
          <w:numId w:val="1022"/>
        </w:numPr>
        <w:spacing w:line="360" w:lineRule="auto"/>
        <w:jc w:val="both"/>
      </w:pPr>
      <w:r>
        <w:t xml:space="preserve">Fallaron 1,425 de las instancias (0.56 %), casi todas de DiCE; repetir el</w:t>
      </w:r>
      <w:r>
        <w:t xml:space="preserve"> </w:t>
      </w:r>
      <w:r>
        <w:t xml:space="preserve">análisis sobre las instancias que los cuatro métodos explicaron conduce a</w:t>
      </w:r>
      <w:r>
        <w:t xml:space="preserve"> </w:t>
      </w:r>
      <w:r>
        <w:t xml:space="preserve">las mismas cuatro decisiones.</w:t>
      </w:r>
    </w:p>
    <w:p>
      <w:pPr>
        <w:pStyle w:val="FirstParagraph"/>
        <w:spacing w:line="360" w:lineRule="auto"/>
        <w:jc w:val="both"/>
      </w:pPr>
      <w:r>
        <w:t xml:space="preserve">En consecuencia, el resultado describe la concordancia de órdenes bajo un</w:t>
      </w:r>
      <w:r>
        <w:t xml:space="preserve"> </w:t>
      </w:r>
      <w:r>
        <w:t xml:space="preserve">protocolo de evaluación fijo. No constituye un ordenamiento de la calidad de</w:t>
      </w:r>
      <w:r>
        <w:t xml:space="preserve"> </w:t>
      </w:r>
      <w:r>
        <w:t xml:space="preserve">las explicaciones en general.</w:t>
      </w:r>
    </w:p>
    <w:p>
      <w:pPr>
        <w:pStyle w:val="Textoindependiente"/>
        <w:spacing w:line="360" w:lineRule="auto"/>
        <w:jc w:val="both"/>
      </w:pPr>
      <w:r>
        <w:rPr>
          <w:b/>
          <w:bCs/>
        </w:rPr>
        <w:t xml:space="preserve">Consecuencia.</w:t>
      </w:r>
      <w:r>
        <w:t xml:space="preserve"> </w:t>
      </w:r>
      <w:r>
        <w:t xml:space="preserve">El orden relativo observado en el benchmark primario no es</w:t>
      </w:r>
      <w:r>
        <w:t xml:space="preserve"> </w:t>
      </w:r>
      <w:r>
        <w:t xml:space="preserve">una particularidad de Adult: bajo un protocolo común, la posición de SHAP y de</w:t>
      </w:r>
      <w:r>
        <w:t xml:space="preserve"> </w:t>
      </w:r>
      <w:r>
        <w:t xml:space="preserve">LIME respecto de Anchors y DiCE se mantiene en la mayoría de los conjuntos de</w:t>
      </w:r>
      <w:r>
        <w:t xml:space="preserve"> </w:t>
      </w:r>
      <w:r>
        <w:t xml:space="preserve">datos. No se transfiere, en cambio, el orden entre Anchors y DiCE, ni la</w:t>
      </w:r>
      <w:r>
        <w:t xml:space="preserve"> </w:t>
      </w:r>
      <w:r>
        <w:t xml:space="preserve">magnitud de las diferencias. La limitación de validez externa se reduce para el</w:t>
      </w:r>
      <w:r>
        <w:t xml:space="preserve"> </w:t>
      </w:r>
      <w:r>
        <w:t xml:space="preserve">orden de los métodos y permanece para los valores absolutos y para los dominios</w:t>
      </w:r>
      <w:r>
        <w:t xml:space="preserve"> </w:t>
      </w:r>
      <w:r>
        <w:t xml:space="preserve">no tabulares.</w:t>
      </w:r>
    </w:p>
    <w:bookmarkEnd w:id="205"/>
    <w:bookmarkStart w:id="206" w:name="sec-seg-jueces"/>
    <w:p>
      <w:pPr>
        <w:pStyle w:val="Ttulo2"/>
        <w:spacing w:line="360" w:lineRule="auto"/>
        <w:jc w:val="both"/>
      </w:pPr>
      <w:r>
        <w:t xml:space="preserve">6.5 </w:t>
      </w:r>
      <w:r>
        <w:t xml:space="preserve">Controles posteriores del Estudio de Fiabilidad Inter-juez</w:t>
      </w:r>
    </w:p>
    <w:p>
      <w:pPr>
        <w:pStyle w:val="FirstParagraph"/>
        <w:spacing w:line="360" w:lineRule="auto"/>
        <w:jc w:val="both"/>
      </w:pPr>
      <w:r>
        <w:t xml:space="preserve">El Capítulo 5 reporta que los jueces basados en modelos de lenguaje no alcanzan</w:t>
      </w:r>
      <w:r>
        <w:t xml:space="preserve"> </w:t>
      </w:r>
      <w:r>
        <w:t xml:space="preserve">la fiabilidad aceptable en ninguna de las dos cohortes (§</w:t>
      </w:r>
      <w:hyperlink w:anchor="sec-exp4-fiabilidad">
        <w:r>
          <w:rPr>
            <w:rStyle w:val="Hipervnculo"/>
          </w:rPr>
          <w:t xml:space="preserve">5.8</w:t>
        </w:r>
      </w:hyperlink>
      <w:r>
        <w:t xml:space="preserve">).</w:t>
      </w:r>
      <w:r>
        <w:t xml:space="preserve"> </w:t>
      </w:r>
      <w:r>
        <w:t xml:space="preserve">Tras ese resultado se hicieron tres análisis sobre la segunda cohorte, cada uno</w:t>
      </w:r>
      <w:r>
        <w:t xml:space="preserve"> </w:t>
      </w:r>
      <w:r>
        <w:t xml:space="preserve">anotado con su fecha antes de calcularlo. Preguntan sobre qué recae el acuerdo</w:t>
      </w:r>
      <w:r>
        <w:t xml:space="preserve"> </w:t>
      </w:r>
      <w:r>
        <w:t xml:space="preserve">que sí existe.</w:t>
      </w:r>
    </w:p>
    <w:p>
      <w:pPr>
        <w:pStyle w:val="Textoindependiente"/>
        <w:spacing w:line="360" w:lineRule="auto"/>
        <w:jc w:val="both"/>
      </w:pPr>
      <w:r>
        <w:rPr>
          <w:b/>
          <w:bCs/>
        </w:rPr>
        <w:t xml:space="preserve">Dos precisiones sobre el diseño original.</w:t>
      </w:r>
      <w:r>
        <w:t xml:space="preserve"> </w:t>
      </w:r>
      <w:r>
        <w:t xml:space="preserve">La revisión posterior del</w:t>
      </w:r>
      <w:r>
        <w:t xml:space="preserve"> </w:t>
      </w:r>
      <w:r>
        <w:t xml:space="preserve">material entregado a los jueces encontró dos hechos que acotan la lectura del</w:t>
      </w:r>
      <w:r>
        <w:t xml:space="preserve"> </w:t>
      </w:r>
      <w:r>
        <w:t xml:space="preserve">Capítulo 5.</w:t>
      </w:r>
    </w:p>
    <w:p>
      <w:pPr>
        <w:pStyle w:val="Compact"/>
        <w:numPr>
          <w:ilvl w:val="0"/>
          <w:numId w:val="1023"/>
        </w:numPr>
        <w:spacing w:line="360" w:lineRule="auto"/>
        <w:jc w:val="both"/>
      </w:pPr>
      <w:r>
        <w:t xml:space="preserve">En las tres condiciones de la segunda cohorte, el registro de cada caso</w:t>
      </w:r>
      <w:r>
        <w:t xml:space="preserve"> </w:t>
      </w:r>
      <w:r>
        <w:t xml:space="preserve">contenía las métricas técnicas de la explicación y el resultado de la</w:t>
      </w:r>
      <w:r>
        <w:t xml:space="preserve"> </w:t>
      </w:r>
      <w:r>
        <w:t xml:space="preserve">predicción, que junto con la predicción permite deducir la etiqueta</w:t>
      </w:r>
      <w:r>
        <w:t xml:space="preserve"> </w:t>
      </w:r>
      <w:r>
        <w:t xml:space="preserve">verdadera. La condición llamada «con la etiqueta oculta» no la ocultaba, por</w:t>
      </w:r>
      <w:r>
        <w:t xml:space="preserve"> </w:t>
      </w:r>
      <w:r>
        <w:t xml:space="preserve">tanto, de forma efectiva. Se añadió una condición</w:t>
      </w:r>
      <w:r>
        <w:t xml:space="preserve"> </w:t>
      </w:r>
      <w:r>
        <w:rPr>
          <w:i/>
          <w:iCs/>
        </w:rPr>
        <w:t xml:space="preserve">limpia</w:t>
      </w:r>
      <w:r>
        <w:t xml:space="preserve">, sin métricas, sin</w:t>
      </w:r>
      <w:r>
        <w:t xml:space="preserve"> </w:t>
      </w:r>
      <w:r>
        <w:t xml:space="preserve">resultado y sin etiqueta, con una llamada por juez.</w:t>
      </w:r>
    </w:p>
    <w:p>
      <w:pPr>
        <w:pStyle w:val="Compact"/>
        <w:numPr>
          <w:ilvl w:val="0"/>
          <w:numId w:val="1023"/>
        </w:numPr>
        <w:spacing w:line="360" w:lineRule="auto"/>
        <w:jc w:val="both"/>
      </w:pPr>
      <w:r>
        <w:t xml:space="preserve">El formato común con que el benchmark presenta las explicaciones es una lista</w:t>
      </w:r>
      <w:r>
        <w:t xml:space="preserve"> </w:t>
      </w:r>
      <w:r>
        <w:t xml:space="preserve">de diez características con un peso. Para SHAP y LIME, esa lista contiene las</w:t>
      </w:r>
      <w:r>
        <w:t xml:space="preserve"> </w:t>
      </w:r>
      <w:r>
        <w:t xml:space="preserve">atribuciones del método. Para Anchors y DiCE no contiene la explicación en su</w:t>
      </w:r>
      <w:r>
        <w:t xml:space="preserve"> </w:t>
      </w:r>
      <w:r>
        <w:t xml:space="preserve">forma propia: la regla aparece sin umbrales y el contrafactual sin dirección</w:t>
      </w:r>
      <w:r>
        <w:t xml:space="preserve"> </w:t>
      </w:r>
      <w:r>
        <w:t xml:space="preserve">ni valor nuevo. El análisis principal de estos controles se restringe por</w:t>
      </w:r>
      <w:r>
        <w:t xml:space="preserve"> </w:t>
      </w:r>
      <w:r>
        <w:t xml:space="preserve">ello a los casos de SHAP y LIME.</w:t>
      </w:r>
    </w:p>
    <w:p>
      <w:pPr>
        <w:pStyle w:val="FirstParagraph"/>
        <w:spacing w:line="360" w:lineRule="auto"/>
        <w:jc w:val="both"/>
      </w:pPr>
      <w:r>
        <w:rPr>
          <w:b/>
          <w:bCs/>
        </w:rPr>
        <w:t xml:space="preserve">El acuerdo recae sobre el método.</w:t>
      </w:r>
      <w:r>
        <w:t xml:space="preserve"> </w:t>
      </w:r>
      <w:r>
        <w:t xml:space="preserve">Hasta el 67 % de la varianza de las</w:t>
      </w:r>
      <w:r>
        <w:t xml:space="preserve"> </w:t>
      </w:r>
      <w:r>
        <w:t xml:space="preserve">puntuaciones se sitúa entre métodos explicadores. Dentro de un método, donde un</w:t>
      </w:r>
      <w:r>
        <w:t xml:space="preserve"> </w:t>
      </w:r>
      <w:r>
        <w:t xml:space="preserve">usuario querría que el juez distinguiera una explicación mejor de una peor, el</w:t>
      </w:r>
      <w:r>
        <w:t xml:space="preserve"> </w:t>
      </w:r>
      <w:r>
        <w:t xml:space="preserve">acuerdo es bajo: entre los casos de SHAP y LIME con algún peso no nulo, el</w:t>
      </w:r>
      <w:r>
        <w:t xml:space="preserve"> </w:t>
      </w:r>
      <w:r>
        <w:t xml:space="preserve">ICC(1,1) más alto es 0.41, y entre los casos de SHAP ninguno supera 0.22,</w:t>
      </w:r>
      <w:r>
        <w:t xml:space="preserve"> </w:t>
      </w:r>
      <w:r>
        <w:t xml:space="preserve">porque los casos reciben casi la misma puntuación.</w:t>
      </w:r>
    </w:p>
    <w:p>
      <w:pPr>
        <w:pStyle w:val="Textoindependiente"/>
        <w:spacing w:line="360" w:lineRule="auto"/>
        <w:jc w:val="both"/>
      </w:pPr>
      <w:r>
        <w:rPr>
          <w:b/>
          <w:bCs/>
        </w:rPr>
        <w:t xml:space="preserve">Control positivo.</w:t>
      </w:r>
      <w:r>
        <w:t xml:space="preserve"> </w:t>
      </w:r>
      <w:r>
        <w:t xml:space="preserve">Los 79 casos de SHAP y LIME con peso no nulo se puntuaron</w:t>
      </w:r>
      <w:r>
        <w:t xml:space="preserve"> </w:t>
      </w:r>
      <w:r>
        <w:t xml:space="preserve">de nuevo en dos versiones degradadas de forma conocida. Cuando se eliminaron</w:t>
      </w:r>
      <w:r>
        <w:t xml:space="preserve"> </w:t>
      </w:r>
      <w:r>
        <w:t xml:space="preserve">siete de los diez elementos, los tres jueces redujeron la Completitud y su ICC</w:t>
      </w:r>
      <w:r>
        <w:t xml:space="preserve"> </w:t>
      </w:r>
      <w:r>
        <w:t xml:space="preserve">subió de 0.18 a 0.60: los jueces sí acuerdan cuando la diferencia es visible en</w:t>
      </w:r>
      <w:r>
        <w:t xml:space="preserve"> </w:t>
      </w:r>
      <w:r>
        <w:t xml:space="preserve">la forma del texto. Cuando los pesos se asignaron a características</w:t>
      </w:r>
      <w:r>
        <w:t xml:space="preserve"> </w:t>
      </w:r>
      <w:r>
        <w:t xml:space="preserve">equivocadas, lo que deja intacta la forma y vuelve erróneo el contenido, solo</w:t>
      </w:r>
      <w:r>
        <w:t xml:space="preserve"> </w:t>
      </w:r>
      <w:r>
        <w:t xml:space="preserve">uno de los tres jueces redujo la Plausibilidad semántica, y el acuerdo no</w:t>
      </w:r>
      <w:r>
        <w:t xml:space="preserve"> </w:t>
      </w:r>
      <w:r>
        <w:t xml:space="preserve">aumentó.</w:t>
      </w:r>
    </w:p>
    <w:p>
      <w:pPr>
        <w:pStyle w:val="Textoindependiente"/>
        <w:spacing w:line="360" w:lineRule="auto"/>
        <w:jc w:val="both"/>
      </w:pPr>
      <w:r>
        <w:rPr>
          <w:b/>
          <w:bCs/>
        </w:rPr>
        <w:t xml:space="preserve">Efecto del contenido de la consigna.</w:t>
      </w:r>
      <w:r>
        <w:t xml:space="preserve"> </w:t>
      </w:r>
      <w:r>
        <w:t xml:space="preserve">Con las métricas técnicas en la</w:t>
      </w:r>
      <w:r>
        <w:t xml:space="preserve"> </w:t>
      </w:r>
      <w:r>
        <w:t xml:space="preserve">consigna, uno de los jueces nombró una métrica en el 80 % de sus respuestas. Sin</w:t>
      </w:r>
      <w:r>
        <w:t xml:space="preserve"> </w:t>
      </w:r>
      <w:r>
        <w:t xml:space="preserve">ellas, ese juez puntuó más alto, y el acuerdo en Utilidad para auditoría bajó</w:t>
      </w:r>
      <w:r>
        <w:t xml:space="preserve"> </w:t>
      </w:r>
      <w:r>
        <w:t xml:space="preserve">de 0.66 a 0.42, comparando en ambos casos una sola llamada por juez. Lo que se</w:t>
      </w:r>
      <w:r>
        <w:t xml:space="preserve"> </w:t>
      </w:r>
      <w:r>
        <w:t xml:space="preserve">incluye en la consigna pasa a formar parte de lo que se mide.</w:t>
      </w:r>
    </w:p>
    <w:p>
      <w:pPr>
        <w:pStyle w:val="Textoindependiente"/>
        <w:spacing w:line="360" w:lineRule="auto"/>
        <w:jc w:val="both"/>
      </w:pPr>
      <w:r>
        <w:rPr>
          <w:b/>
          <w:bCs/>
        </w:rPr>
        <w:t xml:space="preserve">Consecuencia.</w:t>
      </w:r>
      <w:r>
        <w:t xml:space="preserve"> </w:t>
      </w:r>
      <w:r>
        <w:t xml:space="preserve">Estos controles refuerzan y precisan el resultado negativo de</w:t>
      </w:r>
      <w:r>
        <w:t xml:space="preserve"> </w:t>
      </w:r>
      <w:r>
        <w:t xml:space="preserve">P2, sin modificarlo. Los jueces de esta clase acuerdan sobre el método y sobre</w:t>
      </w:r>
      <w:r>
        <w:t xml:space="preserve"> </w:t>
      </w:r>
      <w:r>
        <w:t xml:space="preserve">la forma visible de una explicación, no sobre si es correcta. El gradiente</w:t>
      </w:r>
      <w:r>
        <w:t xml:space="preserve"> </w:t>
      </w:r>
      <w:r>
        <w:t xml:space="preserve">entre dimensiones descrito en el Capítulo 5 debe leerse con esta precisión: una</w:t>
      </w:r>
      <w:r>
        <w:t xml:space="preserve"> </w:t>
      </w:r>
      <w:r>
        <w:t xml:space="preserve">dimensión con mayor acuerdo no es por ello una dimensión mejor medida. Los</w:t>
      </w:r>
      <w:r>
        <w:t xml:space="preserve"> </w:t>
      </w:r>
      <w:r>
        <w:t xml:space="preserve">límites son los del estudio original —no hay puntuaciones humanas y los dos</w:t>
      </w:r>
      <w:r>
        <w:t xml:space="preserve"> </w:t>
      </w:r>
      <w:r>
        <w:t xml:space="preserve">paneles son modelos pequeños—, a los que se añade que la condición limpia y el</w:t>
      </w:r>
      <w:r>
        <w:t xml:space="preserve"> </w:t>
      </w:r>
      <w:r>
        <w:t xml:space="preserve">control disponen de una sola llamada por juez.</w:t>
      </w:r>
    </w:p>
    <w:bookmarkEnd w:id="206"/>
    <w:bookmarkStart w:id="208" w:name="sec-seg-sintesis"/>
    <w:p>
      <w:pPr>
        <w:pStyle w:val="Ttulo2"/>
        <w:spacing w:line="360" w:lineRule="auto"/>
        <w:jc w:val="both"/>
      </w:pPr>
      <w:r>
        <w:t xml:space="preserve">6.6 </w:t>
      </w:r>
      <w:r>
        <w:t xml:space="preserve">Qué cambia y qué no cambia en las conclusiones</w:t>
      </w:r>
    </w:p>
    <w:p>
      <w:pPr>
        <w:pStyle w:val="FirstParagraph"/>
        <w:spacing w:line="360" w:lineRule="auto"/>
        <w:jc w:val="both"/>
      </w:pPr>
      <w:r>
        <w:t xml:space="preserve">Los cuatro trabajos apuntan en la misma dirección: precisan el alcance de las</w:t>
      </w:r>
      <w:r>
        <w:t xml:space="preserve"> </w:t>
      </w:r>
      <w:r>
        <w:t xml:space="preserve">conclusiones sin alterar su contenido.</w:t>
      </w:r>
    </w:p>
    <w:tbl>
      <w:tblPr>
        <w:tblStyle w:val="Table"/>
        <w:tblW w:type="pct" w:w="5000"/>
        <w:jc w:val="center"/>
        <w:tblLayout w:type="fixed"/>
        <w:tblLook w:firstRow="0" w:lastRow="0" w:firstColumn="0" w:lastColumn="0" w:noHBand="0" w:noVBand="0" w:val="0000"/>
      </w:tblPr>
      <w:tblGrid>
        <w:gridCol w:w="7920"/>
      </w:tblGrid>
      <w:tr>
        <w:tc>
          <w:tcPr/>
          <w:bookmarkStart w:id="207" w:name="tbl-seg-sintesis"/>
          <w:p>
            <w:pPr>
              <w:pStyle w:val="ImageCaption"/>
              <w:spacing w:before="200" w:line="360" w:lineRule="auto"/>
              <w:jc w:val="center"/>
            </w:pPr>
            <w:r>
              <w:t xml:space="preserve">Tabla 6.5: Efecto de los estudios de seguimiento sobre las conclusiones de los estudios</w:t>
            </w:r>
            <w:r>
              <w:t xml:space="preserve"> </w:t>
            </w:r>
            <w:r>
              <w:t xml:space="preserve">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Conclusión de los estudios principales</w:t>
                  </w:r>
                </w:p>
              </w:tc>
              <w:tc>
                <w:tcPr/>
                <w:p>
                  <w:pPr>
                    <w:pStyle w:val="Compact"/>
                    <w:jc w:val="both"/>
                    <w:jc w:val="center"/>
                    <w:spacing w:line="360" w:lineRule="auto"/>
                  </w:pPr>
                  <w:r>
                    <w:rPr>
                      <w:bCs/>
                      <w:b/>
                    </w:rPr>
                    <w:t xml:space="preserve">Qué añade el seguimiento</w:t>
                  </w:r>
                </w:p>
              </w:tc>
              <w:tc>
                <w:tcPr/>
                <w:p>
                  <w:pPr>
                    <w:pStyle w:val="Compact"/>
                    <w:jc w:val="both"/>
                    <w:jc w:val="center"/>
                    <w:spacing w:line="360" w:lineRule="auto"/>
                  </w:pPr>
                  <w:r>
                    <w:rPr>
                      <w:bCs/>
                      <w:b/>
                    </w:rPr>
                    <w:t xml:space="preserve">Estado</w:t>
                  </w:r>
                </w:p>
              </w:tc>
            </w:tr>
            <w:tr>
              <w:tc>
                <w:tcPr/>
                <w:p>
                  <w:pPr>
                    <w:pStyle w:val="Compact"/>
                    <w:jc w:val="both"/>
                    <w:jc w:val="center"/>
                    <w:spacing w:line="360" w:lineRule="auto"/>
                  </w:pPr>
                  <w:r>
                    <w:t xml:space="preserve">SHAP presenta el mejor perfil de fidelidad y estabilidad en Adult</w:t>
                  </w:r>
                </w:p>
              </w:tc>
              <w:tc>
                <w:tcPr/>
                <w:p>
                  <w:pPr>
                    <w:pStyle w:val="Compact"/>
                    <w:jc w:val="both"/>
                    <w:jc w:val="center"/>
                    <w:spacing w:line="360" w:lineRule="auto"/>
                  </w:pPr>
                  <w:r>
                    <w:t xml:space="preserve">La posición de SHAP se mantiene en la mayoría de 16 conjuntos de datos bajo un protocolo común; la estabilidad de sus explicaciones es menor en las predicciones erróneas</w:t>
                  </w:r>
                </w:p>
              </w:tc>
              <w:tc>
                <w:tcPr/>
                <w:p>
                  <w:pPr>
                    <w:pStyle w:val="Compact"/>
                    <w:jc w:val="both"/>
                    <w:jc w:val="center"/>
                    <w:spacing w:line="360" w:lineRule="auto"/>
                  </w:pPr>
                  <w:r>
                    <w:t xml:space="preserve">Se mantiene, con dos precisiones</w:t>
                  </w:r>
                </w:p>
              </w:tc>
            </w:tr>
            <w:tr>
              <w:tc>
                <w:tcPr/>
                <w:p>
                  <w:pPr>
                    <w:pStyle w:val="Compact"/>
                    <w:jc w:val="both"/>
                    <w:jc w:val="center"/>
                    <w:spacing w:line="360" w:lineRule="auto"/>
                  </w:pPr>
                  <w:r>
                    <w:t xml:space="preserve">LIME es la alternativa de menor coste</w:t>
                  </w:r>
                </w:p>
              </w:tc>
              <w:tc>
                <w:tcPr/>
                <w:p>
                  <w:pPr>
                    <w:pStyle w:val="Compact"/>
                    <w:jc w:val="both"/>
                    <w:jc w:val="center"/>
                    <w:spacing w:line="360" w:lineRule="auto"/>
                  </w:pPr>
                  <w:r>
                    <w:t xml:space="preserve">LIME es el método de menor coste en 15 de los 16 conjuntos de datos</w:t>
                  </w:r>
                </w:p>
              </w:tc>
              <w:tc>
                <w:tcPr/>
                <w:p>
                  <w:pPr>
                    <w:pStyle w:val="Compact"/>
                    <w:jc w:val="both"/>
                    <w:jc w:val="center"/>
                    <w:spacing w:line="360" w:lineRule="auto"/>
                  </w:pPr>
                  <w:r>
                    <w:t xml:space="preserve">Se mantiene</w:t>
                  </w:r>
                </w:p>
              </w:tc>
            </w:tr>
            <w:tr>
              <w:tc>
                <w:tcPr/>
                <w:p>
                  <w:pPr>
                    <w:pStyle w:val="Compact"/>
                    <w:jc w:val="both"/>
                    <w:jc w:val="center"/>
                    <w:spacing w:line="360" w:lineRule="auto"/>
                  </w:pPr>
                  <w:r>
                    <w:t xml:space="preserve">SHAP y LIME difieren en calidad y coste (H3)</w:t>
                  </w:r>
                </w:p>
              </w:tc>
              <w:tc>
                <w:tcPr/>
                <w:p>
                  <w:pPr>
                    <w:pStyle w:val="Compact"/>
                    <w:jc w:val="both"/>
                    <w:jc w:val="center"/>
                    <w:spacing w:line="360" w:lineRule="auto"/>
                  </w:pPr>
                  <w:r>
                    <w:t xml:space="preserve">Además, para la misma instancia nombran características en parte distintas, y ninguno se reproduce por completo a sí mismo</w:t>
                  </w:r>
                </w:p>
              </w:tc>
              <w:tc>
                <w:tcPr/>
                <w:p>
                  <w:pPr>
                    <w:pStyle w:val="Compact"/>
                    <w:jc w:val="both"/>
                    <w:jc w:val="center"/>
                    <w:spacing w:line="360" w:lineRule="auto"/>
                  </w:pPr>
                  <w:r>
                    <w:t xml:space="preserve">Se mantiene y se amplía</w:t>
                  </w:r>
                </w:p>
              </w:tc>
            </w:tr>
            <w:tr>
              <w:tc>
                <w:tcPr/>
                <w:p>
                  <w:pPr>
                    <w:pStyle w:val="Compact"/>
                    <w:jc w:val="both"/>
                    <w:jc w:val="center"/>
                    <w:spacing w:line="360" w:lineRule="auto"/>
                  </w:pPr>
                  <w:r>
                    <w:t xml:space="preserve">Anchors y DiCE atienden objetivos distintos</w:t>
                  </w:r>
                </w:p>
              </w:tc>
              <w:tc>
                <w:tcPr/>
                <w:p>
                  <w:pPr>
                    <w:pStyle w:val="Compact"/>
                    <w:jc w:val="both"/>
                    <w:jc w:val="center"/>
                    <w:spacing w:line="360" w:lineRule="auto"/>
                  </w:pPr>
                  <w:r>
                    <w:t xml:space="preserve">Su orden relativo no se transfiere entre conjuntos de datos, y las medidas comunes descartan lo propio de sus salidas</w:t>
                  </w:r>
                </w:p>
              </w:tc>
              <w:tc>
                <w:tcPr/>
                <w:p>
                  <w:pPr>
                    <w:pStyle w:val="Compact"/>
                    <w:jc w:val="both"/>
                    <w:jc w:val="center"/>
                    <w:spacing w:line="360" w:lineRule="auto"/>
                  </w:pPr>
                  <w:r>
                    <w:t xml:space="preserve">Se mantiene; refuerza la cautela</w:t>
                  </w:r>
                </w:p>
              </w:tc>
            </w:tr>
            <w:tr>
              <w:tc>
                <w:tcPr/>
                <w:p>
                  <w:pPr>
                    <w:pStyle w:val="Compact"/>
                    <w:jc w:val="both"/>
                    <w:jc w:val="center"/>
                    <w:spacing w:line="360" w:lineRule="auto"/>
                  </w:pPr>
                  <w:r>
                    <w:t xml:space="preserve">Los jueces LLM no alcanzan fiabilidad aceptable (P2)</w:t>
                  </w:r>
                </w:p>
              </w:tc>
              <w:tc>
                <w:tcPr/>
                <w:p>
                  <w:pPr>
                    <w:pStyle w:val="Compact"/>
                    <w:jc w:val="both"/>
                    <w:jc w:val="center"/>
                    <w:spacing w:line="360" w:lineRule="auto"/>
                  </w:pPr>
                  <w:r>
                    <w:t xml:space="preserve">El acuerdo existente recae sobre el método y la forma, no sobre la corrección</w:t>
                  </w:r>
                </w:p>
              </w:tc>
              <w:tc>
                <w:tcPr/>
                <w:p>
                  <w:pPr>
                    <w:pStyle w:val="Compact"/>
                    <w:jc w:val="both"/>
                    <w:jc w:val="center"/>
                    <w:spacing w:line="360" w:lineRule="auto"/>
                  </w:pPr>
                  <w:r>
                    <w:t xml:space="preserve">Se mantiene y se precisa</w:t>
                  </w:r>
                </w:p>
              </w:tc>
            </w:tr>
          </w:tbl>
          <w:bookmarkEnd w:id="207"/>
          <w:p>
            <w:pPr>
              <w:spacing w:line="360" w:lineRule="auto"/>
              <w:jc w:val="both"/>
            </w:pPr>
          </w:p>
        </w:tc>
      </w:tr>
    </w:tbl>
    <w:p>
      <w:pPr>
        <w:pStyle w:val="Textoindependiente"/>
        <w:spacing w:line="360" w:lineRule="auto"/>
        <w:jc w:val="both"/>
      </w:pPr>
      <w:r>
        <w:t xml:space="preserve">Tres recomendaciones de reporte se desprenden de este capítulo y se incorporan</w:t>
      </w:r>
      <w:r>
        <w:t xml:space="preserve"> </w:t>
      </w:r>
      <w:r>
        <w:t xml:space="preserve">a las conclusiones: reportar la calidad de la explicación por separado para</w:t>
      </w:r>
      <w:r>
        <w:t xml:space="preserve"> </w:t>
      </w:r>
      <w:r>
        <w:t xml:space="preserve">predicciones correctas e incorrectas; acompañar toda comparación entre</w:t>
      </w:r>
      <w:r>
        <w:t xml:space="preserve"> </w:t>
      </w:r>
      <w:r>
        <w:t xml:space="preserve">explicadores de la repetibilidad de cada uno; y declarar el protocolo —</w:t>
      </w:r>
      <w:r>
        <w:t xml:space="preserve"> </w:t>
      </w:r>
      <w:r>
        <w:t xml:space="preserve">configuración, medidas y conjuntos de datos— del que depende un orden entre</w:t>
      </w:r>
      <w:r>
        <w:t xml:space="preserve"> </w:t>
      </w:r>
      <w:r>
        <w:t xml:space="preserve">métodos antes de tratarlo como propiedad de los métodos.</w:t>
      </w:r>
    </w:p>
    <w:bookmarkEnd w:id="208"/>
    <w:bookmarkEnd w:id="209"/>
    <w:bookmarkStart w:id="226" w:name="conclusiones"/>
    <w:p>
      <w:pPr>
        <w:pStyle w:val="Ttulo1"/>
        <w:spacing w:line="360" w:lineRule="auto"/>
        <w:jc w:val="both"/>
      </w:pPr>
      <w:r>
        <w:t xml:space="preserve">Capítulo 7. </w:t>
      </w: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213" w:name="sec-respuesta"/>
    <w:p>
      <w:pPr>
        <w:pStyle w:val="Ttulo2"/>
        <w:spacing w:line="360" w:lineRule="auto"/>
        <w:jc w:val="both"/>
      </w:pPr>
      <w:r>
        <w:t xml:space="preserve">7.1 </w:t>
      </w: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jc w:val="center"/>
        <w:tblLayout w:type="fixed"/>
        <w:tblLook w:firstRow="0" w:lastRow="0" w:firstColumn="0" w:lastColumn="0" w:noHBand="0" w:noVBand="0" w:val="0000"/>
      </w:tblPr>
      <w:tblGrid>
        <w:gridCol w:w="7920"/>
      </w:tblGrid>
      <w:tr>
        <w:tc>
          <w:tcPr/>
          <w:bookmarkStart w:id="210" w:name="tbl-hipotesis"/>
          <w:p>
            <w:pPr>
              <w:pStyle w:val="ImageCaption"/>
              <w:spacing w:before="200" w:line="360" w:lineRule="auto"/>
              <w:jc w:val="center"/>
            </w:pPr>
            <w:r>
              <w:t xml:space="preserve">Tabla 7.1: Síntesis de hipótesis y proposiciones de trabajo.</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rPr>
                      <w:bCs/>
                      <w:b/>
                    </w:rPr>
                    <w:t xml:space="preserve">Hipótesis / Proposición</w:t>
                  </w:r>
                </w:p>
              </w:tc>
              <w:tc>
                <w:tcPr/>
                <w:p>
                  <w:pPr>
                    <w:pStyle w:val="Compact"/>
                    <w:jc w:val="both"/>
                    <w:spacing w:line="360" w:lineRule="auto"/>
                  </w:pPr>
                  <w:r>
                    <w:rPr>
                      <w:bCs/>
                      <w:b/>
                    </w:rPr>
                    <w:t xml:space="preserve">Resultado</w:t>
                  </w:r>
                </w:p>
              </w:tc>
              <w:tc>
                <w:tcPr/>
                <w:p>
                  <w:pPr>
                    <w:pStyle w:val="Compact"/>
                    <w:jc w:val="both"/>
                    <w:spacing w:line="360" w:lineRule="auto"/>
                  </w:pPr>
                  <w:r>
                    <w:rPr>
                      <w:bCs/>
                      <w:b/>
                    </w:rP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w:r>
                    <w:t xml:space="preserve">Friedman:</w:t>
                  </w:r>
                  <w:r>
                    <w:t xml:space="preserve"> </w:t>
                  </w:r>
                  <ns1:oMath>
                    <ns1:sSubSup>
                      <ns1:e>
                        <ns1:r>
                          <ns1:t>χ</ns1:t>
                        </ns1:r>
                      </ns1:e>
                      <ns1:sub>
                        <ns1:r>
                          <ns1:t>F</ns1:t>
                        </ns1:r>
                      </ns1:sub>
                      <ns1:sup>
                        <ns1:r>
                          <ns1:t>2</ns1:t>
                        </ns1:r>
                      </ns1:sup>
                    </ns1:sSubSup>
                    <ns1:r>
                      <ns1:rPr>
                        <ns1:sty ns1:val="p"/>
                      </ns1:rPr>
                      <ns1:t>=</ns1:t>
                    </ns1:r>
                    <ns1:r>
                      <ns1:t>42.12</ns1:t>
                    </ns1:r>
                  </ns1:oMath>
                  <w:r>
                    <w:t xml:space="preserve">; seguimiento dirigido SHAP–LIME: 15 de 15 bloques y</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r>
                      <ns1:rPr>
                        <ns1:sty ns1:val="p"/>
                      </ns1:rPr>
                      <ns1:t>=</ns1:t>
                    </ns1:r>
                    <ns1:r>
                      <ns1:t>3.05</ns1:t>
                    </ns1:r>
                    <ns1:r>
                      <ns1:rPr>
                        <ns1:sty ns1:val="p"/>
                      </ns1:rPr>
                      <ns1:t>×</ns1:t>
                    </ns1:r>
                    <ns1:sSup>
                      <ns1:e>
                        <ns1:r>
                          <ns1:t>10</ns1:t>
                        </ns1:r>
                      </ns1:e>
                      <ns1:sup>
                        <ns1:r>
                          <ns1:rPr>
                            <ns1:sty ns1:val="p"/>
                          </ns1:rPr>
                          <ns1:t>−</ns1:t>
                        </ns1:r>
                        <ns1:r>
                          <ns1:t>4</ns1:t>
                        </ns1:r>
                      </ns1:sup>
                    </ns1:sSup>
                  </ns1:oMath>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(exploratoria, declarada en el Capítulo 1): Jueces LLM alcanzan fiabilidad aceptable en evaluación semántica XAI</w:t>
                  </w:r>
                </w:p>
              </w:tc>
              <w:tc>
                <w:tcPr/>
                <w:p>
                  <w:pPr>
                    <w:pStyle w:val="Compact"/>
                    <w:jc w:val="both"/>
                    <w:spacing w:line="360" w:lineRule="auto"/>
                  </w:pPr>
                  <w:r>
                    <w:rPr>
                      <w:b/>
                      <w:bCs/>
                    </w:rPr>
                    <w:t xml:space="preserve">No confirmada (resultado negativo, replicado)</w:t>
                  </w:r>
                </w:p>
              </w:tc>
              <w:tc>
                <w:tcPr/>
                <w:p>
                  <w:pPr>
                    <w:pStyle w:val="Compact"/>
                    <w:jc w:val="both"/>
                    <w:spacing w:line="360" w:lineRule="auto"/>
                  </w:pPr>
                  <w:r>
                    <w:t xml:space="preserve">Cohorte original: ICC(1,1) entre 0.321 y 0.601 (</w:t>
                  </w:r>
                  <ns1:oMath>
                    <ns1:r>
                      <ns1:t>n</ns1:t>
                    </ns1:r>
                    <ns1:r>
                      <ns1:rPr>
                        <ns1:sty ns1:val="p"/>
                      </ns1:rPr>
                      <ns1:t>=</ns1:t>
                    </ns1:r>
                    <ns1:r>
                      <ns1:t>147</ns1:t>
                    </ns1:r>
                  </ns1:oMath>
                  <w:r>
                    <w:t xml:space="preserve">, 3 jueces). Replicación con otro panel sobre los mismos casos: entre</w:t>
                  </w:r>
                  <w:r>
                    <w:t xml:space="preserve"> </w:t>
                  </w:r>
                  <ns1:oMath>
                    <ns1:r>
                      <ns1:rPr>
                        <ns1:sty ns1:val="p"/>
                      </ns1:rPr>
                      <ns1:t>−</ns1:t>
                    </ns1:r>
                    <ns1:r>
                      <ns1:t>0.025</ns1:t>
                    </ns1:r>
                  </ns1:oMath>
                  <w:r>
                    <w:t xml:space="preserve"> </w:t>
                  </w:r>
                  <w:r>
                    <w:t xml:space="preserve">y 0.731 (</w:t>
                  </w:r>
                  <ns1:oMath>
                    <ns1:r>
                      <ns1:t>n</ns1:t>
                    </ns1:r>
                    <ns1:r>
                      <ns1:rPr>
                        <ns1:sty ns1:val="p"/>
                      </ns1:rPr>
                      <ns1:t>=</ns1:t>
                    </ns1:r>
                    <ns1:r>
                      <ns1:t>192</ns1:t>
                    </ns1:r>
                  </ns1:oMath>
                  <w:r>
                    <w:t xml:space="preserve">). En la condición primaria, ninguna dimensión alcanza el umbral</w:t>
                  </w:r>
                  <w:r>
                    <w:t xml:space="preserve"> </w:t>
                  </w:r>
                  <ns1:oMath>
                    <ns1:r>
                      <ns1:rPr>
                        <ns1:sty ns1:val="p"/>
                      </ns1:rPr>
                      <ns1:t>≥</ns1:t>
                    </ns1:r>
                    <ns1:r>
                      <ns1:t>0.75</ns1:t>
                    </ns1:r>
                  </ns1:oMath>
                  <w:r>
                    <w:t xml:space="preserve"> </w:t>
                  </w:r>
                  <w:r>
                    <w:t xml:space="preserve">en ninguna de las dos cohortes</w:t>
                  </w:r>
                </w:p>
              </w:tc>
            </w:tr>
          </w:tbl>
          <w:bookmarkEnd w:id="210"/>
          <w:p>
            <w:pPr>
              <w:spacing w:line="360" w:lineRule="auto"/>
              <w:jc w:val="both"/>
            </w:pPr>
          </w:p>
        </w:tc>
      </w:tr>
    </w:tbl>
    <w:p>
      <w:pPr>
        <w:pStyle w:val="Textoindependiente"/>
        <w:spacing w:line="360" w:lineRule="auto"/>
        <w:jc w:val="both"/>
      </w:pPr>
      <w:r>
        <w:t xml:space="preserve"> </w:t>
      </w:r>
    </w:p>
    <w:tbl>
      <w:tblPr>
        <w:tblStyle w:val="Table"/>
        <w:tblW w:type="pct" w:w="5000"/>
        <w:jc w:val="center"/>
        <w:tblLayout w:type="fixed"/>
        <w:tblLook w:firstRow="0" w:lastRow="0" w:firstColumn="0" w:lastColumn="0" w:noHBand="0" w:noVBand="0" w:val="0000"/>
      </w:tblPr>
      <w:tblGrid>
        <w:gridCol w:w="7920"/>
      </w:tblGrid>
      <w:tr>
        <w:tc>
          <w:tcPr/>
          <w:bookmarkStart w:id="211" w:name="tbl-objetivos"/>
          <w:p>
            <w:pPr>
              <w:pStyle w:val="ImageCaption"/>
              <w:spacing w:before="200" w:line="360" w:lineRule="auto"/>
              <w:jc w:val="center"/>
            </w:pPr>
            <w:r>
              <w:t xml:space="preserve">Tabla 7.2: Cierre de objetivos específicos.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rPr>
                      <w:bCs/>
                      <w:b/>
                    </w:rPr>
                    <w:t xml:space="preserve">Objetivo específico</w:t>
                  </w:r>
                </w:p>
              </w:tc>
              <w:tc>
                <w:tcPr/>
                <w:p>
                  <w:pPr>
                    <w:pStyle w:val="Compact"/>
                    <w:jc w:val="both"/>
                    <w:spacing w:line="360" w:lineRule="auto"/>
                  </w:pPr>
                  <w:r>
                    <w:rPr>
                      <w:bCs/>
                      <w:b/>
                    </w:rP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en fidelidad para el subgrupo replicado RF/</w:t>
                  </w:r>
                  <ns1:oMath>
                    <ns1:r>
                      <ns1:t>N</ns1:t>
                    </ns1:r>
                    <ns1:r>
                      <ns1:rPr>
                        <ns1:sty ns1:val="p"/>
                      </ns1:rPr>
                      <ns1:t>=</ns1:t>
                    </ns1:r>
                    <ns1:r>
                      <ns1:t>100</ns1:t>
                    </ns1:r>
                  </ns1:oMath>
                  <w:r>
                    <w:t xml:space="preserve"> </w:t>
                  </w:r>
                  <w:r>
                    <w:t xml:space="preserve">y CV agrupado de 11.4% (SHAP) y 12.0% (LIME) sobre el conjunto completo de ejecuciones, todos por debajo del umbral del 15% de P1; variabilidad del coste inherente a la heterogeneidad del hardware.</w:t>
                  </w:r>
                </w:p>
              </w:tc>
            </w:tr>
            <w:tr>
              <w:tc>
                <w:tcPr/>
                <w:p>
                  <w:pPr>
                    <w:pStyle w:val="Compact"/>
                    <w:jc w:val="both"/>
                    <w:spacing w:line="360" w:lineRule="auto"/>
                  </w:pPr>
                  <w:r>
                    <w:t xml:space="preserve">OE5 — Construir taxonomía estructurada y explicitar brechas de constructo</w:t>
                  </w:r>
                </w:p>
              </w:tc>
              <w:tc>
                <w:tcPr/>
                <w:p>
                  <w:pPr>
                    <w:pStyle w:val="Compact"/>
                    <w:jc w:val="both"/>
                    <w:spacing w:line="360" w:lineRule="auto"/>
                  </w:pPr>
                  <w:r>
                    <w:t xml:space="preserve">Completado. Taxonomía de cuatro ejes en el Capítulo 5; tres brechas enunciadas en §</w:t>
                  </w:r>
                  <w:hyperlink w:anchor="sec-taxonomia-brechas">
                    <w:r>
                      <w:rPr>
                        <w:rStyle w:val="Hipervnculo"/>
                      </w:rPr>
                      <w:t xml:space="preserve">5.6</w:t>
                    </w:r>
                  </w:hyperlink>
                  <w:r>
                    <w:t xml:space="preserve">, de las que la Brecha 3 origina OE6.</w:t>
                  </w:r>
                </w:p>
              </w:tc>
            </w:tr>
            <w:tr>
              <w:tc>
                <w:tcPr/>
                <w:p>
                  <w:pPr>
                    <w:pStyle w:val="Compact"/>
                    <w:jc w:val="both"/>
                    <w:spacing w:line="360" w:lineRule="auto"/>
                  </w:pPr>
                  <w:r>
                    <w:t xml:space="preserve">OE6 — Cuantificar fiabilidad de evaluadores semánticos LLM (objetivo exploratorio, derivado de la Brecha 3)</w:t>
                  </w:r>
                </w:p>
              </w:tc>
              <w:tc>
                <w:tcPr/>
                <w:p>
                  <w:pPr>
                    <w:pStyle w:val="Compact"/>
                    <w:jc w:val="both"/>
                    <w:spacing w:line="360" w:lineRule="auto"/>
                  </w:pPr>
                  <w:r>
                    <w:t xml:space="preserve">Completado (resultado negativo, replicado). EXP4: ICC(1,1) entre 0.321 y 0.601 en 7 dimensiones en la cohorte original. Una segunda cohorte con otro panel de jueces reproduce el resultado en la condición primaria: ninguna dimensión alcanza el umbral</w:t>
                  </w:r>
                  <w:r>
                    <w:t xml:space="preserve"> </w:t>
                  </w:r>
                  <ns1:oMath>
                    <ns1:r>
                      <ns1:rPr>
                        <ns1:sty ns1:val="p"/>
                      </ns1:rPr>
                      <ns1:t>≥</ns1:t>
                    </ns1:r>
                    <ns1:r>
                      <ns1:t>0.75</ns1:t>
                    </ns1:r>
                  </ns1:oMath>
                  <w:r>
                    <w:t xml:space="preserve">. Véase §</w:t>
                  </w:r>
                  <w:hyperlink w:anchor="sec-exp4-fiabilidad">
                    <w:r>
                      <w:rPr>
                        <w:rStyle w:val="Hipervnculo"/>
                      </w:rPr>
                      <w:t xml:space="preserve">5.8</w:t>
                    </w:r>
                  </w:hyperlink>
                  <w:r>
                    <w:t xml:space="preserve">.</w:t>
                  </w:r>
                </w:p>
              </w:tc>
            </w:tr>
          </w:tbl>
          <w:bookmarkEnd w:id="211"/>
          <w:p>
            <w:pPr>
              <w:spacing w:line="360" w:lineRule="auto"/>
              <w:jc w:val="both"/>
            </w:pPr>
          </w:p>
        </w:tc>
      </w:tr>
    </w:tbl>
    <w:bookmarkStart w:id="212" w:name="sec-concl-seguimiento"/>
    <w:p>
      <w:pPr>
        <w:pStyle w:val="Ttulo3"/>
        <w:spacing w:line="360" w:lineRule="auto"/>
        <w:jc w:val="both"/>
      </w:pPr>
      <w:r>
        <w:t xml:space="preserve">7.1.1 </w:t>
      </w:r>
      <w:r>
        <w:t xml:space="preserve">Aportes de los estudios de seguimiento</w:t>
      </w:r>
    </w:p>
    <w:p>
      <w:pPr>
        <w:pStyle w:val="FirstParagraph"/>
        <w:spacing w:line="360" w:lineRule="auto"/>
        <w:jc w:val="both"/>
      </w:pPr>
      <w:r>
        <w:t xml:space="preserve">Los estudios de seguimiento del Capítulo 6 no resuelven ninguna hipótesis ni</w:t>
      </w:r>
      <w:r>
        <w:t xml:space="preserve"> </w:t>
      </w:r>
      <w:r>
        <w:t xml:space="preserve">cierran ningún objetivo específico: atienden a la cláusula del objetivo general</w:t>
      </w:r>
      <w:r>
        <w:t xml:space="preserve"> </w:t>
      </w:r>
      <w:r>
        <w:t xml:space="preserve">que exige delimitar el alcance de validez de la evidencia. Su efecto sobre cada</w:t>
      </w:r>
      <w:r>
        <w:t xml:space="preserve"> </w:t>
      </w:r>
      <w:r>
        <w:t xml:space="preserve">conclusión se resume en</w:t>
      </w:r>
      <w:r>
        <w:t xml:space="preserve"> </w:t>
      </w:r>
      <w:hyperlink w:anchor="tbl-seg-sintesis">
        <w:r>
          <w:rPr>
            <w:rStyle w:val="Hipervnculo"/>
          </w:rPr>
          <w:t xml:space="preserve">Tabla 6.5</w:t>
        </w:r>
      </w:hyperlink>
      <w:r>
        <w:t xml:space="preserve">. En conjunto establecen cuatro</w:t>
      </w:r>
      <w:r>
        <w:t xml:space="preserve"> </w:t>
      </w:r>
      <w:r>
        <w:t xml:space="preserve">precisiones:</w:t>
      </w:r>
    </w:p>
    <w:p>
      <w:pPr>
        <w:pStyle w:val="Compact"/>
        <w:numPr>
          <w:ilvl w:val="0"/>
          <w:numId w:val="1024"/>
        </w:numPr>
        <w:spacing w:line="360" w:lineRule="auto"/>
        <w:jc w:val="both"/>
      </w:pPr>
      <w:r>
        <w:rPr>
          <w:b/>
          <w:bCs/>
        </w:rPr>
        <w:t xml:space="preserve">Ante el error.</w:t>
      </w:r>
      <w:r>
        <w:t xml:space="preserve"> </w:t>
      </w:r>
      <w:r>
        <w:t xml:space="preserve">Los promedios del benchmark describen mejor las</w:t>
      </w:r>
      <w:r>
        <w:t xml:space="preserve"> </w:t>
      </w:r>
      <w:r>
        <w:t xml:space="preserve">explicaciones de las predicciones correctas que las de las erróneas: la</w:t>
      </w:r>
      <w:r>
        <w:t xml:space="preserve"> </w:t>
      </w:r>
      <w:r>
        <w:t xml:space="preserve">estabilidad es menor en las instancias mal clasificadas para los cuatro</w:t>
      </w:r>
      <w:r>
        <w:t xml:space="preserve"> </w:t>
      </w:r>
      <w:r>
        <w:t xml:space="preserve">explicadores, y en SHAP ese déficit no se explica por la cercanía a la</w:t>
      </w:r>
      <w:r>
        <w:t xml:space="preserve"> </w:t>
      </w:r>
      <w:r>
        <w:t xml:space="preserve">frontera de decisión (§</w:t>
      </w:r>
      <w:hyperlink w:anchor="sec-seg-error">
        <w:r>
          <w:rPr>
            <w:rStyle w:val="Hipervnculo"/>
          </w:rPr>
          <w:t xml:space="preserve">6.2</w:t>
        </w:r>
      </w:hyperlink>
      <w:r>
        <w:t xml:space="preserve">).</w:t>
      </w:r>
    </w:p>
    <w:p>
      <w:pPr>
        <w:pStyle w:val="Compact"/>
        <w:numPr>
          <w:ilvl w:val="0"/>
          <w:numId w:val="1024"/>
        </w:numPr>
        <w:spacing w:line="360" w:lineRule="auto"/>
        <w:jc w:val="both"/>
      </w:pPr>
      <w:r>
        <w:rPr>
          <w:b/>
          <w:bCs/>
        </w:rPr>
        <w:t xml:space="preserve">Ante el cambio de explicador.</w:t>
      </w:r>
      <w:r>
        <w:t xml:space="preserve"> </w:t>
      </w:r>
      <w:r>
        <w:t xml:space="preserve">SHAP y LIME no son intercambiables a nivel</w:t>
      </w:r>
      <w:r>
        <w:t xml:space="preserve"> </w:t>
      </w:r>
      <w:r>
        <w:t xml:space="preserve">de instancia, y ninguno se reproduce por completo a sí mismo al repetirse</w:t>
      </w:r>
      <w:r>
        <w:t xml:space="preserve"> </w:t>
      </w:r>
      <w:r>
        <w:t xml:space="preserve">(§</w:t>
      </w:r>
      <w:hyperlink w:anchor="sec-seg-concordancia">
        <w:r>
          <w:rPr>
            <w:rStyle w:val="Hipervnculo"/>
          </w:rPr>
          <w:t xml:space="preserve">6.3</w:t>
        </w:r>
      </w:hyperlink>
      <w:r>
        <w:t xml:space="preserve">).</w:t>
      </w:r>
    </w:p>
    <w:p>
      <w:pPr>
        <w:pStyle w:val="Compact"/>
        <w:numPr>
          <w:ilvl w:val="0"/>
          <w:numId w:val="1024"/>
        </w:numPr>
        <w:spacing w:line="360" w:lineRule="auto"/>
        <w:jc w:val="both"/>
      </w:pPr>
      <w:r>
        <w:rPr>
          <w:b/>
          <w:bCs/>
        </w:rPr>
        <w:t xml:space="preserve">Ante el cambio de conjunto de datos.</w:t>
      </w:r>
      <w:r>
        <w:t xml:space="preserve"> </w:t>
      </w:r>
      <w:r>
        <w:t xml:space="preserve">El orden de los métodos se conserva</w:t>
      </w:r>
      <w:r>
        <w:t xml:space="preserve"> </w:t>
      </w:r>
      <w:r>
        <w:t xml:space="preserve">en la mayoría de 16 conjuntos de datos tabulares bajo un protocolo común,</w:t>
      </w:r>
      <w:r>
        <w:t xml:space="preserve"> </w:t>
      </w:r>
      <w:r>
        <w:t xml:space="preserve">salvo el orden entre Anchors y DiCE; ese resultado describe el protocolo de</w:t>
      </w:r>
      <w:r>
        <w:t xml:space="preserve"> </w:t>
      </w:r>
      <w:r>
        <w:t xml:space="preserve">evaluación y no la calidad de las explicaciones en general</w:t>
      </w:r>
      <w:r>
        <w:t xml:space="preserve"> </w:t>
      </w:r>
      <w:r>
        <w:t xml:space="preserve">(§</w:t>
      </w:r>
      <w:hyperlink w:anchor="sec-seg-transferencia">
        <w:r>
          <w:rPr>
            <w:rStyle w:val="Hipervnculo"/>
          </w:rPr>
          <w:t xml:space="preserve">6.4</w:t>
        </w:r>
      </w:hyperlink>
      <w:r>
        <w:t xml:space="preserve">).</w:t>
      </w:r>
    </w:p>
    <w:p>
      <w:pPr>
        <w:pStyle w:val="Compact"/>
        <w:numPr>
          <w:ilvl w:val="0"/>
          <w:numId w:val="1024"/>
        </w:numPr>
        <w:spacing w:line="360" w:lineRule="auto"/>
        <w:jc w:val="both"/>
      </w:pPr>
      <w:r>
        <w:rPr>
          <w:b/>
          <w:bCs/>
        </w:rPr>
        <w:t xml:space="preserve">Ante el instrumento semántico.</w:t>
      </w:r>
      <w:r>
        <w:t xml:space="preserve"> </w:t>
      </w:r>
      <w:r>
        <w:t xml:space="preserve">El acuerdo que los jueces LLM alcanzan</w:t>
      </w:r>
      <w:r>
        <w:t xml:space="preserve"> </w:t>
      </w:r>
      <w:r>
        <w:t xml:space="preserve">recae sobre el método y la forma visible de la explicación, no sobre su</w:t>
      </w:r>
      <w:r>
        <w:t xml:space="preserve"> </w:t>
      </w:r>
      <w:r>
        <w:t xml:space="preserve">corrección (§</w:t>
      </w:r>
      <w:hyperlink w:anchor="sec-seg-jueces">
        <w:r>
          <w:rPr>
            <w:rStyle w:val="Hipervnculo"/>
          </w:rPr>
          <w:t xml:space="preserve">6.5</w:t>
        </w:r>
      </w:hyperlink>
      <w:r>
        <w:t xml:space="preserve">).</w:t>
      </w:r>
    </w:p>
    <w:p>
      <w:pPr>
        <w:pStyle w:val="FirstParagraph"/>
        <w:spacing w:line="360" w:lineRule="auto"/>
        <w:jc w:val="both"/>
      </w:pPr>
      <w:r>
        <w:t xml:space="preserve">De ellas se siguen tres recomendaciones de reporte, que complementan los</w:t>
      </w:r>
      <w:r>
        <w:t xml:space="preserve"> </w:t>
      </w:r>
      <w:r>
        <w:t xml:space="preserve">criterios de selección de §</w:t>
      </w:r>
      <w:hyperlink w:anchor="sec-contribuciones">
        <w:r>
          <w:rPr>
            <w:rStyle w:val="Hipervnculo"/>
          </w:rPr>
          <w:t xml:space="preserve">7.2</w:t>
        </w:r>
      </w:hyperlink>
      <w:r>
        <w:t xml:space="preserve"> </w:t>
      </w:r>
      <w:r>
        <w:t xml:space="preserve">sin sustituirlos: reportar la</w:t>
      </w:r>
      <w:r>
        <w:t xml:space="preserve"> </w:t>
      </w:r>
      <w:r>
        <w:t xml:space="preserve">calidad de la explicación por separado para predicciones correctas e</w:t>
      </w:r>
      <w:r>
        <w:t xml:space="preserve"> </w:t>
      </w:r>
      <w:r>
        <w:t xml:space="preserve">incorrectas; acompañar toda comparación entre explicadores de la repetibilidad</w:t>
      </w:r>
      <w:r>
        <w:t xml:space="preserve"> </w:t>
      </w:r>
      <w:r>
        <w:t xml:space="preserve">de cada uno; y declarar el protocolo del que depende un orden entre métodos</w:t>
      </w:r>
      <w:r>
        <w:t xml:space="preserve"> </w:t>
      </w:r>
      <w:r>
        <w:t xml:space="preserve">antes de tratarlo como propiedad de los métodos.</w:t>
      </w:r>
    </w:p>
    <w:bookmarkEnd w:id="212"/>
    <w:bookmarkEnd w:id="213"/>
    <w:bookmarkStart w:id="217" w:name="sec-contribuciones"/>
    <w:p>
      <w:pPr>
        <w:pStyle w:val="Ttulo2"/>
        <w:spacing w:line="360" w:lineRule="auto"/>
        <w:jc w:val="both"/>
      </w:pPr>
      <w:r>
        <w:t xml:space="preserve">7.2 </w:t>
      </w:r>
      <w:r>
        <w:t xml:space="preserve">Contribuciones científicas</w:t>
      </w:r>
    </w:p>
    <w:bookmarkStart w:id="214" w:name="X2e7af289f3df14f7e31f2445fc83a79cfc8b431"/>
    <w:p>
      <w:pPr>
        <w:pStyle w:val="Ttulo3"/>
        <w:spacing w:line="360" w:lineRule="auto"/>
        <w:jc w:val="both"/>
      </w:pPr>
      <w:r>
        <w:t xml:space="preserve">7.2.1 </w:t>
      </w: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214"/>
    <w:bookmarkStart w:id="215" w:name="X93d1d918ce055ba24ba9e9f0b305f424c9a5ca8"/>
    <w:p>
      <w:pPr>
        <w:pStyle w:val="Ttulo3"/>
        <w:spacing w:line="360" w:lineRule="auto"/>
        <w:jc w:val="both"/>
      </w:pPr>
      <w:r>
        <w:t xml:space="preserve">7.2.2 </w:t>
      </w: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ns1:t>
        </ns1:r>
        <ns1:r>
          <ns1:t>3.00</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y Verbert 2024; Burger et al. 2023)</w:t>
      </w:r>
      <w:r>
        <w:t xml:space="preserve">. Específicamente, la inestabilidad de LIME no</w:t>
      </w:r>
      <w:r>
        <w:t xml:space="preserve"> </w:t>
      </w:r>
      <w:r>
        <w:t xml:space="preserve">es un artefacto de escenarios extremos ni de un presupuesto de muestreo</w:t>
      </w:r>
      <w:r>
        <w:t xml:space="preserve"> </w:t>
      </w:r>
      <w:r>
        <w:t xml:space="preserve">insuficiente, sino una propiedad reproducible del método bajo las condiciones</w:t>
      </w:r>
      <w:r>
        <w:t xml:space="preserve"> </w:t>
      </w:r>
      <w:r>
        <w:t xml:space="preserve">controladas del benchmark —y, como delimitan §</w:t>
      </w:r>
      <w:hyperlink w:anchor="sec-limitaciones">
        <w:r>
          <w:rPr>
            <w:rStyle w:val="Hipervnculo"/>
          </w:rPr>
          <w:t xml:space="preserve">7.4</w:t>
        </w:r>
      </w:hyperlink>
      <w:r>
        <w:t xml:space="preserve"> </w:t>
      </w:r>
      <w:r>
        <w:t xml:space="preserve">y §</w:t>
      </w:r>
      <w:hyperlink w:anchor="sec-exp3-nota">
        <w:r>
          <w:rPr>
            <w:rStyle w:val="Hipervnculo"/>
          </w:rPr>
          <w:t xml:space="preserve">7.5.1</w:t>
        </w:r>
      </w:hyperlink>
      <w:r>
        <w:t xml:space="preserve">,</w:t>
      </w:r>
      <w:r>
        <w:t xml:space="preserve"> </w:t>
      </w:r>
      <w:r>
        <w:t xml:space="preserve">una propiedad del par (configuración, espacio de características) más que del</w:t>
      </w:r>
      <w:r>
        <w:t xml:space="preserve"> </w:t>
      </w:r>
      <w:r>
        <w:t xml:space="preserve">método en abstracto. Esta demostración cuantifica el riesgo de usar LIME en</w:t>
      </w:r>
      <w:r>
        <w:t xml:space="preserve"> </w:t>
      </w:r>
      <w:r>
        <w:t xml:space="preserve">contextos donde se exija consistencia explicativa (auditoría, decisiones de alto</w:t>
      </w:r>
      <w:r>
        <w:t xml:space="preserve"> </w:t>
      </w:r>
      <w:r>
        <w:t xml:space="preserve">riesgo) sin haber medido antes su estabilidad en el espacio de despliegue, un</w:t>
      </w:r>
      <w:r>
        <w:t xml:space="preserve"> </w:t>
      </w:r>
      <w:r>
        <w:t xml:space="preserve">riesgo que los trabajos de referencia sobre LIME</w:t>
      </w:r>
      <w:r>
        <w:t xml:space="preserve"> </w:t>
      </w:r>
      <w:r>
        <w:t xml:space="preserve">(Ribeiro 2016)</w:t>
      </w:r>
      <w:r>
        <w:t xml:space="preserve"> </w:t>
      </w:r>
      <w:r>
        <w:t xml:space="preserve">no cuantifican</w:t>
      </w:r>
      <w:r>
        <w:t xml:space="preserve"> </w:t>
      </w:r>
      <w:r>
        <w:t xml:space="preserve">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y Verbert 2024; Arrieta 2019)</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215"/>
    <w:bookmarkStart w:id="216" w:name="X6583905c1b1630bf3acfdae91528ca52ef61481"/>
    <w:p>
      <w:pPr>
        <w:pStyle w:val="Ttulo3"/>
        <w:spacing w:line="360" w:lineRule="auto"/>
        <w:jc w:val="both"/>
      </w:pPr>
      <w:r>
        <w:t xml:space="preserve">7.2.3 </w:t>
      </w: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 El carácter prescriptivo se refiere a la firmeza del criterio</w:t>
      </w:r>
      <w:r>
        <w:t xml:space="preserve"> </w:t>
      </w:r>
      <w:r>
        <w:t xml:space="preserve">dada la evidencia, no a su alcance: cada criterio queda condicionado a las</w:t>
      </w:r>
      <w:r>
        <w:t xml:space="preserve"> </w:t>
      </w:r>
      <w:r>
        <w:t xml:space="preserve">condiciones del benchmark especificadas en</w:t>
      </w:r>
      <w:r>
        <w:t xml:space="preserve"> </w:t>
      </w:r>
      <w:hyperlink w:anchor="tbl-fronteras-generalizacion">
        <w:r>
          <w:rPr>
            <w:rStyle w:val="Hipervnculo"/>
          </w:rPr>
          <w:t xml:space="preserve">Tabla 7.4</w:t>
        </w:r>
      </w:hyperlink>
      <w:r>
        <w:t xml:space="preserve"> </w:t>
      </w:r>
      <w:r>
        <w:t xml:space="preserve">—dataset Adult Income, clasificación tabular binaria, las cinco familias de</w:t>
      </w:r>
      <w:r>
        <w:t xml:space="preserve"> </w:t>
      </w:r>
      <w:r>
        <w:t xml:space="preserve">modelo evaluadas y las operacionalizaciones métricas del Capítulo 3— y ninguno</w:t>
      </w:r>
      <w:r>
        <w:t xml:space="preserve"> </w:t>
      </w:r>
      <w:r>
        <w:t xml:space="preserve">se extiende a preferencias de usuarios finales, dominios regulados con</w:t>
      </w:r>
      <w:r>
        <w:t xml:space="preserve"> </w:t>
      </w:r>
      <w:r>
        <w:t xml:space="preserve">restricciones normativas propias ni criterios de comprehensibilidad. Con esa</w:t>
      </w:r>
      <w:r>
        <w:t xml:space="preserve"> </w:t>
      </w:r>
      <w:r>
        <w:t xml:space="preserve">delimitación:</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o consistencia explicativa verificables, con la condición de</w:t>
      </w:r>
      <w:r>
        <w:t xml:space="preserve"> </w:t>
      </w:r>
      <w:r>
        <w:t xml:space="preserve">comprobar el umbral en la familia de modelo concreta. Sobre la media global SHAP</w:t>
      </w:r>
      <w:r>
        <w:t xml:space="preserve"> </w:t>
      </w:r>
      <w:r>
        <w:t xml:space="preserve">satisface</w:t>
      </w:r>
      <w:r>
        <w:t xml:space="preserve"> </w:t>
      </w:r>
      <ns1:oMath>
        <ns1:acc>
          <ns1:accPr>
            <ns1:chr ns1:val="‾"/>
          </ns1:accPr>
          <ns1:e>
            <ns1:r>
              <ns1:t>F</ns1:t>
            </ns1:r>
          </ns1:e>
        </ns1:acc>
        <ns1:r>
          <ns1:rPr>
            <ns1:sty ns1:val="p"/>
          </ns1:rPr>
          <ns1:t>=</ns1:t>
        </ns1:r>
        <ns1:r>
          <ns1:t>0.808</ns1:t>
        </ns1:r>
        <ns1:r>
          <ns1:rPr>
            <ns1:sty ns1:val="p"/>
          </ns1:rPr>
          <ns1:t>≥</ns1:t>
        </ns1:r>
        <ns1:r>
          <ns1:t>0.80</ns1:t>
        </ns1:r>
      </ns1:oMath>
      <w:r>
        <w:t xml:space="preserve"> </w:t>
      </w:r>
      <w:r>
        <w:t xml:space="preserve">y</w:t>
      </w:r>
      <w:r>
        <w:t xml:space="preserve"> </w:t>
      </w:r>
      <ns1:oMath>
        <ns1:acc>
          <ns1:accPr>
            <ns1:chr ns1:val="‾"/>
          </ns1:accPr>
          <ns1:e>
            <ns1:r>
              <ns1:t>S</ns1:t>
            </ns1:r>
          </ns1:e>
        </ns1:acc>
        <ns1:r>
          <ns1:rPr>
            <ns1:sty ns1:val="p"/>
          </ns1:rPr>
          <ns1:t>=</ns1:t>
        </ns1:r>
        <ns1:r>
          <ns1:t>0.732</ns1:t>
        </ns1:r>
        <ns1:r>
          <ns1:rPr>
            <ns1:sty ns1:val="p"/>
          </ns1:rPr>
          <ns1:t>≥</ns1:t>
        </ns1:r>
        <ns1:r>
          <ns1:t>0.70</ns1:t>
        </ns1:r>
      </ns1:oMath>
      <w:r>
        <w:t xml:space="preserve">, pero la</w:t>
      </w:r>
      <w:r>
        <w:t xml:space="preserve"> </w:t>
      </w:r>
      <w:r>
        <w:t xml:space="preserve">media global no es el criterio operativo: por familia, la fidelidad alcanza</w:t>
      </w:r>
      <w:r>
        <w:t xml:space="preserve"> </w:t>
      </w:r>
      <ns1:oMath>
        <ns1:r>
          <ns1:rPr>
            <ns1:sty ns1:val="p"/>
          </ns1:rPr>
          <ns1:t>≥</ns1:t>
        </ns1:r>
        <ns1:r>
          <ns1:t>0.80</ns1:t>
        </ns1:r>
      </ns1:oMath>
      <w:r>
        <w:t xml:space="preserve"> </w:t>
      </w:r>
      <w:r>
        <w:t xml:space="preserve">solo en logreg (0.946) y SVM (0.882), y la estabilidad alcanza</w:t>
      </w:r>
      <w:r>
        <w:t xml:space="preserve"> </w:t>
      </w:r>
      <ns1:oMath>
        <ns1:r>
          <ns1:rPr>
            <ns1:sty ns1:val="p"/>
          </ns1:rPr>
          <ns1:t>≥</ns1:t>
        </ns1:r>
        <ns1:r>
          <ns1:t>0.70</ns1:t>
        </ns1:r>
      </ns1:oMath>
      <w:r>
        <w:t xml:space="preserve"> </w:t>
      </w:r>
      <w:r>
        <w:t xml:space="preserve">solo en logreg (0.880), RF (0.949) y SVM (0.925), descendiendo a</w:t>
      </w:r>
      <w:r>
        <w:t xml:space="preserve"> </w:t>
      </w:r>
      <w:r>
        <w:t xml:space="preserve">0.575 en XGBoost y 0.331 en MLP. Para modelos basados en árboles, TreeSHAP</w:t>
      </w:r>
      <w:r>
        <w:t xml:space="preserve"> </w:t>
      </w:r>
      <w:r>
        <w:t xml:space="preserve">reduce el coste en dos o tres órdenes de magnitud respecto a KernelSHAP —21 ms</w:t>
      </w:r>
      <w:r>
        <w:t xml:space="preserve"> </w:t>
      </w:r>
      <w:r>
        <w:t xml:space="preserve">por instancia en XGBoost y 2,820 ms en Random Forest, frente a 54,231 ms en SVM—</w:t>
      </w:r>
      <w:r>
        <w:t xml:space="preserve"> </w:t>
      </w:r>
      <w:r>
        <w:t xml:space="preserve">lo que hace esta elección también la más eficiente en XGBoost.</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Las medias por familia de modelo</w:t>
      </w:r>
      <w:r>
        <w:t xml:space="preserve"> </w:t>
      </w:r>
      <w:r>
        <w:t xml:space="preserve">de LIME en logreg/xgb/mlp —73 ms, 122 ms y 52 ms por instancia respectivamente—</w:t>
      </w:r>
      <w:r>
        <w:t xml:space="preserve"> </w:t>
      </w:r>
      <w:r>
        <w:t xml:space="preserve">hacen posible la explicación en tiempo real, con la condición</w:t>
      </w:r>
      <w:r>
        <w:t xml:space="preserve"> </w:t>
      </w:r>
      <w:r>
        <w:t xml:space="preserve">explícita de que las explicaciones no sean comparadas entre ejecuciones. En SVM</w:t>
      </w:r>
      <w:r>
        <w:t xml:space="preserve"> </w:t>
      </w:r>
      <w:r>
        <w:t xml:space="preserve">esa ventaja desaparece: LIME asciende a 17,620 ms de media.</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medias por familia de modelo —15,564 ms</w:t>
      </w:r>
      <w:r>
        <w:t xml:space="preserve"> </w:t>
      </w:r>
      <w:r>
        <w:t xml:space="preserve">(MLP), 37,415 ms (SVM) y 48,955 ms (RF) por instancia— son inviables en</w:t>
      </w:r>
      <w:r>
        <w:t xml:space="preserve"> </w:t>
      </w:r>
      <w:r>
        <w:t xml:space="preserve">producción, y su cobertura analítica cae al 76.0% por no convergencia. Su uso es</w:t>
      </w:r>
      <w:r>
        <w:t xml:space="preserve"> </w:t>
      </w:r>
      <w:r>
        <w:t xml:space="preserve">justificable exclusivamente cuando la</w:t>
      </w:r>
      <w:r>
        <w:t xml:space="preserve"> </w:t>
      </w:r>
      <w:r>
        <w:t xml:space="preserve">forma semántica IF-THEN es un requisito regulatorio o de usuario y el modelo</w:t>
      </w:r>
      <w:r>
        <w:t xml:space="preserve"> </w:t>
      </w:r>
      <w:r>
        <w:t xml:space="preserve">es de complejidad baja (logreg, 2,918 ms).</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puesto que la métrica de atribución no</w:t>
      </w:r>
      <w:r>
        <w:t xml:space="preserve"> </w:t>
      </w:r>
      <w:r>
        <w:t xml:space="preserve">mide lo que DiCE optimiza. Su coste, en cambio, sí es una restricción real y no</w:t>
      </w:r>
      <w:r>
        <w:t xml:space="preserve"> </w:t>
      </w:r>
      <w:r>
        <w:t xml:space="preserve">debe presentarse como moderado: con una media de 28,209 ms por instancia</w:t>
      </w:r>
      <w:r>
        <w:t xml:space="preserve"> </w:t>
      </w:r>
      <w:r>
        <w:t xml:space="preserve">(mediana 11,880 ms) es el segundo más elevado del benchmark, solo por debajo de</w:t>
      </w:r>
      <w:r>
        <w:t xml:space="preserve"> </w:t>
      </w:r>
      <w:r>
        <w:t xml:space="preserve">Anchors (38,159 ms), y varía entre 12,634 ms (MLP) y 66,266 ms (SVM) según la</w:t>
      </w:r>
      <w:r>
        <w:t xml:space="preserve"> </w:t>
      </w:r>
      <w:r>
        <w:t xml:space="preserve">familia de modelo. DiCE se justifica cuando el recourse es el objetivo y no</w:t>
      </w:r>
      <w:r>
        <w:t xml:space="preserve"> </w:t>
      </w:r>
      <w:r>
        <w:t xml:space="preserve">existe sustituto, no por eficiencia.</w:t>
      </w:r>
    </w:p>
    <w:bookmarkEnd w:id="216"/>
    <w:bookmarkEnd w:id="217"/>
    <w:bookmarkStart w:id="219" w:name="sec-posicionamiento"/>
    <w:p>
      <w:pPr>
        <w:pStyle w:val="Ttulo2"/>
        <w:spacing w:line="360" w:lineRule="auto"/>
        <w:jc w:val="both"/>
      </w:pPr>
      <w:r>
        <w:t xml:space="preserve">7.3 </w:t>
      </w: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7.3</w:t>
        </w:r>
      </w:hyperlink>
      <w:r>
        <w:t xml:space="preserve"> </w:t>
      </w:r>
      <w:r>
        <w:t xml:space="preserve">realiza esta separación de forma explícita.</w:t>
      </w:r>
    </w:p>
    <w:tbl>
      <w:tblPr>
        <w:tblStyle w:val="Table"/>
        <w:tblW w:type="pct" w:w="5000"/>
        <w:jc w:val="center"/>
        <w:tblLayout w:type="fixed"/>
        <w:tblLook w:firstRow="0" w:lastRow="0" w:firstColumn="0" w:lastColumn="0" w:noHBand="0" w:noVBand="0" w:val="0000"/>
      </w:tblPr>
      <w:tblGrid>
        <w:gridCol w:w="7920"/>
      </w:tblGrid>
      <w:tr>
        <w:tc>
          <w:tcPr/>
          <w:bookmarkStart w:id="218" w:name="tbl-contribucion-separacion"/>
          <w:p>
            <w:pPr>
              <w:pStyle w:val="ImageCaption"/>
              <w:spacing w:before="200" w:line="360" w:lineRule="auto"/>
              <w:jc w:val="center"/>
            </w:pPr>
            <w:r>
              <w:t xml:space="preserve">Tabla 7.3: Separación de contribuciones respecto a los trabajos más cercanos.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Contribución</w:t>
                  </w:r>
                </w:p>
              </w:tc>
              <w:tc>
                <w:tcPr/>
                <w:p>
                  <w:pPr>
                    <w:pStyle w:val="Compact"/>
                    <w:jc w:val="both"/>
                    <w:jc w:val="center"/>
                    <w:spacing w:line="360" w:lineRule="auto"/>
                  </w:pPr>
                  <w:r>
                    <w:rPr>
                      <w:bCs/>
                      <w:b/>
                    </w:rPr>
                    <w:t xml:space="preserve">Trabajos más cercanos</w:t>
                  </w:r>
                </w:p>
              </w:tc>
              <w:tc>
                <w:tcPr/>
                <w:p>
                  <w:pPr>
                    <w:pStyle w:val="Compact"/>
                    <w:jc w:val="both"/>
                    <w:jc w:val="center"/>
                    <w:spacing w:line="360" w:lineRule="auto"/>
                  </w:pPr>
                  <w:r>
                    <w:rPr>
                      <w:bCs/>
                      <w:b/>
                    </w:rPr>
                    <w:t xml:space="preserve">En qué se solapa</w:t>
                  </w:r>
                </w:p>
              </w:tc>
              <w:tc>
                <w:tcPr/>
                <w:p>
                  <w:pPr>
                    <w:pStyle w:val="Compact"/>
                    <w:jc w:val="both"/>
                    <w:jc w:val="center"/>
                    <w:spacing w:line="360" w:lineRule="auto"/>
                  </w:pPr>
                  <w:r>
                    <w:rPr>
                      <w:bCs/>
                      <w:b/>
                    </w:rP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218"/>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219"/>
    <w:bookmarkStart w:id="220" w:name="sec-limitaciones"/>
    <w:p>
      <w:pPr>
        <w:pStyle w:val="Ttulo2"/>
        <w:spacing w:line="360" w:lineRule="auto"/>
        <w:jc w:val="both"/>
      </w:pPr>
      <w:r>
        <w:t xml:space="preserve">7.4 </w:t>
      </w: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 Dentro del dominio tabular, el Estudio de</w:t>
      </w:r>
      <w:r>
        <w:t xml:space="preserve"> </w:t>
      </w:r>
      <w:r>
        <w:t xml:space="preserve">Transferencia entre Conjuntos de Datos (§</w:t>
      </w:r>
      <w:hyperlink w:anchor="sec-seg-transferencia">
        <w:r>
          <w:rPr>
            <w:rStyle w:val="Hipervnculo"/>
          </w:rPr>
          <w:t xml:space="preserve">6.4</w:t>
        </w:r>
      </w:hyperlink>
      <w:r>
        <w:t xml:space="preserve">) reduce esta</w:t>
      </w:r>
      <w:r>
        <w:t xml:space="preserve"> </w:t>
      </w:r>
      <w:r>
        <w:t xml:space="preserve">limitación para el orden de los métodos, que se conserva en la mayoría de 16</w:t>
      </w:r>
      <w:r>
        <w:t xml:space="preserve"> </w:t>
      </w:r>
      <w:r>
        <w:t xml:space="preserve">conjuntos de datos, pero no para las magnitudes reportadas en el Capítulo 4,</w:t>
      </w:r>
      <w:r>
        <w:t xml:space="preserve"> </w:t>
      </w:r>
      <w:r>
        <w:t xml:space="preserve">porque emplea un protocolo y unas definiciones operativas propios.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y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Alcance de la inestabilidad de LIME.</w:t>
      </w:r>
      <w:r>
        <w:t xml:space="preserve"> </w:t>
      </w:r>
      <w:r>
        <w:t xml:space="preserve">La inestabilidad de LIME observada en EXP2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lo que descarta que el resultado sea un artefacto de convergencia del muestreo. La sensibilidad al ancho del kernel, en cambio, sí es sustantiva. Un análisis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—de modo que 3.0 es el mínimo viable— pero que</w:t>
      </w:r>
      <w:r>
        <w:t xml:space="preserve"> </w:t>
      </w:r>
      <w:r>
        <w:rPr>
          <w:rStyle w:val="VerbatimChar"/>
        </w:rPr>
        <w:t xml:space="preserve">kernel_width = 10.0</w:t>
      </w:r>
      <w:r>
        <w:t xml:space="preserve"> </w:t>
      </w:r>
      <w:r>
        <w:t xml:space="preserve">recupera una estabilidad de 0.664 a costa de la fidelidad, que desciende de 0.518 a 0.441 (Apéndice C,</w:t>
      </w:r>
      <w:r>
        <w:t xml:space="preserve"> </w:t>
      </w:r>
      <w:hyperlink w:anchor="tbl-appendix-lime-kw-sensitivity">
        <w:r>
          <w:rPr>
            <w:rStyle w:val="Hipervnculo"/>
          </w:rPr>
          <w:t xml:space="preserve">Tabla 7.11</w:t>
        </w:r>
      </w:hyperlink>
      <w:r>
        <w:t xml:space="preserve">). El resultado debe enunciarse, por tanto, con su condición de producción: bajo la configuración de referencia y en el espacio de 103 dimensiones de Adult Income, las explicaciones de LIME son casi ortogonales entre réplicas; no se trata de una propiedad universal del método, sino de una propiedad del par (configuración, espacio de características). La validación cruzada de EXP3 (§</w:t>
      </w:r>
      <w:hyperlink w:anchor="sec-exp3-nota">
        <w:r>
          <w:rPr>
            <w:rStyle w:val="Hipervnculo"/>
          </w:rPr>
          <w:t xml:space="preserve">7.5.1</w:t>
        </w:r>
      </w:hyperlink>
      <w:r>
        <w:t xml:space="preserve">) confirma esta lectura desde el otro extremo: con el mismo</w:t>
      </w:r>
      <w:r>
        <w:t xml:space="preserve"> </w:t>
      </w:r>
      <w:r>
        <w:rPr>
          <w:rStyle w:val="VerbatimChar"/>
        </w:rPr>
        <w:t xml:space="preserve">kernel_width = 3.0</w:t>
      </w:r>
      <w:r>
        <w:t xml:space="preserve">, LIME alcanza estabilidades de 0.748–0.927 en Breast Cancer y German Credit. La consecuencia práctica no es más débil, sino más accionable: la estabilidad de LIME no puede presuponerse a partir de la literatura ni de este benchmark, debe medirse en el espacio de características y la configuración del despliegue concreto.</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0.196</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w:t>
      </w:r>
      <w:r>
        <w:t xml:space="preserve"> </w:t>
      </w:r>
      <w:r>
        <w:t xml:space="preserve">(Hooker et al. 2019; Rong et al. 2022)</w:t>
      </w:r>
      <w:r>
        <w:t xml:space="preserve">. El operador común y determinista favorece la comparabilidad procedimental, pero no preserva la distribución conjunta ni elimina ese sesgo. No puede descartarse que parte de la brecha de fidelidad SHAP-LIME refleje sensibilidad diferencial a este mecanismo en lugar de diferencias puras de calidad de atribución.</w:t>
      </w:r>
    </w:p>
    <w:bookmarkEnd w:id="220"/>
    <w:bookmarkStart w:id="223" w:name="sec-fronteras"/>
    <w:p>
      <w:pPr>
        <w:pStyle w:val="Ttulo2"/>
        <w:spacing w:line="360" w:lineRule="auto"/>
        <w:jc w:val="both"/>
      </w:pPr>
      <w:r>
        <w:t xml:space="preserve">7.5 </w:t>
      </w: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jc w:val="center"/>
        <w:tblLayout w:type="fixed"/>
        <w:tblLook w:firstRow="0" w:lastRow="0" w:firstColumn="0" w:lastColumn="0" w:noHBand="0" w:noVBand="0" w:val="0000"/>
      </w:tblPr>
      <w:tblGrid>
        <w:gridCol w:w="7920"/>
      </w:tblGrid>
      <w:tr>
        <w:tc>
          <w:tcPr/>
          <w:bookmarkStart w:id="221" w:name="tbl-fronteras-generalizacion"/>
          <w:p>
            <w:pPr>
              <w:pStyle w:val="ImageCaption"/>
              <w:spacing w:before="200" w:line="360" w:lineRule="auto"/>
              <w:jc w:val="center"/>
            </w:pPr>
            <w:r>
              <w:t xml:space="preserve">Tabla 7.4: Fronteras de generalización de los hallazgos principales.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Afirmación</w:t>
                  </w:r>
                </w:p>
              </w:tc>
              <w:tc>
                <w:tcPr/>
                <w:p>
                  <w:pPr>
                    <w:pStyle w:val="Compact"/>
                    <w:jc w:val="both"/>
                    <w:jc w:val="center"/>
                    <w:spacing w:line="360" w:lineRule="auto"/>
                  </w:pPr>
                  <w:r>
                    <w:rPr>
                      <w:bCs/>
                      <w:b/>
                    </w:rPr>
                    <w:t xml:space="preserve">Soportada para</w:t>
                  </w:r>
                </w:p>
              </w:tc>
              <w:tc>
                <w:tcPr/>
                <w:p>
                  <w:pPr>
                    <w:pStyle w:val="Compact"/>
                    <w:jc w:val="both"/>
                    <w:jc w:val="center"/>
                    <w:spacing w:line="360" w:lineRule="auto"/>
                  </w:pPr>
                  <w:r>
                    <w:rPr>
                      <w:bCs/>
                      <w:b/>
                    </w:rPr>
                    <w:t xml:space="preserve">No soportada para</w:t>
                  </w:r>
                </w:p>
              </w:tc>
              <w:tc>
                <w:tcPr/>
                <w:p>
                  <w:pPr>
                    <w:pStyle w:val="Compact"/>
                    <w:jc w:val="both"/>
                    <w:jc w:val="center"/>
                    <w:spacing w:line="360" w:lineRule="auto"/>
                  </w:pPr>
                  <w:r>
                    <w:rPr>
                      <w:bCs/>
                      <w:b/>
                    </w:rP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w:t>
                  </w:r>
                  <w:hyperlink w:anchor="sec-exp3-nota">
                    <w:r>
                      <w:rPr>
                        <w:rStyle w:val="Hipervnculo"/>
                      </w:rPr>
                      <w:t xml:space="preserve">7.5.1</w:t>
                    </w:r>
                  </w:hyperlink>
                  <w:r>
                    <w:t xml:space="preserve">). La extensión posterior incorporó LIME en esos dos datasets, pero no instrumentó estabilidad de SHAP; por tanto, el contraste pareado SHAP-LIME completo fuera de Adult permanece pendiente.</w:t>
                  </w:r>
                  <w:r>
                    <w:t xml:space="preserve"> </w:t>
                  </w:r>
                  <w:r>
                    <w:rPr>
                      <w:b/>
                      <w:bCs/>
                    </w:rPr>
                    <w:t xml:space="preserve">Seguimiento (§</w:t>
                  </w:r>
                  <w:hyperlink w:anchor="sec-seg-transferencia">
                    <w:r>
                      <w:rPr>
                        <w:rStyle w:val="Hipervnculo"/>
                        <w:b/>
                        <w:bCs/>
                      </w:rPr>
                      <w:t xml:space="preserve">6.4</w:t>
                    </w:r>
                  </w:hyperlink>
                  <w:r>
                    <w:rPr>
                      <w:b/>
                      <w:bCs/>
                    </w:rPr>
                    <w:t xml:space="preserve">):</w:t>
                  </w:r>
                  <w:r>
                    <w:t xml:space="preserve"> </w:t>
                  </w:r>
                  <w:r>
                    <w:t xml:space="preserve">bajo un protocolo común, el par LIME–SHAP conserva el orden de Adult en 13 de los otros 15 conjuntos de datos en la brecha de fidelidad y en estabilidad; ese estudio no replica las magnitudes de este benchmark.</w:t>
                  </w:r>
                </w:p>
              </w:tc>
            </w:tr>
            <w:tr>
              <w:tc>
                <w:tcPr/>
                <w:p>
                  <w:pPr>
                    <w:pStyle w:val="Compact"/>
                    <w:jc w:val="both"/>
                    <w:jc w:val="center"/>
                    <w:spacing w:line="360" w:lineRule="auto"/>
                  </w:pPr>
                  <w:r>
                    <w:t xml:space="preserve">La inestabilidad de LIME es casi total en la condición medida (CV=86%, media≈0.014)</w:t>
                  </w:r>
                </w:p>
              </w:tc>
              <w:tc>
                <w:tcPr/>
                <w:p>
                  <w:pPr>
                    <w:pStyle w:val="Compact"/>
                    <w:jc w:val="both"/>
                    <w:jc w:val="center"/>
                    <w:spacing w:line="360" w:lineRule="auto"/>
                  </w:pPr>
                  <w:r>
                    <w:t xml:space="preserve">UCI Adult Income; espacio preprocesado de 103 dimensiones predominantemente binario;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Otros espacios de características o datasets —§</w:t>
                  </w:r>
                  <w:hyperlink w:anchor="sec-exp3-nota">
                    <w:r>
                      <w:rPr>
                        <w:rStyle w:val="Hipervnculo"/>
                      </w:rPr>
                      <w:t xml:space="preserve">7.5.1</w:t>
                    </w:r>
                  </w:hyperlink>
                  <w:r>
                    <w:t xml:space="preserve"> </w:t>
                  </w:r>
                  <w:r>
                    <w:t xml:space="preserve">mide 0.748–0.927 en Breast Cancer y German Credit bajo la misma configuración—; otros anchos de kernel (</w:t>
                  </w:r>
                  <w:r>
                    <w:rPr>
                      <w:rStyle w:val="VerbatimChar"/>
                    </w:rPr>
                    <w:t xml:space="preserve">kernel_width=10.0</w:t>
                  </w:r>
                  <w:r>
                    <w:t xml:space="preserve"> </w:t>
                  </w:r>
                  <w:r>
                    <w:t xml:space="preserve">produce 0.664, Apéndice C); otras definiciones de estabilidad (distancia Lipschitz local, varianza de pesos)</w:t>
                  </w:r>
                </w:p>
              </w:tc>
              <w:tc>
                <w:tcPr/>
                <w:p>
                  <w:pPr>
                    <w:pStyle w:val="Compact"/>
                    <w:jc w:val="both"/>
                    <w:jc w:val="center"/>
                    <w:spacing w:line="360" w:lineRule="auto"/>
                  </w:pPr>
                  <w:r>
                    <w:t xml:space="preserve">Interacción entre</w:t>
                  </w:r>
                  <w:r>
                    <w:t xml:space="preserve"> </w:t>
                  </w:r>
                  <w:r>
                    <w:rPr>
                      <w:rStyle w:val="VerbatimChar"/>
                    </w:rPr>
                    <w:t xml:space="preserve">kernel_width</w:t>
                  </w:r>
                  <w:r>
                    <w:t xml:space="preserve"> </w:t>
                  </w:r>
                  <w:r>
                    <w:t xml:space="preserve">y la dimensionalidad del espacio de características; estabilidad bajo esquemas de perturbación no gaussianos; instrumentación de la estabilidad de SHAP en los datasets de EXP3 para obtener el contraste pareado completo</w:t>
                  </w:r>
                </w:p>
              </w:tc>
            </w:tr>
            <w:tr>
              <w:tc>
                <w:tcPr/>
                <w:p>
                  <w:pPr>
                    <w:pStyle w:val="Compact"/>
                    <w:jc w:val="both"/>
                    <w:jc w:val="center"/>
                    <w:spacing w:line="360" w:lineRule="auto"/>
                  </w:pPr>
                  <w:r>
                    <w:t xml:space="preserve">FOM-7 produce resultados reproducibles (CV&lt;3% en fidelidad en el subgrupo replicado RF/</w:t>
                  </w:r>
                  <ns1:oMath>
                    <ns1:r>
                      <ns1:t>N</ns1:t>
                    </ns1:r>
                    <ns1:r>
                      <ns1:rPr>
                        <ns1:sty ns1:val="p"/>
                      </ns1:rPr>
                      <ns1:t>=</ns1:t>
                    </ns1:r>
                    <ns1:r>
                      <ns1:t>100</ns1:t>
                    </ns1:r>
                  </ns1:oMath>
                  <w:r>
                    <w:t xml:space="preserve">; CV agrupado 11.4% SHAP y 12.0% LIME sobre el conjunto completo, frente al umbral del 15% de P1)</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221"/>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222" w:name="sec-exp3-nota"/>
    <w:p>
      <w:pPr>
        <w:pStyle w:val="Ttulo3"/>
        <w:spacing w:line="360" w:lineRule="auto"/>
        <w:jc w:val="both"/>
      </w:pPr>
      <w:r>
        <w:t xml:space="preserve">7.5.1 </w:t>
      </w: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y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y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XGB)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ambas cifras para RF).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222"/>
    <w:bookmarkEnd w:id="223"/>
    <w:bookmarkStart w:id="224" w:name="sec-futuro"/>
    <w:p>
      <w:pPr>
        <w:pStyle w:val="Ttulo2"/>
        <w:spacing w:line="360" w:lineRule="auto"/>
        <w:jc w:val="both"/>
      </w:pPr>
      <w:r>
        <w:t xml:space="preserve">7.6 </w:t>
      </w: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w:t>
      </w:r>
      <w:hyperlink w:anchor="sec-exp4-fiabilidad">
        <w:r>
          <w:rPr>
            <w:rStyle w:val="Hipervnculo"/>
          </w:rPr>
          <w:t xml:space="preserve">5.8</w:t>
        </w:r>
      </w:hyperlink>
      <w:r>
        <w:t xml:space="preserve">)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w:t>
      </w:r>
      <w:hyperlink w:anchor="sec-exp4-fiabilidad">
        <w:r>
          <w:rPr>
            <w:rStyle w:val="Hipervnculo"/>
          </w:rPr>
          <w:t xml:space="preserve">5.8</w:t>
        </w:r>
      </w:hyperlink>
      <w:r>
        <w:t xml:space="preserve"> </w:t>
      </w:r>
      <w:r>
        <w:t xml:space="preserve">(especificación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La cohorte</w:t>
      </w:r>
      <w:r>
        <w:t xml:space="preserve"> </w:t>
      </w:r>
      <w:r>
        <w:t xml:space="preserve">de replicación con un segundo panel de jueces ya aporta una prueba parcial.</w:t>
      </w:r>
      <w:r>
        <w:t xml:space="preserve"> </w:t>
      </w:r>
      <w:r>
        <w:t xml:space="preserve">Sostiene el gradiente para Completitud, Plausibilidad Semántica y Claridad, pero</w:t>
      </w:r>
      <w:r>
        <w:t xml:space="preserve"> </w:t>
      </w:r>
      <w:r>
        <w:t xml:space="preserve">no para Utilidad para auditoría, y muestra que la redacción de la rúbrica</w:t>
      </w:r>
      <w:r>
        <w:t xml:space="preserve"> </w:t>
      </w:r>
      <w:r>
        <w:t xml:space="preserve">desplaza tanto las puntuaciones como la fiabilidad. La calibración deberá, por</w:t>
      </w:r>
      <w:r>
        <w:t xml:space="preserve"> </w:t>
      </w:r>
      <w:r>
        <w:t xml:space="preserve">tanto, estratificarse por dimensión y por panel de jueces, y declarar la</w:t>
      </w:r>
      <w:r>
        <w:t xml:space="preserve"> </w:t>
      </w:r>
      <w:r>
        <w:t xml:space="preserve">condición y la agregación de antemano. Solo después de superar criterios de</w:t>
      </w:r>
      <w:r>
        <w:t xml:space="preserve"> </w:t>
      </w:r>
      <w:r>
        <w:t xml:space="preserve">aceptación declarados podría evaluarse un uso acotado. El gradiente actual es</w:t>
      </w:r>
      <w:r>
        <w:t xml:space="preserve"> </w:t>
      </w:r>
      <w:r>
        <w:t xml:space="preserve">generador de hipótesis y no autoriza un uso confirmativo: en la condición</w:t>
      </w:r>
      <w:r>
        <w:t xml:space="preserve"> </w:t>
      </w:r>
      <w:r>
        <w:t xml:space="preserve">primaria, todos los ICC(1,1) son inferiores a 0.75 en ambas cohortes. La</w:t>
      </w:r>
      <w:r>
        <w:t xml:space="preserve"> </w:t>
      </w:r>
      <w:r>
        <w:t xml:space="preserve">replicación con rúbricas revisadas permitirá determinar si la brecha de</w:t>
      </w:r>
      <w:r>
        <w:t xml:space="preserve"> </w:t>
      </w:r>
      <w:r>
        <w:t xml:space="preserve">fiabilidad se cierra con mayor formalización o refleja límites del paradigma</w:t>
      </w:r>
      <w:r>
        <w:t xml:space="preserve"> </w:t>
      </w:r>
      <w:r>
        <w:t xml:space="preserve">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Completar el contraste cross-dataset SHAP-LIME y replicar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y una extensión posterior incorporó</w:t>
      </w:r>
      <w:r>
        <w:t xml:space="preserve"> </w:t>
      </w:r>
      <w:r>
        <w:t xml:space="preserve">LIME con las mismas métricas de fidelidad y estabilidad. Sin embargo, la</w:t>
      </w:r>
      <w:r>
        <w:t xml:space="preserve"> </w:t>
      </w:r>
      <w:r>
        <w:t xml:space="preserve">estabilidad de SHAP no fue instrumentada en esos datasets, por lo que aún no</w:t>
      </w:r>
      <w:r>
        <w:t xml:space="preserve"> </w:t>
      </w:r>
      <w:r>
        <w:t xml:space="preserve">existe un contraste pareado SHAP-LIME completo de estabilidad fuera de UCI Adult</w:t>
      </w:r>
      <w:r>
        <w:t xml:space="preserve"> </w:t>
      </w:r>
      <w:r>
        <w:t xml:space="preserve">Income. La extensión prioritaria es completar esa instrumentación y ampliar el</w:t>
      </w:r>
      <w:r>
        <w:t xml:space="preserve"> </w:t>
      </w:r>
      <w:r>
        <w:t xml:space="preserve">diseño a más modelos y datasets, de modo que los hallazgos centrales de esta</w:t>
      </w:r>
      <w:r>
        <w:t xml:space="preserve"> </w:t>
      </w:r>
      <w:r>
        <w:t xml:space="preserve">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 estabilidad— sean verificables</w:t>
      </w:r>
      <w:r>
        <w:t xml:space="preserve"> </w:t>
      </w:r>
      <w:r>
        <w:t xml:space="preserve">fuera del contexto Adult. El Estudio de Transferencia entre Conjuntos de Datos</w:t>
      </w:r>
      <w:r>
        <w:t xml:space="preserve"> </w:t>
      </w:r>
      <w:r>
        <w:t xml:space="preserve">(§</w:t>
      </w:r>
      <w:hyperlink w:anchor="sec-seg-transferencia">
        <w:r>
          <w:rPr>
            <w:rStyle w:val="Hipervnculo"/>
          </w:rPr>
          <w:t xml:space="preserve">6.4</w:t>
        </w:r>
      </w:hyperlink>
      <w:r>
        <w:t xml:space="preserve">) avanza en esta línea para el orden de los métodos</w:t>
      </w:r>
      <w:r>
        <w:t xml:space="preserve"> </w:t>
      </w:r>
      <w:r>
        <w:t xml:space="preserve">sobre 16 conjuntos de datos, con medidas definidas sobre las características</w:t>
      </w:r>
      <w:r>
        <w:t xml:space="preserve"> </w:t>
      </w:r>
      <w:r>
        <w:t xml:space="preserve">que la explicación nombra; queda pendiente repetirlo con las</w:t>
      </w:r>
      <w:r>
        <w:t xml:space="preserve"> </w:t>
      </w:r>
      <w:r>
        <w:t xml:space="preserve">operacionalizaciones del Capítulo 3 y con medidas propias de las reglas y de</w:t>
      </w:r>
      <w:r>
        <w:t xml:space="preserve"> </w:t>
      </w:r>
      <w:r>
        <w:t xml:space="preserve">los contrafactuales. Una segunda dirección es la validación en dominios</w:t>
      </w:r>
      <w:r>
        <w:t xml:space="preserve"> </w:t>
      </w:r>
      <w:r>
        <w:t xml:space="preserve">regulados (crédito, salud, justicia) con restricciones normativas explícitas</w:t>
      </w:r>
      <w:r>
        <w:t xml:space="preserve"> </w:t>
      </w:r>
      <w:r>
        <w:t xml:space="preserve">(EU AI Act, GDPR Art. 22), donde la elección del método explicador tiene</w:t>
      </w:r>
      <w:r>
        <w:t xml:space="preserve"> </w:t>
      </w:r>
      <w:r>
        <w:t xml:space="preserve">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224"/>
    <w:bookmarkStart w:id="225" w:name="sec-sintesis"/>
    <w:p>
      <w:pPr>
        <w:pStyle w:val="Ttulo2"/>
        <w:spacing w:line="360" w:lineRule="auto"/>
        <w:jc w:val="both"/>
      </w:pPr>
      <w:r>
        <w:t xml:space="preserve">7.7 </w:t>
      </w: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documentada bajo la configuración y el espacio de</w:t>
      </w:r>
      <w:r>
        <w:t xml:space="preserve"> </w:t>
      </w:r>
      <w:r>
        <w:t xml:space="preserve">características evaluados;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y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puede exhibir inestabilidad casi total —no marginal,</w:t>
      </w:r>
      <w:r>
        <w:t xml:space="preserve"> </w:t>
      </w:r>
      <w:r>
        <w:t xml:space="preserve">sino sistemática, con CV=86.2% y similitud coseno media de 0.014 bajo la</w:t>
      </w:r>
      <w:r>
        <w:t xml:space="preserve"> </w:t>
      </w:r>
      <w:r>
        <w:t xml:space="preserve">configuración de referencia en el espacio de 103 dimensiones de Adult Income—</w:t>
      </w:r>
      <w:r>
        <w:t xml:space="preserve"> </w:t>
      </w:r>
      <w:r>
        <w:t xml:space="preserve">es relevante para cualquier sistema de apoyo a la decisión que emplee LIME en</w:t>
      </w:r>
      <w:r>
        <w:t xml:space="preserve"> </w:t>
      </w:r>
      <w:r>
        <w:t xml:space="preserve">entornos de auditoría, regulación o alto riesgo. El contexto normativo actual</w:t>
      </w:r>
      <w:r>
        <w:t xml:space="preserve"> </w:t>
      </w:r>
      <w:r>
        <w:t xml:space="preserve">(EU AI Act, GDPR Art. 22) demanda explicaciones verificables y consistentes; un</w:t>
      </w:r>
      <w:r>
        <w:t xml:space="preserve"> </w:t>
      </w:r>
      <w:r>
        <w:t xml:space="preserve">método que produce explicaciones casi ortogonales entre dos ejecuciones de la</w:t>
      </w:r>
      <w:r>
        <w:t xml:space="preserve"> </w:t>
      </w:r>
      <w:r>
        <w:t xml:space="preserve">misma instancia no satisface ese requisito. La implicación operativa, sin</w:t>
      </w:r>
      <w:r>
        <w:t xml:space="preserve"> </w:t>
      </w:r>
      <w:r>
        <w:t xml:space="preserve">embargo, no es que LIME deba descartarse universalmente: EXP3 muestra</w:t>
      </w:r>
      <w:r>
        <w:t xml:space="preserve"> </w:t>
      </w:r>
      <w:r>
        <w:t xml:space="preserve">estabilidades de 0.748–0.927 en espacios de menor dimensión con la misma</w:t>
      </w:r>
      <w:r>
        <w:t xml:space="preserve"> </w:t>
      </w:r>
      <w:r>
        <w:t xml:space="preserve">configuración, y el ancho del kernel modula el resultado dentro de un mismo</w:t>
      </w:r>
      <w:r>
        <w:t xml:space="preserve"> </w:t>
      </w:r>
      <w:r>
        <w:t xml:space="preserve">espacio (§</w:t>
      </w:r>
      <w:hyperlink w:anchor="sec-limitaciones">
        <w:r>
          <w:rPr>
            <w:rStyle w:val="Hipervnculo"/>
          </w:rPr>
          <w:t xml:space="preserve">7.4</w:t>
        </w:r>
      </w:hyperlink>
      <w:r>
        <w:t xml:space="preserve">). La conclusión defendible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w:t>
      </w:r>
      <w:r>
        <w:t xml:space="preserve">y delimitada por ambos análisis— es que la</w:t>
      </w:r>
      <w:r>
        <w:t xml:space="preserve"> </w:t>
      </w:r>
      <w:r>
        <w:t xml:space="preserve">estabilidad de LIME es una propiedad contingente del despliegue y no puede</w:t>
      </w:r>
      <w:r>
        <w:t xml:space="preserve"> </w:t>
      </w:r>
      <w:r>
        <w:t xml:space="preserve">presuponerse: en un régimen regulatorio que exige consistencia, debe medirse y</w:t>
      </w:r>
      <w:r>
        <w:t xml:space="preserve"> </w:t>
      </w:r>
      <w:r>
        <w:t xml:space="preserve">documentarse para el espacio de características y la configuración concretos</w:t>
      </w:r>
      <w:r>
        <w:t xml:space="preserve"> </w:t>
      </w:r>
      <w:r>
        <w:t xml:space="preserve">antes de admitir el método como evidencia. Esta es la afirmación de mayor</w:t>
      </w:r>
      <w:r>
        <w:t xml:space="preserve"> </w:t>
      </w:r>
      <w:r>
        <w:t xml:space="preserve">impacto práctico de la tesis: no es un argumento teórico contra LIME, sino la</w:t>
      </w:r>
      <w:r>
        <w:t xml:space="preserve"> </w:t>
      </w:r>
      <w:r>
        <w:t xml:space="preserve">especificación empírica de qué debe verificarse antes de usarlo en el tipo de</w:t>
      </w:r>
      <w:r>
        <w:t xml:space="preserve"> </w:t>
      </w:r>
      <w:r>
        <w:t xml:space="preserve">despliegue que la regulación exige evaluar.</w:t>
      </w:r>
    </w:p>
    <w:p>
      <w:pPr>
        <w:pStyle w:val="Textoindependiente"/>
        <w:spacing w:line="360" w:lineRule="auto"/>
        <w:jc w:val="both"/>
      </w:pPr>
      <w:r>
        <w:t xml:space="preserve">Los estudios de seguimiento refuerzan esta lectura desde cuatro ángulos. La</w:t>
      </w:r>
      <w:r>
        <w:t xml:space="preserve"> </w:t>
      </w:r>
      <w:r>
        <w:t xml:space="preserve">calidad promedio de un explicador no describe por igual las predicciones</w:t>
      </w:r>
      <w:r>
        <w:t xml:space="preserve"> </w:t>
      </w:r>
      <w:r>
        <w:t xml:space="preserve">correctas y las erróneas; dos explicadores pueden nombrar características</w:t>
      </w:r>
      <w:r>
        <w:t xml:space="preserve"> </w:t>
      </w:r>
      <w:r>
        <w:t xml:space="preserve">distintas para la misma predicción; un orden entre métodos depende del</w:t>
      </w:r>
      <w:r>
        <w:t xml:space="preserve"> </w:t>
      </w:r>
      <w:r>
        <w:t xml:space="preserve">protocolo con que se obtiene, aunque en buena parte se conserve entre conjuntos</w:t>
      </w:r>
      <w:r>
        <w:t xml:space="preserve"> </w:t>
      </w:r>
      <w:r>
        <w:t xml:space="preserve">de datos; y un juez automático puede acordar sobre la forma de una explicación</w:t>
      </w:r>
      <w:r>
        <w:t xml:space="preserve"> </w:t>
      </w:r>
      <w:r>
        <w:t xml:space="preserve">sin advertir que su contenido es erróneo. En los cuatro casos la conclusión es</w:t>
      </w:r>
      <w:r>
        <w:t xml:space="preserve"> </w:t>
      </w:r>
      <w:r>
        <w:t xml:space="preserve">la misma que para la estabilidad de LIME: lo que se afirma de un método</w:t>
      </w:r>
      <w:r>
        <w:t xml:space="preserve"> </w:t>
      </w:r>
      <w:r>
        <w:t xml:space="preserve">explicador debe ir acompañado de las condiciones en que se midió.</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225"/>
    <w:bookmarkEnd w:id="226"/>
    <w:bookmarkStart w:id="492" w:name="referencias"/>
    <w:p>
      <w:pPr>
        <w:pStyle w:val="Ttulo1"/>
        <w:spacing w:line="360" w:lineRule="auto"/>
        <w:jc w:val="both"/>
      </w:pPr>
      <w:r>
        <w:t xml:space="preserve">Referencias</w:t>
      </w:r>
    </w:p>
    <w:bookmarkStart w:id="491" w:name="refs"/>
    <w:bookmarkStart w:id="228" w:name="ref-abdul2018"/>
    <w:p>
      <w:pPr>
        <w:pStyle w:val="Bibliography"/>
        <w:spacing w:line="360" w:lineRule="auto"/>
        <w:jc w:val="both"/>
      </w:pPr>
      <w:r>
        <w:t xml:space="preserve">Abdul, Ashraf, Jo Vermeulen, Danding Wang, Brian Y. Lim, y Mohan Kankanhalli. 2018.</w:t>
      </w:r>
      <w:r>
        <w:t xml:space="preserve"> </w:t>
      </w:r>
      <w:r>
        <w:t xml:space="preserve">«Trends and Trajectories for Explainable, Accountable and Intelligible Systems: An HCI Research Agenda»</w:t>
      </w:r>
      <w:r>
        <w:t xml:space="preserve">.</w:t>
      </w:r>
      <w:r>
        <w:t xml:space="preserve"> </w:t>
      </w:r>
      <w:r>
        <w:rPr>
          <w:i/>
          <w:iCs/>
        </w:rPr>
        <w:t xml:space="preserve">Proceedings of the 2018 CHI Conference on Human Factors in Computing Systems</w:t>
      </w:r>
      <w:r>
        <w:t xml:space="preserve">, 1-18.</w:t>
      </w:r>
      <w:r>
        <w:t xml:space="preserve"> </w:t>
      </w:r>
      <w:hyperlink ns5:id="rId227">
        <w:r>
          <w:rPr>
            <w:rStyle w:val="Hipervnculo"/>
          </w:rPr>
          <w:t xml:space="preserve">https://doi.org/10.1145/3173574.3174156</w:t>
        </w:r>
      </w:hyperlink>
      <w:r>
        <w:t xml:space="preserve">.</w:t>
      </w:r>
    </w:p>
    <w:bookmarkEnd w:id="228"/>
    <w:bookmarkStart w:id="230" w:name="ref-abdulkadir2023"/>
    <w:p>
      <w:pPr>
        <w:pStyle w:val="Bibliography"/>
        <w:spacing w:line="360" w:lineRule="auto"/>
        <w:jc w:val="both"/>
      </w:pPr>
      <w:r>
        <w:t xml:space="preserve">Abdul Kadir, M., A. Mosavi, y D. Sonntag. 2023.</w:t>
      </w:r>
      <w:r>
        <w:t xml:space="preserve"> </w:t>
      </w:r>
      <w:r>
        <w:t xml:space="preserve">«Evaluation Metrics for XAI: A Review, Taxonomy, and Practical Applications»</w:t>
      </w:r>
      <w:r>
        <w:t xml:space="preserve">.</w:t>
      </w:r>
      <w:r>
        <w:t xml:space="preserve"> </w:t>
      </w:r>
      <w:r>
        <w:rPr>
          <w:i/>
          <w:iCs/>
        </w:rPr>
        <w:t xml:space="preserve">INES 2023 Proceedings</w:t>
      </w:r>
      <w:r>
        <w:t xml:space="preserve">, advance online publication.</w:t>
      </w:r>
      <w:r>
        <w:t xml:space="preserve"> </w:t>
      </w:r>
      <w:hyperlink ns5:id="rId229">
        <w:r>
          <w:rPr>
            <w:rStyle w:val="Hipervnculo"/>
          </w:rPr>
          <w:t xml:space="preserve">https://doi.org/10.1109/INES59045.2023.1030000</w:t>
        </w:r>
      </w:hyperlink>
      <w:r>
        <w:t xml:space="preserve">.</w:t>
      </w:r>
    </w:p>
    <w:bookmarkEnd w:id="230"/>
    <w:bookmarkStart w:id="232" w:name="ref-abusitta2024"/>
    <w:p>
      <w:pPr>
        <w:pStyle w:val="Bibliography"/>
        <w:spacing w:line="360" w:lineRule="auto"/>
        <w:jc w:val="both"/>
      </w:pPr>
      <w:r>
        <w:t xml:space="preserve">Abusitta, Adel, Miles Q. Li, y Benjamin C. M. Fung. 2024.</w:t>
      </w:r>
      <w:r>
        <w:t xml:space="preserve"> </w:t>
      </w:r>
      <w:r>
        <w:rPr>
          <w:i/>
          <w:iCs/>
        </w:rPr>
        <w:t xml:space="preserve">Survey on Explainable Ai: Techniques, Challenges and Open Issues</w:t>
      </w:r>
      <w:r>
        <w:t xml:space="preserve">. Elsevier BV.</w:t>
      </w:r>
      <w:r>
        <w:t xml:space="preserve"> </w:t>
      </w:r>
      <w:hyperlink ns5:id="rId231">
        <w:r>
          <w:rPr>
            <w:rStyle w:val="Hipervnculo"/>
          </w:rPr>
          <w:t xml:space="preserve">https://doi.org/10.2139/ssrn.4710037</w:t>
        </w:r>
      </w:hyperlink>
      <w:r>
        <w:t xml:space="preserve">.</w:t>
      </w:r>
    </w:p>
    <w:bookmarkEnd w:id="232"/>
    <w:bookmarkStart w:id="234"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w:t>
      </w:r>
      <w:r>
        <w:t xml:space="preserve"> </w:t>
      </w:r>
      <w:r>
        <w:rPr>
          <w:i/>
          <w:iCs/>
        </w:rPr>
        <w:t xml:space="preserve">IEEE Access</w:t>
      </w:r>
      <w:r>
        <w:t xml:space="preserve"> </w:t>
      </w:r>
      <w:r>
        <w:t xml:space="preserve">6: 52138-60.</w:t>
      </w:r>
      <w:r>
        <w:t xml:space="preserve"> </w:t>
      </w:r>
      <w:hyperlink ns5:id="rId233">
        <w:r>
          <w:rPr>
            <w:rStyle w:val="Hipervnculo"/>
          </w:rPr>
          <w:t xml:space="preserve">https://doi.org/10.1109/access.2018.2870052</w:t>
        </w:r>
      </w:hyperlink>
      <w:r>
        <w:t xml:space="preserve">.</w:t>
      </w:r>
    </w:p>
    <w:bookmarkEnd w:id="234"/>
    <w:bookmarkStart w:id="236" w:name="ref-adhikari2022"/>
    <w:p>
      <w:pPr>
        <w:pStyle w:val="Bibliography"/>
        <w:spacing w:line="360" w:lineRule="auto"/>
        <w:jc w:val="both"/>
      </w:pPr>
      <w:r>
        <w:t xml:space="preserve">Adhikari, Jiang, D. 2022.</w:t>
      </w:r>
      <w:r>
        <w:t xml:space="preserve"> </w:t>
      </w:r>
      <w:r>
        <w:t xml:space="preserve">«A comprehensive survey on imputation of missing data in Internet of Things»</w:t>
      </w:r>
      <w:r>
        <w:t xml:space="preserve">.</w:t>
      </w:r>
      <w:r>
        <w:t xml:space="preserve"> </w:t>
      </w:r>
      <w:r>
        <w:rPr>
          <w:i/>
          <w:iCs/>
        </w:rPr>
        <w:t xml:space="preserve">ACM Computing Surveys</w:t>
      </w:r>
      <w:r>
        <w:t xml:space="preserve"> </w:t>
      </w:r>
      <w:r>
        <w:t xml:space="preserve">55 (7): 1-38.</w:t>
      </w:r>
      <w:r>
        <w:t xml:space="preserve"> </w:t>
      </w:r>
      <w:hyperlink ns5:id="rId235">
        <w:r>
          <w:rPr>
            <w:rStyle w:val="Hipervnculo"/>
          </w:rPr>
          <w:t xml:space="preserve">https://doi.org/10.1145/3533381</w:t>
        </w:r>
      </w:hyperlink>
      <w:r>
        <w:t xml:space="preserve">.</w:t>
      </w:r>
    </w:p>
    <w:bookmarkEnd w:id="236"/>
    <w:bookmarkStart w:id="238" w:name="ref-agarwal2023"/>
    <w:p>
      <w:pPr>
        <w:pStyle w:val="Bibliography"/>
        <w:spacing w:line="360" w:lineRule="auto"/>
        <w:jc w:val="both"/>
      </w:pPr>
      <w:r>
        <w:t xml:space="preserve">Agarwal, Chirag, Owen Queen, Himabindu Lakkaraju, y Marinka Zitnik. 2023.</w:t>
      </w:r>
      <w:r>
        <w:t xml:space="preserve"> </w:t>
      </w:r>
      <w:r>
        <w:t xml:space="preserve">«Evaluating explainability for graph neural networks»</w:t>
      </w:r>
      <w:r>
        <w:t xml:space="preserve">.</w:t>
      </w:r>
      <w:r>
        <w:t xml:space="preserve"> </w:t>
      </w:r>
      <w:r>
        <w:rPr>
          <w:i/>
          <w:iCs/>
        </w:rPr>
        <w:t xml:space="preserve">Scientific Data</w:t>
      </w:r>
      <w:r>
        <w:t xml:space="preserve"> </w:t>
      </w:r>
      <w:r>
        <w:t xml:space="preserve">10 (1).</w:t>
      </w:r>
      <w:r>
        <w:t xml:space="preserve"> </w:t>
      </w:r>
      <w:hyperlink ns5:id="rId237">
        <w:r>
          <w:rPr>
            <w:rStyle w:val="Hipervnculo"/>
          </w:rPr>
          <w:t xml:space="preserve">https://doi.org/10.1038/s41597-023-01974-x</w:t>
        </w:r>
      </w:hyperlink>
      <w:r>
        <w:t xml:space="preserve">.</w:t>
      </w:r>
    </w:p>
    <w:bookmarkEnd w:id="238"/>
    <w:bookmarkStart w:id="239"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w:t>
      </w:r>
      <w:r>
        <w:t xml:space="preserve"> </w:t>
      </w:r>
      <w:r>
        <w:rPr>
          <w:i/>
          <w:iCs/>
        </w:rPr>
        <w:t xml:space="preserve">Advances in Neural Information Processing Systems (NeurIPS)</w:t>
      </w:r>
      <w:r>
        <w:t xml:space="preserve">.</w:t>
      </w:r>
    </w:p>
    <w:bookmarkEnd w:id="239"/>
    <w:bookmarkStart w:id="241"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w:t>
      </w:r>
      <w:r>
        <w:t xml:space="preserve"> </w:t>
      </w:r>
      <w:r>
        <w:rPr>
          <w:i/>
          <w:iCs/>
        </w:rPr>
        <w:t xml:space="preserve">Information Fusion</w:t>
      </w:r>
      <w:r>
        <w:t xml:space="preserve"> </w:t>
      </w:r>
      <w:r>
        <w:t xml:space="preserve">99: 101805.</w:t>
      </w:r>
      <w:r>
        <w:t xml:space="preserve"> </w:t>
      </w:r>
      <w:hyperlink ns5:id="rId240">
        <w:r>
          <w:rPr>
            <w:rStyle w:val="Hipervnculo"/>
          </w:rPr>
          <w:t xml:space="preserve">https://doi.org/10.1016/j.inffus.2023.101805</w:t>
        </w:r>
      </w:hyperlink>
      <w:r>
        <w:t xml:space="preserve">.</w:t>
      </w:r>
    </w:p>
    <w:bookmarkEnd w:id="241"/>
    <w:bookmarkStart w:id="243" w:name="ref-alkhateeb2025"/>
    <w:p>
      <w:pPr>
        <w:pStyle w:val="Bibliography"/>
        <w:spacing w:line="360" w:lineRule="auto"/>
        <w:jc w:val="both"/>
      </w:pPr>
      <w:r>
        <w:t xml:space="preserve">Alkhateeb, Banan Mohammad, y Ellis Solaiman. 2025.</w:t>
      </w:r>
      <w:r>
        <w:t xml:space="preserve"> </w:t>
      </w:r>
      <w:r>
        <w:rPr>
          <w:i/>
          <w:iCs/>
        </w:rPr>
        <w:t xml:space="preserve">Context-Aware Visualization for Explainable AI Recommendations in Social Media: A Vision for User-Aligned Explanations</w:t>
      </w:r>
      <w:r>
        <w:t xml:space="preserve">. Springer Nature Switzerland.</w:t>
      </w:r>
      <w:r>
        <w:t xml:space="preserve"> </w:t>
      </w:r>
      <w:hyperlink ns5:id="rId242">
        <w:r>
          <w:rPr>
            <w:rStyle w:val="Hipervnculo"/>
          </w:rPr>
          <w:t xml:space="preserve">https://doi.org/10.1007/978-3-032-06744-9_14</w:t>
        </w:r>
      </w:hyperlink>
      <w:r>
        <w:t xml:space="preserve">.</w:t>
      </w:r>
    </w:p>
    <w:bookmarkEnd w:id="243"/>
    <w:bookmarkStart w:id="245"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w:t>
      </w:r>
      <w:r>
        <w:t xml:space="preserve"> </w:t>
      </w:r>
      <w:r>
        <w:rPr>
          <w:i/>
          <w:iCs/>
        </w:rPr>
        <w:t xml:space="preserve">Annual Review of Statistics and Its Application</w:t>
      </w:r>
      <w:r>
        <w:t xml:space="preserve"> </w:t>
      </w:r>
      <w:r>
        <w:t xml:space="preserve">11 (1): 97-121.</w:t>
      </w:r>
      <w:r>
        <w:t xml:space="preserve"> </w:t>
      </w:r>
      <w:hyperlink ns5:id="rId244">
        <w:r>
          <w:rPr>
            <w:rStyle w:val="Hipervnculo"/>
          </w:rPr>
          <w:t xml:space="preserve">https://doi.org/10.1146/annurev-statistics-040120-030919</w:t>
        </w:r>
      </w:hyperlink>
      <w:r>
        <w:t xml:space="preserve">.</w:t>
      </w:r>
    </w:p>
    <w:bookmarkEnd w:id="245"/>
    <w:bookmarkStart w:id="247"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w:t>
      </w:r>
      <w:r>
        <w:t xml:space="preserve"> </w:t>
      </w:r>
      <w:r>
        <w:rPr>
          <w:i/>
          <w:iCs/>
        </w:rPr>
        <w:t xml:space="preserve">Technologies</w:t>
      </w:r>
      <w:r>
        <w:t xml:space="preserve"> </w:t>
      </w:r>
      <w:r>
        <w:t xml:space="preserve">13 (3): 93.</w:t>
      </w:r>
      <w:r>
        <w:t xml:space="preserve"> </w:t>
      </w:r>
      <w:hyperlink ns5:id="rId246">
        <w:r>
          <w:rPr>
            <w:rStyle w:val="Hipervnculo"/>
          </w:rPr>
          <w:t xml:space="preserve">https://doi.org/10.3390/technologies13030093</w:t>
        </w:r>
      </w:hyperlink>
      <w:r>
        <w:t xml:space="preserve">.</w:t>
      </w:r>
    </w:p>
    <w:bookmarkEnd w:id="247"/>
    <w:bookmarkStart w:id="249" w:name="ref-alvarezmelis2018"/>
    <w:p>
      <w:pPr>
        <w:pStyle w:val="Bibliography"/>
        <w:spacing w:line="360" w:lineRule="auto"/>
        <w:jc w:val="both"/>
      </w:pPr>
      <w:r>
        <w:t xml:space="preserve">Alvarez-Melis, David, y Tommi S. Jaakkola. 2018.</w:t>
      </w:r>
      <w:r>
        <w:t xml:space="preserve"> </w:t>
      </w:r>
      <w:r>
        <w:rPr>
          <w:i/>
          <w:iCs/>
        </w:rPr>
        <w:t xml:space="preserve">On the Robustness of Interpretability Methods</w:t>
      </w:r>
      <w:r>
        <w:t xml:space="preserve">.</w:t>
      </w:r>
      <w:r>
        <w:t xml:space="preserve"> </w:t>
      </w:r>
      <w:hyperlink ns5:id="rId248">
        <w:r>
          <w:rPr>
            <w:rStyle w:val="Hipervnculo"/>
          </w:rPr>
          <w:t xml:space="preserve">https://arxiv.org/abs/1806.08049</w:t>
        </w:r>
      </w:hyperlink>
      <w:r>
        <w:t xml:space="preserve">.</w:t>
      </w:r>
    </w:p>
    <w:bookmarkEnd w:id="249"/>
    <w:bookmarkStart w:id="251" w:name="ref-amershi2014"/>
    <w:p>
      <w:pPr>
        <w:pStyle w:val="Bibliography"/>
        <w:spacing w:line="360" w:lineRule="auto"/>
        <w:jc w:val="both"/>
      </w:pPr>
      <w:r>
        <w:t xml:space="preserve">Amershi, Cakmak, S. 2014.</w:t>
      </w:r>
      <w:r>
        <w:t xml:space="preserve"> </w:t>
      </w:r>
      <w:r>
        <w:t xml:space="preserve">«Power to the People: The role of Humans in Interactive Machine Learning»</w:t>
      </w:r>
      <w:r>
        <w:t xml:space="preserve">.</w:t>
      </w:r>
      <w:r>
        <w:t xml:space="preserve"> </w:t>
      </w:r>
      <w:r>
        <w:rPr>
          <w:i/>
          <w:iCs/>
        </w:rPr>
        <w:t xml:space="preserve">AI Magazine</w:t>
      </w:r>
      <w:r>
        <w:t xml:space="preserve"> </w:t>
      </w:r>
      <w:r>
        <w:t xml:space="preserve">35 (4): 105-20.</w:t>
      </w:r>
      <w:r>
        <w:t xml:space="preserve"> </w:t>
      </w:r>
      <w:hyperlink ns5:id="rId250">
        <w:r>
          <w:rPr>
            <w:rStyle w:val="Hipervnculo"/>
          </w:rPr>
          <w:t xml:space="preserve">https://doi.org/10.1609/aimag.v35i4.2513</w:t>
        </w:r>
      </w:hyperlink>
      <w:r>
        <w:t xml:space="preserve">.</w:t>
      </w:r>
    </w:p>
    <w:bookmarkEnd w:id="251"/>
    <w:bookmarkStart w:id="253"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w:t>
      </w:r>
      <w:r>
        <w:t xml:space="preserve"> </w:t>
      </w:r>
      <w:r>
        <w:rPr>
          <w:i/>
          <w:iCs/>
        </w:rPr>
        <w:t xml:space="preserve">Wiley Interdisciplinary Reviews Data Mining and Knowledge Discovery</w:t>
      </w:r>
      <w:r>
        <w:t xml:space="preserve"> </w:t>
      </w:r>
      <w:r>
        <w:t xml:space="preserve">11 (5).</w:t>
      </w:r>
      <w:r>
        <w:t xml:space="preserve"> </w:t>
      </w:r>
      <w:hyperlink ns5:id="rId252">
        <w:r>
          <w:rPr>
            <w:rStyle w:val="Hipervnculo"/>
          </w:rPr>
          <w:t xml:space="preserve">https://doi.org/10.1002/widm.1424</w:t>
        </w:r>
      </w:hyperlink>
      <w:r>
        <w:t xml:space="preserve">.</w:t>
      </w:r>
    </w:p>
    <w:bookmarkEnd w:id="253"/>
    <w:bookmarkStart w:id="255" w:name="ref-apley2020"/>
    <w:p>
      <w:pPr>
        <w:pStyle w:val="Bibliography"/>
        <w:spacing w:line="360" w:lineRule="auto"/>
        <w:jc w:val="both"/>
      </w:pPr>
      <w:r>
        <w:t xml:space="preserve">Apley, &amp; Zhu, D. W. 2020.</w:t>
      </w:r>
      <w:r>
        <w:t xml:space="preserve"> </w:t>
      </w:r>
      <w:r>
        <w:t xml:space="preserve">«Visualizing the effects of predictor variables in black box supervised learning models»</w:t>
      </w:r>
      <w:r>
        <w:t xml:space="preserve">.</w:t>
      </w:r>
      <w:r>
        <w:t xml:space="preserve"> </w:t>
      </w:r>
      <w:r>
        <w:rPr>
          <w:i/>
          <w:iCs/>
        </w:rPr>
        <w:t xml:space="preserve">Journal of the Royal Statistical Society Series B (Statistical Methodology)</w:t>
      </w:r>
      <w:r>
        <w:t xml:space="preserve"> </w:t>
      </w:r>
      <w:r>
        <w:t xml:space="preserve">82 (4): 1059-86.</w:t>
      </w:r>
      <w:r>
        <w:t xml:space="preserve"> </w:t>
      </w:r>
      <w:hyperlink ns5:id="rId254">
        <w:r>
          <w:rPr>
            <w:rStyle w:val="Hipervnculo"/>
          </w:rPr>
          <w:t xml:space="preserve">https://doi.org/10.1111/rssb.12377</w:t>
        </w:r>
      </w:hyperlink>
      <w:r>
        <w:t xml:space="preserve">.</w:t>
      </w:r>
    </w:p>
    <w:bookmarkEnd w:id="255"/>
    <w:bookmarkStart w:id="257" w:name="ref-arrieta2019a"/>
    <w:p>
      <w:pPr>
        <w:pStyle w:val="Bibliography"/>
        <w:spacing w:line="360" w:lineRule="auto"/>
        <w:jc w:val="both"/>
      </w:pPr>
      <w:r>
        <w:t xml:space="preserve">Arrieta, Díaz-Rodríguez, A. B. 2019.</w:t>
      </w:r>
      <w:r>
        <w:t xml:space="preserve"> </w:t>
      </w:r>
      <w:r>
        <w:t xml:space="preserve">«Explainable Artificial Intelligence (XAI): Concepts, taxonomies, opportunities and challenges toward responsible AI»</w:t>
      </w:r>
      <w:r>
        <w:t xml:space="preserve">.</w:t>
      </w:r>
      <w:r>
        <w:t xml:space="preserve"> </w:t>
      </w:r>
      <w:r>
        <w:rPr>
          <w:i/>
          <w:iCs/>
        </w:rPr>
        <w:t xml:space="preserve">Information Fusion</w:t>
      </w:r>
      <w:r>
        <w:t xml:space="preserve"> </w:t>
      </w:r>
      <w:r>
        <w:t xml:space="preserve">58: 82-115.</w:t>
      </w:r>
      <w:r>
        <w:t xml:space="preserve"> </w:t>
      </w:r>
      <w:hyperlink ns5:id="rId256">
        <w:r>
          <w:rPr>
            <w:rStyle w:val="Hipervnculo"/>
          </w:rPr>
          <w:t xml:space="preserve">https://doi.org/10.1016/j.inffus.2019.12.012</w:t>
        </w:r>
      </w:hyperlink>
      <w:r>
        <w:t xml:space="preserve">.</w:t>
      </w:r>
    </w:p>
    <w:bookmarkEnd w:id="257"/>
    <w:bookmarkStart w:id="259" w:name="ref-bacardit2024"/>
    <w:p>
      <w:pPr>
        <w:pStyle w:val="Bibliography"/>
        <w:spacing w:line="360" w:lineRule="auto"/>
        <w:jc w:val="both"/>
      </w:pPr>
      <w:r>
        <w:t xml:space="preserve">Bacardit, Jaume, Alexander Brownlee, Stefano Cagnoni, Giovanni Iacca, John McCall, y David Walker. 2024.</w:t>
      </w:r>
      <w:r>
        <w:t xml:space="preserve"> </w:t>
      </w:r>
      <w:r>
        <w:t xml:space="preserve">«Introduction to the Special Issue on Explainable AI in Evolutionary Computation»</w:t>
      </w:r>
      <w:r>
        <w:t xml:space="preserve">.</w:t>
      </w:r>
      <w:r>
        <w:t xml:space="preserve"> </w:t>
      </w:r>
      <w:r>
        <w:rPr>
          <w:i/>
          <w:iCs/>
        </w:rPr>
        <w:t xml:space="preserve">ACM Transactions on Evolutionary Learning and Optimization</w:t>
      </w:r>
      <w:r>
        <w:t xml:space="preserve"> </w:t>
      </w:r>
      <w:r>
        <w:t xml:space="preserve">4 (1): 1-2.</w:t>
      </w:r>
      <w:r>
        <w:t xml:space="preserve"> </w:t>
      </w:r>
      <w:hyperlink ns5:id="rId258">
        <w:r>
          <w:rPr>
            <w:rStyle w:val="Hipervnculo"/>
          </w:rPr>
          <w:t xml:space="preserve">https://doi.org/10.1145/3649144</w:t>
        </w:r>
      </w:hyperlink>
      <w:r>
        <w:t xml:space="preserve">.</w:t>
      </w:r>
    </w:p>
    <w:bookmarkEnd w:id="259"/>
    <w:bookmarkStart w:id="261" w:name="ref-bastings2020"/>
    <w:p>
      <w:pPr>
        <w:pStyle w:val="Bibliography"/>
        <w:spacing w:line="360" w:lineRule="auto"/>
        <w:jc w:val="both"/>
      </w:pPr>
      <w:r>
        <w:t xml:space="preserve">Bastings, Jasmijn, y Katja Filippova. 2020.</w:t>
      </w:r>
      <w:r>
        <w:t xml:space="preserve"> </w:t>
      </w:r>
      <w:r>
        <w:t xml:space="preserve">«The elephant in the interpretability room: Why use attention as explanation when we have saliency methods?»</w:t>
      </w:r>
      <w:r>
        <w:t xml:space="preserve"> </w:t>
      </w:r>
      <w:r>
        <w:rPr>
          <w:i/>
          <w:iCs/>
        </w:rPr>
        <w:t xml:space="preserve">Proceedings of the Third BlackboxNLP Workshop on Analyzing and Interpreting Neural Networks for NLP</w:t>
      </w:r>
      <w:r>
        <w:t xml:space="preserve">, 149-55.</w:t>
      </w:r>
      <w:r>
        <w:t xml:space="preserve"> </w:t>
      </w:r>
      <w:hyperlink ns5:id="rId260">
        <w:r>
          <w:rPr>
            <w:rStyle w:val="Hipervnculo"/>
          </w:rPr>
          <w:t xml:space="preserve">https://doi.org/10.18653/v1/2020.blackboxnlp-1.14</w:t>
        </w:r>
      </w:hyperlink>
      <w:r>
        <w:t xml:space="preserve">.</w:t>
      </w:r>
    </w:p>
    <w:bookmarkEnd w:id="261"/>
    <w:bookmarkStart w:id="263"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w:t>
      </w:r>
      <w:r>
        <w:t xml:space="preserve"> </w:t>
      </w:r>
      <w:r>
        <w:rPr>
          <w:i/>
          <w:iCs/>
        </w:rPr>
        <w:t xml:space="preserve">Frontiers in Big Data</w:t>
      </w:r>
      <w:r>
        <w:t xml:space="preserve"> </w:t>
      </w:r>
      <w:r>
        <w:t xml:space="preserve">4.</w:t>
      </w:r>
      <w:r>
        <w:t xml:space="preserve"> </w:t>
      </w:r>
      <w:hyperlink ns5:id="rId262">
        <w:r>
          <w:rPr>
            <w:rStyle w:val="Hipervnculo"/>
          </w:rPr>
          <w:t xml:space="preserve">https://doi.org/10.3389/fdata.2021.688969</w:t>
        </w:r>
      </w:hyperlink>
      <w:r>
        <w:t xml:space="preserve">.</w:t>
      </w:r>
    </w:p>
    <w:bookmarkEnd w:id="263"/>
    <w:bookmarkStart w:id="265" w:name="ref-bennetot2024"/>
    <w:p>
      <w:pPr>
        <w:pStyle w:val="Bibliography"/>
        <w:spacing w:line="360" w:lineRule="auto"/>
        <w:jc w:val="both"/>
      </w:pPr>
      <w:r>
        <w:t xml:space="preserve">Bennetot, Adrien, Ivan Donadello, Ayoub El Qadi El Haouari, et al. 2024.</w:t>
      </w:r>
      <w:r>
        <w:t xml:space="preserve"> </w:t>
      </w:r>
      <w:r>
        <w:t xml:space="preserve">«A Practical Tutorial on Explainable AI Techniques»</w:t>
      </w:r>
      <w:r>
        <w:t xml:space="preserve">.</w:t>
      </w:r>
      <w:r>
        <w:t xml:space="preserve"> </w:t>
      </w:r>
      <w:r>
        <w:rPr>
          <w:i/>
          <w:iCs/>
        </w:rPr>
        <w:t xml:space="preserve">ACM Computing Surveys</w:t>
      </w:r>
      <w:r>
        <w:t xml:space="preserve"> </w:t>
      </w:r>
      <w:r>
        <w:t xml:space="preserve">57 (2): 1-44.</w:t>
      </w:r>
      <w:r>
        <w:t xml:space="preserve"> </w:t>
      </w:r>
      <w:hyperlink ns5:id="rId264">
        <w:r>
          <w:rPr>
            <w:rStyle w:val="Hipervnculo"/>
          </w:rPr>
          <w:t xml:space="preserve">https://doi.org/10.1145/3670685</w:t>
        </w:r>
      </w:hyperlink>
      <w:r>
        <w:t xml:space="preserve">.</w:t>
      </w:r>
    </w:p>
    <w:bookmarkEnd w:id="265"/>
    <w:bookmarkStart w:id="267" w:name="ref-bhat2024"/>
    <w:p>
      <w:pPr>
        <w:pStyle w:val="Bibliography"/>
        <w:spacing w:line="360" w:lineRule="auto"/>
        <w:jc w:val="both"/>
      </w:pPr>
      <w:r>
        <w:t xml:space="preserve">Bhat, Maalvika, y Duri Long. 2024.</w:t>
      </w:r>
      <w:r>
        <w:t xml:space="preserve"> </w:t>
      </w:r>
      <w:r>
        <w:t xml:space="preserve">«Designing Interactive Explainable AI Tools for Algorithmic Literacy and Transparency»</w:t>
      </w:r>
      <w:r>
        <w:t xml:space="preserve">.</w:t>
      </w:r>
      <w:r>
        <w:t xml:space="preserve"> </w:t>
      </w:r>
      <w:r>
        <w:rPr>
          <w:i/>
          <w:iCs/>
        </w:rPr>
        <w:t xml:space="preserve">Designing Interactive Systems Conference</w:t>
      </w:r>
      <w:r>
        <w:t xml:space="preserve">, 939-57.</w:t>
      </w:r>
      <w:r>
        <w:t xml:space="preserve"> </w:t>
      </w:r>
      <w:hyperlink ns5:id="rId266">
        <w:r>
          <w:rPr>
            <w:rStyle w:val="Hipervnculo"/>
          </w:rPr>
          <w:t xml:space="preserve">https://doi.org/10.1145/3643834.3660722</w:t>
        </w:r>
      </w:hyperlink>
      <w:r>
        <w:t xml:space="preserve">.</w:t>
      </w:r>
    </w:p>
    <w:bookmarkEnd w:id="267"/>
    <w:bookmarkStart w:id="269" w:name="ref-bhattacharya2024"/>
    <w:p>
      <w:pPr>
        <w:pStyle w:val="Bibliography"/>
        <w:spacing w:line="360" w:lineRule="auto"/>
        <w:jc w:val="both"/>
      </w:pPr>
      <w:r>
        <w:t xml:space="preserve">Bhattacharya, A., y K. Verbert. 2024.</w:t>
      </w:r>
      <w:r>
        <w:t xml:space="preserve"> </w:t>
      </w:r>
      <w:r>
        <w:t xml:space="preserve">«How Good Is Your Explanation?: Towards a Standardised Evaluation Approach for Diverse XAI Methods on Multiple Dimensions of Explainability»</w:t>
      </w:r>
      <w:r>
        <w:t xml:space="preserve">.</w:t>
      </w:r>
      <w:r>
        <w:t xml:space="preserve"> </w:t>
      </w:r>
      <w:r>
        <w:rPr>
          <w:i/>
          <w:iCs/>
        </w:rPr>
        <w:t xml:space="preserve">Proceedings of the 32nd ACM Conference on User Modeling, Adaptation and Personalization (UMAP Adjunct ’24)</w:t>
      </w:r>
      <w:r>
        <w:t xml:space="preserve">.</w:t>
      </w:r>
      <w:r>
        <w:t xml:space="preserve"> </w:t>
      </w:r>
      <w:hyperlink ns5:id="rId268">
        <w:r>
          <w:rPr>
            <w:rStyle w:val="Hipervnculo"/>
          </w:rPr>
          <w:t xml:space="preserve">https://doi.org/10.1145/3631700.3664911</w:t>
        </w:r>
      </w:hyperlink>
      <w:r>
        <w:t xml:space="preserve">.</w:t>
      </w:r>
    </w:p>
    <w:bookmarkEnd w:id="269"/>
    <w:bookmarkStart w:id="271" w:name="ref-bobitan2024"/>
    <w:p>
      <w:pPr>
        <w:pStyle w:val="Bibliography"/>
        <w:spacing w:line="360" w:lineRule="auto"/>
        <w:jc w:val="both"/>
      </w:pPr>
      <w:r>
        <w:t xml:space="preserve">Bobitan, Nicolae, Diana Dumitrescu, Adriana Florina Popa, Daniela Nicoleta Sahlian, y Ioan Codrut Turlea. 2024.</w:t>
      </w:r>
      <w:r>
        <w:t xml:space="preserve"> </w:t>
      </w:r>
      <w:r>
        <w:t xml:space="preserve">«Shaping Tomorrow: Anticipating Skills Requirements Based on the Integration of Artificial Intelligence in Business Organizations—A Foresight Analysis Using the Scenario Method»</w:t>
      </w:r>
      <w:r>
        <w:t xml:space="preserve">.</w:t>
      </w:r>
      <w:r>
        <w:t xml:space="preserve"> </w:t>
      </w:r>
      <w:r>
        <w:rPr>
          <w:i/>
          <w:iCs/>
        </w:rPr>
        <w:t xml:space="preserve">Electronics</w:t>
      </w:r>
      <w:r>
        <w:t xml:space="preserve"> </w:t>
      </w:r>
      <w:r>
        <w:t xml:space="preserve">13 (11): 2198.</w:t>
      </w:r>
      <w:r>
        <w:t xml:space="preserve"> </w:t>
      </w:r>
      <w:hyperlink ns5:id="rId270">
        <w:r>
          <w:rPr>
            <w:rStyle w:val="Hipervnculo"/>
          </w:rPr>
          <w:t xml:space="preserve">https://doi.org/10.3390/electronics13112198</w:t>
        </w:r>
      </w:hyperlink>
      <w:r>
        <w:t xml:space="preserve">.</w:t>
      </w:r>
    </w:p>
    <w:bookmarkEnd w:id="271"/>
    <w:bookmarkStart w:id="273" w:name="ref-breiman2001"/>
    <w:p>
      <w:pPr>
        <w:pStyle w:val="Bibliography"/>
        <w:spacing w:line="360" w:lineRule="auto"/>
        <w:jc w:val="both"/>
      </w:pPr>
      <w:r>
        <w:t xml:space="preserve">Breiman, L. 2001.</w:t>
      </w:r>
      <w:r>
        <w:t xml:space="preserve"> </w:t>
      </w:r>
      <w:r>
        <w:t xml:space="preserve">«Random forests»</w:t>
      </w:r>
      <w:r>
        <w:t xml:space="preserve">.</w:t>
      </w:r>
      <w:r>
        <w:t xml:space="preserve"> </w:t>
      </w:r>
      <w:r>
        <w:rPr>
          <w:i/>
          <w:iCs/>
        </w:rPr>
        <w:t xml:space="preserve">Machine Learning</w:t>
      </w:r>
      <w:r>
        <w:t xml:space="preserve"> </w:t>
      </w:r>
      <w:r>
        <w:t xml:space="preserve">45 (1): 5-32.</w:t>
      </w:r>
      <w:r>
        <w:t xml:space="preserve"> </w:t>
      </w:r>
      <w:hyperlink ns5:id="rId272">
        <w:r>
          <w:rPr>
            <w:rStyle w:val="Hipervnculo"/>
          </w:rPr>
          <w:t xml:space="preserve">https://doi.org/10.1023/a:1010933404324</w:t>
        </w:r>
      </w:hyperlink>
      <w:r>
        <w:t xml:space="preserve">.</w:t>
      </w:r>
    </w:p>
    <w:bookmarkEnd w:id="273"/>
    <w:bookmarkStart w:id="275" w:name="ref-brown2024"/>
    <w:p>
      <w:pPr>
        <w:pStyle w:val="Bibliography"/>
        <w:spacing w:line="360" w:lineRule="auto"/>
        <w:jc w:val="both"/>
      </w:pPr>
      <w:r>
        <w:t xml:space="preserve">Brown, Dene, y Glenn Hawe. 2024.</w:t>
      </w:r>
      <w:r>
        <w:t xml:space="preserve"> </w:t>
      </w:r>
      <w:r>
        <w:t xml:space="preserve">«Exploring Trade-offs in Explainable AI»</w:t>
      </w:r>
      <w:r>
        <w:t xml:space="preserve">.</w:t>
      </w:r>
      <w:r>
        <w:t xml:space="preserve"> </w:t>
      </w:r>
      <w:r>
        <w:rPr>
          <w:i/>
          <w:iCs/>
        </w:rPr>
        <w:t xml:space="preserve">ACM SIGAda Ada Letters</w:t>
      </w:r>
      <w:r>
        <w:t xml:space="preserve"> </w:t>
      </w:r>
      <w:r>
        <w:t xml:space="preserve">43 (2): 36-42.</w:t>
      </w:r>
      <w:r>
        <w:t xml:space="preserve"> </w:t>
      </w:r>
      <w:hyperlink ns5:id="rId274">
        <w:r>
          <w:rPr>
            <w:rStyle w:val="Hipervnculo"/>
          </w:rPr>
          <w:t xml:space="preserve">https://doi.org/10.1145/3672359.3672363</w:t>
        </w:r>
      </w:hyperlink>
      <w:r>
        <w:t xml:space="preserve">.</w:t>
      </w:r>
    </w:p>
    <w:bookmarkEnd w:id="275"/>
    <w:bookmarkStart w:id="277" w:name="ref-burger2023"/>
    <w:p>
      <w:pPr>
        <w:pStyle w:val="Bibliography"/>
        <w:spacing w:line="360" w:lineRule="auto"/>
        <w:jc w:val="both"/>
      </w:pPr>
      <w:r>
        <w:t xml:space="preserve">Burger, Christopher, Lingwei Chen, y Thai Le. 2023.</w:t>
      </w:r>
      <w:r>
        <w:t xml:space="preserve"> </w:t>
      </w:r>
      <w:r>
        <w:t xml:space="preserve">«Are Your Explanations Reliable? Investigating the Stability of LIME in Explaining Text Classifiers by Marrying XAI and Adversarial Attack»</w:t>
      </w:r>
      <w:r>
        <w:t xml:space="preserve">.</w:t>
      </w:r>
      <w:r>
        <w:t xml:space="preserve"> </w:t>
      </w:r>
      <w:r>
        <w:rPr>
          <w:i/>
          <w:iCs/>
        </w:rPr>
        <w:t xml:space="preserve">Proceedings of the 2023 Conference on Empirical Methods in Natural Language Processing</w:t>
      </w:r>
      <w:r>
        <w:t xml:space="preserve">, 12931-44.</w:t>
      </w:r>
      <w:r>
        <w:t xml:space="preserve"> </w:t>
      </w:r>
      <w:hyperlink ns5:id="rId276">
        <w:r>
          <w:rPr>
            <w:rStyle w:val="Hipervnculo"/>
          </w:rPr>
          <w:t xml:space="preserve">https://doi.org/10.18653/v1/2023.emnlp-main.792</w:t>
        </w:r>
      </w:hyperlink>
      <w:r>
        <w:t xml:space="preserve">.</w:t>
      </w:r>
    </w:p>
    <w:bookmarkEnd w:id="277"/>
    <w:bookmarkStart w:id="279" w:name="ref-canha2025"/>
    <w:p>
      <w:pPr>
        <w:pStyle w:val="Bibliography"/>
        <w:spacing w:line="360" w:lineRule="auto"/>
        <w:jc w:val="both"/>
      </w:pPr>
      <w:r>
        <w:t xml:space="preserve">Canha, D., S. Kubler, K. Främling, y G. Fagherazzi. 2025.</w:t>
      </w:r>
      <w:r>
        <w:t xml:space="preserve"> </w:t>
      </w:r>
      <w:r>
        <w:t xml:space="preserve">«A Functionally-Grounded Benchmark Framework for XAI Methods: Insights and Foundations from a Systematic Literature Review»</w:t>
      </w:r>
      <w:r>
        <w:t xml:space="preserve">.</w:t>
      </w:r>
      <w:r>
        <w:t xml:space="preserve"> </w:t>
      </w:r>
      <w:r>
        <w:rPr>
          <w:i/>
          <w:iCs/>
        </w:rPr>
        <w:t xml:space="preserve">ACM Computing Surveys</w:t>
      </w:r>
      <w:r>
        <w:t xml:space="preserve"> </w:t>
      </w:r>
      <w:r>
        <w:t xml:space="preserve">57 (12).</w:t>
      </w:r>
      <w:r>
        <w:t xml:space="preserve"> </w:t>
      </w:r>
      <w:hyperlink ns5:id="rId278">
        <w:r>
          <w:rPr>
            <w:rStyle w:val="Hipervnculo"/>
          </w:rPr>
          <w:t xml:space="preserve">https://doi.org/10.1145/3737445</w:t>
        </w:r>
      </w:hyperlink>
      <w:r>
        <w:t xml:space="preserve">.</w:t>
      </w:r>
    </w:p>
    <w:bookmarkEnd w:id="279"/>
    <w:bookmarkStart w:id="281" w:name="ref-carvalho2019"/>
    <w:p>
      <w:pPr>
        <w:pStyle w:val="Bibliography"/>
        <w:spacing w:line="360" w:lineRule="auto"/>
        <w:jc w:val="both"/>
      </w:pPr>
      <w:r>
        <w:t xml:space="preserve">Carvalho, Diogo V., Eduardo M. Pereira, y Jaime S. Cardoso. 2019.</w:t>
      </w:r>
      <w:r>
        <w:t xml:space="preserve"> </w:t>
      </w:r>
      <w:r>
        <w:t xml:space="preserve">«Machine Learning Interpretability: A Survey on Methods and Metrics»</w:t>
      </w:r>
      <w:r>
        <w:t xml:space="preserve">.</w:t>
      </w:r>
      <w:r>
        <w:t xml:space="preserve"> </w:t>
      </w:r>
      <w:r>
        <w:rPr>
          <w:i/>
          <w:iCs/>
        </w:rPr>
        <w:t xml:space="preserve">Electronics</w:t>
      </w:r>
      <w:r>
        <w:t xml:space="preserve"> </w:t>
      </w:r>
      <w:r>
        <w:t xml:space="preserve">8 (8): 832.</w:t>
      </w:r>
      <w:r>
        <w:t xml:space="preserve"> </w:t>
      </w:r>
      <w:hyperlink ns5:id="rId280">
        <w:r>
          <w:rPr>
            <w:rStyle w:val="Hipervnculo"/>
          </w:rPr>
          <w:t xml:space="preserve">https://doi.org/10.3390/electronics8080832</w:t>
        </w:r>
      </w:hyperlink>
      <w:r>
        <w:t xml:space="preserve">.</w:t>
      </w:r>
    </w:p>
    <w:bookmarkEnd w:id="281"/>
    <w:bookmarkStart w:id="283" w:name="ref-choudhari2025"/>
    <w:p>
      <w:pPr>
        <w:pStyle w:val="Bibliography"/>
        <w:spacing w:line="360" w:lineRule="auto"/>
        <w:jc w:val="both"/>
      </w:pPr>
      <w:r>
        <w:t xml:space="preserve">Choudhari, Anaya, Tejal Ambhore, y Ninad Mehendale. 2025.</w:t>
      </w:r>
      <w:r>
        <w:t xml:space="preserve"> </w:t>
      </w:r>
      <w:r>
        <w:rPr>
          <w:i/>
          <w:iCs/>
        </w:rPr>
        <w:t xml:space="preserve">Explainable AI: Bridging the Gap Between Machine Intelligence and Human Understanding</w:t>
      </w:r>
      <w:r>
        <w:t xml:space="preserve">. Elsevier BV.</w:t>
      </w:r>
      <w:r>
        <w:t xml:space="preserve"> </w:t>
      </w:r>
      <w:hyperlink ns5:id="rId282">
        <w:r>
          <w:rPr>
            <w:rStyle w:val="Hipervnculo"/>
          </w:rPr>
          <w:t xml:space="preserve">https://doi.org/10.2139/ssrn.5040613</w:t>
        </w:r>
      </w:hyperlink>
      <w:r>
        <w:t xml:space="preserve">.</w:t>
      </w:r>
    </w:p>
    <w:bookmarkEnd w:id="283"/>
    <w:bookmarkStart w:id="285" w:name="ref-cohen1960"/>
    <w:p>
      <w:pPr>
        <w:pStyle w:val="Bibliography"/>
        <w:spacing w:line="360" w:lineRule="auto"/>
        <w:jc w:val="both"/>
      </w:pPr>
      <w:r>
        <w:t xml:space="preserve">Cohen, J. 1960.</w:t>
      </w:r>
      <w:r>
        <w:t xml:space="preserve"> </w:t>
      </w:r>
      <w:r>
        <w:t xml:space="preserve">«A coefficient of agreement for nominal scales»</w:t>
      </w:r>
      <w:r>
        <w:t xml:space="preserve">.</w:t>
      </w:r>
      <w:r>
        <w:t xml:space="preserve"> </w:t>
      </w:r>
      <w:r>
        <w:rPr>
          <w:i/>
          <w:iCs/>
        </w:rPr>
        <w:t xml:space="preserve">Educational and Psychological Measurement</w:t>
      </w:r>
      <w:r>
        <w:t xml:space="preserve"> </w:t>
      </w:r>
      <w:r>
        <w:t xml:space="preserve">20 (1): 37-46.</w:t>
      </w:r>
      <w:r>
        <w:t xml:space="preserve"> </w:t>
      </w:r>
      <w:hyperlink ns5:id="rId284">
        <w:r>
          <w:rPr>
            <w:rStyle w:val="Hipervnculo"/>
          </w:rPr>
          <w:t xml:space="preserve">https://doi.org/10.1177/001316446002000104</w:t>
        </w:r>
      </w:hyperlink>
      <w:r>
        <w:t xml:space="preserve">.</w:t>
      </w:r>
    </w:p>
    <w:bookmarkEnd w:id="285"/>
    <w:bookmarkStart w:id="287" w:name="ref-colley2023"/>
    <w:p>
      <w:pPr>
        <w:pStyle w:val="Bibliography"/>
        <w:spacing w:line="360" w:lineRule="auto"/>
        <w:jc w:val="both"/>
      </w:pPr>
      <w:r>
        <w:t xml:space="preserve">Colley, Ashley, Matilda Kalving, Jonna Häkkilä, y Kaisa Väänänen. 2023.</w:t>
      </w:r>
      <w:r>
        <w:t xml:space="preserve"> </w:t>
      </w:r>
      <w:r>
        <w:t xml:space="preserve">«Exploring Tangible Explainable AI (TangXAI): A User Study of Two XAI Approaches»</w:t>
      </w:r>
      <w:r>
        <w:t xml:space="preserve">.</w:t>
      </w:r>
      <w:r>
        <w:t xml:space="preserve"> </w:t>
      </w:r>
      <w:r>
        <w:rPr>
          <w:i/>
          <w:iCs/>
        </w:rPr>
        <w:t xml:space="preserve">Proceedings of the 35th Australian Computer-Human Interaction Conference</w:t>
      </w:r>
      <w:r>
        <w:t xml:space="preserve">, 679-83.</w:t>
      </w:r>
      <w:r>
        <w:t xml:space="preserve"> </w:t>
      </w:r>
      <w:hyperlink ns5:id="rId286">
        <w:r>
          <w:rPr>
            <w:rStyle w:val="Hipervnculo"/>
          </w:rPr>
          <w:t xml:space="preserve">https://doi.org/10.1145/3638380.3638426</w:t>
        </w:r>
      </w:hyperlink>
      <w:r>
        <w:t xml:space="preserve">.</w:t>
      </w:r>
    </w:p>
    <w:bookmarkEnd w:id="287"/>
    <w:bookmarkStart w:id="289" w:name="ref-cunha2024"/>
    <w:p>
      <w:pPr>
        <w:pStyle w:val="Bibliography"/>
        <w:spacing w:line="360" w:lineRule="auto"/>
        <w:jc w:val="both"/>
      </w:pPr>
      <w:r>
        <w:t xml:space="preserve">Cunha, Bianca Moreira, y Simone Diniz Junqueira Barbosa. 2024.</w:t>
      </w:r>
      <w:r>
        <w:t xml:space="preserve"> </w:t>
      </w:r>
      <w:r>
        <w:t xml:space="preserve">«Evaluating the Effectiveness of Visual Representations of SHAP Values Toward Explainable Artificial Intelligence»</w:t>
      </w:r>
      <w:r>
        <w:t xml:space="preserve">.</w:t>
      </w:r>
      <w:r>
        <w:t xml:space="preserve"> </w:t>
      </w:r>
      <w:r>
        <w:rPr>
          <w:i/>
          <w:iCs/>
        </w:rPr>
        <w:t xml:space="preserve">Proceedings of the XXIII Brazilian Symposium on Human Factors in Computing Systems</w:t>
      </w:r>
      <w:r>
        <w:t xml:space="preserve">, 1-11.</w:t>
      </w:r>
      <w:r>
        <w:t xml:space="preserve"> </w:t>
      </w:r>
      <w:hyperlink ns5:id="rId288">
        <w:r>
          <w:rPr>
            <w:rStyle w:val="Hipervnculo"/>
          </w:rPr>
          <w:t xml:space="preserve">https://doi.org/10.1145/3702038.3702093</w:t>
        </w:r>
      </w:hyperlink>
      <w:r>
        <w:t xml:space="preserve">.</w:t>
      </w:r>
    </w:p>
    <w:bookmarkEnd w:id="289"/>
    <w:bookmarkStart w:id="291"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w:t>
      </w:r>
      <w:r>
        <w:t xml:space="preserve"> </w:t>
      </w:r>
      <w:r>
        <w:rPr>
          <w:i/>
          <w:iCs/>
        </w:rPr>
        <w:t xml:space="preserve">Journal of Machine Learning Research</w:t>
      </w:r>
      <w:r>
        <w:t xml:space="preserve"> </w:t>
      </w:r>
      <w:r>
        <w:t xml:space="preserve">7: 1-30.</w:t>
      </w:r>
      <w:r>
        <w:t xml:space="preserve"> </w:t>
      </w:r>
      <w:hyperlink ns5:id="rId290">
        <w:r>
          <w:rPr>
            <w:rStyle w:val="Hipervnculo"/>
          </w:rPr>
          <w:t xml:space="preserve">https://www.jmlr.org/papers/v7/demsar06a.html</w:t>
        </w:r>
      </w:hyperlink>
      <w:r>
        <w:t xml:space="preserve">.</w:t>
      </w:r>
    </w:p>
    <w:bookmarkEnd w:id="291"/>
    <w:bookmarkStart w:id="293"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w:t>
      </w:r>
      <w:r>
        <w:t xml:space="preserve"> </w:t>
      </w:r>
      <w:r>
        <w:rPr>
          <w:i/>
          <w:iCs/>
        </w:rPr>
        <w:t xml:space="preserve">arXiv (Cornell University)</w:t>
      </w:r>
      <w:r>
        <w:t xml:space="preserve">, advance online publication.</w:t>
      </w:r>
      <w:r>
        <w:t xml:space="preserve"> </w:t>
      </w:r>
      <w:hyperlink ns5:id="rId292">
        <w:r>
          <w:rPr>
            <w:rStyle w:val="Hipervnculo"/>
          </w:rPr>
          <w:t xml:space="preserve">https://doi.org/10.48550/arxiv.1702.08608</w:t>
        </w:r>
      </w:hyperlink>
      <w:r>
        <w:t xml:space="preserve">.</w:t>
      </w:r>
    </w:p>
    <w:bookmarkEnd w:id="293"/>
    <w:bookmarkStart w:id="295" w:name="ref-dua2019uci"/>
    <w:p>
      <w:pPr>
        <w:pStyle w:val="Bibliography"/>
        <w:spacing w:line="360" w:lineRule="auto"/>
        <w:jc w:val="both"/>
      </w:pPr>
      <w:r>
        <w:t xml:space="preserve">Dua, Dheeru, y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94">
        <w:r>
          <w:rPr>
            <w:rStyle w:val="Hipervnculo"/>
          </w:rPr>
          <w:t xml:space="preserve">http://archive.ics.uci.edu/ml</w:t>
        </w:r>
      </w:hyperlink>
      <w:r>
        <w:t xml:space="preserve">.</w:t>
      </w:r>
    </w:p>
    <w:bookmarkEnd w:id="295"/>
    <w:bookmarkStart w:id="297" w:name="ref-dwivedi2022"/>
    <w:p>
      <w:pPr>
        <w:pStyle w:val="Bibliography"/>
        <w:spacing w:line="360" w:lineRule="auto"/>
        <w:jc w:val="both"/>
      </w:pPr>
      <w:r>
        <w:t xml:space="preserve">Dwivedi, Dave, R. 2022.</w:t>
      </w:r>
      <w:r>
        <w:t xml:space="preserve"> </w:t>
      </w:r>
      <w:r>
        <w:t xml:space="preserve">«Explainable AI (XAI): core ideas, techniques, and solutions»</w:t>
      </w:r>
      <w:r>
        <w:t xml:space="preserve">.</w:t>
      </w:r>
      <w:r>
        <w:t xml:space="preserve"> </w:t>
      </w:r>
      <w:r>
        <w:rPr>
          <w:i/>
          <w:iCs/>
        </w:rPr>
        <w:t xml:space="preserve">ACM Computing Surveys</w:t>
      </w:r>
      <w:r>
        <w:t xml:space="preserve"> </w:t>
      </w:r>
      <w:r>
        <w:t xml:space="preserve">55 (9): 1-33.</w:t>
      </w:r>
      <w:r>
        <w:t xml:space="preserve"> </w:t>
      </w:r>
      <w:hyperlink ns5:id="rId296">
        <w:r>
          <w:rPr>
            <w:rStyle w:val="Hipervnculo"/>
          </w:rPr>
          <w:t xml:space="preserve">https://doi.org/10.1145/3561048</w:t>
        </w:r>
      </w:hyperlink>
      <w:r>
        <w:t xml:space="preserve">.</w:t>
      </w:r>
    </w:p>
    <w:bookmarkEnd w:id="297"/>
    <w:bookmarkStart w:id="299" w:name="ref-ehsan2024"/>
    <w:p>
      <w:pPr>
        <w:pStyle w:val="Bibliography"/>
        <w:spacing w:line="360" w:lineRule="auto"/>
        <w:jc w:val="both"/>
      </w:pPr>
      <w:r>
        <w:t xml:space="preserve">Ehsan, Upol, y Mark Riedl. 2024.</w:t>
      </w:r>
      <w:r>
        <w:t xml:space="preserve"> </w:t>
      </w:r>
      <w:r>
        <w:t xml:space="preserve">«Explainable AI Reloaded: Challenging the XAI Status Quo in the Era of Large Language Models»</w:t>
      </w:r>
      <w:r>
        <w:t xml:space="preserve">.</w:t>
      </w:r>
      <w:r>
        <w:t xml:space="preserve"> </w:t>
      </w:r>
      <w:r>
        <w:rPr>
          <w:i/>
          <w:iCs/>
        </w:rPr>
        <w:t xml:space="preserve">Proceedings of the Halfway to the Future Symposium</w:t>
      </w:r>
      <w:r>
        <w:t xml:space="preserve">, 1-8.</w:t>
      </w:r>
      <w:r>
        <w:t xml:space="preserve"> </w:t>
      </w:r>
      <w:hyperlink ns5:id="rId298">
        <w:r>
          <w:rPr>
            <w:rStyle w:val="Hipervnculo"/>
          </w:rPr>
          <w:t xml:space="preserve">https://doi.org/10.1145/3686169.3686185</w:t>
        </w:r>
      </w:hyperlink>
      <w:r>
        <w:t xml:space="preserve">.</w:t>
      </w:r>
    </w:p>
    <w:bookmarkEnd w:id="299"/>
    <w:bookmarkStart w:id="301" w:name="ref-ehsan2023"/>
    <w:p>
      <w:pPr>
        <w:pStyle w:val="Bibliography"/>
        <w:spacing w:line="360" w:lineRule="auto"/>
        <w:jc w:val="both"/>
      </w:pPr>
      <w:r>
        <w:t xml:space="preserve">Ehsan, Upol, Philipp Wintersberger, Elizabeth A Watkins, et al. 2023.</w:t>
      </w:r>
      <w:r>
        <w:t xml:space="preserve"> </w:t>
      </w:r>
      <w:r>
        <w:t xml:space="preserve">«Human-Centered Explainable AI (HCXAI): Coming of Age»</w:t>
      </w:r>
      <w:r>
        <w:t xml:space="preserve">.</w:t>
      </w:r>
      <w:r>
        <w:t xml:space="preserve"> </w:t>
      </w:r>
      <w:r>
        <w:rPr>
          <w:i/>
          <w:iCs/>
        </w:rPr>
        <w:t xml:space="preserve">Extended Abstracts of the 2023 CHI Conference on Human Factors in Computing Systems</w:t>
      </w:r>
      <w:r>
        <w:t xml:space="preserve">, 1-7.</w:t>
      </w:r>
      <w:r>
        <w:t xml:space="preserve"> </w:t>
      </w:r>
      <w:hyperlink ns5:id="rId300">
        <w:r>
          <w:rPr>
            <w:rStyle w:val="Hipervnculo"/>
          </w:rPr>
          <w:t xml:space="preserve">https://doi.org/10.1145/3544549.3573832</w:t>
        </w:r>
      </w:hyperlink>
      <w:r>
        <w:t xml:space="preserve">.</w:t>
      </w:r>
    </w:p>
    <w:bookmarkEnd w:id="301"/>
    <w:bookmarkStart w:id="303" w:name="ref-fan2026"/>
    <w:p>
      <w:pPr>
        <w:pStyle w:val="Bibliography"/>
        <w:spacing w:line="360" w:lineRule="auto"/>
        <w:jc w:val="both"/>
      </w:pPr>
      <w:r>
        <w:t xml:space="preserve">Fan, Siyuan, Derui Zhu, y Zhe Yu. 2026.</w:t>
      </w:r>
      <w:r>
        <w:t xml:space="preserve"> </w:t>
      </w:r>
      <w:r>
        <w:rPr>
          <w:i/>
          <w:iCs/>
        </w:rPr>
        <w:t xml:space="preserve">A Systematic Literature Review of Explainability-Based Model Editing</w:t>
      </w:r>
      <w:r>
        <w:t xml:space="preserve">. Elsevier BV.</w:t>
      </w:r>
      <w:r>
        <w:t xml:space="preserve"> </w:t>
      </w:r>
      <w:hyperlink ns5:id="rId302">
        <w:r>
          <w:rPr>
            <w:rStyle w:val="Hipervnculo"/>
          </w:rPr>
          <w:t xml:space="preserve">https://doi.org/10.2139/ssrn.6847479</w:t>
        </w:r>
      </w:hyperlink>
      <w:r>
        <w:t xml:space="preserve">.</w:t>
      </w:r>
    </w:p>
    <w:bookmarkEnd w:id="303"/>
    <w:bookmarkStart w:id="305" w:name="ref-feldkamp2023"/>
    <w:p>
      <w:pPr>
        <w:pStyle w:val="Bibliography"/>
        <w:spacing w:line="360" w:lineRule="auto"/>
        <w:jc w:val="both"/>
      </w:pPr>
      <w:r>
        <w:t xml:space="preserve">Feldkamp, Niclas, y Steffen Strassburger. 2023.</w:t>
      </w:r>
      <w:r>
        <w:t xml:space="preserve"> </w:t>
      </w:r>
      <w:r>
        <w:t xml:space="preserve">«From Explainable AI to Explainable Simulation: Using Machine Learning and XAI to understand System Robustness»</w:t>
      </w:r>
      <w:r>
        <w:t xml:space="preserve">.</w:t>
      </w:r>
      <w:r>
        <w:t xml:space="preserve"> </w:t>
      </w:r>
      <w:r>
        <w:rPr>
          <w:i/>
          <w:iCs/>
        </w:rPr>
        <w:t xml:space="preserve">ACM SIGSIM Conference on Principles of Advanced Discrete Simulation</w:t>
      </w:r>
      <w:r>
        <w:t xml:space="preserve">, 96-106.</w:t>
      </w:r>
      <w:r>
        <w:t xml:space="preserve"> </w:t>
      </w:r>
      <w:hyperlink ns5:id="rId304">
        <w:r>
          <w:rPr>
            <w:rStyle w:val="Hipervnculo"/>
          </w:rPr>
          <w:t xml:space="preserve">https://doi.org/10.1145/3573900.3591114</w:t>
        </w:r>
      </w:hyperlink>
      <w:r>
        <w:t xml:space="preserve">.</w:t>
      </w:r>
    </w:p>
    <w:bookmarkEnd w:id="305"/>
    <w:bookmarkStart w:id="306" w:name="ref-fisher2019"/>
    <w:p>
      <w:pPr>
        <w:pStyle w:val="Bibliography"/>
        <w:spacing w:line="360" w:lineRule="auto"/>
        <w:jc w:val="both"/>
      </w:pPr>
      <w:r>
        <w:t xml:space="preserve">Fisher, Aaron, Cynthia Rudin, y Francesca Dominici. 2019.</w:t>
      </w:r>
      <w:r>
        <w:t xml:space="preserve"> </w:t>
      </w:r>
      <w:r>
        <w:t xml:space="preserve">«All Models are Wrong, but Many are Useful: Learning a Variable’s Importance by Studying an Entire Class of Prediction Models Simultaneously»</w:t>
      </w:r>
      <w:r>
        <w:t xml:space="preserve">.</w:t>
      </w:r>
      <w:r>
        <w:t xml:space="preserve"> </w:t>
      </w:r>
      <w:r>
        <w:rPr>
          <w:i/>
          <w:iCs/>
        </w:rPr>
        <w:t xml:space="preserve">Journal of Machine Learning Research</w:t>
      </w:r>
      <w:r>
        <w:t xml:space="preserve">.</w:t>
      </w:r>
    </w:p>
    <w:bookmarkEnd w:id="306"/>
    <w:bookmarkStart w:id="308"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w:t>
      </w:r>
      <w:r>
        <w:t xml:space="preserve"> </w:t>
      </w:r>
      <w:r>
        <w:rPr>
          <w:i/>
          <w:iCs/>
        </w:rPr>
        <w:t xml:space="preserve">Minds and Machines</w:t>
      </w:r>
      <w:r>
        <w:t xml:space="preserve"> </w:t>
      </w:r>
      <w:r>
        <w:t xml:space="preserve">28 (4): 689-707.</w:t>
      </w:r>
      <w:r>
        <w:t xml:space="preserve"> </w:t>
      </w:r>
      <w:hyperlink ns5:id="rId307">
        <w:r>
          <w:rPr>
            <w:rStyle w:val="Hipervnculo"/>
          </w:rPr>
          <w:t xml:space="preserve">https://doi.org/10.1007/s11023-018-9482-5</w:t>
        </w:r>
      </w:hyperlink>
      <w:r>
        <w:t xml:space="preserve">.</w:t>
      </w:r>
    </w:p>
    <w:bookmarkEnd w:id="308"/>
    <w:bookmarkStart w:id="310" w:name="ref-friedman2008"/>
    <w:p>
      <w:pPr>
        <w:pStyle w:val="Bibliography"/>
        <w:spacing w:line="360" w:lineRule="auto"/>
        <w:jc w:val="both"/>
      </w:pPr>
      <w:r>
        <w:t xml:space="preserve">Friedman, &amp; Popescu, J. H. 2008.</w:t>
      </w:r>
      <w:r>
        <w:t xml:space="preserve"> </w:t>
      </w:r>
      <w:r>
        <w:t xml:space="preserve">«Predictive learning via rule ensembles»</w:t>
      </w:r>
      <w:r>
        <w:t xml:space="preserve">.</w:t>
      </w:r>
      <w:r>
        <w:t xml:space="preserve"> </w:t>
      </w:r>
      <w:r>
        <w:rPr>
          <w:i/>
          <w:iCs/>
        </w:rPr>
        <w:t xml:space="preserve">The Annals of Applied Statistics</w:t>
      </w:r>
      <w:r>
        <w:t xml:space="preserve"> </w:t>
      </w:r>
      <w:r>
        <w:t xml:space="preserve">2 (3).</w:t>
      </w:r>
      <w:r>
        <w:t xml:space="preserve"> </w:t>
      </w:r>
      <w:hyperlink ns5:id="rId309">
        <w:r>
          <w:rPr>
            <w:rStyle w:val="Hipervnculo"/>
          </w:rPr>
          <w:t xml:space="preserve">https://doi.org/10.1214/07-aoas148</w:t>
        </w:r>
      </w:hyperlink>
      <w:r>
        <w:t xml:space="preserve">.</w:t>
      </w:r>
    </w:p>
    <w:bookmarkEnd w:id="310"/>
    <w:bookmarkStart w:id="312" w:name="ref-friedman2001"/>
    <w:p>
      <w:pPr>
        <w:pStyle w:val="Bibliography"/>
        <w:spacing w:line="360" w:lineRule="auto"/>
        <w:jc w:val="both"/>
      </w:pPr>
      <w:r>
        <w:t xml:space="preserve">Friedman, J. H. 2001.</w:t>
      </w:r>
      <w:r>
        <w:t xml:space="preserve"> </w:t>
      </w:r>
      <w:r>
        <w:t xml:space="preserve">«Greedy function approximation: A gradient boosting machine»</w:t>
      </w:r>
      <w:r>
        <w:t xml:space="preserve">.</w:t>
      </w:r>
      <w:r>
        <w:t xml:space="preserve"> </w:t>
      </w:r>
      <w:r>
        <w:rPr>
          <w:i/>
          <w:iCs/>
        </w:rPr>
        <w:t xml:space="preserve">The Annals of Statistics</w:t>
      </w:r>
      <w:r>
        <w:t xml:space="preserve"> </w:t>
      </w:r>
      <w:r>
        <w:t xml:space="preserve">29 (5).</w:t>
      </w:r>
      <w:r>
        <w:t xml:space="preserve"> </w:t>
      </w:r>
      <w:hyperlink ns5:id="rId311">
        <w:r>
          <w:rPr>
            <w:rStyle w:val="Hipervnculo"/>
          </w:rPr>
          <w:t xml:space="preserve">https://doi.org/10.1214/aos/1013203451</w:t>
        </w:r>
      </w:hyperlink>
      <w:r>
        <w:t xml:space="preserve">.</w:t>
      </w:r>
    </w:p>
    <w:bookmarkEnd w:id="312"/>
    <w:bookmarkStart w:id="314"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w:t>
      </w:r>
      <w:r>
        <w:t xml:space="preserve"> </w:t>
      </w:r>
      <w:r>
        <w:rPr>
          <w:i/>
          <w:iCs/>
        </w:rPr>
        <w:t xml:space="preserve">Journal of the American Statistical Association</w:t>
      </w:r>
      <w:r>
        <w:t xml:space="preserve"> </w:t>
      </w:r>
      <w:r>
        <w:t xml:space="preserve">32 (200): 675-701.</w:t>
      </w:r>
      <w:r>
        <w:t xml:space="preserve"> </w:t>
      </w:r>
      <w:hyperlink ns5:id="rId313">
        <w:r>
          <w:rPr>
            <w:rStyle w:val="Hipervnculo"/>
          </w:rPr>
          <w:t xml:space="preserve">https://doi.org/10.1080/01621459.1937.10503522</w:t>
        </w:r>
      </w:hyperlink>
      <w:r>
        <w:t xml:space="preserve">.</w:t>
      </w:r>
    </w:p>
    <w:bookmarkEnd w:id="314"/>
    <w:bookmarkStart w:id="316" w:name="ref-gafur2024"/>
    <w:p>
      <w:pPr>
        <w:pStyle w:val="Bibliography"/>
        <w:spacing w:line="360" w:lineRule="auto"/>
        <w:jc w:val="both"/>
      </w:pPr>
      <w:r>
        <w:t xml:space="preserve">Gafur, Jamil, Steve Goddard, y William Lai. 2024.</w:t>
      </w:r>
      <w:r>
        <w:t xml:space="preserve"> </w:t>
      </w:r>
      <w:r>
        <w:t xml:space="preserve">«Adversarial Robustness and Explainability of Machine Learning Models»</w:t>
      </w:r>
      <w:r>
        <w:t xml:space="preserve">.</w:t>
      </w:r>
      <w:r>
        <w:t xml:space="preserve"> </w:t>
      </w:r>
      <w:r>
        <w:rPr>
          <w:i/>
          <w:iCs/>
        </w:rPr>
        <w:t xml:space="preserve">Practice and Experience in Advanced Research Computing 2024: Human Powered Computing</w:t>
      </w:r>
      <w:r>
        <w:t xml:space="preserve">, 1-7.</w:t>
      </w:r>
      <w:r>
        <w:t xml:space="preserve"> </w:t>
      </w:r>
      <w:hyperlink ns5:id="rId315">
        <w:r>
          <w:rPr>
            <w:rStyle w:val="Hipervnculo"/>
          </w:rPr>
          <w:t xml:space="preserve">https://doi.org/10.1145/3626203.3670522</w:t>
        </w:r>
      </w:hyperlink>
      <w:r>
        <w:t xml:space="preserve">.</w:t>
      </w:r>
    </w:p>
    <w:bookmarkEnd w:id="316"/>
    <w:bookmarkStart w:id="318"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w:t>
      </w:r>
      <w:r>
        <w:t xml:space="preserve"> </w:t>
      </w:r>
      <w:r>
        <w:rPr>
          <w:i/>
          <w:iCs/>
        </w:rPr>
        <w:t xml:space="preserve">2022 IEEE 9th International Conference on Data Science and Advanced Analytics (DSAA), 80–89</w:t>
      </w:r>
      <w:r>
        <w:t xml:space="preserve">, advance online publication.</w:t>
      </w:r>
      <w:r>
        <w:t xml:space="preserve"> </w:t>
      </w:r>
      <w:hyperlink ns5:id="rId317">
        <w:r>
          <w:rPr>
            <w:rStyle w:val="Hipervnculo"/>
          </w:rPr>
          <w:t xml:space="preserve">https://doi.org/10.1109/dsaa.2018.00018</w:t>
        </w:r>
      </w:hyperlink>
      <w:r>
        <w:t xml:space="preserve">.</w:t>
      </w:r>
    </w:p>
    <w:bookmarkEnd w:id="318"/>
    <w:bookmarkStart w:id="320" w:name="ref-goldstein2014"/>
    <w:p>
      <w:pPr>
        <w:pStyle w:val="Bibliography"/>
        <w:spacing w:line="360" w:lineRule="auto"/>
        <w:jc w:val="both"/>
      </w:pPr>
      <w:r>
        <w:t xml:space="preserve">Goldstein, Kapelner, A. 2014.</w:t>
      </w:r>
      <w:r>
        <w:t xml:space="preserve"> </w:t>
      </w:r>
      <w:r>
        <w:t xml:space="preserve">«Peeking inside the black box: visualizing statistical learning with plots of individual conditional expectation»</w:t>
      </w:r>
      <w:r>
        <w:t xml:space="preserve">.</w:t>
      </w:r>
      <w:r>
        <w:t xml:space="preserve"> </w:t>
      </w:r>
      <w:r>
        <w:rPr>
          <w:i/>
          <w:iCs/>
        </w:rPr>
        <w:t xml:space="preserve">Journal of Computational and Graphical Statistics</w:t>
      </w:r>
      <w:r>
        <w:t xml:space="preserve"> </w:t>
      </w:r>
      <w:r>
        <w:t xml:space="preserve">24 (1): 44-65.</w:t>
      </w:r>
      <w:r>
        <w:t xml:space="preserve"> </w:t>
      </w:r>
      <w:hyperlink ns5:id="rId319">
        <w:r>
          <w:rPr>
            <w:rStyle w:val="Hipervnculo"/>
          </w:rPr>
          <w:t xml:space="preserve">https://doi.org/10.1080/10618600.2014.907095</w:t>
        </w:r>
      </w:hyperlink>
      <w:r>
        <w:t xml:space="preserve">.</w:t>
      </w:r>
    </w:p>
    <w:bookmarkEnd w:id="320"/>
    <w:bookmarkStart w:id="322" w:name="ref-gomez2024"/>
    <w:p>
      <w:pPr>
        <w:pStyle w:val="Bibliography"/>
        <w:spacing w:line="360" w:lineRule="auto"/>
        <w:jc w:val="both"/>
      </w:pPr>
      <w:r>
        <w:t xml:space="preserve">Gomez, Manuel J., Álvaro Armada Sánchez, Mariano Albaladejo-González, Félix J. García Clemente, y José A. Ruipérez-Valiente. 2024.</w:t>
      </w:r>
      <w:r>
        <w:t xml:space="preserve"> </w:t>
      </w:r>
      <w:r>
        <w:t xml:space="preserve">«Utilizing Explainable AI to Enhance Real-time Student Performance Prediction in Educational Serious Games»</w:t>
      </w:r>
      <w:r>
        <w:t xml:space="preserve">.</w:t>
      </w:r>
      <w:r>
        <w:t xml:space="preserve"> </w:t>
      </w:r>
      <w:r>
        <w:rPr>
          <w:i/>
          <w:iCs/>
        </w:rPr>
        <w:t xml:space="preserve">Proceedings of the 39th ACM/SIGAPP Symposium on Applied Computing</w:t>
      </w:r>
      <w:r>
        <w:t xml:space="preserve">, 93-94.</w:t>
      </w:r>
      <w:r>
        <w:t xml:space="preserve"> </w:t>
      </w:r>
      <w:hyperlink ns5:id="rId321">
        <w:r>
          <w:rPr>
            <w:rStyle w:val="Hipervnculo"/>
          </w:rPr>
          <w:t xml:space="preserve">https://doi.org/10.1145/3605098.3636109</w:t>
        </w:r>
      </w:hyperlink>
      <w:r>
        <w:t xml:space="preserve">.</w:t>
      </w:r>
    </w:p>
    <w:bookmarkEnd w:id="322"/>
    <w:bookmarkStart w:id="324" w:name="ref-guidotti2018"/>
    <w:p>
      <w:pPr>
        <w:pStyle w:val="Bibliography"/>
        <w:spacing w:line="360" w:lineRule="auto"/>
        <w:jc w:val="both"/>
      </w:pPr>
      <w:r>
        <w:t xml:space="preserve">Guidotti, Riccardo, Anna Monreale, Salvatore Ruggieri, Franco Turini, Fosca Giannotti, y Dino Pedreschi. 2018.</w:t>
      </w:r>
      <w:r>
        <w:t xml:space="preserve"> </w:t>
      </w:r>
      <w:r>
        <w:t xml:space="preserve">«A Survey of Methods for Explaining Black Box Models»</w:t>
      </w:r>
      <w:r>
        <w:t xml:space="preserve">.</w:t>
      </w:r>
      <w:r>
        <w:t xml:space="preserve"> </w:t>
      </w:r>
      <w:r>
        <w:rPr>
          <w:i/>
          <w:iCs/>
        </w:rPr>
        <w:t xml:space="preserve">ACM Computing Surveys</w:t>
      </w:r>
      <w:r>
        <w:t xml:space="preserve"> </w:t>
      </w:r>
      <w:r>
        <w:t xml:space="preserve">51 (5): 1-42.</w:t>
      </w:r>
      <w:r>
        <w:t xml:space="preserve"> </w:t>
      </w:r>
      <w:hyperlink ns5:id="rId323">
        <w:r>
          <w:rPr>
            <w:rStyle w:val="Hipervnculo"/>
          </w:rPr>
          <w:t xml:space="preserve">https://doi.org/10.1145/3236009</w:t>
        </w:r>
      </w:hyperlink>
      <w:r>
        <w:t xml:space="preserve">.</w:t>
      </w:r>
    </w:p>
    <w:bookmarkEnd w:id="324"/>
    <w:bookmarkStart w:id="326" w:name="ref-hase2020"/>
    <w:p>
      <w:pPr>
        <w:pStyle w:val="Bibliography"/>
        <w:spacing w:line="360" w:lineRule="auto"/>
        <w:jc w:val="both"/>
      </w:pPr>
      <w:r>
        <w:t xml:space="preserve">Hase, Peter, y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325">
        <w:r>
          <w:rPr>
            <w:rStyle w:val="Hipervnculo"/>
          </w:rPr>
          <w:t xml:space="preserve">https://doi.org/10.18653/v1/2020.acl-main.491</w:t>
        </w:r>
      </w:hyperlink>
      <w:r>
        <w:t xml:space="preserve">.</w:t>
      </w:r>
    </w:p>
    <w:bookmarkEnd w:id="326"/>
    <w:bookmarkStart w:id="328"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w:t>
      </w:r>
      <w:r>
        <w:t xml:space="preserve"> </w:t>
      </w:r>
      <w:r>
        <w:rPr>
          <w:i/>
          <w:iCs/>
        </w:rPr>
        <w:t xml:space="preserve">Cognitive Computation</w:t>
      </w:r>
      <w:r>
        <w:t xml:space="preserve"> </w:t>
      </w:r>
      <w:r>
        <w:t xml:space="preserve">16 (1): 45-74.</w:t>
      </w:r>
      <w:r>
        <w:t xml:space="preserve"> </w:t>
      </w:r>
      <w:hyperlink ns5:id="rId327">
        <w:r>
          <w:rPr>
            <w:rStyle w:val="Hipervnculo"/>
          </w:rPr>
          <w:t xml:space="preserve">https://doi.org/10.1007/s12559-023-10179-8</w:t>
        </w:r>
      </w:hyperlink>
      <w:r>
        <w:t xml:space="preserve">.</w:t>
      </w:r>
    </w:p>
    <w:bookmarkEnd w:id="328"/>
    <w:bookmarkStart w:id="329"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w:t>
      </w:r>
      <w:r>
        <w:t xml:space="preserve"> </w:t>
      </w:r>
      <w:r>
        <w:rPr>
          <w:i/>
          <w:iCs/>
        </w:rPr>
        <w:t xml:space="preserve">Journal of Machine Learning Research</w:t>
      </w:r>
      <w:r>
        <w:t xml:space="preserve"> </w:t>
      </w:r>
      <w:r>
        <w:t xml:space="preserve">24 (34): 1-11.</w:t>
      </w:r>
    </w:p>
    <w:bookmarkEnd w:id="329"/>
    <w:bookmarkStart w:id="330" w:name="ref-hess2023"/>
    <w:p>
      <w:pPr>
        <w:pStyle w:val="Bibliography"/>
        <w:spacing w:line="360" w:lineRule="auto"/>
        <w:jc w:val="both"/>
      </w:pPr>
      <w:r>
        <w:t xml:space="preserve">Hess, Samuel, y Gregory Ditzler. 2023.</w:t>
      </w:r>
      <w:r>
        <w:t xml:space="preserve"> </w:t>
      </w:r>
      <w:r>
        <w:t xml:space="preserve">«ProtoShotXAI: Using Prototypical Few-Shot Architecture for Explainable AI»</w:t>
      </w:r>
      <w:r>
        <w:t xml:space="preserve">.</w:t>
      </w:r>
      <w:r>
        <w:t xml:space="preserve"> </w:t>
      </w:r>
      <w:r>
        <w:rPr>
          <w:i/>
          <w:iCs/>
        </w:rPr>
        <w:t xml:space="preserve">Journal of Machine Learning Research</w:t>
      </w:r>
      <w:r>
        <w:t xml:space="preserve"> </w:t>
      </w:r>
      <w:r>
        <w:t xml:space="preserve">24: 1-49.</w:t>
      </w:r>
    </w:p>
    <w:bookmarkEnd w:id="330"/>
    <w:bookmarkStart w:id="332" w:name="ref-hoffman2023"/>
    <w:p>
      <w:pPr>
        <w:pStyle w:val="Bibliography"/>
        <w:spacing w:line="360" w:lineRule="auto"/>
        <w:jc w:val="both"/>
      </w:pPr>
      <w:r>
        <w:t xml:space="preserve">Hoffman, Robert R., Timothy Miller, Gary Klein, Shane T. Mueller, y William J. Clancey. 2023.</w:t>
      </w:r>
      <w:r>
        <w:t xml:space="preserve"> </w:t>
      </w:r>
      <w:r>
        <w:t xml:space="preserve">«Increasing the Value of XAI for Users: A Psychological Perspective»</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331">
        <w:r>
          <w:rPr>
            <w:rStyle w:val="Hipervnculo"/>
          </w:rPr>
          <w:t xml:space="preserve">https://doi.org/10.1007/s13218-023-00806-9</w:t>
        </w:r>
      </w:hyperlink>
      <w:r>
        <w:t xml:space="preserve">.</w:t>
      </w:r>
    </w:p>
    <w:bookmarkEnd w:id="332"/>
    <w:bookmarkStart w:id="334" w:name="ref-holzinger2022"/>
    <w:p>
      <w:pPr>
        <w:pStyle w:val="Bibliography"/>
        <w:spacing w:line="360" w:lineRule="auto"/>
        <w:jc w:val="both"/>
      </w:pPr>
      <w:r>
        <w:t xml:space="preserve">Holzinger, Andreas, Anna Saranti, Christoph Molnar, Przemyslaw Biecek, y Wojciech Samek. 2022.</w:t>
      </w:r>
      <w:r>
        <w:t xml:space="preserve"> </w:t>
      </w:r>
      <w:r>
        <w:rPr>
          <w:i/>
          <w:iCs/>
        </w:rPr>
        <w:t xml:space="preserve">Explainable AI Methods - A Brief Overview</w:t>
      </w:r>
      <w:r>
        <w:t xml:space="preserve">. Springer International Publishing.</w:t>
      </w:r>
      <w:r>
        <w:t xml:space="preserve"> </w:t>
      </w:r>
      <w:hyperlink ns5:id="rId333">
        <w:r>
          <w:rPr>
            <w:rStyle w:val="Hipervnculo"/>
          </w:rPr>
          <w:t xml:space="preserve">https://doi.org/10.1007/978-3-031-04083-2_2</w:t>
        </w:r>
      </w:hyperlink>
      <w:r>
        <w:t xml:space="preserve">.</w:t>
      </w:r>
    </w:p>
    <w:bookmarkEnd w:id="334"/>
    <w:bookmarkStart w:id="335" w:name="ref-hooker2019benchmark"/>
    <w:p>
      <w:pPr>
        <w:pStyle w:val="Bibliography"/>
        <w:spacing w:line="360" w:lineRule="auto"/>
        <w:jc w:val="both"/>
      </w:pPr>
      <w:r>
        <w:t xml:space="preserve">Hooker, Sara, Dumitru Erhan, Pieter-Jan Kindermans, y Been Kim. 2019.</w:t>
      </w:r>
      <w:r>
        <w:t xml:space="preserve"> </w:t>
      </w:r>
      <w:r>
        <w:t xml:space="preserve">«A Benchmark for Interpretability Methods in Deep Neural Networks»</w:t>
      </w:r>
      <w:r>
        <w:t xml:space="preserve">.</w:t>
      </w:r>
      <w:r>
        <w:t xml:space="preserve"> </w:t>
      </w:r>
      <w:r>
        <w:rPr>
          <w:i/>
          <w:iCs/>
        </w:rPr>
        <w:t xml:space="preserve">Advances in Neural Information Processing Systems</w:t>
      </w:r>
      <w:r>
        <w:t xml:space="preserve"> </w:t>
      </w:r>
      <w:r>
        <w:t xml:space="preserve">32: 9737-48.</w:t>
      </w:r>
    </w:p>
    <w:bookmarkEnd w:id="335"/>
    <w:bookmarkStart w:id="337" w:name="ref-hosseini2025"/>
    <w:p>
      <w:pPr>
        <w:pStyle w:val="Bibliography"/>
        <w:spacing w:line="360" w:lineRule="auto"/>
        <w:jc w:val="both"/>
      </w:pPr>
      <w:r>
        <w:t xml:space="preserve">Hosseini, Soodeh, y Hossein Seilani. 2025.</w:t>
      </w:r>
      <w:r>
        <w:t xml:space="preserve"> </w:t>
      </w:r>
      <w:r>
        <w:t xml:space="preserve">«The role of agentic AI in shaping a smart future: A systematic review»</w:t>
      </w:r>
      <w:r>
        <w:t xml:space="preserve">.</w:t>
      </w:r>
      <w:r>
        <w:t xml:space="preserve"> </w:t>
      </w:r>
      <w:r>
        <w:rPr>
          <w:i/>
          <w:iCs/>
        </w:rPr>
        <w:t xml:space="preserve">Array</w:t>
      </w:r>
      <w:r>
        <w:t xml:space="preserve"> </w:t>
      </w:r>
      <w:r>
        <w:t xml:space="preserve">26: 100399.</w:t>
      </w:r>
      <w:r>
        <w:t xml:space="preserve"> </w:t>
      </w:r>
      <w:hyperlink ns5:id="rId336">
        <w:r>
          <w:rPr>
            <w:rStyle w:val="Hipervnculo"/>
          </w:rPr>
          <w:t xml:space="preserve">https://doi.org/10.1016/j.array.2025.100399</w:t>
        </w:r>
      </w:hyperlink>
      <w:r>
        <w:t xml:space="preserve">.</w:t>
      </w:r>
    </w:p>
    <w:bookmarkEnd w:id="337"/>
    <w:bookmarkStart w:id="339"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w:t>
      </w:r>
      <w:r>
        <w:t xml:space="preserve"> </w:t>
      </w:r>
      <w:r>
        <w:rPr>
          <w:i/>
          <w:iCs/>
        </w:rPr>
        <w:t xml:space="preserve">Science</w:t>
      </w:r>
      <w:r>
        <w:t xml:space="preserve"> </w:t>
      </w:r>
      <w:r>
        <w:t xml:space="preserve">359 (6377): 725-26.</w:t>
      </w:r>
      <w:r>
        <w:t xml:space="preserve"> </w:t>
      </w:r>
      <w:hyperlink ns5:id="rId338">
        <w:r>
          <w:rPr>
            <w:rStyle w:val="Hipervnculo"/>
          </w:rPr>
          <w:t xml:space="preserve">https://doi.org/10.1126/science.359.6377.725</w:t>
        </w:r>
      </w:hyperlink>
      <w:r>
        <w:t xml:space="preserve">.</w:t>
      </w:r>
    </w:p>
    <w:bookmarkEnd w:id="339"/>
    <w:bookmarkStart w:id="341" w:name="ref-iatrellis2023"/>
    <w:p>
      <w:pPr>
        <w:pStyle w:val="Bibliography"/>
        <w:spacing w:line="360" w:lineRule="auto"/>
        <w:jc w:val="both"/>
      </w:pPr>
      <w:r>
        <w:t xml:space="preserve">Iatrellis, Omiros, Nicholas Samaras, Charalampos Dervenis, y Theodor Panagiotakopoulos. 2023.</w:t>
      </w:r>
      <w:r>
        <w:t xml:space="preserve"> </w:t>
      </w:r>
      <w:r>
        <w:t xml:space="preserve">«KONX: A Dynamic Approach for Explainable AI in Higher Education»</w:t>
      </w:r>
      <w:r>
        <w:t xml:space="preserve">.</w:t>
      </w:r>
      <w:r>
        <w:t xml:space="preserve"> </w:t>
      </w:r>
      <w:r>
        <w:rPr>
          <w:i/>
          <w:iCs/>
        </w:rPr>
        <w:t xml:space="preserve">Proceedings of the 7th International Conference on Algorithms, Computing and Systems</w:t>
      </w:r>
      <w:r>
        <w:t xml:space="preserve">, 118-24.</w:t>
      </w:r>
      <w:r>
        <w:t xml:space="preserve"> </w:t>
      </w:r>
      <w:hyperlink ns5:id="rId340">
        <w:r>
          <w:rPr>
            <w:rStyle w:val="Hipervnculo"/>
          </w:rPr>
          <w:t xml:space="preserve">https://doi.org/10.1145/3631908.3631925</w:t>
        </w:r>
      </w:hyperlink>
      <w:r>
        <w:t xml:space="preserve">.</w:t>
      </w:r>
    </w:p>
    <w:bookmarkEnd w:id="341"/>
    <w:bookmarkStart w:id="343" w:name="ref-ji2022"/>
    <w:p>
      <w:pPr>
        <w:pStyle w:val="Bibliography"/>
        <w:spacing w:line="360" w:lineRule="auto"/>
        <w:jc w:val="both"/>
      </w:pPr>
      <w:r>
        <w:t xml:space="preserve">Ji, Lee, Z. 2022.</w:t>
      </w:r>
      <w:r>
        <w:t xml:space="preserve"> </w:t>
      </w:r>
      <w:r>
        <w:t xml:space="preserve">«Survey of Hallucination in Natural Language Generation»</w:t>
      </w:r>
      <w:r>
        <w:t xml:space="preserve">.</w:t>
      </w:r>
      <w:r>
        <w:t xml:space="preserve"> </w:t>
      </w:r>
      <w:r>
        <w:rPr>
          <w:i/>
          <w:iCs/>
        </w:rPr>
        <w:t xml:space="preserve">ACM Computing Surveys</w:t>
      </w:r>
      <w:r>
        <w:t xml:space="preserve"> </w:t>
      </w:r>
      <w:r>
        <w:t xml:space="preserve">55 (12): 1-38.</w:t>
      </w:r>
      <w:r>
        <w:t xml:space="preserve"> </w:t>
      </w:r>
      <w:hyperlink ns5:id="rId342">
        <w:r>
          <w:rPr>
            <w:rStyle w:val="Hipervnculo"/>
          </w:rPr>
          <w:t xml:space="preserve">https://doi.org/10.1145/3571730</w:t>
        </w:r>
      </w:hyperlink>
      <w:r>
        <w:t xml:space="preserve">.</w:t>
      </w:r>
    </w:p>
    <w:bookmarkEnd w:id="343"/>
    <w:bookmarkStart w:id="344" w:name="ref-kadir2023"/>
    <w:p>
      <w:pPr>
        <w:pStyle w:val="Bibliography"/>
        <w:spacing w:line="360" w:lineRule="auto"/>
        <w:jc w:val="both"/>
      </w:pPr>
      <w:r>
        <w:t xml:space="preserve">Kadir, Md Abdul, Amir Mosavi, y Daniel Sonntag. 2023.</w:t>
      </w:r>
      <w:r>
        <w:t xml:space="preserve"> </w:t>
      </w:r>
      <w:r>
        <w:rPr>
          <w:i/>
          <w:iCs/>
        </w:rPr>
        <w:t xml:space="preserve">Evaluation Metrics for XAI: A Review, Taxonomy, and Practical Applications</w:t>
      </w:r>
      <w:r>
        <w:t xml:space="preserve">. IEEE 27th International Conference on Intelligent Engineering Systems (INES).</w:t>
      </w:r>
    </w:p>
    <w:bookmarkEnd w:id="344"/>
    <w:bookmarkStart w:id="346" w:name="ref-kalasampath2025"/>
    <w:p>
      <w:pPr>
        <w:pStyle w:val="Bibliography"/>
        <w:spacing w:line="360" w:lineRule="auto"/>
        <w:jc w:val="both"/>
      </w:pPr>
      <w:r>
        <w:t xml:space="preserve">Kalasampath, Khushi, K. N. Spoorthi, Sreeparvathy Sajeev, Sahil Sarma Kuppa, Kavya Ajay, y Angulakshmi Maruthamuthu. 2025.</w:t>
      </w:r>
      <w:r>
        <w:t xml:space="preserve"> </w:t>
      </w:r>
      <w:r>
        <w:t xml:space="preserve">«A Literature Review on Applications of Explainable Artificial Intelligence (XAI)»</w:t>
      </w:r>
      <w:r>
        <w:t xml:space="preserve">.</w:t>
      </w:r>
      <w:r>
        <w:t xml:space="preserve"> </w:t>
      </w:r>
      <w:r>
        <w:rPr>
          <w:i/>
          <w:iCs/>
        </w:rPr>
        <w:t xml:space="preserve">IEEE Access</w:t>
      </w:r>
      <w:r>
        <w:t xml:space="preserve"> </w:t>
      </w:r>
      <w:r>
        <w:t xml:space="preserve">13: 41111-40.</w:t>
      </w:r>
      <w:r>
        <w:t xml:space="preserve"> </w:t>
      </w:r>
      <w:hyperlink ns5:id="rId345">
        <w:r>
          <w:rPr>
            <w:rStyle w:val="Hipervnculo"/>
          </w:rPr>
          <w:t xml:space="preserve">https://doi.org/10.1109/access.2025.3546681</w:t>
        </w:r>
      </w:hyperlink>
      <w:r>
        <w:t xml:space="preserve">.</w:t>
      </w:r>
    </w:p>
    <w:bookmarkEnd w:id="346"/>
    <w:bookmarkStart w:id="348" w:name="ref-karimi2022"/>
    <w:p>
      <w:pPr>
        <w:pStyle w:val="Bibliography"/>
        <w:spacing w:line="360" w:lineRule="auto"/>
        <w:jc w:val="both"/>
      </w:pPr>
      <w:r>
        <w:t xml:space="preserve">Karimi, Amir-Hossein, Gilles Barthe, Bernhard Schölkopf, y Isabel Valera. 2022.</w:t>
      </w:r>
      <w:r>
        <w:t xml:space="preserve"> </w:t>
      </w:r>
      <w:r>
        <w:t xml:space="preserve">«A Survey of Algorithmic Recourse: Contrastive Explanations and Consequential Recommendations»</w:t>
      </w:r>
      <w:r>
        <w:t xml:space="preserve">.</w:t>
      </w:r>
      <w:r>
        <w:t xml:space="preserve"> </w:t>
      </w:r>
      <w:r>
        <w:rPr>
          <w:i/>
          <w:iCs/>
        </w:rPr>
        <w:t xml:space="preserve">ACM Computing Surveys</w:t>
      </w:r>
      <w:r>
        <w:t xml:space="preserve"> </w:t>
      </w:r>
      <w:r>
        <w:t xml:space="preserve">55 (5): 1-29.</w:t>
      </w:r>
      <w:r>
        <w:t xml:space="preserve"> </w:t>
      </w:r>
      <w:hyperlink ns5:id="rId347">
        <w:r>
          <w:rPr>
            <w:rStyle w:val="Hipervnculo"/>
          </w:rPr>
          <w:t xml:space="preserve">https://doi.org/10.1145/3527848</w:t>
        </w:r>
      </w:hyperlink>
      <w:r>
        <w:t xml:space="preserve">.</w:t>
      </w:r>
    </w:p>
    <w:bookmarkEnd w:id="348"/>
    <w:bookmarkStart w:id="350" w:name="ref-karmakar2024"/>
    <w:p>
      <w:pPr>
        <w:pStyle w:val="Bibliography"/>
        <w:spacing w:line="360" w:lineRule="auto"/>
        <w:jc w:val="both"/>
      </w:pPr>
      <w:r>
        <w:t xml:space="preserve">Karmakar, Pratik, Mikaël Monet, Pierre Senellart, y Stephane Bressan. 2024.</w:t>
      </w:r>
      <w:r>
        <w:t xml:space="preserve"> </w:t>
      </w:r>
      <w:r>
        <w:t xml:space="preserve">«Expected Shapley-Like Scores of Boolean functions: Complexity and Applications to Probabilistic Databases»</w:t>
      </w:r>
      <w:r>
        <w:t xml:space="preserve">.</w:t>
      </w:r>
      <w:r>
        <w:t xml:space="preserve"> </w:t>
      </w:r>
      <w:r>
        <w:rPr>
          <w:i/>
          <w:iCs/>
        </w:rPr>
        <w:t xml:space="preserve">Proceedings of the ACM on Management of Data</w:t>
      </w:r>
      <w:r>
        <w:t xml:space="preserve"> </w:t>
      </w:r>
      <w:r>
        <w:t xml:space="preserve">2 (2): 1-26.</w:t>
      </w:r>
      <w:r>
        <w:t xml:space="preserve"> </w:t>
      </w:r>
      <w:hyperlink ns5:id="rId349">
        <w:r>
          <w:rPr>
            <w:rStyle w:val="Hipervnculo"/>
          </w:rPr>
          <w:t xml:space="preserve">https://doi.org/10.1145/3651593</w:t>
        </w:r>
      </w:hyperlink>
      <w:r>
        <w:t xml:space="preserve">.</w:t>
      </w:r>
    </w:p>
    <w:bookmarkEnd w:id="350"/>
    <w:bookmarkStart w:id="352" w:name="ref-kaur2020"/>
    <w:p>
      <w:pPr>
        <w:pStyle w:val="Bibliography"/>
        <w:spacing w:line="360" w:lineRule="auto"/>
        <w:jc w:val="both"/>
      </w:pPr>
      <w:r>
        <w:t xml:space="preserve">Kaur, Harmanpreet, Harsha Nori, Samuel Jenkins, Rich Caruana, Hanna Wallach, y Jennifer Wortman Vaughan. 2020.</w:t>
      </w:r>
      <w:r>
        <w:t xml:space="preserve"> </w:t>
      </w:r>
      <w:r>
        <w:t xml:space="preserve">«Interpreting Interpretability: Understanding Data Scientists’ Use of Interpretability Tools for Machine Learning»</w:t>
      </w:r>
      <w:r>
        <w:t xml:space="preserve">.</w:t>
      </w:r>
      <w:r>
        <w:t xml:space="preserve"> </w:t>
      </w:r>
      <w:r>
        <w:rPr>
          <w:i/>
          <w:iCs/>
        </w:rPr>
        <w:t xml:space="preserve">Proceedings of the 2020 CHI Conference on Human Factors in Computing Systems</w:t>
      </w:r>
      <w:r>
        <w:t xml:space="preserve">, 1-14.</w:t>
      </w:r>
      <w:r>
        <w:t xml:space="preserve"> </w:t>
      </w:r>
      <w:hyperlink ns5:id="rId351">
        <w:r>
          <w:rPr>
            <w:rStyle w:val="Hipervnculo"/>
          </w:rPr>
          <w:t xml:space="preserve">https://doi.org/10.1145/3313831.3376219</w:t>
        </w:r>
      </w:hyperlink>
      <w:r>
        <w:t xml:space="preserve">.</w:t>
      </w:r>
    </w:p>
    <w:bookmarkEnd w:id="352"/>
    <w:bookmarkStart w:id="353" w:name="ref-kim2018"/>
    <w:p>
      <w:pPr>
        <w:pStyle w:val="Bibliography"/>
        <w:spacing w:line="360" w:lineRule="auto"/>
        <w:jc w:val="both"/>
      </w:pPr>
      <w:r>
        <w:t xml:space="preserve">Kim, Been, Martin Wattenberg, Justin Gilmer, et al. 2018.</w:t>
      </w:r>
      <w:r>
        <w:t xml:space="preserve"> </w:t>
      </w:r>
      <w:r>
        <w:t xml:space="preserve">«Interpretability Beyond Feature Attribution: Quantitative Testing with Concept Activation Vectors (TCAV)»</w:t>
      </w:r>
      <w:r>
        <w:t xml:space="preserve">.</w:t>
      </w:r>
      <w:r>
        <w:t xml:space="preserve"> </w:t>
      </w:r>
      <w:r>
        <w:rPr>
          <w:i/>
          <w:iCs/>
        </w:rPr>
        <w:t xml:space="preserve">Proceedings of the 35th International Conference on Machine Learning</w:t>
      </w:r>
      <w:r>
        <w:t xml:space="preserve">.</w:t>
      </w:r>
    </w:p>
    <w:bookmarkEnd w:id="353"/>
    <w:bookmarkStart w:id="355" w:name="ref-kim2024"/>
    <w:p>
      <w:pPr>
        <w:pStyle w:val="Bibliography"/>
        <w:spacing w:line="360" w:lineRule="auto"/>
        <w:jc w:val="both"/>
      </w:pPr>
      <w:r>
        <w:t xml:space="preserve">Kim, Sunnie S. Y. 2024.</w:t>
      </w:r>
      <w:r>
        <w:t xml:space="preserve"> </w:t>
      </w:r>
      <w:r>
        <w:t xml:space="preserve">«Establishing Appropriate Trust in AI through Transparency and Explainability»</w:t>
      </w:r>
      <w:r>
        <w:t xml:space="preserve">.</w:t>
      </w:r>
      <w:r>
        <w:t xml:space="preserve"> </w:t>
      </w:r>
      <w:r>
        <w:rPr>
          <w:i/>
          <w:iCs/>
        </w:rPr>
        <w:t xml:space="preserve">Extended Abstracts of the CHI Conference on Human Factors in Computing Systems</w:t>
      </w:r>
      <w:r>
        <w:t xml:space="preserve">, 1-6.</w:t>
      </w:r>
      <w:r>
        <w:t xml:space="preserve"> </w:t>
      </w:r>
      <w:hyperlink ns5:id="rId354">
        <w:r>
          <w:rPr>
            <w:rStyle w:val="Hipervnculo"/>
          </w:rPr>
          <w:t xml:space="preserve">https://doi.org/10.1145/3613905.3638184</w:t>
        </w:r>
      </w:hyperlink>
      <w:r>
        <w:t xml:space="preserve">.</w:t>
      </w:r>
    </w:p>
    <w:bookmarkEnd w:id="355"/>
    <w:bookmarkStart w:id="356" w:name="ref-koh2020"/>
    <w:p>
      <w:pPr>
        <w:pStyle w:val="Bibliography"/>
        <w:spacing w:line="360" w:lineRule="auto"/>
        <w:jc w:val="both"/>
      </w:pPr>
      <w:r>
        <w:t xml:space="preserve">Koh, Pang Wei, Thao Nguyen, Yew Siang Tang, et al. 2020.</w:t>
      </w:r>
      <w:r>
        <w:t xml:space="preserve"> </w:t>
      </w:r>
      <w:r>
        <w:t xml:space="preserve">«Concept Bottleneck Models»</w:t>
      </w:r>
      <w:r>
        <w:t xml:space="preserve">.</w:t>
      </w:r>
      <w:r>
        <w:t xml:space="preserve"> </w:t>
      </w:r>
      <w:r>
        <w:rPr>
          <w:i/>
          <w:iCs/>
        </w:rPr>
        <w:t xml:space="preserve">Proceedings of the 37th International Conference on Machine Learning</w:t>
      </w:r>
      <w:r>
        <w:t xml:space="preserve">.</w:t>
      </w:r>
    </w:p>
    <w:bookmarkEnd w:id="356"/>
    <w:bookmarkStart w:id="358" w:name="ref-kohavi1996"/>
    <w:p>
      <w:pPr>
        <w:pStyle w:val="Bibliography"/>
        <w:spacing w:line="360" w:lineRule="auto"/>
        <w:jc w:val="both"/>
      </w:pPr>
      <w:r>
        <w:t xml:space="preserve">Kohavi, Ron, y Barry Becker. 1996.</w:t>
      </w:r>
      <w:r>
        <w:t xml:space="preserve"> </w:t>
      </w:r>
      <w:r>
        <w:rPr>
          <w:i/>
          <w:iCs/>
        </w:rPr>
        <w:t xml:space="preserve">Adult Data Set</w:t>
      </w:r>
      <w:r>
        <w:t xml:space="preserve">. UCI Machine Learning Repository.</w:t>
      </w:r>
      <w:r>
        <w:t xml:space="preserve"> </w:t>
      </w:r>
      <w:hyperlink ns5:id="rId357">
        <w:r>
          <w:rPr>
            <w:rStyle w:val="Hipervnculo"/>
          </w:rPr>
          <w:t xml:space="preserve">https://archive.ics.uci.edu/dataset/2/adult</w:t>
        </w:r>
      </w:hyperlink>
      <w:r>
        <w:t xml:space="preserve">.</w:t>
      </w:r>
    </w:p>
    <w:bookmarkEnd w:id="358"/>
    <w:bookmarkStart w:id="360" w:name="ref-koo2016"/>
    <w:p>
      <w:pPr>
        <w:pStyle w:val="Bibliography"/>
        <w:spacing w:line="360" w:lineRule="auto"/>
        <w:jc w:val="both"/>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ns5:id="rId359">
        <w:r>
          <w:rPr>
            <w:rStyle w:val="Hipervnculo"/>
          </w:rPr>
          <w:t xml:space="preserve">https://doi.org/10.1016/j.jcm.2016.02.012</w:t>
        </w:r>
      </w:hyperlink>
      <w:r>
        <w:t xml:space="preserve">.</w:t>
      </w:r>
    </w:p>
    <w:bookmarkEnd w:id="360"/>
    <w:bookmarkStart w:id="361" w:name="ref-krippendorff2018"/>
    <w:p>
      <w:pPr>
        <w:pStyle w:val="Bibliography"/>
        <w:spacing w:line="360" w:lineRule="auto"/>
        <w:jc w:val="both"/>
      </w:pPr>
      <w:r>
        <w:t xml:space="preserve">Krippendorff, Klaus. 2018.</w:t>
      </w:r>
      <w:r>
        <w:t xml:space="preserve"> </w:t>
      </w:r>
      <w:r>
        <w:rPr>
          <w:i/>
          <w:iCs/>
        </w:rPr>
        <w:t xml:space="preserve">Content Analysis: An Introduction to Its Methodology</w:t>
      </w:r>
      <w:r>
        <w:t xml:space="preserve">. 4.ª ed. SAGE Publications.</w:t>
      </w:r>
    </w:p>
    <w:bookmarkEnd w:id="361"/>
    <w:bookmarkStart w:id="363" w:name="ref-kumagai2023"/>
    <w:p>
      <w:pPr>
        <w:pStyle w:val="Bibliography"/>
        <w:spacing w:line="360" w:lineRule="auto"/>
        <w:jc w:val="both"/>
      </w:pPr>
      <w:r>
        <w:t xml:space="preserve">Kumagai, Ryo, Shu Takemoto, Yusuke Nozaki, y Masaya Yoshikawa. 2023.</w:t>
      </w:r>
      <w:r>
        <w:t xml:space="preserve"> </w:t>
      </w:r>
      <w:r>
        <w:t xml:space="preserve">«Explainable AI based Adversarial Examples and its Evaluation»</w:t>
      </w:r>
      <w:r>
        <w:t xml:space="preserve">.</w:t>
      </w:r>
      <w:r>
        <w:t xml:space="preserve"> </w:t>
      </w:r>
      <w:r>
        <w:rPr>
          <w:i/>
          <w:iCs/>
        </w:rPr>
        <w:t xml:space="preserve">Proceedings of the 2023 6th International Conference on Electronics, Communications and Control Engineering</w:t>
      </w:r>
      <w:r>
        <w:t xml:space="preserve">, 220-25.</w:t>
      </w:r>
      <w:r>
        <w:t xml:space="preserve"> </w:t>
      </w:r>
      <w:hyperlink ns5:id="rId362">
        <w:r>
          <w:rPr>
            <w:rStyle w:val="Hipervnculo"/>
          </w:rPr>
          <w:t xml:space="preserve">https://doi.org/10.1145/3592307.3592342</w:t>
        </w:r>
      </w:hyperlink>
      <w:r>
        <w:t xml:space="preserve">.</w:t>
      </w:r>
    </w:p>
    <w:bookmarkEnd w:id="363"/>
    <w:bookmarkStart w:id="365"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w:t>
      </w:r>
      <w:r>
        <w:t xml:space="preserve"> </w:t>
      </w:r>
      <w:r>
        <w:rPr>
          <w:i/>
          <w:iCs/>
        </w:rPr>
        <w:t xml:space="preserve">Frontiers in Psychology</w:t>
      </w:r>
      <w:r>
        <w:t xml:space="preserve"> </w:t>
      </w:r>
      <w:r>
        <w:t xml:space="preserve">4: 863.</w:t>
      </w:r>
      <w:r>
        <w:t xml:space="preserve"> </w:t>
      </w:r>
      <w:hyperlink ns5:id="rId364">
        <w:r>
          <w:rPr>
            <w:rStyle w:val="Hipervnculo"/>
          </w:rPr>
          <w:t xml:space="preserve">https://doi.org/10.3389/fpsyg.2013.00863</w:t>
        </w:r>
      </w:hyperlink>
      <w:r>
        <w:t xml:space="preserve">.</w:t>
      </w:r>
    </w:p>
    <w:bookmarkEnd w:id="365"/>
    <w:bookmarkStart w:id="367"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w:t>
      </w:r>
      <w:r>
        <w:t xml:space="preserve"> </w:t>
      </w:r>
      <w:r>
        <w:rPr>
          <w:i/>
          <w:iCs/>
        </w:rPr>
        <w:t xml:space="preserve">Artificial Intelligence</w:t>
      </w:r>
      <w:r>
        <w:t xml:space="preserve"> </w:t>
      </w:r>
      <w:r>
        <w:t xml:space="preserve">296: 103473.</w:t>
      </w:r>
      <w:r>
        <w:t xml:space="preserve"> </w:t>
      </w:r>
      <w:hyperlink ns5:id="rId366">
        <w:r>
          <w:rPr>
            <w:rStyle w:val="Hipervnculo"/>
          </w:rPr>
          <w:t xml:space="preserve">https://doi.org/10.1016/j.artint.2021.103473</w:t>
        </w:r>
      </w:hyperlink>
      <w:r>
        <w:t xml:space="preserve">.</w:t>
      </w:r>
    </w:p>
    <w:bookmarkEnd w:id="367"/>
    <w:bookmarkStart w:id="369" w:name="ref-laugel2019"/>
    <w:p>
      <w:pPr>
        <w:pStyle w:val="Bibliography"/>
        <w:spacing w:line="360" w:lineRule="auto"/>
        <w:jc w:val="both"/>
      </w:pPr>
      <w:r>
        <w:t xml:space="preserve">Laugel, Thibault, Marie-Jeanne Lesot, Christophe Marsala, Xavier Renard, y Marcin Detyniecki. 2019.</w:t>
      </w:r>
      <w:r>
        <w:t xml:space="preserve"> </w:t>
      </w:r>
      <w:r>
        <w:t xml:space="preserve">«The Dangers of Post-hoc Interpretability: Unjustified Counterfactual Explanations»</w:t>
      </w:r>
      <w:r>
        <w:t xml:space="preserve">.</w:t>
      </w:r>
      <w:r>
        <w:t xml:space="preserve"> </w:t>
      </w:r>
      <w:r>
        <w:rPr>
          <w:i/>
          <w:iCs/>
        </w:rPr>
        <w:t xml:space="preserve">Proceedings of the Twenty-Eighth International Joint Conference on Artificial Intelligence</w:t>
      </w:r>
      <w:r>
        <w:t xml:space="preserve">, 2801-7.</w:t>
      </w:r>
      <w:r>
        <w:t xml:space="preserve"> </w:t>
      </w:r>
      <w:hyperlink ns5:id="rId368">
        <w:r>
          <w:rPr>
            <w:rStyle w:val="Hipervnculo"/>
          </w:rPr>
          <w:t xml:space="preserve">https://doi.org/10.24963/ijcai.2019/388</w:t>
        </w:r>
      </w:hyperlink>
      <w:r>
        <w:t xml:space="preserve">.</w:t>
      </w:r>
    </w:p>
    <w:bookmarkEnd w:id="369"/>
    <w:bookmarkStart w:id="370" w:name="ref-li2022"/>
    <w:p>
      <w:pPr>
        <w:pStyle w:val="Bibliography"/>
        <w:spacing w:line="360" w:lineRule="auto"/>
        <w:jc w:val="both"/>
      </w:pPr>
      <w:r>
        <w:t xml:space="preserve">Li, Xuhong, Haoyi Xiong, Xingjian Li, Xuanyu Wu, Zeyu Chen, y Dejing Dou. 2022.</w:t>
      </w:r>
      <w:r>
        <w:t xml:space="preserve"> </w:t>
      </w:r>
      <w:r>
        <w:t xml:space="preserve">«InterpretDL: Explaining Deep Models in PaddlePaddle»</w:t>
      </w:r>
      <w:r>
        <w:t xml:space="preserve">.</w:t>
      </w:r>
      <w:r>
        <w:t xml:space="preserve"> </w:t>
      </w:r>
      <w:r>
        <w:rPr>
          <w:i/>
          <w:iCs/>
        </w:rPr>
        <w:t xml:space="preserve">Journal of Machine Learning Research</w:t>
      </w:r>
      <w:r>
        <w:t xml:space="preserve"> </w:t>
      </w:r>
      <w:r>
        <w:t xml:space="preserve">23: 1-6.</w:t>
      </w:r>
    </w:p>
    <w:bookmarkEnd w:id="370"/>
    <w:bookmarkStart w:id="372"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w:t>
      </w:r>
      <w:r>
        <w:t xml:space="preserve"> </w:t>
      </w:r>
      <w:r>
        <w:rPr>
          <w:i/>
          <w:iCs/>
        </w:rPr>
        <w:t xml:space="preserve">Entropy</w:t>
      </w:r>
      <w:r>
        <w:t xml:space="preserve"> </w:t>
      </w:r>
      <w:r>
        <w:t xml:space="preserve">23 (1): 18.</w:t>
      </w:r>
      <w:r>
        <w:t xml:space="preserve"> </w:t>
      </w:r>
      <w:hyperlink ns5:id="rId371">
        <w:r>
          <w:rPr>
            <w:rStyle w:val="Hipervnculo"/>
          </w:rPr>
          <w:t xml:space="preserve">https://doi.org/10.3390/e23010018</w:t>
        </w:r>
      </w:hyperlink>
      <w:r>
        <w:t xml:space="preserve">.</w:t>
      </w:r>
    </w:p>
    <w:bookmarkEnd w:id="372"/>
    <w:bookmarkStart w:id="374" w:name="ref-lipton2018"/>
    <w:p>
      <w:pPr>
        <w:pStyle w:val="Bibliography"/>
        <w:spacing w:line="360" w:lineRule="auto"/>
        <w:jc w:val="both"/>
      </w:pPr>
      <w:r>
        <w:t xml:space="preserve">Lipton, Z. C. 2018.</w:t>
      </w:r>
      <w:r>
        <w:t xml:space="preserve"> </w:t>
      </w:r>
      <w:r>
        <w:t xml:space="preserve">«The mythos of model interpretability»</w:t>
      </w:r>
      <w:r>
        <w:t xml:space="preserve">.</w:t>
      </w:r>
      <w:r>
        <w:t xml:space="preserve"> </w:t>
      </w:r>
      <w:r>
        <w:rPr>
          <w:i/>
          <w:iCs/>
        </w:rPr>
        <w:t xml:space="preserve">Queue</w:t>
      </w:r>
      <w:r>
        <w:t xml:space="preserve"> </w:t>
      </w:r>
      <w:r>
        <w:t xml:space="preserve">16 (3): 31-57.</w:t>
      </w:r>
      <w:r>
        <w:t xml:space="preserve"> </w:t>
      </w:r>
      <w:hyperlink ns5:id="rId373">
        <w:r>
          <w:rPr>
            <w:rStyle w:val="Hipervnculo"/>
          </w:rPr>
          <w:t xml:space="preserve">https://doi.org/10.1145/3236386.3241340</w:t>
        </w:r>
      </w:hyperlink>
      <w:r>
        <w:t xml:space="preserve">.</w:t>
      </w:r>
    </w:p>
    <w:bookmarkEnd w:id="374"/>
    <w:bookmarkStart w:id="375" w:name="ref-liu2024"/>
    <w:p>
      <w:pPr>
        <w:pStyle w:val="Bibliography"/>
        <w:spacing w:line="360" w:lineRule="auto"/>
        <w:jc w:val="both"/>
      </w:pPr>
      <w:r>
        <w:t xml:space="preserve">Liu, Ziming, Yixuan Wang, Sachin Vaidya, et al. 2024.</w:t>
      </w:r>
      <w:r>
        <w:t xml:space="preserve"> </w:t>
      </w:r>
      <w:r>
        <w:rPr>
          <w:i/>
          <w:iCs/>
        </w:rPr>
        <w:t xml:space="preserve">KAN: Kolmogorov-Arnold Networks</w:t>
      </w:r>
      <w:r>
        <w:t xml:space="preserve">.</w:t>
      </w:r>
    </w:p>
    <w:bookmarkEnd w:id="375"/>
    <w:bookmarkStart w:id="376" w:name="ref-long2019"/>
    <w:p>
      <w:pPr>
        <w:pStyle w:val="Bibliography"/>
        <w:spacing w:line="360" w:lineRule="auto"/>
        <w:jc w:val="both"/>
      </w:pPr>
      <w:r>
        <w:t xml:space="preserve">Long, Bowen, Enjie Liu, Renxi Qiu, y Yanqing Duan. 2019.</w:t>
      </w:r>
      <w:r>
        <w:t xml:space="preserve"> </w:t>
      </w:r>
      <w:r>
        <w:rPr>
          <w:i/>
          <w:iCs/>
        </w:rPr>
        <w:t xml:space="preserve">Explainable AI: The Latest Advancements and New Trends</w:t>
      </w:r>
      <w:r>
        <w:t xml:space="preserve">.</w:t>
      </w:r>
    </w:p>
    <w:bookmarkEnd w:id="376"/>
    <w:bookmarkStart w:id="378" w:name="ref-longo2024"/>
    <w:p>
      <w:pPr>
        <w:pStyle w:val="Bibliography"/>
        <w:spacing w:line="360" w:lineRule="auto"/>
        <w:jc w:val="both"/>
      </w:pPr>
      <w:r>
        <w:t xml:space="preserve">Longo, Luca, Mario Brcic, Federico Cabitza, et al. 2024.</w:t>
      </w:r>
      <w:r>
        <w:t xml:space="preserve"> </w:t>
      </w:r>
      <w:r>
        <w:t xml:space="preserve">«Explainable Artificial Intelligence (XAI) 2.0: A manifesto of open challenges and interdisciplinary research directions»</w:t>
      </w:r>
      <w:r>
        <w:t xml:space="preserve">.</w:t>
      </w:r>
      <w:r>
        <w:t xml:space="preserve"> </w:t>
      </w:r>
      <w:r>
        <w:rPr>
          <w:i/>
          <w:iCs/>
        </w:rPr>
        <w:t xml:space="preserve">Information Fusion</w:t>
      </w:r>
      <w:r>
        <w:t xml:space="preserve"> </w:t>
      </w:r>
      <w:r>
        <w:t xml:space="preserve">106: 102301.</w:t>
      </w:r>
      <w:r>
        <w:t xml:space="preserve"> </w:t>
      </w:r>
      <w:hyperlink ns5:id="rId377">
        <w:r>
          <w:rPr>
            <w:rStyle w:val="Hipervnculo"/>
          </w:rPr>
          <w:t xml:space="preserve">https://doi.org/10.1016/j.inffus.2024.102301</w:t>
        </w:r>
      </w:hyperlink>
      <w:r>
        <w:t xml:space="preserve">.</w:t>
      </w:r>
    </w:p>
    <w:bookmarkEnd w:id="378"/>
    <w:bookmarkStart w:id="380"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w:t>
      </w:r>
      <w:r>
        <w:t xml:space="preserve"> </w:t>
      </w:r>
      <w:r>
        <w:rPr>
          <w:i/>
          <w:iCs/>
        </w:rPr>
        <w:t xml:space="preserve">arXiv (Cornell University)</w:t>
      </w:r>
      <w:r>
        <w:t xml:space="preserve">, advance online publication.</w:t>
      </w:r>
      <w:r>
        <w:t xml:space="preserve"> </w:t>
      </w:r>
      <w:hyperlink ns5:id="rId379">
        <w:r>
          <w:rPr>
            <w:rStyle w:val="Hipervnculo"/>
          </w:rPr>
          <w:t xml:space="preserve">https://doi.org/10.48550/arxiv.1705.07874</w:t>
        </w:r>
      </w:hyperlink>
      <w:r>
        <w:t xml:space="preserve">.</w:t>
      </w:r>
    </w:p>
    <w:bookmarkEnd w:id="380"/>
    <w:bookmarkStart w:id="382"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w:t>
      </w:r>
      <w:r>
        <w:t xml:space="preserve"> </w:t>
      </w:r>
      <w:r>
        <w:rPr>
          <w:i/>
          <w:iCs/>
        </w:rPr>
        <w:t xml:space="preserve">ICIMMI ’23: Proceedings of the 5th International Conference on Information Management &amp; Machine Intelligence Article No.: 85, 1–9</w:t>
      </w:r>
      <w:r>
        <w:t xml:space="preserve">, advance online publication.</w:t>
      </w:r>
      <w:r>
        <w:t xml:space="preserve"> </w:t>
      </w:r>
      <w:hyperlink ns5:id="rId381">
        <w:r>
          <w:rPr>
            <w:rStyle w:val="Hipervnculo"/>
          </w:rPr>
          <w:t xml:space="preserve">https://doi.org/10.1145/3647444.3647912</w:t>
        </w:r>
      </w:hyperlink>
      <w:r>
        <w:t xml:space="preserve">.</w:t>
      </w:r>
    </w:p>
    <w:bookmarkEnd w:id="382"/>
    <w:bookmarkStart w:id="384"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w:t>
      </w:r>
      <w:r>
        <w:t xml:space="preserve"> </w:t>
      </w:r>
      <w:r>
        <w:rPr>
          <w:i/>
          <w:iCs/>
        </w:rPr>
        <w:t xml:space="preserve">Wiley Interdisciplinary Reviews Data Mining and Knowledge Discovery</w:t>
      </w:r>
      <w:r>
        <w:t xml:space="preserve"> </w:t>
      </w:r>
      <w:r>
        <w:t xml:space="preserve">13 (3).</w:t>
      </w:r>
      <w:r>
        <w:t xml:space="preserve"> </w:t>
      </w:r>
      <w:hyperlink ns5:id="rId383">
        <w:r>
          <w:rPr>
            <w:rStyle w:val="Hipervnculo"/>
          </w:rPr>
          <w:t xml:space="preserve">https://doi.org/10.1002/widm.1493</w:t>
        </w:r>
      </w:hyperlink>
      <w:r>
        <w:t xml:space="preserve">.</w:t>
      </w:r>
    </w:p>
    <w:bookmarkEnd w:id="384"/>
    <w:bookmarkStart w:id="386" w:name="ref-marquessilva2024"/>
    <w:p>
      <w:pPr>
        <w:pStyle w:val="Bibliography"/>
        <w:spacing w:line="360" w:lineRule="auto"/>
        <w:jc w:val="both"/>
      </w:pPr>
      <w:r>
        <w:t xml:space="preserve">Marques-Silva, Joao. 2024.</w:t>
      </w:r>
      <w:r>
        <w:t xml:space="preserve"> </w:t>
      </w:r>
      <w:r>
        <w:rPr>
          <w:i/>
          <w:iCs/>
        </w:rPr>
        <w:t xml:space="preserve">Logic-Based Explainability: Past, Present and Future</w:t>
      </w:r>
      <w:r>
        <w:t xml:space="preserve">. Springer Nature Switzerland.</w:t>
      </w:r>
      <w:r>
        <w:t xml:space="preserve"> </w:t>
      </w:r>
      <w:hyperlink ns5:id="rId385">
        <w:r>
          <w:rPr>
            <w:rStyle w:val="Hipervnculo"/>
          </w:rPr>
          <w:t xml:space="preserve">https://doi.org/10.1007/978-3-031-75387-9_12</w:t>
        </w:r>
      </w:hyperlink>
      <w:r>
        <w:t xml:space="preserve">.</w:t>
      </w:r>
    </w:p>
    <w:bookmarkEnd w:id="386"/>
    <w:bookmarkStart w:id="388"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w:t>
      </w:r>
      <w:r>
        <w:t xml:space="preserve"> </w:t>
      </w:r>
      <w:r>
        <w:rPr>
          <w:i/>
          <w:iCs/>
        </w:rPr>
        <w:t xml:space="preserve">Artificial Intelligence</w:t>
      </w:r>
      <w:r>
        <w:t xml:space="preserve"> </w:t>
      </w:r>
      <w:r>
        <w:t xml:space="preserve">267: 1-38.</w:t>
      </w:r>
      <w:r>
        <w:t xml:space="preserve"> </w:t>
      </w:r>
      <w:hyperlink ns5:id="rId387">
        <w:r>
          <w:rPr>
            <w:rStyle w:val="Hipervnculo"/>
          </w:rPr>
          <w:t xml:space="preserve">https://doi.org/10.1016/j.artint.2018.07.007</w:t>
        </w:r>
      </w:hyperlink>
      <w:r>
        <w:t xml:space="preserve">.</w:t>
      </w:r>
    </w:p>
    <w:bookmarkEnd w:id="388"/>
    <w:bookmarkStart w:id="389" w:name="ref-mitchell2022"/>
    <w:p>
      <w:pPr>
        <w:pStyle w:val="Bibliography"/>
        <w:spacing w:line="360" w:lineRule="auto"/>
        <w:jc w:val="both"/>
      </w:pPr>
      <w:r>
        <w:t xml:space="preserve">Mitchell, Rory, Joshua Cooper, Eibe Frank, y Geoffrey Holmes. 2022.</w:t>
      </w:r>
      <w:r>
        <w:t xml:space="preserve"> </w:t>
      </w:r>
      <w:r>
        <w:t xml:space="preserve">«Sampling Permutations for Shapley Value Estimation»</w:t>
      </w:r>
      <w:r>
        <w:t xml:space="preserve">.</w:t>
      </w:r>
      <w:r>
        <w:t xml:space="preserve"> </w:t>
      </w:r>
      <w:r>
        <w:rPr>
          <w:i/>
          <w:iCs/>
        </w:rPr>
        <w:t xml:space="preserve">Journal of Machine Learning Research</w:t>
      </w:r>
      <w:r>
        <w:t xml:space="preserve"> </w:t>
      </w:r>
      <w:r>
        <w:t xml:space="preserve">23: 1-46.</w:t>
      </w:r>
    </w:p>
    <w:bookmarkEnd w:id="389"/>
    <w:bookmarkStart w:id="391" w:name="ref-mittal2023"/>
    <w:p>
      <w:pPr>
        <w:pStyle w:val="Bibliography"/>
        <w:spacing w:line="360" w:lineRule="auto"/>
        <w:jc w:val="both"/>
      </w:pPr>
      <w:r>
        <w:t xml:space="preserve">Mittal, Sangeeta. 2023.</w:t>
      </w:r>
      <w:r>
        <w:t xml:space="preserve"> </w:t>
      </w:r>
      <w:r>
        <w:t xml:space="preserve">«Explaining URL Phishing Detection by Glass Box Models»</w:t>
      </w:r>
      <w:r>
        <w:t xml:space="preserve">.</w:t>
      </w:r>
      <w:r>
        <w:t xml:space="preserve"> </w:t>
      </w:r>
      <w:r>
        <w:rPr>
          <w:i/>
          <w:iCs/>
        </w:rPr>
        <w:t xml:space="preserve">Proceedings of the 2023 Fifteenth International Conference on Contemporary Computing</w:t>
      </w:r>
      <w:r>
        <w:t xml:space="preserve">, 537-44.</w:t>
      </w:r>
      <w:r>
        <w:t xml:space="preserve"> </w:t>
      </w:r>
      <w:hyperlink ns5:id="rId390">
        <w:r>
          <w:rPr>
            <w:rStyle w:val="Hipervnculo"/>
          </w:rPr>
          <w:t xml:space="preserve">https://doi.org/10.1145/3607947.3608059</w:t>
        </w:r>
      </w:hyperlink>
      <w:r>
        <w:t xml:space="preserve">.</w:t>
      </w:r>
    </w:p>
    <w:bookmarkEnd w:id="391"/>
    <w:bookmarkStart w:id="393" w:name="ref-mittelstadt2019"/>
    <w:p>
      <w:pPr>
        <w:pStyle w:val="Bibliography"/>
        <w:spacing w:line="360" w:lineRule="auto"/>
        <w:jc w:val="both"/>
      </w:pPr>
      <w:r>
        <w:t xml:space="preserve">Mittelstadt, Russell, B. 2019.</w:t>
      </w:r>
      <w:r>
        <w:t xml:space="preserve"> </w:t>
      </w:r>
      <w:r>
        <w:t xml:space="preserve">«Explaining Explanations in AI»</w:t>
      </w:r>
      <w:r>
        <w:t xml:space="preserve">.</w:t>
      </w:r>
      <w:r>
        <w:t xml:space="preserve"> </w:t>
      </w:r>
      <w:r>
        <w:rPr>
          <w:i/>
          <w:iCs/>
        </w:rPr>
        <w:t xml:space="preserve">FAT* ’19: Proceedings of the Conference on Fairness, Accountability, and Transparency, 279–288</w:t>
      </w:r>
      <w:r>
        <w:t xml:space="preserve">, advance online publication.</w:t>
      </w:r>
      <w:r>
        <w:t xml:space="preserve"> </w:t>
      </w:r>
      <w:hyperlink ns5:id="rId392">
        <w:r>
          <w:rPr>
            <w:rStyle w:val="Hipervnculo"/>
          </w:rPr>
          <w:t xml:space="preserve">https://doi.org/10.1145/3287560.3287574</w:t>
        </w:r>
      </w:hyperlink>
      <w:r>
        <w:t xml:space="preserve">.</w:t>
      </w:r>
    </w:p>
    <w:bookmarkEnd w:id="393"/>
    <w:bookmarkStart w:id="395" w:name="ref-mohseni2021"/>
    <w:p>
      <w:pPr>
        <w:pStyle w:val="Bibliography"/>
        <w:spacing w:line="360" w:lineRule="auto"/>
        <w:jc w:val="both"/>
      </w:pPr>
      <w:r>
        <w:t xml:space="preserve">Mohseni, Sina, Niloofar Zarei, y Eric D. Ragan. 2021.</w:t>
      </w:r>
      <w:r>
        <w:t xml:space="preserve"> </w:t>
      </w:r>
      <w:r>
        <w:t xml:space="preserve">«A Multidisciplinary Survey and Framework for Design and Evaluation of Explainable AI Systems»</w:t>
      </w:r>
      <w:r>
        <w:t xml:space="preserve">.</w:t>
      </w:r>
      <w:r>
        <w:t xml:space="preserve"> </w:t>
      </w:r>
      <w:r>
        <w:rPr>
          <w:i/>
          <w:iCs/>
        </w:rPr>
        <w:t xml:space="preserve">ACM Transactions on Interactive Intelligent Systems</w:t>
      </w:r>
      <w:r>
        <w:t xml:space="preserve"> </w:t>
      </w:r>
      <w:r>
        <w:t xml:space="preserve">11 (3-4): 1-45.</w:t>
      </w:r>
      <w:r>
        <w:t xml:space="preserve"> </w:t>
      </w:r>
      <w:hyperlink ns5:id="rId394">
        <w:r>
          <w:rPr>
            <w:rStyle w:val="Hipervnculo"/>
          </w:rPr>
          <w:t xml:space="preserve">https://doi.org/10.1145/3387166</w:t>
        </w:r>
      </w:hyperlink>
      <w:r>
        <w:t xml:space="preserve">.</w:t>
      </w:r>
    </w:p>
    <w:bookmarkEnd w:id="395"/>
    <w:bookmarkStart w:id="397" w:name="ref-molnar2020"/>
    <w:p>
      <w:pPr>
        <w:pStyle w:val="Bibliography"/>
        <w:spacing w:line="360" w:lineRule="auto"/>
        <w:jc w:val="both"/>
      </w:pPr>
      <w:r>
        <w:t xml:space="preserve">Molnar, Christoph, Giuseppe Casalicchio, y Bernd Bischl. 2020.</w:t>
      </w:r>
      <w:r>
        <w:t xml:space="preserve"> </w:t>
      </w:r>
      <w:r>
        <w:rPr>
          <w:i/>
          <w:iCs/>
        </w:rPr>
        <w:t xml:space="preserve">Interpretable Machine Learning – A Brief History, State-of-the-Art and Challenges</w:t>
      </w:r>
      <w:r>
        <w:t xml:space="preserve">. Springer International Publishing.</w:t>
      </w:r>
      <w:r>
        <w:t xml:space="preserve"> </w:t>
      </w:r>
      <w:hyperlink ns5:id="rId396">
        <w:r>
          <w:rPr>
            <w:rStyle w:val="Hipervnculo"/>
          </w:rPr>
          <w:t xml:space="preserve">https://doi.org/10.1007/978-3-030-65965-3_28</w:t>
        </w:r>
      </w:hyperlink>
      <w:r>
        <w:t xml:space="preserve">.</w:t>
      </w:r>
    </w:p>
    <w:bookmarkEnd w:id="397"/>
    <w:bookmarkStart w:id="399" w:name="ref-morrison2023"/>
    <w:p>
      <w:pPr>
        <w:pStyle w:val="Bibliography"/>
        <w:spacing w:line="360" w:lineRule="auto"/>
        <w:jc w:val="both"/>
      </w:pPr>
      <w:r>
        <w:t xml:space="preserve">Morrison, Katelyn, Mayank Jain, Jessica Hammer, y Adam Perer. 2023.</w:t>
      </w:r>
      <w:r>
        <w:t xml:space="preserve"> </w:t>
      </w:r>
      <w:r>
        <w:t xml:space="preserve">«Eye into AI: Evaluating the Interpretability of Explainable AI Techniques through a Game with a Purpose»</w:t>
      </w:r>
      <w:r>
        <w:t xml:space="preserve">.</w:t>
      </w:r>
      <w:r>
        <w:t xml:space="preserve"> </w:t>
      </w:r>
      <w:r>
        <w:rPr>
          <w:i/>
          <w:iCs/>
        </w:rPr>
        <w:t xml:space="preserve">Proceedings of the ACM on Human-Computer Interaction</w:t>
      </w:r>
      <w:r>
        <w:t xml:space="preserve"> </w:t>
      </w:r>
      <w:r>
        <w:t xml:space="preserve">7 (CSCW2): 1-22.</w:t>
      </w:r>
      <w:r>
        <w:t xml:space="preserve"> </w:t>
      </w:r>
      <w:hyperlink ns5:id="rId398">
        <w:r>
          <w:rPr>
            <w:rStyle w:val="Hipervnculo"/>
          </w:rPr>
          <w:t xml:space="preserve">https://doi.org/10.1145/3610064</w:t>
        </w:r>
      </w:hyperlink>
      <w:r>
        <w:t xml:space="preserve">.</w:t>
      </w:r>
    </w:p>
    <w:bookmarkEnd w:id="399"/>
    <w:bookmarkStart w:id="401"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w:t>
      </w:r>
      <w:r>
        <w:t xml:space="preserve"> </w:t>
      </w:r>
      <w:r>
        <w:rPr>
          <w:i/>
          <w:iCs/>
        </w:rPr>
        <w:t xml:space="preserve">FAT* ’20: Proceedings of the 2020 Conference on Fairness, Accountability, and Transparency</w:t>
      </w:r>
      <w:r>
        <w:t xml:space="preserve">, advance online publication.</w:t>
      </w:r>
      <w:r>
        <w:t xml:space="preserve"> </w:t>
      </w:r>
      <w:hyperlink ns5:id="rId400">
        <w:r>
          <w:rPr>
            <w:rStyle w:val="Hipervnculo"/>
          </w:rPr>
          <w:t xml:space="preserve">https://doi.org/10.1145/3351095.3372850</w:t>
        </w:r>
      </w:hyperlink>
      <w:r>
        <w:t xml:space="preserve">.</w:t>
      </w:r>
    </w:p>
    <w:bookmarkEnd w:id="401"/>
    <w:bookmarkStart w:id="403" w:name="ref-muntasir2024"/>
    <w:p>
      <w:pPr>
        <w:pStyle w:val="Bibliography"/>
        <w:spacing w:line="360" w:lineRule="auto"/>
        <w:jc w:val="both"/>
      </w:pPr>
      <w:r>
        <w:t xml:space="preserve">Muntasir, Fahim, y Jannatun Noor. 2024.</w:t>
      </w:r>
      <w:r>
        <w:t xml:space="preserve"> </w:t>
      </w:r>
      <w:r>
        <w:t xml:space="preserve">«Explainable AI Discloses Gender Bias in Sexism Detection Algorithm»</w:t>
      </w:r>
      <w:r>
        <w:t xml:space="preserve">.</w:t>
      </w:r>
      <w:r>
        <w:t xml:space="preserve"> </w:t>
      </w:r>
      <w:r>
        <w:rPr>
          <w:i/>
          <w:iCs/>
        </w:rPr>
        <w:t xml:space="preserve">Proceedings of the 11th International Conference on Networking, Systems, and Security</w:t>
      </w:r>
      <w:r>
        <w:t xml:space="preserve">, 120-27.</w:t>
      </w:r>
      <w:r>
        <w:t xml:space="preserve"> </w:t>
      </w:r>
      <w:hyperlink ns5:id="rId402">
        <w:r>
          <w:rPr>
            <w:rStyle w:val="Hipervnculo"/>
          </w:rPr>
          <w:t xml:space="preserve">https://doi.org/10.1145/3704522.3704524</w:t>
        </w:r>
      </w:hyperlink>
      <w:r>
        <w:t xml:space="preserve">.</w:t>
      </w:r>
    </w:p>
    <w:bookmarkEnd w:id="403"/>
    <w:bookmarkStart w:id="40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w:t>
      </w:r>
      <w:r>
        <w:t xml:space="preserve"> </w:t>
      </w:r>
      <w:r>
        <w:rPr>
          <w:i/>
          <w:iCs/>
        </w:rPr>
        <w:t xml:space="preserve">Proceedings of the National Academy of Sciences</w:t>
      </w:r>
      <w:r>
        <w:t xml:space="preserve"> </w:t>
      </w:r>
      <w:r>
        <w:t xml:space="preserve">116 (44): 22071-80.</w:t>
      </w:r>
      <w:r>
        <w:t xml:space="preserve"> </w:t>
      </w:r>
      <w:hyperlink ns5:id="rId404">
        <w:r>
          <w:rPr>
            <w:rStyle w:val="Hipervnculo"/>
          </w:rPr>
          <w:t xml:space="preserve">https://doi.org/10.1073/pnas.1900654116</w:t>
        </w:r>
      </w:hyperlink>
      <w:r>
        <w:t xml:space="preserve">.</w:t>
      </w:r>
    </w:p>
    <w:bookmarkEnd w:id="405"/>
    <w:bookmarkStart w:id="407" w:name="ref-nannini2024"/>
    <w:p>
      <w:pPr>
        <w:pStyle w:val="Bibliography"/>
        <w:spacing w:line="360" w:lineRule="auto"/>
        <w:jc w:val="both"/>
      </w:pPr>
      <w:r>
        <w:t xml:space="preserve">Nannini, Luca, Marta Marchiori Manerba, y Isacco Beretta. 2024.</w:t>
      </w:r>
      <w:r>
        <w:t xml:space="preserve"> </w:t>
      </w:r>
      <w:r>
        <w:t xml:space="preserve">«Mapping the landscape of ethical considerations in explainable AI research»</w:t>
      </w:r>
      <w:r>
        <w:t xml:space="preserve">.</w:t>
      </w:r>
      <w:r>
        <w:t xml:space="preserve"> </w:t>
      </w:r>
      <w:r>
        <w:rPr>
          <w:i/>
          <w:iCs/>
        </w:rPr>
        <w:t xml:space="preserve">Ethics and Information Technology</w:t>
      </w:r>
      <w:r>
        <w:t xml:space="preserve"> </w:t>
      </w:r>
      <w:r>
        <w:t xml:space="preserve">26 (3).</w:t>
      </w:r>
      <w:r>
        <w:t xml:space="preserve"> </w:t>
      </w:r>
      <w:hyperlink ns5:id="rId406">
        <w:r>
          <w:rPr>
            <w:rStyle w:val="Hipervnculo"/>
          </w:rPr>
          <w:t xml:space="preserve">https://doi.org/10.1007/s10676-024-09773-7</w:t>
        </w:r>
      </w:hyperlink>
      <w:r>
        <w:t xml:space="preserve">.</w:t>
      </w:r>
    </w:p>
    <w:bookmarkEnd w:id="407"/>
    <w:bookmarkStart w:id="409"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w:t>
      </w:r>
      <w:r>
        <w:t xml:space="preserve"> </w:t>
      </w:r>
      <w:r>
        <w:rPr>
          <w:i/>
          <w:iCs/>
        </w:rPr>
        <w:t xml:space="preserve">ACM Computing Surveys</w:t>
      </w:r>
      <w:r>
        <w:t xml:space="preserve"> </w:t>
      </w:r>
      <w:r>
        <w:t xml:space="preserve">55 (13s): 1-42.</w:t>
      </w:r>
      <w:r>
        <w:t xml:space="preserve"> </w:t>
      </w:r>
      <w:hyperlink ns5:id="rId408">
        <w:r>
          <w:rPr>
            <w:rStyle w:val="Hipervnculo"/>
          </w:rPr>
          <w:t xml:space="preserve">https://doi.org/10.1145/3583558</w:t>
        </w:r>
      </w:hyperlink>
      <w:r>
        <w:t xml:space="preserve">.</w:t>
      </w:r>
    </w:p>
    <w:bookmarkEnd w:id="409"/>
    <w:bookmarkStart w:id="411" w:name="ref-nemenyi1963"/>
    <w:p>
      <w:pPr>
        <w:pStyle w:val="Bibliography"/>
        <w:spacing w:line="360" w:lineRule="auto"/>
        <w:jc w:val="both"/>
      </w:pPr>
      <w:r>
        <w:t xml:space="preserve">Nemenyi, Peter Bjorn. 1963.</w:t>
      </w:r>
      <w:r>
        <w:t xml:space="preserve"> </w:t>
      </w:r>
      <w:r>
        <w:t xml:space="preserve">«Distribution-free Multiple Comparisons»</w:t>
      </w:r>
      <w:r>
        <w:t xml:space="preserve">. Tesis doctoral, Princeton University.</w:t>
      </w:r>
      <w:r>
        <w:t xml:space="preserve"> </w:t>
      </w:r>
      <w:hyperlink ns5:id="rId410">
        <w:r>
          <w:rPr>
            <w:rStyle w:val="Hipervnculo"/>
          </w:rPr>
          <w:t xml:space="preserve">https://catalog.princeton.edu/catalog/2081365</w:t>
        </w:r>
      </w:hyperlink>
      <w:r>
        <w:t xml:space="preserve">.</w:t>
      </w:r>
    </w:p>
    <w:bookmarkEnd w:id="411"/>
    <w:bookmarkStart w:id="413" w:name="ref-ngueajio2025"/>
    <w:p>
      <w:pPr>
        <w:pStyle w:val="Bibliography"/>
        <w:spacing w:line="360" w:lineRule="auto"/>
        <w:jc w:val="both"/>
      </w:pPr>
      <w:r>
        <w:t xml:space="preserve">Ngueajio, Mikel K., Saurav Aryal, Marcellin Atemkeng, Gloria Washington, y Danda Rawat. 2025.</w:t>
      </w:r>
      <w:r>
        <w:t xml:space="preserve"> </w:t>
      </w:r>
      <w:r>
        <w:t xml:space="preserve">«Decoding Fake News and Hate Speech: A Survey of Explainable AI Techniques»</w:t>
      </w:r>
      <w:r>
        <w:t xml:space="preserve">.</w:t>
      </w:r>
      <w:r>
        <w:t xml:space="preserve"> </w:t>
      </w:r>
      <w:r>
        <w:rPr>
          <w:i/>
          <w:iCs/>
        </w:rPr>
        <w:t xml:space="preserve">ACM Computing Surveys</w:t>
      </w:r>
      <w:r>
        <w:t xml:space="preserve"> </w:t>
      </w:r>
      <w:r>
        <w:t xml:space="preserve">57 (7): 1-37.</w:t>
      </w:r>
      <w:r>
        <w:t xml:space="preserve"> </w:t>
      </w:r>
      <w:hyperlink ns5:id="rId412">
        <w:r>
          <w:rPr>
            <w:rStyle w:val="Hipervnculo"/>
          </w:rPr>
          <w:t xml:space="preserve">https://doi.org/10.1145/3711123</w:t>
        </w:r>
      </w:hyperlink>
      <w:r>
        <w:t xml:space="preserve">.</w:t>
      </w:r>
    </w:p>
    <w:bookmarkEnd w:id="413"/>
    <w:bookmarkStart w:id="414" w:name="ref-nguyen2019"/>
    <w:p>
      <w:pPr>
        <w:pStyle w:val="Bibliography"/>
        <w:spacing w:line="360" w:lineRule="auto"/>
        <w:jc w:val="both"/>
      </w:pPr>
      <w:r>
        <w:t xml:space="preserve">Nguyen, An-phi, y Maria Rodriguez Martinez. 2019.</w:t>
      </w:r>
      <w:r>
        <w:t xml:space="preserve"> </w:t>
      </w:r>
      <w:r>
        <w:rPr>
          <w:i/>
          <w:iCs/>
        </w:rPr>
        <w:t xml:space="preserve">MonoNet: Towards Interpretable Models by Learning Monotonic Features</w:t>
      </w:r>
      <w:r>
        <w:t xml:space="preserve">.</w:t>
      </w:r>
    </w:p>
    <w:bookmarkEnd w:id="414"/>
    <w:bookmarkStart w:id="416" w:name="ref-nimmo2024"/>
    <w:p>
      <w:pPr>
        <w:pStyle w:val="Bibliography"/>
        <w:spacing w:line="360" w:lineRule="auto"/>
        <w:jc w:val="both"/>
      </w:pPr>
      <w:r>
        <w:t xml:space="preserve">Nimmo, Robert, Marios Constantinides, Ke Zhou, Daniele Quercia, y Simone Stumpf. 2024.</w:t>
      </w:r>
      <w:r>
        <w:t xml:space="preserve"> </w:t>
      </w:r>
      <w:r>
        <w:t xml:space="preserve">«User Characteristics in Explainable AI: The Rabbit Hole of Personalization?»</w:t>
      </w:r>
      <w:r>
        <w:t xml:space="preserve"> </w:t>
      </w:r>
      <w:r>
        <w:rPr>
          <w:i/>
          <w:iCs/>
        </w:rPr>
        <w:t xml:space="preserve">Proceedings of the CHI Conference on Human Factors in Computing Systems</w:t>
      </w:r>
      <w:r>
        <w:t xml:space="preserve">, 1-13.</w:t>
      </w:r>
      <w:r>
        <w:t xml:space="preserve"> </w:t>
      </w:r>
      <w:hyperlink ns5:id="rId415">
        <w:r>
          <w:rPr>
            <w:rStyle w:val="Hipervnculo"/>
          </w:rPr>
          <w:t xml:space="preserve">https://doi.org/10.1145/3613904.3642352</w:t>
        </w:r>
      </w:hyperlink>
      <w:r>
        <w:t xml:space="preserve">.</w:t>
      </w:r>
    </w:p>
    <w:bookmarkEnd w:id="416"/>
    <w:bookmarkStart w:id="417" w:name="ref-nizam2023"/>
    <w:p>
      <w:pPr>
        <w:pStyle w:val="Bibliography"/>
        <w:spacing w:line="360" w:lineRule="auto"/>
        <w:jc w:val="both"/>
      </w:pPr>
      <w:r>
        <w:t xml:space="preserve">Nizam, T., y S. Zafar. 2023.</w:t>
      </w:r>
      <w:r>
        <w:t xml:space="preserve"> </w:t>
      </w:r>
      <w:r>
        <w:t xml:space="preserve">«Towards a Standardised Evaluation Approach for Diverse XAI Methods»</w:t>
      </w:r>
      <w:r>
        <w:t xml:space="preserve">.</w:t>
      </w:r>
      <w:r>
        <w:t xml:space="preserve"> </w:t>
      </w:r>
      <w:r>
        <w:rPr>
          <w:i/>
          <w:iCs/>
        </w:rPr>
        <w:t xml:space="preserve">Explainable Artificial Intelligence (XAI): Conception, Visualization and Assessment</w:t>
      </w:r>
      <w:r>
        <w:t xml:space="preserve">.</w:t>
      </w:r>
    </w:p>
    <w:bookmarkEnd w:id="417"/>
    <w:bookmarkStart w:id="419"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w:t>
      </w:r>
      <w:r>
        <w:t xml:space="preserve"> </w:t>
      </w:r>
      <w:r>
        <w:rPr>
          <w:i/>
          <w:iCs/>
        </w:rPr>
        <w:t xml:space="preserve">Nature Communications</w:t>
      </w:r>
      <w:r>
        <w:t xml:space="preserve"> </w:t>
      </w:r>
      <w:r>
        <w:t xml:space="preserve">13 (1).</w:t>
      </w:r>
      <w:r>
        <w:t xml:space="preserve"> </w:t>
      </w:r>
      <w:hyperlink ns5:id="rId418">
        <w:r>
          <w:rPr>
            <w:rStyle w:val="Hipervnculo"/>
          </w:rPr>
          <w:t xml:space="preserve">https://doi.org/10.1038/s41467-022-33417-3</w:t>
        </w:r>
      </w:hyperlink>
      <w:r>
        <w:t xml:space="preserve">.</w:t>
      </w:r>
    </w:p>
    <w:bookmarkEnd w:id="419"/>
    <w:bookmarkStart w:id="420" w:name="ref-olsen2022"/>
    <w:p>
      <w:pPr>
        <w:pStyle w:val="Bibliography"/>
        <w:spacing w:line="360" w:lineRule="auto"/>
        <w:jc w:val="both"/>
      </w:pPr>
      <w:r>
        <w:t xml:space="preserve">Olsen, Lars Henry Berge, Ingrid Kristine Glad, Martin Jullum, y Kjersti Aas. 2022.</w:t>
      </w:r>
      <w:r>
        <w:t xml:space="preserve"> </w:t>
      </w:r>
      <w:r>
        <w:t xml:space="preserve">«Using Shapley Values and Variational Autoencoders to Explain Predictive Models with Dependent Mixed Features»</w:t>
      </w:r>
      <w:r>
        <w:t xml:space="preserve">.</w:t>
      </w:r>
      <w:r>
        <w:t xml:space="preserve"> </w:t>
      </w:r>
      <w:r>
        <w:rPr>
          <w:i/>
          <w:iCs/>
        </w:rPr>
        <w:t xml:space="preserve">Journal of Machine Learning Research</w:t>
      </w:r>
      <w:r>
        <w:t xml:space="preserve"> </w:t>
      </w:r>
      <w:r>
        <w:t xml:space="preserve">23: 1-51.</w:t>
      </w:r>
    </w:p>
    <w:bookmarkEnd w:id="420"/>
    <w:bookmarkStart w:id="422"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w:t>
      </w:r>
      <w:r>
        <w:t xml:space="preserve"> </w:t>
      </w:r>
      <w:r>
        <w:rPr>
          <w:i/>
          <w:iCs/>
        </w:rPr>
        <w:t xml:space="preserve">Neurocomputing</w:t>
      </w:r>
      <w:r>
        <w:t xml:space="preserve"> </w:t>
      </w:r>
      <w:r>
        <w:t xml:space="preserve">602 (128282).</w:t>
      </w:r>
      <w:r>
        <w:t xml:space="preserve"> </w:t>
      </w:r>
      <w:hyperlink ns5:id="rId421">
        <w:r>
          <w:rPr>
            <w:rStyle w:val="Hipervnculo"/>
          </w:rPr>
          <w:t xml:space="preserve">https://doi.org/10.1016/j.neucom.2024.128282</w:t>
        </w:r>
      </w:hyperlink>
      <w:r>
        <w:t xml:space="preserve">.</w:t>
      </w:r>
    </w:p>
    <w:bookmarkEnd w:id="422"/>
    <w:bookmarkStart w:id="424" w:name="ref-peters2024"/>
    <w:p>
      <w:pPr>
        <w:pStyle w:val="Bibliography"/>
        <w:spacing w:line="360" w:lineRule="auto"/>
        <w:jc w:val="both"/>
      </w:pPr>
      <w:r>
        <w:t xml:space="preserve">Peters, Uwe, y Mary Carman. 2024.</w:t>
      </w:r>
      <w:r>
        <w:t xml:space="preserve"> </w:t>
      </w:r>
      <w:r>
        <w:t xml:space="preserve">«Cultural Bias in Explainable AI Research: A Systematic Analysis»</w:t>
      </w:r>
      <w:r>
        <w:t xml:space="preserve">.</w:t>
      </w:r>
      <w:r>
        <w:t xml:space="preserve"> </w:t>
      </w:r>
      <w:r>
        <w:rPr>
          <w:i/>
          <w:iCs/>
        </w:rPr>
        <w:t xml:space="preserve">Journal of Artificial Intelligence Research</w:t>
      </w:r>
      <w:r>
        <w:t xml:space="preserve"> </w:t>
      </w:r>
      <w:r>
        <w:t xml:space="preserve">79: 971-1000.</w:t>
      </w:r>
      <w:r>
        <w:t xml:space="preserve"> </w:t>
      </w:r>
      <w:hyperlink ns5:id="rId423">
        <w:r>
          <w:rPr>
            <w:rStyle w:val="Hipervnculo"/>
          </w:rPr>
          <w:t xml:space="preserve">https://doi.org/10.1613/jair.1.14888</w:t>
        </w:r>
      </w:hyperlink>
      <w:r>
        <w:t xml:space="preserve">.</w:t>
      </w:r>
    </w:p>
    <w:bookmarkEnd w:id="424"/>
    <w:bookmarkStart w:id="426" w:name="ref-porfirio2024"/>
    <w:p>
      <w:pPr>
        <w:pStyle w:val="Bibliography"/>
        <w:spacing w:line="360" w:lineRule="auto"/>
        <w:jc w:val="both"/>
      </w:pPr>
      <w:r>
        <w:t xml:space="preserve">Porfírio, Rui Pedro. 2024.</w:t>
      </w:r>
      <w:r>
        <w:t xml:space="preserve"> </w:t>
      </w:r>
      <w:r>
        <w:t xml:space="preserve">«Studying the Impact of Explainable AI in Digital Agriculture Solutions»</w:t>
      </w:r>
      <w:r>
        <w:t xml:space="preserve">.</w:t>
      </w:r>
      <w:r>
        <w:t xml:space="preserve"> </w:t>
      </w:r>
      <w:r>
        <w:rPr>
          <w:i/>
          <w:iCs/>
        </w:rPr>
        <w:t xml:space="preserve">Companion Publication of the 2024 Conference on Computer-Supported Cooperative Work and Social Computing</w:t>
      </w:r>
      <w:r>
        <w:t xml:space="preserve">, 43-46.</w:t>
      </w:r>
      <w:r>
        <w:t xml:space="preserve"> </w:t>
      </w:r>
      <w:hyperlink ns5:id="rId425">
        <w:r>
          <w:rPr>
            <w:rStyle w:val="Hipervnculo"/>
          </w:rPr>
          <w:t xml:space="preserve">https://doi.org/10.1145/3678884.3682046</w:t>
        </w:r>
      </w:hyperlink>
      <w:r>
        <w:t xml:space="preserve">.</w:t>
      </w:r>
    </w:p>
    <w:bookmarkEnd w:id="426"/>
    <w:bookmarkStart w:id="428" w:name="ref-poyiadzi2020"/>
    <w:p>
      <w:pPr>
        <w:pStyle w:val="Bibliography"/>
        <w:spacing w:line="360" w:lineRule="auto"/>
        <w:jc w:val="both"/>
      </w:pPr>
      <w:r>
        <w:t xml:space="preserve">Poyiadzi, Rafael, Kacper Sokol, Raul Santos-Rodriguez, Tijl De Bie, y Peter Flach. 2020.</w:t>
      </w:r>
      <w:r>
        <w:t xml:space="preserve"> </w:t>
      </w:r>
      <w:r>
        <w:t xml:space="preserve">«FACE: Feasible and Actionable Counterfactual Explanations»</w:t>
      </w:r>
      <w:r>
        <w:t xml:space="preserve">.</w:t>
      </w:r>
      <w:r>
        <w:t xml:space="preserve"> </w:t>
      </w:r>
      <w:r>
        <w:rPr>
          <w:i/>
          <w:iCs/>
        </w:rPr>
        <w:t xml:space="preserve">Proceedings of the AAAI/ACM Conference on AI, Ethics, and Society</w:t>
      </w:r>
      <w:r>
        <w:t xml:space="preserve">, 344-50.</w:t>
      </w:r>
      <w:r>
        <w:t xml:space="preserve"> </w:t>
      </w:r>
      <w:hyperlink ns5:id="rId427">
        <w:r>
          <w:rPr>
            <w:rStyle w:val="Hipervnculo"/>
          </w:rPr>
          <w:t xml:space="preserve">https://doi.org/10.1145/3375627.3375850</w:t>
        </w:r>
      </w:hyperlink>
      <w:r>
        <w:t xml:space="preserve">.</w:t>
      </w:r>
    </w:p>
    <w:bookmarkEnd w:id="428"/>
    <w:bookmarkStart w:id="429" w:name="ref-proszewska2025"/>
    <w:p>
      <w:pPr>
        <w:pStyle w:val="Bibliography"/>
        <w:spacing w:line="360" w:lineRule="auto"/>
        <w:jc w:val="both"/>
      </w:pPr>
      <w:r>
        <w:t xml:space="preserve">Proszewska, Magdalena, Tomasz Danel, y Dawid Rymarczyk. 2025.</w:t>
      </w:r>
      <w:r>
        <w:t xml:space="preserve"> </w:t>
      </w:r>
      <w:r>
        <w:rPr>
          <w:i/>
          <w:iCs/>
        </w:rPr>
        <w:t xml:space="preserve">B-XAIC Dataset: Benchmarking Explainable AI for Graph Neural Networks Using Chemical Data</w:t>
      </w:r>
      <w:r>
        <w:t xml:space="preserve">.</w:t>
      </w:r>
    </w:p>
    <w:bookmarkEnd w:id="429"/>
    <w:bookmarkStart w:id="430" w:name="ref-ramachandram2025"/>
    <w:p>
      <w:pPr>
        <w:pStyle w:val="Bibliography"/>
        <w:spacing w:line="360" w:lineRule="auto"/>
        <w:jc w:val="both"/>
      </w:pPr>
      <w:r>
        <w:t xml:space="preserve">Ramachandram, Dhanesh, Himanshu Joshi, Judy Zhu, Dhari Gandhi, Lucas Hartman, y Ananya Raval. 2025.</w:t>
      </w:r>
      <w:r>
        <w:t xml:space="preserve"> </w:t>
      </w:r>
      <w:r>
        <w:rPr>
          <w:i/>
          <w:iCs/>
        </w:rPr>
        <w:t xml:space="preserve">Transparent AI: The Case for Interpretability and Explainability</w:t>
      </w:r>
      <w:r>
        <w:t xml:space="preserve">. Vector Institute for Artificial Intelligence.</w:t>
      </w:r>
    </w:p>
    <w:bookmarkEnd w:id="430"/>
    <w:bookmarkStart w:id="432" w:name="ref-reif2025"/>
    <w:p>
      <w:pPr>
        <w:pStyle w:val="Bibliography"/>
        <w:spacing w:line="360" w:lineRule="auto"/>
        <w:jc w:val="both"/>
      </w:pPr>
      <w:r>
        <w:t xml:space="preserve">Reif, Jessica A., Richard P. Larrick, y Jack B. Soll. 2025.</w:t>
      </w:r>
      <w:r>
        <w:t xml:space="preserve"> </w:t>
      </w:r>
      <w:r>
        <w:t xml:space="preserve">«Evidence of a social evaluation penalty for using AI»</w:t>
      </w:r>
      <w:r>
        <w:t xml:space="preserve">.</w:t>
      </w:r>
      <w:r>
        <w:t xml:space="preserve"> </w:t>
      </w:r>
      <w:r>
        <w:rPr>
          <w:i/>
          <w:iCs/>
        </w:rPr>
        <w:t xml:space="preserve">Proceedings of the National Academy of Sciences</w:t>
      </w:r>
      <w:r>
        <w:t xml:space="preserve"> </w:t>
      </w:r>
      <w:r>
        <w:t xml:space="preserve">122 (19).</w:t>
      </w:r>
      <w:r>
        <w:t xml:space="preserve"> </w:t>
      </w:r>
      <w:hyperlink ns5:id="rId431">
        <w:r>
          <w:rPr>
            <w:rStyle w:val="Hipervnculo"/>
          </w:rPr>
          <w:t xml:space="preserve">https://doi.org/10.1073/pnas.2426766122</w:t>
        </w:r>
      </w:hyperlink>
      <w:r>
        <w:t xml:space="preserve">.</w:t>
      </w:r>
    </w:p>
    <w:bookmarkEnd w:id="432"/>
    <w:bookmarkStart w:id="434"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w:t>
      </w:r>
      <w:r>
        <w:t xml:space="preserve"> </w:t>
      </w:r>
      <w:r>
        <w:rPr>
          <w:i/>
          <w:iCs/>
        </w:rPr>
        <w:t xml:space="preserve">arXiv preprint arXiv:1602.04938</w:t>
      </w:r>
      <w:r>
        <w:t xml:space="preserve">, advance online publication.</w:t>
      </w:r>
      <w:r>
        <w:t xml:space="preserve"> </w:t>
      </w:r>
      <w:hyperlink ns5:id="rId433">
        <w:r>
          <w:rPr>
            <w:rStyle w:val="Hipervnculo"/>
          </w:rPr>
          <w:t xml:space="preserve">https://doi.org/10.1145/2939672.2939778</w:t>
        </w:r>
      </w:hyperlink>
      <w:r>
        <w:t xml:space="preserve">.</w:t>
      </w:r>
    </w:p>
    <w:bookmarkEnd w:id="434"/>
    <w:bookmarkStart w:id="436"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w:t>
      </w:r>
      <w:r>
        <w:t xml:space="preserve"> </w:t>
      </w:r>
      <w:r>
        <w:rPr>
          <w:i/>
          <w:iCs/>
        </w:rPr>
        <w:t xml:space="preserve">Proceedings of the AAAI Conference on Artificial Intelligence</w:t>
      </w:r>
      <w:r>
        <w:t xml:space="preserve"> </w:t>
      </w:r>
      <w:r>
        <w:t xml:space="preserve">32 (1).</w:t>
      </w:r>
      <w:r>
        <w:t xml:space="preserve"> </w:t>
      </w:r>
      <w:hyperlink ns5:id="rId435">
        <w:r>
          <w:rPr>
            <w:rStyle w:val="Hipervnculo"/>
          </w:rPr>
          <w:t xml:space="preserve">https://doi.org/10.1609/aaai.v32i1.11491</w:t>
        </w:r>
      </w:hyperlink>
      <w:r>
        <w:t xml:space="preserve">.</w:t>
      </w:r>
    </w:p>
    <w:bookmarkEnd w:id="436"/>
    <w:bookmarkStart w:id="438" w:name="ref-rodriguez2024"/>
    <w:p>
      <w:pPr>
        <w:pStyle w:val="Bibliography"/>
        <w:spacing w:line="360" w:lineRule="auto"/>
        <w:jc w:val="both"/>
      </w:pPr>
      <w:r>
        <w:t xml:space="preserve">Rodriguez, Sebastian, y John Thangarajah. 2024.</w:t>
      </w:r>
      <w:r>
        <w:t xml:space="preserve"> </w:t>
      </w:r>
      <w:r>
        <w:t xml:space="preserve">«Explainable Agents (XAg) by Design»</w:t>
      </w:r>
      <w:r>
        <w:t xml:space="preserve">.</w:t>
      </w:r>
      <w:r>
        <w:t xml:space="preserve"> </w:t>
      </w:r>
      <w:r>
        <w:rPr>
          <w:i/>
          <w:iCs/>
        </w:rPr>
        <w:t xml:space="preserve">International Joint Conference on Autonomous Agents and Multiagent Systems</w:t>
      </w:r>
      <w:r>
        <w:t xml:space="preserve">, 2712-16.</w:t>
      </w:r>
      <w:r>
        <w:t xml:space="preserve"> </w:t>
      </w:r>
      <w:hyperlink ns5:id="rId437">
        <w:r>
          <w:rPr>
            <w:rStyle w:val="Hipervnculo"/>
          </w:rPr>
          <w:t xml:space="preserve">https://doi.org/10.65109/vllw9552</w:t>
        </w:r>
      </w:hyperlink>
      <w:r>
        <w:t xml:space="preserve">.</w:t>
      </w:r>
    </w:p>
    <w:bookmarkEnd w:id="438"/>
    <w:bookmarkStart w:id="440" w:name="ref-rong2022consistent"/>
    <w:p>
      <w:pPr>
        <w:pStyle w:val="Bibliography"/>
        <w:spacing w:line="360" w:lineRule="auto"/>
        <w:jc w:val="both"/>
      </w:pPr>
      <w:r>
        <w:t xml:space="preserve">Rong, Yao, Tobias Leemann, Vadim Borisov, Gjergji Kasneci, y Enkelejda Kasneci. 2022.</w:t>
      </w:r>
      <w:r>
        <w:t xml:space="preserve"> </w:t>
      </w:r>
      <w:r>
        <w:t xml:space="preserve">«A Consistent and Efficient Evaluation Strategy for Attribution Methods»</w:t>
      </w:r>
      <w:r>
        <w:t xml:space="preserve">.</w:t>
      </w:r>
      <w:r>
        <w:t xml:space="preserve"> </w:t>
      </w:r>
      <w:r>
        <w:rPr>
          <w:i/>
          <w:iCs/>
        </w:rPr>
        <w:t xml:space="preserve">Proceedings of the 39th International Conference on Machine Learning</w:t>
      </w:r>
      <w:r>
        <w:t xml:space="preserve">, Proceedings of Machine Learning Research, vol. 162: 18770-95.</w:t>
      </w:r>
      <w:r>
        <w:t xml:space="preserve"> </w:t>
      </w:r>
      <w:hyperlink ns5:id="rId439">
        <w:r>
          <w:rPr>
            <w:rStyle w:val="Hipervnculo"/>
          </w:rPr>
          <w:t xml:space="preserve">https://proceedings.mlr.press/v162/rong22a.html</w:t>
        </w:r>
      </w:hyperlink>
      <w:r>
        <w:t xml:space="preserve">.</w:t>
      </w:r>
    </w:p>
    <w:bookmarkEnd w:id="440"/>
    <w:bookmarkStart w:id="44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w:t>
      </w:r>
      <w:r>
        <w:t xml:space="preserve"> </w:t>
      </w:r>
      <w:r>
        <w:rPr>
          <w:i/>
          <w:iCs/>
        </w:rPr>
        <w:t xml:space="preserve">IEEE Transactions on Pattern Analysis and Machine Intelligence</w:t>
      </w:r>
      <w:r>
        <w:t xml:space="preserve"> </w:t>
      </w:r>
      <w:r>
        <w:t xml:space="preserve">46 (4): 2104-22.</w:t>
      </w:r>
      <w:r>
        <w:t xml:space="preserve"> </w:t>
      </w:r>
      <w:hyperlink ns5:id="rId441">
        <w:r>
          <w:rPr>
            <w:rStyle w:val="Hipervnculo"/>
          </w:rPr>
          <w:t xml:space="preserve">https://doi.org/10.1109/TPAMI.2023.3331846</w:t>
        </w:r>
      </w:hyperlink>
      <w:r>
        <w:t xml:space="preserve">.</w:t>
      </w:r>
    </w:p>
    <w:bookmarkEnd w:id="442"/>
    <w:bookmarkStart w:id="44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w:t>
      </w:r>
      <w:r>
        <w:t xml:space="preserve"> </w:t>
      </w:r>
      <w:r>
        <w:rPr>
          <w:i/>
          <w:iCs/>
        </w:rPr>
        <w:t xml:space="preserve">Statistics Surveys</w:t>
      </w:r>
      <w:r>
        <w:t xml:space="preserve"> </w:t>
      </w:r>
      <w:r>
        <w:t xml:space="preserve">16 (none).</w:t>
      </w:r>
      <w:r>
        <w:t xml:space="preserve"> </w:t>
      </w:r>
      <w:hyperlink ns5:id="rId443">
        <w:r>
          <w:rPr>
            <w:rStyle w:val="Hipervnculo"/>
          </w:rPr>
          <w:t xml:space="preserve">https://doi.org/10.1214/21-ss133</w:t>
        </w:r>
      </w:hyperlink>
      <w:r>
        <w:t xml:space="preserve">.</w:t>
      </w:r>
    </w:p>
    <w:bookmarkEnd w:id="444"/>
    <w:bookmarkStart w:id="446" w:name="ref-rudin2019"/>
    <w:p>
      <w:pPr>
        <w:pStyle w:val="Bibliography"/>
        <w:spacing w:line="360" w:lineRule="auto"/>
        <w:jc w:val="both"/>
      </w:pPr>
      <w:r>
        <w:t xml:space="preserve">Rudin, Cynthia. 2019.</w:t>
      </w:r>
      <w:r>
        <w:t xml:space="preserve"> </w:t>
      </w:r>
      <w:r>
        <w:t xml:space="preserve">«Stop explaining black box machine learning models for high stakes decisions and use interpretable models instead»</w:t>
      </w:r>
      <w:r>
        <w:t xml:space="preserve">.</w:t>
      </w:r>
      <w:r>
        <w:t xml:space="preserve"> </w:t>
      </w:r>
      <w:r>
        <w:rPr>
          <w:i/>
          <w:iCs/>
        </w:rPr>
        <w:t xml:space="preserve">Nature Machine Intelligence</w:t>
      </w:r>
      <w:r>
        <w:t xml:space="preserve"> </w:t>
      </w:r>
      <w:r>
        <w:t xml:space="preserve">1 (5): 206-15.</w:t>
      </w:r>
      <w:r>
        <w:t xml:space="preserve"> </w:t>
      </w:r>
      <w:hyperlink ns5:id="rId445">
        <w:r>
          <w:rPr>
            <w:rStyle w:val="Hipervnculo"/>
          </w:rPr>
          <w:t xml:space="preserve">https://doi.org/10.1038/s42256-019-0048-x</w:t>
        </w:r>
      </w:hyperlink>
      <w:r>
        <w:t xml:space="preserve">.</w:t>
      </w:r>
    </w:p>
    <w:bookmarkEnd w:id="446"/>
    <w:bookmarkStart w:id="448"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w:t>
      </w:r>
      <w:r>
        <w:t xml:space="preserve"> </w:t>
      </w:r>
      <w:r>
        <w:rPr>
          <w:i/>
          <w:iCs/>
        </w:rPr>
        <w:t xml:space="preserve">Applied Sciences</w:t>
      </w:r>
      <w:r>
        <w:t xml:space="preserve"> </w:t>
      </w:r>
      <w:r>
        <w:t xml:space="preserve">14 (19): 8884.</w:t>
      </w:r>
      <w:r>
        <w:t xml:space="preserve"> </w:t>
      </w:r>
      <w:hyperlink ns5:id="rId447">
        <w:r>
          <w:rPr>
            <w:rStyle w:val="Hipervnculo"/>
          </w:rPr>
          <w:t xml:space="preserve">https://doi.org/10.3390/app14198884</w:t>
        </w:r>
      </w:hyperlink>
      <w:r>
        <w:t xml:space="preserve">.</w:t>
      </w:r>
    </w:p>
    <w:bookmarkEnd w:id="448"/>
    <w:bookmarkStart w:id="450" w:name="ref-saeed2023"/>
    <w:p>
      <w:pPr>
        <w:pStyle w:val="Bibliography"/>
        <w:spacing w:line="360" w:lineRule="auto"/>
        <w:jc w:val="both"/>
      </w:pPr>
      <w:r>
        <w:t xml:space="preserve">Saeed, &amp; Omlin, W. 2023.</w:t>
      </w:r>
      <w:r>
        <w:t xml:space="preserve"> </w:t>
      </w:r>
      <w:r>
        <w:t xml:space="preserve">«Explainable AI (XAI): A systematic meta-survey of current challenges and future opportunities»</w:t>
      </w:r>
      <w:r>
        <w:t xml:space="preserve">.</w:t>
      </w:r>
      <w:r>
        <w:t xml:space="preserve"> </w:t>
      </w:r>
      <w:r>
        <w:rPr>
          <w:i/>
          <w:iCs/>
        </w:rPr>
        <w:t xml:space="preserve">Knowledge-Based Systems</w:t>
      </w:r>
      <w:r>
        <w:t xml:space="preserve"> </w:t>
      </w:r>
      <w:r>
        <w:t xml:space="preserve">263: 110273.</w:t>
      </w:r>
      <w:r>
        <w:t xml:space="preserve"> </w:t>
      </w:r>
      <w:hyperlink ns5:id="rId449">
        <w:r>
          <w:rPr>
            <w:rStyle w:val="Hipervnculo"/>
          </w:rPr>
          <w:t xml:space="preserve">https://doi.org/10.1016/j.knosys.2023.110273</w:t>
        </w:r>
      </w:hyperlink>
      <w:r>
        <w:t xml:space="preserve">.</w:t>
      </w:r>
    </w:p>
    <w:bookmarkEnd w:id="450"/>
    <w:bookmarkStart w:id="452"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w:t>
      </w:r>
      <w:r>
        <w:t xml:space="preserve"> </w:t>
      </w:r>
      <w:r>
        <w:rPr>
          <w:i/>
          <w:iCs/>
        </w:rPr>
        <w:t xml:space="preserve">In Lecture notes in computer science</w:t>
      </w:r>
      <w:r>
        <w:t xml:space="preserve">, advance online publication.</w:t>
      </w:r>
      <w:r>
        <w:t xml:space="preserve"> </w:t>
      </w:r>
      <w:hyperlink ns5:id="rId451">
        <w:r>
          <w:rPr>
            <w:rStyle w:val="Hipervnculo"/>
          </w:rPr>
          <w:t xml:space="preserve">https://doi.org/10.1007/978-3-030-28954-6</w:t>
        </w:r>
      </w:hyperlink>
      <w:r>
        <w:t xml:space="preserve">.</w:t>
      </w:r>
    </w:p>
    <w:bookmarkEnd w:id="452"/>
    <w:bookmarkStart w:id="454" w:name="ref-saqib2024"/>
    <w:p>
      <w:pPr>
        <w:pStyle w:val="Bibliography"/>
        <w:spacing w:line="360" w:lineRule="auto"/>
        <w:jc w:val="both"/>
      </w:pPr>
      <w:r>
        <w:t xml:space="preserve">Saqib, Mohd, Samaneh Mahdavifar, Benjamin C. M. Fung, y Philippe Charland. 2024.</w:t>
      </w:r>
      <w:r>
        <w:t xml:space="preserve"> </w:t>
      </w:r>
      <w:r>
        <w:t xml:space="preserve">«A Comprehensive Analysis of Explainable AI for Malware Hunting»</w:t>
      </w:r>
      <w:r>
        <w:t xml:space="preserve">.</w:t>
      </w:r>
      <w:r>
        <w:t xml:space="preserve"> </w:t>
      </w:r>
      <w:r>
        <w:rPr>
          <w:i/>
          <w:iCs/>
        </w:rPr>
        <w:t xml:space="preserve">ACM Computing Surveys</w:t>
      </w:r>
      <w:r>
        <w:t xml:space="preserve"> </w:t>
      </w:r>
      <w:r>
        <w:t xml:space="preserve">56 (12): 1-40.</w:t>
      </w:r>
      <w:r>
        <w:t xml:space="preserve"> </w:t>
      </w:r>
      <w:hyperlink ns5:id="rId453">
        <w:r>
          <w:rPr>
            <w:rStyle w:val="Hipervnculo"/>
          </w:rPr>
          <w:t xml:space="preserve">https://doi.org/10.1145/3677374</w:t>
        </w:r>
      </w:hyperlink>
      <w:r>
        <w:t xml:space="preserve">.</w:t>
      </w:r>
    </w:p>
    <w:bookmarkEnd w:id="454"/>
    <w:bookmarkStart w:id="456"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w:t>
      </w:r>
      <w:r>
        <w:t xml:space="preserve"> </w:t>
      </w:r>
      <w:r>
        <w:rPr>
          <w:i/>
          <w:iCs/>
        </w:rPr>
        <w:t xml:space="preserve">Data Mining and Knowledge Discovery</w:t>
      </w:r>
      <w:r>
        <w:t xml:space="preserve"> </w:t>
      </w:r>
      <w:r>
        <w:t xml:space="preserve">38 (5): 3043-101.</w:t>
      </w:r>
      <w:r>
        <w:t xml:space="preserve"> </w:t>
      </w:r>
      <w:hyperlink ns5:id="rId455">
        <w:r>
          <w:rPr>
            <w:rStyle w:val="Hipervnculo"/>
          </w:rPr>
          <w:t xml:space="preserve">https://doi.org/10.1007/s10618-022-00867-8</w:t>
        </w:r>
      </w:hyperlink>
      <w:r>
        <w:t xml:space="preserve">.</w:t>
      </w:r>
    </w:p>
    <w:bookmarkEnd w:id="456"/>
    <w:bookmarkStart w:id="458" w:name="ref-shapley1952"/>
    <w:p>
      <w:pPr>
        <w:pStyle w:val="Bibliography"/>
        <w:spacing w:line="360" w:lineRule="auto"/>
        <w:jc w:val="both"/>
      </w:pPr>
      <w:r>
        <w:t xml:space="preserve">Shapley, Lloyd S. 1952.</w:t>
      </w:r>
      <w:r>
        <w:t xml:space="preserve"> </w:t>
      </w:r>
      <w:r>
        <w:rPr>
          <w:i/>
          <w:iCs/>
        </w:rPr>
        <w:t xml:space="preserve">A Value for N-Person Games</w:t>
      </w:r>
      <w:r>
        <w:t xml:space="preserve">. P-295. RAND Corporation.</w:t>
      </w:r>
      <w:r>
        <w:t xml:space="preserve"> </w:t>
      </w:r>
      <w:hyperlink ns5:id="rId457">
        <w:r>
          <w:rPr>
            <w:rStyle w:val="Hipervnculo"/>
          </w:rPr>
          <w:t xml:space="preserve">https://www.rand.org/pubs/papers/P0295.html</w:t>
        </w:r>
      </w:hyperlink>
      <w:r>
        <w:t xml:space="preserve">.</w:t>
      </w:r>
    </w:p>
    <w:bookmarkEnd w:id="458"/>
    <w:bookmarkStart w:id="460" w:name="ref-sithakoul2024"/>
    <w:p>
      <w:pPr>
        <w:pStyle w:val="Bibliography"/>
        <w:spacing w:line="360" w:lineRule="auto"/>
        <w:jc w:val="both"/>
      </w:pPr>
      <w:r>
        <w:t xml:space="preserve">Sithakoul, Samuel, Sara Meftah, y Clément Feutry. 2024.</w:t>
      </w:r>
      <w:r>
        <w:t xml:space="preserve"> </w:t>
      </w:r>
      <w:r>
        <w:rPr>
          <w:i/>
          <w:iCs/>
        </w:rPr>
        <w:t xml:space="preserve">BEExAI: Benchmark to Evaluate Explainable AI</w:t>
      </w:r>
      <w:r>
        <w:t xml:space="preserve">. Springer Nature Switzerland.</w:t>
      </w:r>
      <w:r>
        <w:t xml:space="preserve"> </w:t>
      </w:r>
      <w:hyperlink ns5:id="rId459">
        <w:r>
          <w:rPr>
            <w:rStyle w:val="Hipervnculo"/>
          </w:rPr>
          <w:t xml:space="preserve">https://doi.org/10.1007/978-3-031-63787-2_23</w:t>
        </w:r>
      </w:hyperlink>
      <w:r>
        <w:t xml:space="preserve">.</w:t>
      </w:r>
    </w:p>
    <w:bookmarkEnd w:id="460"/>
    <w:bookmarkStart w:id="462" w:name="ref-slack2020"/>
    <w:p>
      <w:pPr>
        <w:pStyle w:val="Bibliography"/>
        <w:spacing w:line="360" w:lineRule="auto"/>
        <w:jc w:val="both"/>
      </w:pPr>
      <w:r>
        <w:t xml:space="preserve">Slack, Dylan, Sophie Hilgard, Emily Jia, Sameer Singh, y Himabindu Lakkaraju. 2020.</w:t>
      </w:r>
      <w:r>
        <w:t xml:space="preserve"> </w:t>
      </w:r>
      <w:r>
        <w:t xml:space="preserve">«Fooling LIME and SHAP: Adversarial Attacks on Post Hoc Explanation Methods»</w:t>
      </w:r>
      <w:r>
        <w:t xml:space="preserve">.</w:t>
      </w:r>
      <w:r>
        <w:t xml:space="preserve"> </w:t>
      </w:r>
      <w:r>
        <w:rPr>
          <w:i/>
          <w:iCs/>
        </w:rPr>
        <w:t xml:space="preserve">Proceedings of the AAAI/ACM Conference on AI, Ethics, and Society</w:t>
      </w:r>
      <w:r>
        <w:t xml:space="preserve">, 180-86.</w:t>
      </w:r>
      <w:r>
        <w:t xml:space="preserve"> </w:t>
      </w:r>
      <w:hyperlink ns5:id="rId461">
        <w:r>
          <w:rPr>
            <w:rStyle w:val="Hipervnculo"/>
          </w:rPr>
          <w:t xml:space="preserve">https://doi.org/10.1145/3375627.3375830</w:t>
        </w:r>
      </w:hyperlink>
      <w:r>
        <w:t xml:space="preserve">.</w:t>
      </w:r>
    </w:p>
    <w:bookmarkEnd w:id="462"/>
    <w:bookmarkStart w:id="464" w:name="ref-sokol2020"/>
    <w:p>
      <w:pPr>
        <w:pStyle w:val="Bibliography"/>
        <w:spacing w:line="360" w:lineRule="auto"/>
        <w:jc w:val="both"/>
      </w:pPr>
      <w:r>
        <w:t xml:space="preserve">Sokol, Kacper, y Peter Flach. 2020.</w:t>
      </w:r>
      <w:r>
        <w:t xml:space="preserve"> </w:t>
      </w:r>
      <w:r>
        <w:t xml:space="preserve">«One Explanation Does Not Fit All: The Promise of Interactive Explanations for Machine Learning Transparency»</w:t>
      </w:r>
      <w:r>
        <w:t xml:space="preserve">.</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463">
        <w:r>
          <w:rPr>
            <w:rStyle w:val="Hipervnculo"/>
          </w:rPr>
          <w:t xml:space="preserve">https://doi.org/10.1007/s13218-020-00637-y</w:t>
        </w:r>
      </w:hyperlink>
      <w:r>
        <w:t xml:space="preserve">.</w:t>
      </w:r>
    </w:p>
    <w:bookmarkEnd w:id="464"/>
    <w:bookmarkStart w:id="466" w:name="ref-tan2023"/>
    <w:p>
      <w:pPr>
        <w:pStyle w:val="Bibliography"/>
        <w:spacing w:line="360" w:lineRule="auto"/>
        <w:jc w:val="both"/>
      </w:pPr>
      <w:r>
        <w:t xml:space="preserve">Tan, Juntao, y Yongfeng Zhang. 2023.</w:t>
      </w:r>
      <w:r>
        <w:t xml:space="preserve"> </w:t>
      </w:r>
      <w:r>
        <w:t xml:space="preserve">«ExplainableFold: Understanding AlphaFold Prediction with Explainable AI»</w:t>
      </w:r>
      <w:r>
        <w:t xml:space="preserve">.</w:t>
      </w:r>
      <w:r>
        <w:t xml:space="preserve"> </w:t>
      </w:r>
      <w:r>
        <w:rPr>
          <w:i/>
          <w:iCs/>
        </w:rPr>
        <w:t xml:space="preserve">Proceedings of the 29th ACM SIGKDD Conference on Knowledge Discovery and Data Mining</w:t>
      </w:r>
      <w:r>
        <w:t xml:space="preserve">, 2166-76.</w:t>
      </w:r>
      <w:r>
        <w:t xml:space="preserve"> </w:t>
      </w:r>
      <w:hyperlink ns5:id="rId465">
        <w:r>
          <w:rPr>
            <w:rStyle w:val="Hipervnculo"/>
          </w:rPr>
          <w:t xml:space="preserve">https://doi.org/10.1145/3580305.3599337</w:t>
        </w:r>
      </w:hyperlink>
      <w:r>
        <w:t xml:space="preserve">.</w:t>
      </w:r>
    </w:p>
    <w:bookmarkEnd w:id="466"/>
    <w:bookmarkStart w:id="468" w:name="ref-tjoa2020"/>
    <w:p>
      <w:pPr>
        <w:pStyle w:val="Bibliography"/>
        <w:spacing w:line="360" w:lineRule="auto"/>
        <w:jc w:val="both"/>
      </w:pPr>
      <w:r>
        <w:t xml:space="preserve">Tjoa, Erico, y Cuntai Guan. 2021.</w:t>
      </w:r>
      <w:r>
        <w:t xml:space="preserve"> </w:t>
      </w:r>
      <w:r>
        <w:t xml:space="preserve">«A Survey on Explainable Artificial Intelligence (XAI): Toward Medical XAI»</w:t>
      </w:r>
      <w:r>
        <w:t xml:space="preserve">.</w:t>
      </w:r>
      <w:r>
        <w:t xml:space="preserve"> </w:t>
      </w:r>
      <w:r>
        <w:rPr>
          <w:i/>
          <w:iCs/>
        </w:rPr>
        <w:t xml:space="preserve">IEEE Transactions on Neural Networks and Learning Systems</w:t>
      </w:r>
      <w:r>
        <w:t xml:space="preserve"> </w:t>
      </w:r>
      <w:r>
        <w:t xml:space="preserve">32 (11): 4793-813.</w:t>
      </w:r>
      <w:r>
        <w:t xml:space="preserve"> </w:t>
      </w:r>
      <w:hyperlink ns5:id="rId467">
        <w:r>
          <w:rPr>
            <w:rStyle w:val="Hipervnculo"/>
          </w:rPr>
          <w:t xml:space="preserve">https://doi.org/10.1109/TNNLS.2020.3027314</w:t>
        </w:r>
      </w:hyperlink>
      <w:r>
        <w:t xml:space="preserve">.</w:t>
      </w:r>
    </w:p>
    <w:bookmarkEnd w:id="468"/>
    <w:bookmarkStart w:id="470" w:name="ref-tomsett2020"/>
    <w:p>
      <w:pPr>
        <w:pStyle w:val="Bibliography"/>
        <w:spacing w:line="360" w:lineRule="auto"/>
        <w:jc w:val="both"/>
      </w:pPr>
      <w:r>
        <w:t xml:space="preserve">Tomsett, Richard, Dan Harborne, Supriyo Chakraborty, Prudhvi Gurram, y Alun Preece. 2020.</w:t>
      </w:r>
      <w:r>
        <w:t xml:space="preserve"> </w:t>
      </w:r>
      <w:r>
        <w:t xml:space="preserve">«Sanity Checks for Saliency Metrics»</w:t>
      </w:r>
      <w:r>
        <w:t xml:space="preserve">.</w:t>
      </w:r>
      <w:r>
        <w:t xml:space="preserve"> </w:t>
      </w:r>
      <w:r>
        <w:rPr>
          <w:i/>
          <w:iCs/>
        </w:rPr>
        <w:t xml:space="preserve">Proceedings of the AAAI Conference on Artificial Intelligence</w:t>
      </w:r>
      <w:r>
        <w:t xml:space="preserve"> </w:t>
      </w:r>
      <w:r>
        <w:t xml:space="preserve">34 (04): 6021-29.</w:t>
      </w:r>
      <w:r>
        <w:t xml:space="preserve"> </w:t>
      </w:r>
      <w:hyperlink ns5:id="rId469">
        <w:r>
          <w:rPr>
            <w:rStyle w:val="Hipervnculo"/>
          </w:rPr>
          <w:t xml:space="preserve">https://doi.org/10.1609/aaai.v34i04.6064</w:t>
        </w:r>
      </w:hyperlink>
      <w:r>
        <w:t xml:space="preserve">.</w:t>
      </w:r>
    </w:p>
    <w:bookmarkEnd w:id="470"/>
    <w:bookmarkStart w:id="472"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w:t>
      </w:r>
      <w:r>
        <w:t xml:space="preserve"> </w:t>
      </w:r>
      <w:r>
        <w:rPr>
          <w:i/>
          <w:iCs/>
        </w:rPr>
        <w:t xml:space="preserve">In CRC Press eBooks</w:t>
      </w:r>
      <w:r>
        <w:t xml:space="preserve">, advance online publication.</w:t>
      </w:r>
      <w:r>
        <w:t xml:space="preserve"> </w:t>
      </w:r>
      <w:hyperlink ns5:id="rId471">
        <w:r>
          <w:rPr>
            <w:rStyle w:val="Hipervnculo"/>
          </w:rPr>
          <w:t xml:space="preserve">https://doi.org/10.1201/9781003442509</w:t>
        </w:r>
      </w:hyperlink>
      <w:r>
        <w:t xml:space="preserve">.</w:t>
      </w:r>
    </w:p>
    <w:bookmarkEnd w:id="472"/>
    <w:bookmarkStart w:id="473" w:name="ref-tsai2023"/>
    <w:p>
      <w:pPr>
        <w:pStyle w:val="Bibliography"/>
        <w:spacing w:line="360" w:lineRule="auto"/>
        <w:jc w:val="both"/>
      </w:pPr>
      <w:r>
        <w:t xml:space="preserve">Tsai, Che-Ping, Chih-Kuan Yeh, y Pradeep Ravikumar. 2023.</w:t>
      </w:r>
      <w:r>
        <w:t xml:space="preserve"> </w:t>
      </w:r>
      <w:r>
        <w:t xml:space="preserve">«Faith-Shap: The Faithful Shapley Interaction Index»</w:t>
      </w:r>
      <w:r>
        <w:t xml:space="preserve">.</w:t>
      </w:r>
      <w:r>
        <w:t xml:space="preserve"> </w:t>
      </w:r>
      <w:r>
        <w:rPr>
          <w:i/>
          <w:iCs/>
        </w:rPr>
        <w:t xml:space="preserve">Journal of Machine Learning Research</w:t>
      </w:r>
      <w:r>
        <w:t xml:space="preserve"> </w:t>
      </w:r>
      <w:r>
        <w:t xml:space="preserve">24: 1-42.</w:t>
      </w:r>
    </w:p>
    <w:bookmarkEnd w:id="473"/>
    <w:bookmarkStart w:id="475" w:name="ref-tsigos2024"/>
    <w:p>
      <w:pPr>
        <w:pStyle w:val="Bibliography"/>
        <w:spacing w:line="360" w:lineRule="auto"/>
        <w:jc w:val="both"/>
      </w:pPr>
      <w:r>
        <w:t xml:space="preserve">Tsigos, Konstantinos, Evlampios Apostolidis, Spyridon Baxevanakis, Symeon Papadopoulos, y Vasileios Mezaris. 2024.</w:t>
      </w:r>
      <w:r>
        <w:t xml:space="preserve"> </w:t>
      </w:r>
      <w:r>
        <w:t xml:space="preserve">«Towards Quantitative Evaluation of Explainable AI Methods for Deepfake Detection»</w:t>
      </w:r>
      <w:r>
        <w:t xml:space="preserve">.</w:t>
      </w:r>
      <w:r>
        <w:t xml:space="preserve"> </w:t>
      </w:r>
      <w:r>
        <w:rPr>
          <w:i/>
          <w:iCs/>
        </w:rPr>
        <w:t xml:space="preserve">3rd ACM International Workshop on Multimedia AI against Disinformation</w:t>
      </w:r>
      <w:r>
        <w:t xml:space="preserve">, 37-45.</w:t>
      </w:r>
      <w:r>
        <w:t xml:space="preserve"> </w:t>
      </w:r>
      <w:hyperlink ns5:id="rId474">
        <w:r>
          <w:rPr>
            <w:rStyle w:val="Hipervnculo"/>
          </w:rPr>
          <w:t xml:space="preserve">https://doi.org/10.1145/3643491.3660292</w:t>
        </w:r>
      </w:hyperlink>
      <w:r>
        <w:t xml:space="preserve">.</w:t>
      </w:r>
    </w:p>
    <w:bookmarkEnd w:id="475"/>
    <w:bookmarkStart w:id="477" w:name="ref-ullah2024"/>
    <w:p>
      <w:pPr>
        <w:pStyle w:val="Bibliography"/>
        <w:spacing w:line="360" w:lineRule="auto"/>
        <w:jc w:val="both"/>
      </w:pPr>
      <w:r>
        <w:t xml:space="preserve">Ullah, Naeem, Javed Ali Khan, Ivanoe De Falco, y Giovanna Sannino. 2024.</w:t>
      </w:r>
      <w:r>
        <w:t xml:space="preserve"> </w:t>
      </w:r>
      <w:r>
        <w:t xml:space="preserve">«Explainable Artificial Intelligence: Importance, Use Domains, Stages, Output Shapes, and Challenges»</w:t>
      </w:r>
      <w:r>
        <w:t xml:space="preserve">.</w:t>
      </w:r>
      <w:r>
        <w:t xml:space="preserve"> </w:t>
      </w:r>
      <w:r>
        <w:rPr>
          <w:i/>
          <w:iCs/>
        </w:rPr>
        <w:t xml:space="preserve">ACM Computing Surveys</w:t>
      </w:r>
      <w:r>
        <w:t xml:space="preserve"> </w:t>
      </w:r>
      <w:r>
        <w:t xml:space="preserve">57 (4): 1-36.</w:t>
      </w:r>
      <w:r>
        <w:t xml:space="preserve"> </w:t>
      </w:r>
      <w:hyperlink ns5:id="rId476">
        <w:r>
          <w:rPr>
            <w:rStyle w:val="Hipervnculo"/>
          </w:rPr>
          <w:t xml:space="preserve">https://doi.org/10.1145/3705724</w:t>
        </w:r>
      </w:hyperlink>
      <w:r>
        <w:t xml:space="preserve">.</w:t>
      </w:r>
    </w:p>
    <w:bookmarkEnd w:id="477"/>
    <w:bookmarkStart w:id="479" w:name="ref-vainiopekka2023"/>
    <w:p>
      <w:pPr>
        <w:pStyle w:val="Bibliography"/>
        <w:spacing w:line="360" w:lineRule="auto"/>
        <w:jc w:val="both"/>
      </w:pPr>
      <w:r>
        <w:t xml:space="preserve">Vainio-Pekka, Heidi, Mamia Ori-Otse Agbese, Marianna Jantunen, et al. 2023.</w:t>
      </w:r>
      <w:r>
        <w:t xml:space="preserve"> </w:t>
      </w:r>
      <w:r>
        <w:t xml:space="preserve">«The Role of Explainable AI in the Research Field of AI Ethics»</w:t>
      </w:r>
      <w:r>
        <w:t xml:space="preserve">.</w:t>
      </w:r>
      <w:r>
        <w:t xml:space="preserve"> </w:t>
      </w:r>
      <w:r>
        <w:rPr>
          <w:i/>
          <w:iCs/>
        </w:rPr>
        <w:t xml:space="preserve">ACM Transactions on Interactive Intelligent Systems</w:t>
      </w:r>
      <w:r>
        <w:t xml:space="preserve"> </w:t>
      </w:r>
      <w:r>
        <w:t xml:space="preserve">13 (4): 1-39.</w:t>
      </w:r>
      <w:r>
        <w:t xml:space="preserve"> </w:t>
      </w:r>
      <w:hyperlink ns5:id="rId478">
        <w:r>
          <w:rPr>
            <w:rStyle w:val="Hipervnculo"/>
          </w:rPr>
          <w:t xml:space="preserve">https://doi.org/10.1145/3599974</w:t>
        </w:r>
      </w:hyperlink>
      <w:r>
        <w:t xml:space="preserve">.</w:t>
      </w:r>
    </w:p>
    <w:bookmarkEnd w:id="479"/>
    <w:bookmarkStart w:id="481" w:name="ref-vandenbroeck2022"/>
    <w:p>
      <w:pPr>
        <w:pStyle w:val="Bibliography"/>
        <w:spacing w:line="360" w:lineRule="auto"/>
        <w:jc w:val="both"/>
      </w:pPr>
      <w:r>
        <w:t xml:space="preserve">Van den Broeck, Guy, Anton Lykov, Maximilian Schleich, y Dan Suciu. 2022.</w:t>
      </w:r>
      <w:r>
        <w:t xml:space="preserve"> </w:t>
      </w:r>
      <w:r>
        <w:t xml:space="preserve">«On the Tractability of SHAP Explanations»</w:t>
      </w:r>
      <w:r>
        <w:t xml:space="preserve">.</w:t>
      </w:r>
      <w:r>
        <w:t xml:space="preserve"> </w:t>
      </w:r>
      <w:r>
        <w:rPr>
          <w:i/>
          <w:iCs/>
        </w:rPr>
        <w:t xml:space="preserve">Journal of Artificial Intelligence Research</w:t>
      </w:r>
      <w:r>
        <w:t xml:space="preserve"> </w:t>
      </w:r>
      <w:r>
        <w:t xml:space="preserve">74: 851-86.</w:t>
      </w:r>
      <w:r>
        <w:t xml:space="preserve"> </w:t>
      </w:r>
      <w:hyperlink ns5:id="rId480">
        <w:r>
          <w:rPr>
            <w:rStyle w:val="Hipervnculo"/>
          </w:rPr>
          <w:t xml:space="preserve">https://doi.org/10.1613/jair.1.13283</w:t>
        </w:r>
      </w:hyperlink>
      <w:r>
        <w:t xml:space="preserve">.</w:t>
      </w:r>
    </w:p>
    <w:bookmarkEnd w:id="481"/>
    <w:bookmarkStart w:id="483" w:name="ref-voigt2017"/>
    <w:p>
      <w:pPr>
        <w:pStyle w:val="Bibliography"/>
        <w:spacing w:line="360" w:lineRule="auto"/>
        <w:jc w:val="both"/>
      </w:pPr>
      <w:r>
        <w:t xml:space="preserve">Voigt, Paul, y Axel von dem Bussche. 2017.</w:t>
      </w:r>
      <w:r>
        <w:t xml:space="preserve"> </w:t>
      </w:r>
      <w:r>
        <w:rPr>
          <w:i/>
          <w:iCs/>
        </w:rPr>
        <w:t xml:space="preserve">The EU General Data Protection Regulation (GDPR): A Practical Guide</w:t>
      </w:r>
      <w:r>
        <w:t xml:space="preserve">. Springer.</w:t>
      </w:r>
      <w:r>
        <w:t xml:space="preserve"> </w:t>
      </w:r>
      <w:hyperlink ns5:id="rId482">
        <w:r>
          <w:rPr>
            <w:rStyle w:val="Hipervnculo"/>
          </w:rPr>
          <w:t xml:space="preserve">https://doi.org/10.1007/978-3-319-57959-7</w:t>
        </w:r>
      </w:hyperlink>
      <w:r>
        <w:t xml:space="preserve">.</w:t>
      </w:r>
    </w:p>
    <w:bookmarkEnd w:id="483"/>
    <w:bookmarkStart w:id="485"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w:t>
      </w:r>
      <w:r>
        <w:t xml:space="preserve"> </w:t>
      </w:r>
      <w:r>
        <w:rPr>
          <w:i/>
          <w:iCs/>
        </w:rPr>
        <w:t xml:space="preserve">SSRN Electronic Journal</w:t>
      </w:r>
      <w:r>
        <w:t xml:space="preserve">, advance online publication.</w:t>
      </w:r>
      <w:r>
        <w:t xml:space="preserve"> </w:t>
      </w:r>
      <w:hyperlink ns5:id="rId484">
        <w:r>
          <w:rPr>
            <w:rStyle w:val="Hipervnculo"/>
          </w:rPr>
          <w:t xml:space="preserve">https://doi.org/10.2139/ssrn.3063289</w:t>
        </w:r>
      </w:hyperlink>
      <w:r>
        <w:t xml:space="preserve">.</w:t>
      </w:r>
    </w:p>
    <w:bookmarkEnd w:id="485"/>
    <w:bookmarkStart w:id="486" w:name="ref-wang2025"/>
    <w:p>
      <w:pPr>
        <w:pStyle w:val="Bibliography"/>
        <w:spacing w:line="360" w:lineRule="auto"/>
        <w:jc w:val="both"/>
      </w:pPr>
      <w:r>
        <w:t xml:space="preserve">Wang, Zhanliang, y Kai Wang. 2025.</w:t>
      </w:r>
      <w:r>
        <w:t xml:space="preserve"> </w:t>
      </w:r>
      <w:r>
        <w:rPr>
          <w:i/>
          <w:iCs/>
        </w:rPr>
        <w:t xml:space="preserve">MultiSHAP: A Shapley-Based Framework for Explaining Cross-Modal Interactions in Multimodal AI Models</w:t>
      </w:r>
      <w:r>
        <w:t xml:space="preserve">.</w:t>
      </w:r>
    </w:p>
    <w:bookmarkEnd w:id="486"/>
    <w:bookmarkStart w:id="488" w:name="ref-wilcoxon1945"/>
    <w:p>
      <w:pPr>
        <w:pStyle w:val="Bibliography"/>
        <w:spacing w:line="360" w:lineRule="auto"/>
        <w:jc w:val="both"/>
      </w:pPr>
      <w:r>
        <w:t xml:space="preserve">Wilcoxon, Frank. 1945.</w:t>
      </w:r>
      <w:r>
        <w:t xml:space="preserve"> </w:t>
      </w:r>
      <w:r>
        <w:t xml:space="preserve">«Individual Comparisons by Ranking Methods»</w:t>
      </w:r>
      <w:r>
        <w:t xml:space="preserve">.</w:t>
      </w:r>
      <w:r>
        <w:t xml:space="preserve"> </w:t>
      </w:r>
      <w:r>
        <w:rPr>
          <w:i/>
          <w:iCs/>
        </w:rPr>
        <w:t xml:space="preserve">Biometrics Bulletin</w:t>
      </w:r>
      <w:r>
        <w:t xml:space="preserve"> </w:t>
      </w:r>
      <w:r>
        <w:t xml:space="preserve">1 (6): 80-83.</w:t>
      </w:r>
      <w:r>
        <w:t xml:space="preserve"> </w:t>
      </w:r>
      <w:hyperlink ns5:id="rId487">
        <w:r>
          <w:rPr>
            <w:rStyle w:val="Hipervnculo"/>
          </w:rPr>
          <w:t xml:space="preserve">https://doi.org/10.2307/3001968</w:t>
        </w:r>
      </w:hyperlink>
      <w:r>
        <w:t xml:space="preserve">.</w:t>
      </w:r>
    </w:p>
    <w:bookmarkEnd w:id="488"/>
    <w:bookmarkStart w:id="49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w:t>
      </w:r>
      <w:r>
        <w:t xml:space="preserve"> </w:t>
      </w:r>
      <w:r>
        <w:rPr>
          <w:i/>
          <w:iCs/>
        </w:rPr>
        <w:t xml:space="preserve">ICLR 2025 Proceedings</w:t>
      </w:r>
      <w:r>
        <w:t xml:space="preserve">.</w:t>
      </w:r>
      <w:r>
        <w:t xml:space="preserve"> </w:t>
      </w:r>
      <w:hyperlink ns5:id="rId489">
        <w:r>
          <w:rPr>
            <w:rStyle w:val="Hipervnculo"/>
          </w:rPr>
          <w:t xml:space="preserve">https://trustai4s-lab.github.io/ffidelity</w:t>
        </w:r>
      </w:hyperlink>
      <w:r>
        <w:t xml:space="preserve">.</w:t>
      </w:r>
    </w:p>
    <w:bookmarkEnd w:id="490"/>
    <w:bookmarkEnd w:id="491"/>
    <w:bookmarkEnd w:id="492"/>
    <w:bookmarkStart w:id="518" w:name="apéndices"/>
    <w:p>
      <w:pPr>
        <w:pStyle w:val="Ttulo1"/>
        <w:spacing w:line="360" w:lineRule="auto"/>
        <w:jc w:val="both"/>
      </w:pPr>
      <w:r>
        <w:t xml:space="preserve">Apéndices</w:t>
      </w:r>
    </w:p>
    <w:bookmarkStart w:id="49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jc w:val="center"/>
        <w:tblLayout w:type="fixed"/>
        <w:tblLook w:firstRow="0" w:lastRow="0" w:firstColumn="0" w:lastColumn="0" w:noHBand="0" w:noVBand="0" w:val="0000"/>
      </w:tblPr>
      <w:tblGrid>
        <w:gridCol w:w="7920"/>
      </w:tblGrid>
      <w:tr>
        <w:tc>
          <w:tcPr/>
          <w:bookmarkStart w:id="493" w:name="tbl-appendix-dataset-schema"/>
          <w:p>
            <w:pPr>
              <w:pStyle w:val="ImageCaption"/>
              <w:spacing w:before="200" w:line="360" w:lineRule="auto"/>
              <w:jc w:val="center"/>
            </w:pPr>
            <w:r>
              <w:t xml:space="preserve">Tabla 7.5: Esquema resumido del conjunto Adult y transformaciones de preprocesamiento.</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Grupo</w:t>
                  </w:r>
                </w:p>
              </w:tc>
              <w:tc>
                <w:tcPr/>
                <w:p>
                  <w:pPr>
                    <w:pStyle w:val="Compact"/>
                    <w:jc w:val="both"/>
                    <w:jc w:val="center"/>
                    <w:spacing w:line="360" w:lineRule="auto"/>
                  </w:pPr>
                  <w:r>
                    <w:rPr>
                      <w:bCs/>
                      <w:b/>
                    </w:rPr>
                    <w:t xml:space="preserve">Características</w:t>
                  </w:r>
                </w:p>
              </w:tc>
              <w:tc>
                <w:tcPr/>
                <w:p>
                  <w:pPr>
                    <w:pStyle w:val="Compact"/>
                    <w:jc w:val="both"/>
                    <w:jc w:val="center"/>
                    <w:spacing w:line="360" w:lineRule="auto"/>
                  </w:pPr>
                  <w:r>
                    <w:rPr>
                      <w:bCs/>
                      <w:b/>
                    </w:rP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49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494"/>
    <w:bookmarkStart w:id="49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jc w:val="center"/>
        <w:tblLayout w:type="fixed"/>
        <w:tblLook w:firstRow="0" w:lastRow="0" w:firstColumn="0" w:lastColumn="0" w:noHBand="0" w:noVBand="0" w:val="0000"/>
      </w:tblPr>
      <w:tblGrid>
        <w:gridCol w:w="7920"/>
      </w:tblGrid>
      <w:tr>
        <w:tc>
          <w:tcPr/>
          <w:bookmarkStart w:id="495" w:name="tbl-appendix-models"/>
          <w:p>
            <w:pPr>
              <w:pStyle w:val="ImageCaption"/>
              <w:spacing w:before="200" w:line="360" w:lineRule="auto"/>
              <w:jc w:val="center"/>
            </w:pPr>
            <w:r>
              <w:t xml:space="preserve">Tabla 7.6: Modelos predictivos, justificación y ubicación de artefactos.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Modelo</w:t>
                  </w:r>
                </w:p>
              </w:tc>
              <w:tc>
                <w:tcPr/>
                <w:p>
                  <w:pPr>
                    <w:pStyle w:val="Compact"/>
                    <w:jc w:val="both"/>
                    <w:jc w:val="center"/>
                    <w:spacing w:line="360" w:lineRule="auto"/>
                  </w:pPr>
                  <w:r>
                    <w:rPr>
                      <w:bCs/>
                      <w:b/>
                    </w:rPr>
                    <w:t xml:space="preserve">Rol metodológico</w:t>
                  </w:r>
                </w:p>
              </w:tc>
              <w:tc>
                <w:tcPr/>
                <w:p>
                  <w:pPr>
                    <w:pStyle w:val="Compact"/>
                    <w:jc w:val="both"/>
                    <w:jc w:val="center"/>
                    <w:spacing w:line="360" w:lineRule="auto"/>
                  </w:pPr>
                  <w:r>
                    <w:rPr>
                      <w:bCs/>
                      <w:b/>
                    </w:rPr>
                    <w:t xml:space="preserve">Artefacto principal</w:t>
                  </w:r>
                </w:p>
              </w:tc>
              <w:tc>
                <w:tcPr/>
                <w:p>
                  <w:pPr>
                    <w:pStyle w:val="Compact"/>
                    <w:jc w:val="both"/>
                    <w:jc w:val="center"/>
                    <w:spacing w:line="360" w:lineRule="auto"/>
                  </w:pPr>
                  <w:r>
                    <w:rPr>
                      <w:bCs/>
                      <w:b/>
                    </w:rP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49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w:t>
      </w:r>
      <w:r>
        <w:t xml:space="preserve"> </w:t>
      </w:r>
      <w:hyperlink w:anchor="tbl-model-performance">
        <w:r>
          <w:rPr>
            <w:rStyle w:val="Hipervnculo"/>
          </w:rPr>
          <w:t xml:space="preserve">3.1</w:t>
        </w:r>
      </w:hyperlink>
      <w:r>
        <w:t xml:space="preserve"> </w:t>
      </w:r>
      <w:r>
        <w:t xml:space="preserve">reporta las métricas finales extraídas de</w:t>
      </w:r>
      <w:r>
        <w:t xml:space="preserve"> </w:t>
      </w:r>
      <w:r>
        <w:t xml:space="preserve">estos artefactos.</w:t>
      </w:r>
    </w:p>
    <w:bookmarkEnd w:id="496"/>
    <w:bookmarkStart w:id="503"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jc w:val="center"/>
        <w:tblLayout w:type="fixed"/>
        <w:tblLook w:firstRow="0" w:lastRow="0" w:firstColumn="0" w:lastColumn="0" w:noHBand="0" w:noVBand="0" w:val="0000"/>
      </w:tblPr>
      <w:tblGrid>
        <w:gridCol w:w="7920"/>
      </w:tblGrid>
      <w:tr>
        <w:tc>
          <w:tcPr/>
          <w:bookmarkStart w:id="497" w:name="tbl-appendix-explainers"/>
          <w:p>
            <w:pPr>
              <w:pStyle w:val="ImageCaption"/>
              <w:spacing w:before="200" w:line="360" w:lineRule="auto"/>
              <w:jc w:val="center"/>
            </w:pPr>
            <w:r>
              <w:t xml:space="preserve">Tabla 7.7: Configuración de explicadores y caveats operativos.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Explicador</w:t>
                  </w:r>
                </w:p>
              </w:tc>
              <w:tc>
                <w:tcPr/>
                <w:p>
                  <w:pPr>
                    <w:pStyle w:val="Compact"/>
                    <w:jc w:val="both"/>
                    <w:jc w:val="center"/>
                    <w:spacing w:line="360" w:lineRule="auto"/>
                  </w:pPr>
                  <w:r>
                    <w:rPr>
                      <w:bCs/>
                      <w:b/>
                    </w:rPr>
                    <w:t xml:space="preserve">Configuración efectiva</w:t>
                  </w:r>
                </w:p>
              </w:tc>
              <w:tc>
                <w:tcPr/>
                <w:p>
                  <w:pPr>
                    <w:pStyle w:val="Compact"/>
                    <w:jc w:val="both"/>
                    <w:jc w:val="center"/>
                    <w:spacing w:line="360" w:lineRule="auto"/>
                  </w:pPr>
                  <w:r>
                    <w:rPr>
                      <w:bCs/>
                      <w:b/>
                    </w:rPr>
                    <w:t xml:space="preserve">Implementación</w:t>
                  </w:r>
                </w:p>
              </w:tc>
              <w:tc>
                <w:tcPr/>
                <w:p>
                  <w:pPr>
                    <w:pStyle w:val="Compact"/>
                    <w:jc w:val="both"/>
                    <w:jc w:val="center"/>
                    <w:spacing w:line="360" w:lineRule="auto"/>
                  </w:pPr>
                  <w:r>
                    <w:rPr>
                      <w:bCs/>
                      <w:b/>
                    </w:rP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49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502"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jc w:val="center"/>
        <w:tblLayout w:type="fixed"/>
        <w:tblLook w:firstRow="0" w:lastRow="0" w:firstColumn="0" w:lastColumn="0" w:noHBand="0" w:noVBand="0" w:val="0000"/>
      </w:tblPr>
      <w:tblGrid>
        <w:gridCol w:w="7920"/>
      </w:tblGrid>
      <w:tr>
        <w:tc>
          <w:tcPr/>
          <w:bookmarkStart w:id="498" w:name="tbl-appendix-lime-sensitivity"/>
          <w:p>
            <w:pPr>
              <w:pStyle w:val="ImageCaption"/>
              <w:spacing w:before="200" w:line="360" w:lineRule="auto"/>
              <w:jc w:val="center"/>
            </w:pPr>
            <w:r>
              <w:t xml:space="preserve">Tabla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 Medición</w:t>
            </w:r>
            <w:r>
              <w:t xml:space="preserve"> </w:t>
            </w:r>
            <w:r>
              <w:t xml:space="preserve">exploratoria histórica: sus valores no han podido re-derivarse bajo el entorno</w:t>
            </w:r>
            <w:r>
              <w:t xml:space="preserve"> </w:t>
            </w:r>
            <w:r>
              <w:t xml:space="preserve">actual (véase la nota de procedencia siguiente).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Style w:val="VerbatimChar"/>
                    </w:rPr>
                    <w:t xml:space="preserve">num_samples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49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indica que la inestabilidad</w:t>
      </w:r>
      <w:r>
        <w:t xml:space="preserve"> </w:t>
      </w:r>
      <w:r>
        <w:t xml:space="preserve">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i/>
          <w:iCs/>
        </w:rPr>
        <w:t xml:space="preserve">Nota de procedencia y alcance.</w:t>
      </w:r>
      <w:r>
        <w:t xml:space="preserve"> </w:t>
      </w:r>
      <w:r>
        <w:t xml:space="preserve">Esta sonda es una medición exploratoria</w:t>
      </w:r>
      <w:r>
        <w:t xml:space="preserve"> </w:t>
      </w:r>
      <w:r>
        <w:t xml:space="preserve">anterior cuyo artefacto de salida no se conserva en el repositorio, a diferencia</w:t>
      </w:r>
      <w:r>
        <w:t xml:space="preserve"> </w:t>
      </w:r>
      <w:r>
        <w:t xml:space="preserve">de la sonda de</w:t>
      </w:r>
      <w:r>
        <w:t xml:space="preserve"> </w:t>
      </w:r>
      <w:r>
        <w:rPr>
          <w:rStyle w:val="VerbatimChar"/>
        </w:rPr>
        <w:t xml:space="preserve">kernel_width</w:t>
      </w:r>
      <w:r>
        <w:t xml:space="preserve"> </w:t>
      </w:r>
      <w:r>
        <w:t xml:space="preserve">(</w:t>
      </w:r>
      <w:hyperlink w:anchor="tbl-appendix-lime-kw-sensitivity">
        <w:r>
          <w:rPr>
            <w:rStyle w:val="Hipervnculo"/>
          </w:rPr>
          <w:t xml:space="preserve">Tabla 7.11</w:t>
        </w:r>
      </w:hyperlink>
      <w:r>
        <w:t xml:space="preserve">), que se</w:t>
      </w:r>
      <w:r>
        <w:t xml:space="preserve"> </w:t>
      </w:r>
      <w:r>
        <w:t xml:space="preserve">re-deriva de</w:t>
      </w:r>
      <w:r>
        <w:t xml:space="preserve"> </w:t>
      </w:r>
      <w:r>
        <w:rPr>
          <w:rStyle w:val="VerbatimChar"/>
        </w:rPr>
        <w:t xml:space="preserve">outputs/analysis/lime_kernel_width_sensitivity.csv</w:t>
      </w:r>
      <w:r>
        <w:t xml:space="preserve">. Ambas tablas</w:t>
      </w:r>
      <w:r>
        <w:t xml:space="preserve"> </w:t>
      </w:r>
      <w:r>
        <w:t xml:space="preserve">declaran la misma condición de referencia (RF, semilla 42,</w:t>
      </w:r>
      <w:r>
        <w:t xml:space="preserve"> </w:t>
      </w:r>
      <ns1:oMath>
        <ns1:r>
          <ns1:t>N</ns1:t>
        </ns1:r>
        <ns1:r>
          <ns1:rPr>
            <ns1:sty ns1:val="p"/>
          </ns1:rPr>
          <ns1:t>=</ns1:t>
        </ns1:r>
        <ns1:r>
          <ns1:t>100</ns1:t>
        </ns1:r>
      </ns1:oMath>
      <w:r>
        <w:t xml:space="preserve">,</w:t>
      </w:r>
      <w:r>
        <w:t xml:space="preserve"> </w:t>
      </w:r>
      <w:r>
        <w:rPr>
          <w:rStyle w:val="VerbatimChar"/>
        </w:rPr>
        <w:t xml:space="preserve">num_samples = 1000</w:t>
      </w:r>
      <w:r>
        <w:t xml:space="preserve">,</w:t>
      </w:r>
      <w:r>
        <w:t xml:space="preserve"> </w:t>
      </w:r>
      <w:r>
        <w:rPr>
          <w:rStyle w:val="VerbatimChar"/>
        </w:rPr>
        <w:t xml:space="preserve">kernel_width = 3.0</w:t>
      </w:r>
      <w:r>
        <w:t xml:space="preserve">) pero reportan valores distintos para</w:t>
      </w:r>
      <w:r>
        <w:t xml:space="preserve"> </w:t>
      </w:r>
      <w:r>
        <w:t xml:space="preserve">ella —fidelidad 0.461 frente a 0.518, estabilidad 0.014 frente a 0.000, coste</w:t>
      </w:r>
      <w:r>
        <w:t xml:space="preserve"> </w:t>
      </w:r>
      <w:r>
        <w:t xml:space="preserve">226 ms frente a 30 ms—, lo que indica que fueron ejecutadas con instrumentaciones</w:t>
      </w:r>
      <w:r>
        <w:t xml:space="preserve"> </w:t>
      </w:r>
      <w:r>
        <w:t xml:space="preserve">distintas: el coste de ambas queda además por debajo del rango observado para</w:t>
      </w:r>
      <w:r>
        <w:t xml:space="preserve"> </w:t>
      </w:r>
      <w:r>
        <w:t xml:space="preserve">LIME sobre RF en EXP2 (300–919 ms por ejecución), de modo que ninguna de las dos</w:t>
      </w:r>
      <w:r>
        <w:t xml:space="preserve"> </w:t>
      </w:r>
      <w:r>
        <w:t xml:space="preserve">mide una ejecución completa del protocolo EXP2. Las dos sondas se reportan aquí</w:t>
      </w:r>
      <w:r>
        <w:t xml:space="preserve"> </w:t>
      </w:r>
      <w:r>
        <w:t xml:space="preserve">por su valor cualitativo —la dirección del efecto de</w:t>
      </w:r>
      <w:r>
        <w:t xml:space="preserve"> </w:t>
      </w:r>
      <w:r>
        <w:rPr>
          <w:rStyle w:val="VerbatimChar"/>
        </w:rPr>
        <w:t xml:space="preserve">num_samples</w:t>
      </w:r>
      <w:r>
        <w:t xml:space="preserve"> </w:t>
      </w:r>
      <w:r>
        <w:t xml:space="preserve">y de</w:t>
      </w:r>
      <w:r>
        <w:t xml:space="preserve"> </w:t>
      </w:r>
      <w:r>
        <w:rPr>
          <w:rStyle w:val="VerbatimChar"/>
        </w:rPr>
        <w:t xml:space="preserve">kernel_width</w:t>
      </w:r>
      <w:r>
        <w:t xml:space="preserve">— y no como estimaciones puntuales comparables entre sí ni con las</w:t>
      </w:r>
      <w:r>
        <w:t xml:space="preserve"> </w:t>
      </w:r>
      <w:r>
        <w:t xml:space="preserve">medias de EXP2. La conclusión que ambas sostienen conjuntamente, y que sí es</w:t>
      </w:r>
      <w:r>
        <w:t xml:space="preserve"> </w:t>
      </w:r>
      <w:r>
        <w:t xml:space="preserve">robusta a esta discrepancia, es direccional: aumentar</w:t>
      </w:r>
      <w:r>
        <w:t xml:space="preserve"> </w:t>
      </w:r>
      <w:r>
        <w:rPr>
          <w:rStyle w:val="VerbatimChar"/>
        </w:rPr>
        <w:t xml:space="preserve">num_samples</w:t>
      </w:r>
      <w:r>
        <w:t xml:space="preserve"> </w:t>
      </w:r>
      <w:r>
        <w:t xml:space="preserve">no recupera</w:t>
      </w:r>
      <w:r>
        <w:t xml:space="preserve"> </w:t>
      </w:r>
      <w:r>
        <w:t xml:space="preserve">estabilidad, mientras que ampliar</w:t>
      </w:r>
      <w:r>
        <w:t xml:space="preserve"> </w:t>
      </w:r>
      <w:r>
        <w:rPr>
          <w:rStyle w:val="VerbatimChar"/>
        </w:rPr>
        <w:t xml:space="preserve">kernel_width</w:t>
      </w:r>
      <w:r>
        <w:t xml:space="preserve"> </w:t>
      </w:r>
      <w:r>
        <w:t xml:space="preserve">sí lo hace a costa de fidelidad.</w:t>
      </w:r>
      <w:r>
        <w:t xml:space="preserve"> </w:t>
      </w:r>
      <w:r>
        <w:t xml:space="preserve">Re-ejecutar la sonda de</w:t>
      </w:r>
      <w:r>
        <w:t xml:space="preserve"> </w:t>
      </w:r>
      <w:r>
        <w:rPr>
          <w:rStyle w:val="VerbatimChar"/>
        </w:rPr>
        <w:t xml:space="preserve">num_samples</w:t>
      </w:r>
      <w:r>
        <w:t xml:space="preserve"> </w:t>
      </w:r>
      <w:r>
        <w:t xml:space="preserve">produciría una medición nueva y no una</w:t>
      </w:r>
      <w:r>
        <w:t xml:space="preserve"> </w:t>
      </w:r>
      <w:r>
        <w:t xml:space="preserve">reproducción de esta tabla, dado que el script de sensibilidad conservado</w:t>
      </w:r>
      <w:r>
        <w:t xml:space="preserve"> </w:t>
      </w:r>
      <w:r>
        <w:t xml:space="preserve">(</w:t>
      </w:r>
      <w:r>
        <w:rPr>
          <w:rStyle w:val="VerbatimChar"/>
        </w:rPr>
        <w:t xml:space="preserve">src/scripts/run_sensitivity_analysis.py</w:t>
      </w:r>
      <w:r>
        <w:t xml:space="preserve">) recorre una rejilla distinta</w:t>
      </w:r>
      <w:r>
        <w:t xml:space="preserve"> </w:t>
      </w:r>
      <w:r>
        <w:t xml:space="preserve">(</w:t>
      </w:r>
      <ns1:oMath>
        <ns1:r>
          <ns1:rPr>
            <ns1:sty ns1:val="p"/>
          </ns1:rPr>
          <ns1:t>{</ns1:t>
        </ns1:r>
        <ns1:r>
          <ns1:t>500</ns1:t>
        </ns1:r>
        <ns1:r>
          <ns1:rPr>
            <ns1:sty ns1:val="p"/>
          </ns1:rPr>
          <ns1:t>,</ns1:t>
        </ns1:r>
        <ns1:r>
          <ns1:t>1000</ns1:t>
        </ns1:r>
        <ns1:r>
          <ns1:rPr>
            <ns1:sty ns1:val="p"/>
          </ns1:rPr>
          <ns1:t>,</ns1:t>
        </ns1:r>
        <ns1:r>
          <ns1:t>2000</ns1:t>
        </ns1:r>
        <ns1:r>
          <ns1:rPr>
            <ns1:sty ns1:val="p"/>
          </ns1:rPr>
          <ns1:t>,</ns1:t>
        </ns1:r>
        <ns1:r>
          <ns1:t>5000</ns1:t>
        </ns1:r>
        <ns1:r>
          <ns1:rPr>
            <ns1:sty ns1:val="p"/>
          </ns1:rPr>
          <ns1:t>,</ns1:t>
        </ns1:r>
        <ns1:r>
          <ns1:t>10000</ns1:t>
        </ns1:r>
        <ns1:r>
          <ns1:rPr>
            <ns1:sty ns1:val="p"/>
          </ns1:rPr>
          <ns1:t>}</ns1:t>
        </ns1:r>
      </ns1:oMath>
      <w:r>
        <w:t xml:space="preserve">) sobre la configuración base de EXP1.</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jc w:val="center"/>
        <w:tblLayout w:type="fixed"/>
        <w:tblLook w:firstRow="0" w:lastRow="0" w:firstColumn="0" w:lastColumn="0" w:noHBand="0" w:noVBand="0" w:val="0000"/>
      </w:tblPr>
      <w:tblGrid>
        <w:gridCol w:w="7920"/>
      </w:tblGrid>
      <w:tr>
        <w:tc>
          <w:tcPr/>
          <w:bookmarkStart w:id="499" w:name="tbl-appendix-shap-sensitivity"/>
          <w:p>
            <w:pPr>
              <w:pStyle w:val="ImageCaption"/>
              <w:spacing w:before="200" w:line="360" w:lineRule="auto"/>
              <w:jc w:val="center"/>
            </w:pPr>
            <w:r>
              <w:t xml:space="preserve">Tabla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rPr>
                      <w:bCs/>
                      <w:b/>
                    </w:rPr>
                    <w:t xml:space="preserve">Referencia (</w:t>
                  </w:r>
                  <ns1:oMath>
                    <ns1:r>
                      <ns1:t>k</ns1:t>
                    </ns1:r>
                  </ns1:oMath>
                  <w:r>
                    <w:rPr>
                      <w:bCs/>
                      <w:b/>
                    </w:rPr>
                    <w:t xml:space="preserve">)</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49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 Los archivos de</w:t>
      </w:r>
      <w:r>
        <w:t xml:space="preserve"> </w:t>
      </w:r>
      <w:r>
        <w:t xml:space="preserve">salida de esta sonda no se conservan en el repositorio: la tabla se reporta como</w:t>
      </w:r>
      <w:r>
        <w:t xml:space="preserve"> </w:t>
      </w:r>
      <w:r>
        <w:t xml:space="preserve">medición exploratoria y sus valores no se vuelven a derivar en la verificación</w:t>
      </w:r>
      <w:r>
        <w:t xml:space="preserve"> </w:t>
      </w:r>
      <w:r>
        <w:t xml:space="preserve">automática de afirmaciones.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jc w:val="center"/>
        <w:tblLayout w:type="fixed"/>
        <w:tblLook w:firstRow="0" w:lastRow="0" w:firstColumn="0" w:lastColumn="0" w:noHBand="0" w:noVBand="0" w:val="0000"/>
      </w:tblPr>
      <w:tblGrid>
        <w:gridCol w:w="7920"/>
      </w:tblGrid>
      <w:tr>
        <w:tc>
          <w:tcPr/>
          <w:bookmarkStart w:id="500" w:name="tbl-appendix-anchors-sensitivity"/>
          <w:p>
            <w:pPr>
              <w:pStyle w:val="ImageCaption"/>
              <w:spacing w:before="200" w:line="360" w:lineRule="auto"/>
              <w:jc w:val="center"/>
            </w:pPr>
            <w:r>
              <w:t xml:space="preserve">Tabla 7.10: Sensibilidad de Anchors al umbral de precisión</w:t>
            </w:r>
            <w:r>
              <w:t xml:space="preserve"> </w:t>
            </w:r>
            <ns1:oMath>
              <ns1:r>
                <ns1:t>τ</ns1:t>
              </ns1:r>
            </ns1:oMath>
            <w:r>
              <w:t xml:space="preserve">.</w:t>
            </w:r>
            <w:r>
              <w:t xml:space="preserve"> </w:t>
            </w:r>
            <w:r>
              <w:rPr>
                <w:b/>
                <w:bCs/>
              </w:rPr>
              <w:t xml:space="preserve">Las dos columnas</w:t>
            </w:r>
            <w:r>
              <w:rPr>
                <w:b/>
                <w:bCs/>
              </w:rPr>
              <w:t xml:space="preserve"> </w:t>
            </w:r>
            <w:r>
              <w:rPr>
                <w:b/>
                <w:bCs/>
              </w:rPr>
              <w:t xml:space="preserve">tienen alcances distintos</w:t>
            </w:r>
            <w:r>
              <w:t xml:space="preserve">: la cobertura se computa sobre las 75 celdas del</w:t>
            </w:r>
            <w:r>
              <w:t xml:space="preserve"> </w:t>
            </w:r>
            <w:r>
              <w:t xml:space="preserve">diseño completo de Anchors (5 modelos</w:t>
            </w:r>
            <w:r>
              <w:t xml:space="preserve"> </w:t>
            </w:r>
            <ns1:oMath>
              <ns1:r>
                <ns1:rPr>
                  <ns1:sty ns1:val="p"/>
                </ns1:rPr>
                <ns1:t>×</ns1:t>
              </ns1:r>
            </ns1:oMath>
            <w:r>
              <w:t xml:space="preserve"> </w:t>
            </w:r>
            <w:r>
              <w:t xml:space="preserve">5 semillas</w:t>
            </w:r>
            <w:r>
              <w:t xml:space="preserve"> </w:t>
            </w:r>
            <ns1:oMath>
              <ns1:r>
                <ns1:rPr>
                  <ns1:sty ns1:val="p"/>
                </ns1:rPr>
                <ns1:t>×</ns1:t>
              </ns1:r>
            </ns1:oMath>
            <w:r>
              <w:t xml:space="preserve"> </w:t>
            </w:r>
            <w:r>
              <w:t xml:space="preserve">3 tamaños) —de</w:t>
            </w:r>
            <w:r>
              <w:t xml:space="preserve"> </w:t>
            </w:r>
            <w:r>
              <w:t xml:space="preserve">ahí que la fila de referencia coincida exactamente con el 57/75 = 76.0% de</w:t>
            </w:r>
            <w:r>
              <w:t xml:space="preserve"> </w:t>
            </w:r>
            <w:hyperlink w:anchor="tbl-coverage-method">
              <w:r>
                <w:rPr>
                  <w:rStyle w:val="Hipervnculo"/>
                </w:rPr>
                <w:t xml:space="preserve">Tabla 3.5</w:t>
              </w:r>
            </w:hyperlink>
            <w:r>
              <w:t xml:space="preserve">—, mientras que la fidelidad y el coste corresponden a la</w:t>
            </w:r>
            <w:r>
              <w:t xml:space="preserve"> </w:t>
            </w:r>
            <w:r>
              <w:t xml:space="preserve">condición de sondeo RF, semilla 42.</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r>
                    <w:rPr>
                      <w:bCs/>
                      <w:b/>
                    </w:rPr>
                    <w:t xml:space="preserve">​</w:t>
                  </w:r>
                </w:p>
              </w:tc>
              <w:tc>
                <w:tcPr/>
                <w:p>
                  <w:pPr>
                    <w:pStyle w:val="Compact"/>
                    <w:jc w:val="both"/>
                    <w:jc w:val="center"/>
                    <w:spacing w:line="360" w:lineRule="auto"/>
                  </w:pPr>
                  <w:r>
                    <w:rPr>
                      <w:bCs/>
                      <w:b/>
                    </w:rPr>
                    <w:t xml:space="preserve">Cobertura del diseño completo (75 celdas)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50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501" w:name="tbl-appendix-lime-kw-sensitivity"/>
          <w:p>
            <w:pPr>
              <w:pStyle w:val="ImageCaption"/>
              <w:spacing w:before="200" w:line="360" w:lineRule="auto"/>
              <w:jc w:val="center"/>
            </w:pPr>
            <w:r>
              <w:t xml:space="preserve">Tabla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bCs/>
                      <w:b/>
                      <w:rStyle w:val="VerbatimChar"/>
                    </w:rPr>
                    <w:t xml:space="preserve">kernel_width</w:t>
                  </w:r>
                </w:p>
              </w:tc>
              <w:tc>
                <w:tcPr/>
                <w:p>
                  <w:pPr>
                    <w:pStyle w:val="Compact"/>
                    <w:jc w:val="both"/>
                    <w:jc w:val="center"/>
                    <w:spacing w:line="360" w:lineRule="auto"/>
                  </w:pPr>
                  <w:r>
                    <w:rPr>
                      <w:bCs/>
                      <w:b/>
                    </w:rPr>
                    <w:t xml:space="preserve">Instancias válidas</w:t>
                  </w:r>
                </w:p>
              </w:tc>
              <w:tc>
                <w:tcPr/>
                <w:p>
                  <w:pPr>
                    <w:pStyle w:val="Compact"/>
                    <w:jc w:val="both"/>
                    <w:jc w:val="center"/>
                    <w:spacing w:line="360" w:lineRule="auto"/>
                  </w:pPr>
                  <w:r>
                    <w:rPr>
                      <w:bCs/>
                      <w:b/>
                    </w:rPr>
                    <w:t xml:space="preserve">Fidelidad (media)</w:t>
                  </w:r>
                </w:p>
              </w:tc>
              <w:tc>
                <w:tcPr/>
                <w:p>
                  <w:pPr>
                    <w:pStyle w:val="Compact"/>
                    <w:jc w:val="both"/>
                    <w:jc w:val="center"/>
                    <w:spacing w:line="360" w:lineRule="auto"/>
                  </w:pPr>
                  <w:r>
                    <w:rPr>
                      <w:bCs/>
                      <w:b/>
                    </w:rPr>
                    <w:t xml:space="preserve">Estabilidad (media)</w:t>
                  </w:r>
                </w:p>
              </w:tc>
              <w:tc>
                <w:tcPr/>
                <w:p>
                  <w:pPr>
                    <w:pStyle w:val="Compact"/>
                    <w:jc w:val="both"/>
                    <w:jc w:val="center"/>
                    <w:spacing w:line="360" w:lineRule="auto"/>
                  </w:pPr>
                  <w:r>
                    <w:rPr>
                      <w:bCs/>
                      <w:b/>
                    </w:rPr>
                    <w:t xml:space="preserve">Coste (ms)</w:t>
                  </w:r>
                </w:p>
              </w:tc>
              <w:tc>
                <w:tcPr/>
                <w:p>
                  <w:pPr>
                    <w:pStyle w:val="Compact"/>
                    <w:jc w:val="both"/>
                    <w:jc w:val="center"/>
                    <w:spacing w:line="360" w:lineRule="auto"/>
                  </w:pPr>
                  <w:r>
                    <w:rPr>
                      <w:bCs/>
                      <w:b/>
                    </w:rP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501"/>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delimitan el alcance del hallazgo de EXP2 en dos direcciones. Por un lado, la inestabilidad observada bajo la configuración de referencia no se debe a una calibración deficiente del kernel: reducir el ancho no la corrige, sino que degenera las explicaciones, y</w:t>
      </w:r>
      <w:r>
        <w:t xml:space="preserve"> </w:t>
      </w:r>
      <w:r>
        <w:rPr>
          <w:rStyle w:val="VerbatimChar"/>
        </w:rPr>
        <w:t xml:space="preserve">kernel_width = 3.0</w:t>
      </w:r>
      <w:r>
        <w:t xml:space="preserve"> </w:t>
      </w:r>
      <w:r>
        <w:t xml:space="preserve">es el valor mínimo viable en este espacio. Por otro, tampoco es independiente de ese parámetro: ampliar el kernel a 10.0 recupera una estabilidad de 0.664 a costa de localidad y de fidelidad. La lectura conjunta es que la estabilidad de LIME en datos tabulares de alta dimensión depende del par (ancho de kernel, espacio de características) y debe medirse para la configuración concreta de despliegue, no presuponerse.</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estabilidad de LIME casi nula bajo</w:t>
      </w:r>
      <w:r>
        <w:t xml:space="preserve"> </w:t>
      </w:r>
      <w:r>
        <w:t xml:space="preserve">la configuración de referencia) son robustos a variaciones razonables de los</w:t>
      </w:r>
      <w:r>
        <w:t xml:space="preserve"> </w:t>
      </w:r>
      <w:r>
        <w:t xml:space="preserve">hiperparámetros dentro de los rangos explorados, con la excepción explícita del</w:t>
      </w:r>
      <w:r>
        <w:t xml:space="preserve"> </w:t>
      </w:r>
      <w:r>
        <w:t xml:space="preserve">ancho de kernel, que sí modifica sustancialmente la estabilidad de LIME.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502"/>
    <w:bookmarkEnd w:id="503"/>
    <w:bookmarkStart w:id="511"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jc w:val="center"/>
        <w:tblLayout w:type="fixed"/>
        <w:tblLook w:firstRow="0" w:lastRow="0" w:firstColumn="0" w:lastColumn="0" w:noHBand="0" w:noVBand="0" w:val="0000"/>
      </w:tblPr>
      <w:tblGrid>
        <w:gridCol w:w="7920"/>
      </w:tblGrid>
      <w:tr>
        <w:tc>
          <w:tcPr/>
          <w:bookmarkStart w:id="504" w:name="tbl-appendix-stat-outputs"/>
          <w:p>
            <w:pPr>
              <w:pStyle w:val="ImageCaption"/>
              <w:spacing w:before="200" w:line="360" w:lineRule="auto"/>
              <w:jc w:val="center"/>
            </w:pPr>
            <w:r>
              <w:t xml:space="preserve">Tabla 7.12: Salidas estadísticas principales y uso en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504"/>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506" w:name="Xe3909ed8b3f47a476ee07b1fbdd59a863fdc536"/>
    <w:p>
      <w:pPr>
        <w:pStyle w:val="Ttulo3"/>
        <w:spacing w:line="360" w:lineRule="auto"/>
        <w:jc w:val="both"/>
      </w:pPr>
      <w:r>
        <w:t xml:space="preserve">D.1 Resultados completos de la prueba de Friedman</w:t>
      </w:r>
    </w:p>
    <w:tbl>
      <w:tblPr>
        <w:tblStyle w:val="Table"/>
        <w:tblW w:type="pct" w:w="5000"/>
        <w:jc w:val="center"/>
        <w:tblLayout w:type="fixed"/>
        <w:tblLook w:firstRow="0" w:lastRow="0" w:firstColumn="0" w:lastColumn="0" w:noHBand="0" w:noVBand="0" w:val="0000"/>
      </w:tblPr>
      <w:tblGrid>
        <w:gridCol w:w="7920"/>
      </w:tblGrid>
      <w:tr>
        <w:tc>
          <w:tcPr/>
          <w:bookmarkStart w:id="505" w:name="tbl-appendix-friedman-full"/>
          <w:p>
            <w:pPr>
              <w:pStyle w:val="ImageCaption"/>
              <w:spacing w:before="200" w:line="360" w:lineRule="auto"/>
              <w:jc w:val="center"/>
            </w:pPr>
            <w:r>
              <w:t xml:space="preserve">Tabla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Valores</w:t>
            </w:r>
            <w:r>
              <w:t xml:space="preserve"> </w:t>
            </w:r>
            <ns1:oMath>
              <ns1:r>
                <ns1:t>p</ns1:t>
              </ns1:r>
            </ns1:oMath>
            <w:r>
              <w:t xml:space="preserve"> </w:t>
            </w:r>
            <w:r>
              <w:t xml:space="preserve">crudos y ajustados extraídos de</w:t>
            </w:r>
            <w:r>
              <w:t xml:space="preserve"> </w:t>
            </w:r>
            <w:r>
              <w:rPr>
                <w:rStyle w:val="VerbatimChar"/>
              </w:rPr>
              <w:t xml:space="preserve">outputs/analysis/paper_a_exp2_stats/friedman_results.csv</w:t>
            </w:r>
            <w:r>
              <w:t xml:space="preserve">.</w:t>
            </w:r>
            <w:r>
              <w:t xml:space="preserve"> </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r>
                      <ns1:t>n</ns1:t>
                    </ns1:r>
                  </ns1:oMath>
                  <w:r>
                    <w:rPr>
                      <w:bCs/>
                      <w:b/>
                    </w:rPr>
                    <w:t xml:space="preserve"> </w:t>
                  </w:r>
                  <w:r>
                    <w:rPr>
                      <w:bCs/>
                      <w:b/>
                    </w:rPr>
                    <w:t xml:space="preserve">bloques</w:t>
                  </w:r>
                </w:p>
              </w:tc>
              <w:tc>
                <w:tcPr/>
                <w:p>
                  <w:pPr>
                    <w:pStyle w:val="Compact"/>
                    <w:jc w:val="both"/>
                    <w:jc w:val="center"/>
                    <w:spacing w:line="360" w:lineRule="auto"/>
                  </w:pPr>
                  <ns1:oMath>
                    <ns1:r>
                      <ns1:t>k</ns1:t>
                    </ns1:r>
                  </ns1:oMath>
                  <w:r>
                    <w:rPr>
                      <w:bCs/>
                      <w:b/>
                    </w:rPr>
                    <w:t xml:space="preserve"> </w:t>
                  </w:r>
                  <w:r>
                    <w:rPr>
                      <w:bCs/>
                      <w:b/>
                    </w:rP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r>
                    <w:rPr>
                      <w:bCs/>
                      <w:b/>
                    </w:rPr>
                    <w:t xml:space="preserve">​</w:t>
                  </w:r>
                </w:p>
              </w:tc>
              <w:tc>
                <w:tcPr/>
                <w:p>
                  <w:pPr>
                    <w:pStyle w:val="Compact"/>
                    <w:jc w:val="both"/>
                    <w:jc w:val="center"/>
                    <w:spacing w:line="360" w:lineRule="auto"/>
                  </w:pPr>
                  <ns1:oMath>
                    <ns1:r>
                      <ns1:t>g</ns1:t>
                    </ns1:r>
                    <ns1:r>
                      <ns1:t>l</ns1:t>
                    </ns1:r>
                  </ns1:oMath>
                  <w:r>
                    <w:rPr>
                      <w:bCs/>
                      <w:b/>
                    </w:rPr>
                    <w:t xml:space="preserve">​</w:t>
                  </w:r>
                </w:p>
              </w:tc>
              <w:tc>
                <w:tcPr/>
                <w:p>
                  <w:pPr>
                    <w:pStyle w:val="Compact"/>
                    <w:jc w:val="both"/>
                    <w:jc w:val="center"/>
                    <w:spacing w:line="360" w:lineRule="auto"/>
                  </w:pPr>
                  <ns1:oMath>
                    <ns1:r>
                      <ns1:t>p</ns1:t>
                    </ns1:r>
                  </ns1:oMath>
                  <w:r>
                    <w:rPr>
                      <w:bCs/>
                      <w:b/>
                    </w:rPr>
                    <w:t xml:space="preserve"> </w:t>
                  </w:r>
                  <w:r>
                    <w:rPr>
                      <w:bCs/>
                      <w:b/>
                    </w:rP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w:r>
                    <w:rPr>
                      <w:bCs/>
                      <w:b/>
                    </w:rPr>
                    <w:t xml:space="preserve">Kendall</w:t>
                  </w:r>
                  <w:r>
                    <w:rPr>
                      <w:bCs/>
                      <w:b/>
                    </w:rPr>
                    <w:t xml:space="preserve"> </w:t>
                  </w:r>
                  <ns1:oMath>
                    <ns1:r>
                      <ns1:t>W</ns1:t>
                    </ns1:r>
                  </ns1:oMath>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3.78</ns1:t>
                    </ns1:r>
                    <ns1:r>
                      <ns1:rPr>
                        <ns1:sty ns1:val="p"/>
                      </ns1:rPr>
                      <ns1:t>×</ns1:t>
                    </ns1:r>
                    <ns1:sSup>
                      <ns1:e>
                        <ns1:r>
                          <ns1:t>10</ns1:t>
                        </ns1:r>
                      </ns1:e>
                      <ns1:sup>
                        <ns1:r>
                          <ns1:rPr>
                            <ns1:sty ns1:val="p"/>
                          </ns1:rPr>
                          <ns1:t>−</ns1:t>
                        </ns1:r>
                        <ns1:r>
                          <ns1:t>9</ns1:t>
                        </ns1:r>
                      </ns1:sup>
                    </ns1:sSup>
                  </ns1:oMath>
                  <w:r>
                    <w:t xml:space="preserve">​</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7.65</ns1:t>
                    </ns1:r>
                    <ns1:r>
                      <ns1:rPr>
                        <ns1:sty ns1:val="p"/>
                      </ns1:rPr>
                      <ns1:t>×</ns1:t>
                    </ns1:r>
                    <ns1:sSup>
                      <ns1:e>
                        <ns1:r>
                          <ns1:t>10</ns1:t>
                        </ns1:r>
                      </ns1:e>
                      <ns1:sup>
                        <ns1:r>
                          <ns1:rPr>
                            <ns1:sty ns1:val="p"/>
                          </ns1:rPr>
                          <ns1:t>−</ns1:t>
                        </ns1:r>
                        <ns1:r>
                          <ns1:t>9</ns1:t>
                        </ns1:r>
                      </ns1:sup>
                    </ns1:sSup>
                  </ns1:oMath>
                  <w:r>
                    <w:t xml:space="preserve">​</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r>
                    <w:t xml:space="preserve">​</w:t>
                  </w:r>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505"/>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 familia inferencial completa del test omnibus</w:t>
      </w:r>
      <w:r>
        <w:t xml:space="preserve"> </w:t>
      </w:r>
      <w:r>
        <w:t xml:space="preserve">—las cinco métricas primarias evaluadas mediante Friedman, conforme al plan</w:t>
      </w:r>
      <w:r>
        <w:t xml:space="preserve"> </w:t>
      </w:r>
      <w:r>
        <w:t xml:space="preserve">declarado en la</w:t>
      </w:r>
      <w:r>
        <w:t xml:space="preserve"> </w:t>
      </w:r>
      <w:hyperlink w:anchor="tbl-stat-plan">
        <w:r>
          <w:rPr>
            <w:rStyle w:val="Hipervnculo"/>
          </w:rPr>
          <w:t xml:space="preserve">Tabla 3.6</w:t>
        </w:r>
      </w:hyperlink>
      <w:r>
        <w:t xml:space="preserve"> </w:t>
      </w:r>
      <w:r>
        <w:t xml:space="preserve">del Capítulo 3— y no únicamente sobre H1 y H2. El</w:t>
      </w:r>
      <w:r>
        <w:t xml:space="preserve"> </w:t>
      </w:r>
      <w:r>
        <w:t xml:space="preserve">factor de ajuste correspondiente a cada métrica depende, por tanto, de su</w:t>
      </w:r>
      <w:r>
        <w:t xml:space="preserve"> </w:t>
      </w:r>
      <w:r>
        <w:t xml:space="preserve">posición en el orden creciente de los cinco valores</w:t>
      </w:r>
      <w:r>
        <w:t xml:space="preserve"> </w:t>
      </w:r>
      <ns1:oMath>
        <ns1:r>
          <ns1:t>p</ns1:t>
        </ns1:r>
      </ns1:oMath>
      <w:r>
        <w:t xml:space="preserve">: la fidelidad, con el</w:t>
      </w:r>
      <w:r>
        <w:t xml:space="preserve"> </w:t>
      </w:r>
      <ns1:oMath>
        <ns1:r>
          <ns1:t>p</ns1:t>
        </ns1:r>
      </ns1:oMath>
      <w:r>
        <w:t xml:space="preserve"> </w:t>
      </w:r>
      <w:r>
        <w:t xml:space="preserve">crudo menor, recibe el factor</w:t>
      </w:r>
      <w:r>
        <w:t xml:space="preserve"> </w:t>
      </w:r>
      <ns1:oMath>
        <ns1:r>
          <ns1:t>m</ns1:t>
        </ns1:r>
        <ns1:r>
          <ns1:rPr>
            <ns1:sty ns1:val="p"/>
          </ns1:rPr>
          <ns1:t>=</ns1:t>
        </ns1:r>
        <ns1:r>
          <ns1:t>4</ns1:t>
        </ns1:r>
      </ns1:oMath>
      <w:r>
        <w:t xml:space="preserve"> </w:t>
      </w:r>
      <w:r>
        <w:t xml:space="preserve">(</w:t>
      </w:r>
      <ns1:oMath>
        <ns1:r>
          <ns1:t>3.78</ns1:t>
        </ns1:r>
        <ns1:r>
          <ns1:rPr>
            <ns1:sty ns1:val="p"/>
          </ns1:rPr>
          <ns1:t>×</ns1:t>
        </ns1:r>
        <ns1:sSup>
          <ns1:e>
            <ns1:r>
              <ns1:t>10</ns1:t>
            </ns1:r>
          </ns1:e>
          <ns1:sup>
            <ns1:r>
              <ns1:rPr>
                <ns1:sty ns1:val="p"/>
              </ns1:rPr>
              <ns1:t>−</ns1:t>
            </ns1:r>
            <ns1:r>
              <ns1:t>9</ns1:t>
            </ns1:r>
          </ns1:sup>
        </ns1:sSup>
        <ns1:r>
          <ns1:rPr>
            <ns1:sty ns1:val="p"/>
          </ns1:rPr>
          <ns1:t>×</ns1:t>
        </ns1:r>
        <ns1:r>
          <ns1:t>4</ns1:t>
        </ns1:r>
        <ns1:r>
          <ns1:rPr>
            <ns1:sty ns1:val="p"/>
          </ns1:rPr>
          <ns1:t>=</ns1:t>
        </ns1:r>
        <ns1:r>
          <ns1:t>1.51</ns1:t>
        </ns1:r>
        <ns1:r>
          <ns1:rPr>
            <ns1:sty ns1:val="p"/>
          </ns1:rPr>
          <ns1:t>×</ns1:t>
        </ns1:r>
        <ns1:sSup>
          <ns1:e>
            <ns1:r>
              <ns1:t>10</ns1:t>
            </ns1:r>
          </ns1:e>
          <ns1:sup>
            <ns1:r>
              <ns1:rPr>
                <ns1:sty ns1:val="p"/>
              </ns1:rPr>
              <ns1:t>−</ns1:t>
            </ns1:r>
            <ns1:r>
              <ns1:t>8</ns1:t>
            </ns1:r>
          </ns1:sup>
        </ns1:sSup>
      </ns1:oMath>
      <w:r>
        <w:t xml:space="preserve">) y la estabilidad, la siguiente en orden, el factor</w:t>
      </w:r>
      <w:r>
        <w:t xml:space="preserve"> </w:t>
      </w:r>
      <ns1:oMath>
        <ns1:r>
          <ns1:t>m</ns1:t>
        </ns1:r>
        <ns1:r>
          <ns1:rPr>
            <ns1:sty ns1:val="p"/>
          </ns1:rPr>
          <ns1:t>=</ns1:t>
        </ns1:r>
        <ns1:r>
          <ns1:t>3</ns1:t>
        </ns1:r>
      </ns1:oMath>
      <w:r>
        <w:t xml:space="preserve"> </w:t>
      </w:r>
      <w:r>
        <w:t xml:space="preserve">(</w:t>
      </w:r>
      <ns1:oMath>
        <ns1:r>
          <ns1:t>7.65</ns1:t>
        </ns1:r>
        <ns1:r>
          <ns1:rPr>
            <ns1:sty ns1:val="p"/>
          </ns1:rPr>
          <ns1:t>×</ns1:t>
        </ns1:r>
        <ns1:sSup>
          <ns1:e>
            <ns1:r>
              <ns1:t>10</ns1:t>
            </ns1:r>
          </ns1:e>
          <ns1:sup>
            <ns1:r>
              <ns1:rPr>
                <ns1:sty ns1:val="p"/>
              </ns1:rPr>
              <ns1:t>−</ns1:t>
            </ns1:r>
            <ns1:r>
              <ns1:t>9</ns1:t>
            </ns1:r>
          </ns1:sup>
        </ns1:sSup>
        <ns1:r>
          <ns1:rPr>
            <ns1:sty ns1:val="p"/>
          </ns1:rPr>
          <ns1:t>×</ns1:t>
        </ns1:r>
        <ns1:r>
          <ns1:t>3</ns1:t>
        </ns1:r>
        <ns1:r>
          <ns1:rPr>
            <ns1:sty ns1:val="p"/>
          </ns1:rPr>
          <ns1:t>=</ns1:t>
        </ns1:r>
        <ns1:r>
          <ns1:t>2.29</ns1:t>
        </ns1:r>
        <ns1:r>
          <ns1:rPr>
            <ns1:sty ns1:val="p"/>
          </ns1:rPr>
          <ns1:t>×</ns1:t>
        </ns1:r>
        <ns1:sSup>
          <ns1:e>
            <ns1:r>
              <ns1:t>10</ns1:t>
            </ns1:r>
          </ns1:e>
          <ns1:sup>
            <ns1:r>
              <ns1:rPr>
                <ns1:sty ns1:val="p"/>
              </ns1:rPr>
              <ns1:t>−</ns1:t>
            </ns1:r>
            <ns1:r>
              <ns1:t>8</ns1:t>
            </ns1:r>
          </ns1:sup>
        </ns1:sSup>
      </ns1:oMath>
      <w:r>
        <w:t xml:space="preserve">). Ambas hipótesis permanecen</w:t>
      </w:r>
      <w:r>
        <w:t xml:space="preserve"> </w:t>
      </w:r>
      <w:r>
        <w:t xml:space="preserve">significativas tras la corrección con varios órdenes de magnitud de margen.</w:t>
      </w:r>
    </w:p>
    <w:bookmarkEnd w:id="506"/>
    <w:bookmarkStart w:id="508"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jc w:val="center"/>
        <w:tblLayout w:type="fixed"/>
        <w:tblLook w:firstRow="0" w:lastRow="0" w:firstColumn="0" w:lastColumn="0" w:noHBand="0" w:noVBand="0" w:val="0000"/>
      </w:tblPr>
      <w:tblGrid>
        <w:gridCol w:w="7920"/>
      </w:tblGrid>
      <w:tr>
        <w:tc>
          <w:tcPr/>
          <w:bookmarkStart w:id="507" w:name="tbl-appendix-nemenyi-full"/>
          <w:p>
            <w:pPr>
              <w:pStyle w:val="ImageCaption"/>
              <w:spacing w:before="200" w:line="360" w:lineRule="auto"/>
              <w:jc w:val="center"/>
            </w:pPr>
            <w:r>
              <w:t xml:space="preserve">Tabla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(fidelidad)</w:t>
                  </w:r>
                </w:p>
              </w:tc>
              <w:tc>
                <w:tcPr/>
                <w:p>
                  <w:pPr>
                    <w:pStyle w:val="Compact"/>
                    <w:jc w:val="both"/>
                    <w:jc w:val="center"/>
                    <w:spacing w:line="360" w:lineRule="auto"/>
                  </w:pPr>
                  <w:r>
                    <w:rPr>
                      <w:bCs/>
                      <w:b/>
                    </w:rP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rPr>
                      <w:bCs/>
                      <w:b/>
                    </w:rPr>
                    <w:t xml:space="preserve"> </w:t>
                  </w:r>
                  <w:r>
                    <w:rPr>
                      <w:bCs/>
                      <w:b/>
                    </w:rPr>
                    <w:t xml:space="preserve">(estabilidad)</w:t>
                  </w:r>
                </w:p>
              </w:tc>
              <w:tc>
                <w:tcPr/>
                <w:p>
                  <w:pPr>
                    <w:pStyle w:val="Compact"/>
                    <w:jc w:val="both"/>
                    <w:jc w:val="center"/>
                    <w:spacing w:line="360" w:lineRule="auto"/>
                  </w:pPr>
                  <w:r>
                    <w:rPr>
                      <w:bCs/>
                      <w:b/>
                    </w:rP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ns1:oMath>
                    <ns1:r>
                      <ns1:rPr>
                        <ns1:sty ns1:val="p"/>
                      </ns1:rPr>
                      <ns1:t>−</ns1:t>
                    </ns1:r>
                  </ns1:oMath>
                  <w:r>
                    <w:t xml:space="preserve">​</w:t>
                  </w:r>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507"/>
          <w:p>
            <w:pPr>
              <w:spacing w:line="360" w:lineRule="auto"/>
              <w:jc w:val="both"/>
            </w:pPr>
          </w:p>
        </w:tc>
      </w:tr>
    </w:tbl>
    <w:bookmarkEnd w:id="508"/>
    <w:bookmarkStart w:id="510"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jc w:val="center"/>
        <w:tblLayout w:type="fixed"/>
        <w:tblLook w:firstRow="0" w:lastRow="0" w:firstColumn="0" w:lastColumn="0" w:noHBand="0" w:noVBand="0" w:val="0000"/>
      </w:tblPr>
      <w:tblGrid>
        <w:gridCol w:w="7920"/>
      </w:tblGrid>
      <w:tr>
        <w:tc>
          <w:tcPr/>
          <w:bookmarkStart w:id="509" w:name="tbl-appendix-wilcoxon-full"/>
          <w:p>
            <w:pPr>
              <w:pStyle w:val="ImageCaption"/>
              <w:spacing w:before="200" w:line="360" w:lineRule="auto"/>
              <w:jc w:val="center"/>
            </w:pPr>
            <w:r>
              <w:t xml:space="preserve">Tabla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rPr>
                      <w:bCs/>
                      <w:b/>
                    </w:rPr>
                    <w:t xml:space="preserve">Métrica</w:t>
                  </w:r>
                </w:p>
              </w:tc>
              <w:tc>
                <w:tcPr/>
                <w:p>
                  <w:pPr>
                    <w:pStyle w:val="Compact"/>
                    <w:jc w:val="both"/>
                    <w:jc w:val="center"/>
                    <w:spacing w:line="360" w:lineRule="auto"/>
                  </w:pPr>
                  <ns1:oMath>
                    <ns1:acc>
                      <ns1:accPr>
                        <ns1:chr ns1:val="‾"/>
                      </ns1:accPr>
                      <ns1:e>
                        <ns1:r>
                          <ns1:t>d</ns1:t>
                        </ns1:r>
                      </ns1:e>
                    </ns1:acc>
                  </ns1:oMath>
                  <w:r>
                    <w:rPr>
                      <w:bCs/>
                      <w:b/>
                    </w:rPr>
                    <w:t xml:space="preserve"> </w:t>
                  </w:r>
                  <w:r>
                    <w:rPr>
                      <w:bCs/>
                      <w:b/>
                    </w:rPr>
                    <w:t xml:space="preserve">(SHAP</w:t>
                  </w:r>
                  <ns1:oMath>
                    <ns1:r>
                      <ns1:rPr>
                        <ns1:sty ns1:val="p"/>
                      </ns1:rPr>
                      <ns1:t>−</ns1:t>
                    </ns1:r>
                  </ns1:oMath>
                  <w:r>
                    <w:rPr>
                      <w:bCs/>
                      <w:b/>
                    </w:rPr>
                    <w:t xml:space="preserve">LIME)</w:t>
                  </w:r>
                </w:p>
              </w:tc>
              <w:tc>
                <w:tcPr/>
                <w:p>
                  <w:pPr>
                    <w:pStyle w:val="Compact"/>
                    <w:jc w:val="both"/>
                    <w:jc w:val="center"/>
                    <w:spacing w:line="360" w:lineRule="auto"/>
                  </w:pPr>
                  <ns1:oMath>
                    <ns1:sSub>
                      <ns1:e>
                        <ns1:r>
                          <ns1:t>s</ns1:t>
                        </ns1:r>
                      </ns1:e>
                      <ns1:sub>
                        <ns1:r>
                          <ns1:t>d</ns1:t>
                        </ns1:r>
                      </ns1:sub>
                    </ns1:sSub>
                  </ns1:oMath>
                  <w:r>
                    <w:rPr>
                      <w:bCs/>
                      <w:b/>
                    </w:rPr>
                    <w:t xml:space="preserve">​</w:t>
                  </w:r>
                </w:p>
              </w:tc>
              <w:tc>
                <w:tcPr/>
                <w:p>
                  <w:pPr>
                    <w:pStyle w:val="Compact"/>
                    <w:jc w:val="both"/>
                    <w:jc w:val="center"/>
                    <w:spacing w:line="360" w:lineRule="auto"/>
                  </w:pPr>
                  <ns1:oMath>
                    <ns1:sSub>
                      <ns1:e>
                        <ns1:r>
                          <ns1:t>d</ns1:t>
                        </ns1:r>
                      </ns1:e>
                      <ns1:sub>
                        <ns1:r>
                          <ns1:t>z</ns1:t>
                        </ns1:r>
                      </ns1:sub>
                    </ns1:sSub>
                  </ns1:oMath>
                  <w:r>
                    <w:rPr>
                      <w:bCs/>
                      <w:b/>
                    </w:rPr>
                    <w:t xml:space="preserve">​</w:t>
                  </w:r>
                </w:p>
              </w:tc>
              <w:tc>
                <w:tcPr/>
                <w:p>
                  <w:pPr>
                    <w:pStyle w:val="Compact"/>
                    <w:jc w:val="both"/>
                    <w:jc w:val="center"/>
                    <w:spacing w:line="360" w:lineRule="auto"/>
                  </w:pPr>
                  <ns1:oMath>
                    <ns1:r>
                      <ns1:t>W</ns1:t>
                    </ns1:r>
                  </ns1:oMath>
                  <w:r>
                    <w:rPr>
                      <w:bCs/>
                      <w:b/>
                    </w:rPr>
                    <w:t xml:space="preserve">​</w:t>
                  </w:r>
                </w:p>
              </w:tc>
              <w:tc>
                <w:tcPr/>
                <w:p>
                  <w:pPr>
                    <w:pStyle w:val="Compact"/>
                    <w:jc w:val="both"/>
                    <w:jc w:val="center"/>
                    <w:spacing w:line="360" w:lineRule="auto"/>
                  </w:pPr>
                  <ns1:oMath>
                    <ns1:r>
                      <ns1:t>p</ns1:t>
                    </ns1:r>
                  </ns1:oMath>
                  <w:r>
                    <w:rPr>
                      <w:bCs/>
                      <w:b/>
                    </w:rPr>
                    <w:t xml:space="preserve"> </w:t>
                  </w:r>
                  <w:r>
                    <w:rPr>
                      <w:bCs/>
                      <w:b/>
                    </w:rP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rPr>
                      <w:bCs/>
                      <w:b/>
                    </w:rPr>
                    <w:t xml:space="preserve">​</w:t>
                  </w:r>
                </w:p>
              </w:tc>
              <w:tc>
                <w:tcPr/>
                <w:p>
                  <w:pPr>
                    <w:pStyle w:val="Compact"/>
                    <w:jc w:val="both"/>
                    <w:jc w:val="center"/>
                    <w:spacing w:line="360" w:lineRule="auto"/>
                  </w:pPr>
                  <ns1:oMath>
                    <ns1:sSup>
                      <ns1:e>
                        <ns1:r>
                          <ns1:t>n</ns1:t>
                        </ns1:r>
                      </ns1:e>
                      <ns1:sup>
                        <ns1:r>
                          <ns1:rPr>
                            <ns1:sty ns1:val="p"/>
                          </ns1:rPr>
                          <ns1:t>+</ns1:t>
                        </ns1:r>
                      </ns1:sup>
                    </ns1:sSup>
                  </ns1:oMath>
                  <w:r>
                    <w:rPr>
                      <w:bCs/>
                      <w:b/>
                    </w:rPr>
                    <w:t xml:space="preserve">​</w:t>
                  </w:r>
                </w:p>
              </w:tc>
              <w:tc>
                <w:tcPr/>
                <w:p>
                  <w:pPr>
                    <w:pStyle w:val="Compact"/>
                    <w:jc w:val="both"/>
                    <w:jc w:val="center"/>
                    <w:spacing w:line="360" w:lineRule="auto"/>
                  </w:pPr>
                  <ns1:oMath>
                    <ns1:sSup>
                      <ns1:e>
                        <ns1:r>
                          <ns1:t>n</ns1:t>
                        </ns1:r>
                      </ns1:e>
                      <ns1:sup>
                        <ns1:r>
                          <ns1:rPr>
                            <ns1:sty ns1:val="p"/>
                          </ns1:rPr>
                          <ns1:t>−</ns1:t>
                        </ns1:r>
                      </ns1:sup>
                    </ns1:sSup>
                  </ns1:oMath>
                  <w:r>
                    <w:rPr>
                      <w:bCs/>
                      <w:b/>
                    </w:rPr>
                    <w:t xml:space="preserve">​</w:t>
                  </w:r>
                </w:p>
              </w:tc>
              <w:tc>
                <w:tcPr/>
                <w:p>
                  <w:pPr>
                    <w:pStyle w:val="Compact"/>
                    <w:jc w:val="both"/>
                    <w:jc w:val="center"/>
                    <w:spacing w:line="360" w:lineRule="auto"/>
                  </w:pPr>
                  <w:r>
                    <w:rPr>
                      <w:bCs/>
                      <w:b/>
                    </w:rP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r>
                    <w:t xml:space="preserve">​</w:t>
                  </w:r>
                </w:p>
              </w:tc>
              <w:tc>
                <w:tcPr/>
                <w:p>
                  <w:pPr>
                    <w:pStyle w:val="Compact"/>
                    <w:jc w:val="both"/>
                    <w:jc w:val="center"/>
                    <w:spacing w:line="360" w:lineRule="auto"/>
                  </w:pPr>
                  <ns1:oMath>
                    <ns1:r>
                      <ns1:t>0.0514</ns1:t>
                    </ns1:r>
                  </ns1:oMath>
                  <w:r>
                    <w:t xml:space="preserve">​</w:t>
                  </w:r>
                </w:p>
              </w:tc>
              <w:tc>
                <w:tcPr/>
                <w:p>
                  <w:pPr>
                    <w:pStyle w:val="Compact"/>
                    <w:jc w:val="both"/>
                    <w:jc w:val="center"/>
                    <w:spacing w:line="360" w:lineRule="auto"/>
                  </w:pPr>
                  <ns1:oMath>
                    <ns1:r>
                      <ns1:rPr>
                        <ns1:sty ns1:val="p"/>
                      </ns1:rPr>
                      <ns1:t>+</ns1:t>
                    </ns1:r>
                    <ns1:r>
                      <ns1:t>4.820</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r>
                    <w:t xml:space="preserve">​</w:t>
                  </w:r>
                </w:p>
              </w:tc>
              <w:tc>
                <w:tcPr/>
                <w:p>
                  <w:pPr>
                    <w:pStyle w:val="Compact"/>
                    <w:jc w:val="both"/>
                    <w:jc w:val="center"/>
                    <w:spacing w:line="360" w:lineRule="auto"/>
                  </w:pPr>
                  <ns1:oMath>
                    <ns1:r>
                      <ns1:t>0.2390</ns1:t>
                    </ns1:r>
                  </ns1:oMath>
                  <w:r>
                    <w:t xml:space="preserve">​</w:t>
                  </w:r>
                </w:p>
              </w:tc>
              <w:tc>
                <w:tcPr/>
                <w:p>
                  <w:pPr>
                    <w:pStyle w:val="Compact"/>
                    <w:jc w:val="both"/>
                    <w:jc w:val="center"/>
                    <w:spacing w:line="360" w:lineRule="auto"/>
                  </w:pPr>
                  <ns1:oMath>
                    <ns1:r>
                      <ns1:rPr>
                        <ns1:sty ns1:val="p"/>
                      </ns1:rPr>
                      <ns1:t>+</ns1:t>
                    </ns1:r>
                    <ns1:r>
                      <ns1:t>3.002</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r>
                    <w:t xml:space="preserve">​</w:t>
                  </w:r>
                </w:p>
              </w:tc>
              <w:tc>
                <w:tcPr/>
                <w:p>
                  <w:pPr>
                    <w:pStyle w:val="Compact"/>
                    <w:jc w:val="both"/>
                    <w:jc w:val="center"/>
                    <w:spacing w:line="360" w:lineRule="auto"/>
                  </w:pPr>
                  <ns1:oMath>
                    <ns1:r>
                      <ns1:t>0.1690</ns1:t>
                    </ns1:r>
                  </ns1:oMath>
                  <w:r>
                    <w:t xml:space="preserve">​</w:t>
                  </w:r>
                </w:p>
              </w:tc>
              <w:tc>
                <w:tcPr/>
                <w:p>
                  <w:pPr>
                    <w:pStyle w:val="Compact"/>
                    <w:jc w:val="both"/>
                    <w:jc w:val="center"/>
                    <w:spacing w:line="360" w:lineRule="auto"/>
                  </w:pPr>
                  <ns1:oMath>
                    <ns1:r>
                      <ns1:rPr>
                        <ns1:sty ns1:val="p"/>
                      </ns1:rPr>
                      <ns1:t>+</ns1:t>
                    </ns1:r>
                    <ns1:r>
                      <ns1:t>0.839</ns1:t>
                    </ns1:r>
                  </ns1:oMath>
                  <w:r>
                    <w:t xml:space="preserve">​</w:t>
                  </w:r>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r>
                    <w:t xml:space="preserve">​</w:t>
                  </w:r>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r>
                    <w:t xml:space="preserve">​</w:t>
                  </w:r>
                </w:p>
              </w:tc>
              <w:tc>
                <w:tcPr/>
                <w:p>
                  <w:pPr>
                    <w:pStyle w:val="Compact"/>
                    <w:jc w:val="both"/>
                    <w:jc w:val="center"/>
                    <w:spacing w:line="360" w:lineRule="auto"/>
                  </w:pPr>
                  <ns1:oMath>
                    <ns1:r>
                      <ns1:t>0.0173</ns1:t>
                    </ns1:r>
                  </ns1:oMath>
                  <w:r>
                    <w:t xml:space="preserve">​</w:t>
                  </w:r>
                </w:p>
              </w:tc>
              <w:tc>
                <w:tcPr/>
                <w:p>
                  <w:pPr>
                    <w:pStyle w:val="Compact"/>
                    <w:jc w:val="both"/>
                    <w:jc w:val="center"/>
                    <w:spacing w:line="360" w:lineRule="auto"/>
                  </w:pPr>
                  <ns1:oMath>
                    <ns1:r>
                      <ns1:rPr>
                        <ns1:sty ns1:val="p"/>
                      </ns1:rPr>
                      <ns1:t>+</ns1:t>
                    </ns1:r>
                    <ns1:r>
                      <ns1:t>2.626</ns1:t>
                    </ns1:r>
                  </ns1:oMath>
                  <w:r>
                    <w:t xml:space="preserve">​</w:t>
                  </w:r>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r>
                    <w:t xml:space="preserve">​</w:t>
                  </w:r>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r>
                    <w:t xml:space="preserve">​</w:t>
                  </w:r>
                </w:p>
              </w:tc>
              <w:tc>
                <w:tcPr/>
                <w:p>
                  <w:pPr>
                    <w:pStyle w:val="Compact"/>
                    <w:jc w:val="both"/>
                    <w:jc w:val="center"/>
                    <w:spacing w:line="360" w:lineRule="auto"/>
                  </w:pPr>
                  <ns1:oMath>
                    <ns1:r>
                      <ns1:t>17</ns1:t>
                    </ns1:r>
                    <ns1:r>
                      <ns1:rPr>
                        <ns1:sty ns1:val="p"/>
                      </ns1:rPr>
                      <ns1:t>,</ns1:t>
                    </ns1:r>
                    <ns1:r>
                      <ns1:t>856.6</ns1:t>
                    </ns1:r>
                  </ns1:oMath>
                  <w:r>
                    <w:t xml:space="preserve">​</w:t>
                  </w:r>
                </w:p>
              </w:tc>
              <w:tc>
                <w:tcPr/>
                <w:p>
                  <w:pPr>
                    <w:pStyle w:val="Compact"/>
                    <w:jc w:val="both"/>
                    <w:jc w:val="center"/>
                    <w:spacing w:line="360" w:lineRule="auto"/>
                  </w:pPr>
                  <ns1:oMath>
                    <ns1:r>
                      <ns1:rPr>
                        <ns1:sty ns1:val="p"/>
                      </ns1:rPr>
                      <ns1:t>+</ns1:t>
                    </ns1:r>
                    <ns1:r>
                      <ns1:t>0.451</ns1:t>
                    </ns1:r>
                  </ns1:oMath>
                  <w:r>
                    <w:t xml:space="preserve">​</w:t>
                  </w:r>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r>
                    <w:t xml:space="preserve">​</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r>
                    <w:t xml:space="preserve">​</w:t>
                  </w:r>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509"/>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proposición P1 se evalúa sobre el estrato replicado RF/</w:t>
      </w:r>
      <ns1:oMath>
        <ns1:r>
          <ns1:t>N</ns1:t>
        </ns1:r>
        <ns1:r>
          <ns1:rPr>
            <ns1:sty ns1:val="p"/>
          </ns1:rPr>
          <ns1:t>=</ns1:t>
        </ns1:r>
        <ns1:r>
          <ns1:t>100</ns1:t>
        </ns1:r>
      </ns1:oMath>
      <w:r>
        <w:t xml:space="preserve"> </w:t>
      </w:r>
      <w:r>
        <w:t xml:space="preserve">del nivel de</w:t>
      </w:r>
      <w:r>
        <w:t xml:space="preserve"> </w:t>
      </w:r>
      <w:r>
        <w:t xml:space="preserve">ejecución de EXP2, agregando las cinco semillas: los valores de la</w:t>
      </w:r>
      <w:r>
        <w:t xml:space="preserve"> </w:t>
      </w:r>
      <w:hyperlink w:anchor="tbl-cv-p1">
        <w:r>
          <w:rPr>
            <w:rStyle w:val="Hipervnculo"/>
          </w:rPr>
          <w:t xml:space="preserve">Tabla 4.6</w:t>
        </w:r>
      </w:hyperlink>
      <w:r>
        <w:t xml:space="preserve"> </w:t>
      </w:r>
      <w:r>
        <w:t xml:space="preserve">se re-derivan de</w:t>
      </w:r>
      <w:r>
        <w:t xml:space="preserve"> </w:t>
      </w:r>
      <w:r>
        <w:rPr>
          <w:rStyle w:val="VerbatimChar"/>
        </w:rPr>
        <w:t xml:space="preserve">outputs/analysis/paper_a_exp2_stats/exp2_run_level_metrics.csv</w:t>
      </w:r>
      <w:r>
        <w:t xml:space="preserve">. El perfilado</w:t>
      </w:r>
      <w:r>
        <w:t xml:space="preserve"> </w:t>
      </w:r>
      <w:r>
        <w:t xml:space="preserve">de dispersión de EXP1, documentado de forma independiente en</w:t>
      </w:r>
      <w:r>
        <w:t xml:space="preserve"> </w:t>
      </w:r>
      <w:r>
        <w:rPr>
          <w:rStyle w:val="VerbatimChar"/>
        </w:rPr>
        <w:t xml:space="preserve">experiments/exp1_adult/reproducibility/reproducibility_report.csv</w:t>
      </w:r>
      <w:r>
        <w:t xml:space="preserve">, cubre una</w:t>
      </w:r>
      <w:r>
        <w:t xml:space="preserve"> </w:t>
      </w:r>
      <w:r>
        <w:t xml:space="preserve">cohorte distinta (nueve ejecuciones por configuración, modelos</w:t>
      </w:r>
      <w:r>
        <w:t xml:space="preserve"> </w:t>
      </w:r>
      <w:r>
        <w:rPr>
          <w:rStyle w:val="VerbatimChar"/>
        </w:rPr>
        <w:t xml:space="preserve">rf</w:t>
      </w:r>
      <w:r>
        <w:t xml:space="preserve">/</w:t>
      </w:r>
      <w:r>
        <w:rPr>
          <w:rStyle w:val="VerbatimChar"/>
        </w:rPr>
        <w:t xml:space="preserve">xgb</w:t>
      </w:r>
      <w:r>
        <w:t xml:space="preserve"> </w:t>
      </w:r>
      <w:r>
        <w:t xml:space="preserve">con</w:t>
      </w:r>
      <w:r>
        <w:t xml:space="preserve"> </w:t>
      </w:r>
      <w:r>
        <w:t xml:space="preserve">SHAP y LIME) y sostiene la puerta 6 del protocolo, pero no es la fuente de las</w:t>
      </w:r>
      <w:r>
        <w:t xml:space="preserve"> </w:t>
      </w:r>
      <w:r>
        <w:t xml:space="preserve">cifras de la</w:t>
      </w:r>
      <w:r>
        <w:t xml:space="preserve"> </w:t>
      </w:r>
      <w:hyperlink w:anchor="tbl-cv-p1">
        <w:r>
          <w:rPr>
            <w:rStyle w:val="Hipervnculo"/>
          </w:rPr>
          <w:t xml:space="preserve">Tabla 4.6</w:t>
        </w:r>
      </w:hyperlink>
      <w:r>
        <w:t xml:space="preserve">.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510"/>
    <w:bookmarkEnd w:id="511"/>
    <w:bookmarkStart w:id="513"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553f65d71b077ec181ad36da7bb6e7c9942fe116</w:t>
      </w:r>
      <w:r>
        <w:t xml:space="preserve"> </w:t>
      </w:r>
      <w:r>
        <w:t xml:space="preserve">(2026-07-24), archivado con DOI</w:t>
      </w:r>
      <w:r>
        <w:t xml:space="preserve"> </w:t>
      </w:r>
      <w:r>
        <w:t xml:space="preserve">Zenodo</w:t>
      </w:r>
      <w:r>
        <w:t xml:space="preserve"> </w:t>
      </w:r>
      <w:r>
        <w:rPr>
          <w:rStyle w:val="VerbatimChar"/>
        </w:rPr>
        <w:t xml:space="preserve">10.5281/zenodo.21538180</w:t>
      </w:r>
      <w:r>
        <w:t xml:space="preserve">; el DOI de concepto</w:t>
      </w:r>
      <w:r>
        <w:t xml:space="preserve"> </w:t>
      </w:r>
      <w:r>
        <w:rPr>
          <w:rStyle w:val="VerbatimChar"/>
        </w:rPr>
        <w:t xml:space="preserve">10.5281/zenodo.19297723</w:t>
      </w:r>
      <w:r>
        <w:t xml:space="preserve"> </w:t>
      </w:r>
      <w:r>
        <w:t xml:space="preserve">resuelve a la versión más reciente. La instantánea</w:t>
      </w:r>
      <w:r>
        <w:t xml:space="preserve"> </w:t>
      </w:r>
      <w:r>
        <w:t xml:space="preserve">anterior (</w:t>
      </w:r>
      <w:r>
        <w:rPr>
          <w:rStyle w:val="VerbatimChar"/>
        </w:rPr>
        <w:t xml:space="preserve">33fd952a01a752f6988f46ba79b18694838c3f8f</w:t>
      </w:r>
      <w:r>
        <w:t xml:space="preserve">, DOI</w:t>
      </w:r>
      <w:r>
        <w:t xml:space="preserve"> </w:t>
      </w:r>
      <w:r>
        <w:rPr>
          <w:rStyle w:val="VerbatimChar"/>
        </w:rPr>
        <w:t xml:space="preserve">10.5281/zenodo.19297724</w:t>
      </w:r>
      <w:r>
        <w:t xml:space="preserve">, abril de 2026) se conserva por procedencia pero es</w:t>
      </w:r>
      <w:r>
        <w:t xml:space="preserve"> </w:t>
      </w:r>
      <w:r>
        <w:t xml:space="preserve">anterior a la superposición de recuperación de SHAP y no reproduce las cifras</w:t>
      </w:r>
      <w:r>
        <w:t xml:space="preserve"> </w:t>
      </w:r>
      <w:r>
        <w:t xml:space="preserve">del Capítulo 4. Los archivos principales de entorno son:</w:t>
      </w:r>
    </w:p>
    <w:tbl>
      <w:tblPr>
        <w:tblStyle w:val="Table"/>
        <w:tblW w:type="pct" w:w="5000"/>
        <w:jc w:val="center"/>
        <w:tblLayout w:type="fixed"/>
        <w:tblLook w:firstRow="0" w:lastRow="0" w:firstColumn="0" w:lastColumn="0" w:noHBand="0" w:noVBand="0" w:val="0000"/>
      </w:tblPr>
      <w:tblGrid>
        <w:gridCol w:w="7920"/>
      </w:tblGrid>
      <w:tr>
        <w:tc>
          <w:tcPr/>
          <w:bookmarkStart w:id="512" w:name="tbl-appendix-environment"/>
          <w:p>
            <w:pPr>
              <w:pStyle w:val="ImageCaption"/>
              <w:spacing w:before="200" w:line="360" w:lineRule="auto"/>
              <w:jc w:val="center"/>
            </w:pPr>
            <w:r>
              <w:t xml:space="preserve">Tabla 7.16: Archivos de entorno y reproducción.</w:t>
            </w:r>
          </w:p>
          <w:tbl>
            <w:tblPr>
              <w:tblStyle w:val="Table"/>
              <w:tblW w:type="auto" w:w="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rPr>
                      <w:bCs/>
                      <w:b/>
                    </w:rPr>
                    <w:t xml:space="preserve">Archivo</w:t>
                  </w:r>
                </w:p>
              </w:tc>
              <w:tc>
                <w:tcPr/>
                <w:p>
                  <w:pPr>
                    <w:pStyle w:val="Compact"/>
                    <w:jc w:val="both"/>
                    <w:jc w:val="center"/>
                    <w:spacing w:line="360" w:lineRule="auto"/>
                  </w:pPr>
                  <w:r>
                    <w:rPr>
                      <w:bCs/>
                      <w:b/>
                    </w:rP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512"/>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25"/>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25"/>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25"/>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25"/>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25"/>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513"/>
    <w:bookmarkStart w:id="515"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w:t>
      </w:r>
      <w:hyperlink w:anchor="sec-exp4-diseno">
        <w:r>
          <w:rPr>
            <w:rStyle w:val="Hipervnculo"/>
          </w:rPr>
          <w:t xml:space="preserve">3.11.2</w:t>
        </w:r>
      </w:hyperlink>
      <w:r>
        <w:t xml:space="preserve">, Capítulo 3; resultados en</w:t>
      </w:r>
      <w:r>
        <w:t xml:space="preserve"> </w:t>
      </w:r>
      <w:r>
        <w:t xml:space="preserve">§</w:t>
      </w:r>
      <w:hyperlink w:anchor="sec-exp4-fiabilidad">
        <w:r>
          <w:rPr>
            <w:rStyle w:val="Hipervnculo"/>
          </w:rPr>
          <w:t xml:space="preserve">5.8</w:t>
        </w:r>
      </w:hyperlink>
      <w:r>
        <w:t xml:space="preserve">,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las Tablas</w:t>
      </w:r>
      <w:r>
        <w:t xml:space="preserve"> </w:t>
      </w:r>
      <w:hyperlink w:anchor="tbl-exp4-icc">
        <w:r>
          <w:rPr>
            <w:rStyle w:val="Hipervnculo"/>
          </w:rPr>
          <w:t xml:space="preserve">5.3</w:t>
        </w:r>
      </w:hyperlink>
      <w:r>
        <w:t xml:space="preserve"> </w:t>
      </w:r>
      <w:r>
        <w:t xml:space="preserve">y</w:t>
      </w:r>
      <w:r>
        <w:t xml:space="preserve"> </w:t>
      </w:r>
      <w:hyperlink w:anchor="tbl-exp4-icc-c2">
        <w:r>
          <w:rPr>
            <w:rStyle w:val="Hipervnculo"/>
          </w:rPr>
          <w:t xml:space="preserve">5.4</w:t>
        </w:r>
      </w:hyperlink>
      <w:r>
        <w:t xml:space="preserve"> </w:t>
      </w:r>
      <w:r>
        <w:t xml:space="preserve">del Capítulo 5.</w:t>
      </w:r>
    </w:p>
    <w:tbl>
      <w:tblPr>
        <w:tblStyle w:val="Table"/>
        <w:tblW w:type="pct" w:w="5000"/>
        <w:jc w:val="center"/>
        <w:tblLayout w:type="fixed"/>
        <w:tblLook w:firstRow="0" w:lastRow="0" w:firstColumn="0" w:lastColumn="0" w:noHBand="0" w:noVBand="0" w:val="0000"/>
      </w:tblPr>
      <w:tblGrid>
        <w:gridCol w:w="7920"/>
      </w:tblGrid>
      <w:tr>
        <w:tc>
          <w:tcPr/>
          <w:bookmarkStart w:id="514" w:name="tbl-appendix-llm"/>
          <w:p>
            <w:pPr>
              <w:pStyle w:val="ImageCaption"/>
              <w:spacing w:before="200" w:line="360" w:lineRule="auto"/>
              <w:jc w:val="center"/>
            </w:pPr>
            <w:r>
              <w:t xml:space="preserve">Tabla 7.17: Artefactos de EXP4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rPr>
                      <w:bCs/>
                      <w:b/>
                    </w:rPr>
                    <w:t xml:space="preserve">Artefacto</w:t>
                  </w:r>
                </w:p>
              </w:tc>
              <w:tc>
                <w:tcPr/>
                <w:p>
                  <w:pPr>
                    <w:pStyle w:val="Compact"/>
                    <w:jc w:val="both"/>
                    <w:jc w:val="center"/>
                    <w:spacing w:line="360" w:lineRule="auto"/>
                  </w:pPr>
                  <w:r>
                    <w:rPr>
                      <w:bCs/>
                      <w:b/>
                    </w:rPr>
                    <w:t xml:space="preserve">Contenido</w:t>
                  </w:r>
                </w:p>
              </w:tc>
              <w:tc>
                <w:tcPr/>
                <w:p>
                  <w:pPr>
                    <w:pStyle w:val="Compact"/>
                    <w:jc w:val="both"/>
                    <w:jc w:val="center"/>
                    <w:spacing w:line="360" w:lineRule="auto"/>
                  </w:pPr>
                  <w:r>
                    <w:rPr>
                      <w:bCs/>
                      <w:b/>
                    </w:rPr>
                    <w:t xml:space="preserve">Uso en la tesis</w:t>
                  </w:r>
                </w:p>
              </w:tc>
            </w:tr>
            <w:tr>
              <w:tc>
                <w:tcPr/>
                <w:p>
                  <w:pPr>
                    <w:pStyle w:val="Compact"/>
                    <w:jc w:val="both"/>
                    <w:jc w:val="center"/>
                    <w:spacing w:line="360" w:lineRule="auto"/>
                  </w:pPr>
                  <w:r>
                    <w:rPr>
                      <w:rStyle w:val="VerbatimChar"/>
                    </w:rPr>
                    <w:t xml:space="preserve">src/evaluation/exp4_schema.py</w:t>
                  </w:r>
                </w:p>
              </w:tc>
              <w:tc>
                <w:tcPr/>
                <w:p>
                  <w:pPr>
                    <w:pStyle w:val="Compact"/>
                    <w:jc w:val="both"/>
                    <w:jc w:val="center"/>
                    <w:spacing w:line="360" w:lineRule="auto"/>
                  </w:pPr>
                  <w:r>
                    <w:t xml:space="preserve">Esquema de puntuación EXP4: las siete dimensiones y la escala 1–5</w:t>
                  </w:r>
                </w:p>
              </w:tc>
              <w:tc>
                <w:tcPr/>
                <w:p>
                  <w:pPr>
                    <w:pStyle w:val="Compact"/>
                    <w:jc w:val="both"/>
                    <w:jc w:val="center"/>
                    <w:spacing w:line="360" w:lineRule="auto"/>
                  </w:pPr>
                  <w:r>
                    <w:t xml:space="preserve">Instrumento de medición EXP4 (fuente reconstruida, RCA-002)</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tres dimensiones de EXP1;</w:t>
                  </w:r>
                  <w:r>
                    <w:t xml:space="preserve"> </w:t>
                  </w:r>
                  <w:r>
                    <w:rPr>
                      <w:b/>
                      <w:bCs/>
                    </w:rPr>
                    <w:t xml:space="preserve">no</w:t>
                  </w:r>
                  <w:r>
                    <w:t xml:space="preserve"> </w:t>
                  </w:r>
                  <w:r>
                    <w:t xml:space="preserve">es el instrumento de EXP4</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para el juez LLM (EXP1)</w:t>
                  </w:r>
                </w:p>
              </w:tc>
              <w:tc>
                <w:tcPr/>
                <w:p>
                  <w:pPr>
                    <w:pStyle w:val="Compact"/>
                    <w:jc w:val="both"/>
                    <w:jc w:val="center"/>
                    <w:spacing w:line="360" w:lineRule="auto"/>
                  </w:pPr>
                  <w:r>
                    <w:t xml:space="preserve">Referencia histórica</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ICC(1,1) por dimensión, cohorte original (la columna se denomina</w:t>
                  </w:r>
                  <w:r>
                    <w:t xml:space="preserve"> </w:t>
                  </w:r>
                  <w:r>
                    <w:rPr>
                      <w:rStyle w:val="VerbatimChar"/>
                    </w:rPr>
                    <w:t xml:space="preserve">icc_2_1</w:t>
                  </w:r>
                  <w:r>
                    <w:t xml:space="preserve"> </w:t>
                  </w:r>
                  <w:r>
                    <w:t xml:space="preserve">por razones históricas)</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 cohorte original</w:t>
                  </w:r>
                </w:p>
              </w:tc>
              <w:tc>
                <w:tcPr/>
                <w:p>
                  <w:pPr>
                    <w:pStyle w:val="Compact"/>
                    <w:jc w:val="both"/>
                    <w:jc w:val="center"/>
                    <w:spacing w:line="360" w:lineRule="auto"/>
                  </w:pPr>
                  <w:r>
                    <w:t xml:space="preserve">Tabla</w:t>
                  </w:r>
                  <w:r>
                    <w:t xml:space="preserve"> </w:t>
                  </w:r>
                  <w:hyperlink w:anchor="tbl-exp4-icc">
                    <w:r>
                      <w:rPr>
                        <w:rStyle w:val="Hipervnculo"/>
                      </w:rPr>
                      <w:t xml:space="preserve">5.3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outputs/analysis/exp4_llm_evaluation/judge_disagreement.csv</w:t>
                  </w:r>
                </w:p>
              </w:tc>
              <w:tc>
                <w:tcPr/>
                <w:p>
                  <w:pPr>
                    <w:pStyle w:val="Compact"/>
                    <w:jc w:val="both"/>
                    <w:jc w:val="center"/>
                    <w:spacing w:line="360" w:lineRule="auto"/>
                  </w:pPr>
                  <w:r>
                    <w:t xml:space="preserve">Identificadores de los 192 casos y dispersión inter-juez por caso, cohorte original</w:t>
                  </w:r>
                </w:p>
              </w:tc>
              <w:tc>
                <w:tcPr/>
                <w:p>
                  <w:pPr>
                    <w:pStyle w:val="Compact"/>
                    <w:jc w:val="both"/>
                    <w:jc w:val="center"/>
                    <w:spacing w:line="360" w:lineRule="auto"/>
                  </w:pPr>
                  <w:r>
                    <w:t xml:space="preserve">Recuperación de los casos para la cohorte 2</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Vacío: la cohorte original no produjo estadísticos por juez</w:t>
                  </w:r>
                </w:p>
              </w:tc>
              <w:tc>
                <w:tcPr/>
                <w:p>
                  <w:pPr>
                    <w:pStyle w:val="Compact"/>
                    <w:jc w:val="both"/>
                    <w:jc w:val="center"/>
                    <w:spacing w:line="360" w:lineRule="auto"/>
                  </w:pPr>
                  <w:r>
                    <w:t xml:space="preserve">Ninguno</w:t>
                  </w:r>
                </w:p>
              </w:tc>
            </w:tr>
            <w:tr>
              <w:tc>
                <w:tcPr/>
                <w:p>
                  <w:pPr>
                    <w:pStyle w:val="Compact"/>
                    <w:jc w:val="both"/>
                    <w:jc w:val="center"/>
                    <w:spacing w:line="360" w:lineRule="auto"/>
                  </w:pPr>
                  <w:r>
                    <w:rPr>
                      <w:rStyle w:val="VerbatimChar"/>
                    </w:rPr>
                    <w:t xml:space="preserve">experiments/exp4_cohort2/</w:t>
                  </w:r>
                </w:p>
              </w:tc>
              <w:tc>
                <w:tcPr/>
                <w:p>
                  <w:pPr>
                    <w:pStyle w:val="Compact"/>
                    <w:jc w:val="both"/>
                    <w:jc w:val="center"/>
                    <w:spacing w:line="360" w:lineRule="auto"/>
                  </w:pPr>
                  <w:r>
                    <w:t xml:space="preserve">Casos, consignas renderizadas, respuestas brutas de los jueces y puntuaciones validadas de la cohorte 2</w:t>
                  </w:r>
                </w:p>
              </w:tc>
              <w:tc>
                <w:tcPr/>
                <w:p>
                  <w:pPr>
                    <w:pStyle w:val="Compact"/>
                    <w:jc w:val="both"/>
                    <w:jc w:val="center"/>
                    <w:spacing w:line="360" w:lineRule="auto"/>
                  </w:pPr>
                  <w:r>
                    <w:t xml:space="preserve">Datos brutos de la replicación</w:t>
                  </w:r>
                </w:p>
              </w:tc>
            </w:tr>
            <w:tr>
              <w:tc>
                <w:tcPr/>
                <w:p>
                  <w:pPr>
                    <w:pStyle w:val="Compact"/>
                    <w:jc w:val="both"/>
                    <w:jc w:val="center"/>
                    <w:spacing w:line="360" w:lineRule="auto"/>
                  </w:pPr>
                  <w:r>
                    <w:rPr>
                      <w:rStyle w:val="VerbatimChar"/>
                    </w:rPr>
                    <w:t xml:space="preserve">src/prompts/templates/exp4_semantic_eval_v1*.j2</w:t>
                  </w:r>
                </w:p>
              </w:tc>
              <w:tc>
                <w:tcPr/>
                <w:p>
                  <w:pPr>
                    <w:pStyle w:val="Compact"/>
                    <w:jc w:val="both"/>
                    <w:jc w:val="center"/>
                    <w:spacing w:line="360" w:lineRule="auto"/>
                  </w:pPr>
                  <w:r>
                    <w:t xml:space="preserve">Plantillas de consigna de las tres condiciones, reconstruidas para la cohorte 2</w:t>
                  </w:r>
                </w:p>
              </w:tc>
              <w:tc>
                <w:tcPr/>
                <w:p>
                  <w:pPr>
                    <w:pStyle w:val="Compact"/>
                    <w:jc w:val="both"/>
                    <w:jc w:val="center"/>
                    <w:spacing w:line="360" w:lineRule="auto"/>
                  </w:pPr>
                  <w:r>
                    <w:t xml:space="preserve">Instrumento de la cohorte 2</w:t>
                  </w:r>
                </w:p>
              </w:tc>
            </w:tr>
            <w:tr>
              <w:tc>
                <w:tcPr/>
                <w:p>
                  <w:pPr>
                    <w:pStyle w:val="Compact"/>
                    <w:jc w:val="both"/>
                    <w:jc w:val="center"/>
                    <w:spacing w:line="360" w:lineRule="auto"/>
                  </w:pPr>
                  <w:r>
                    <w:rPr>
                      <w:rStyle w:val="VerbatimChar"/>
                    </w:rPr>
                    <w:t xml:space="preserve">outputs/analysis/exp4_cohort2/cohort2_reliability_by_view.csv</w:t>
                  </w:r>
                </w:p>
              </w:tc>
              <w:tc>
                <w:tcPr/>
                <w:p>
                  <w:pPr>
                    <w:pStyle w:val="Compact"/>
                    <w:jc w:val="both"/>
                    <w:jc w:val="center"/>
                    <w:spacing w:line="360" w:lineRule="auto"/>
                  </w:pPr>
                  <w:r>
                    <w:t xml:space="preserve">ICC(1,1), IC 95 % y</w:t>
                  </w:r>
                  <w:r>
                    <w:t xml:space="preserve"> </w:t>
                  </w:r>
                  <ns1:oMath>
                    <ns1:r>
                      <ns1:t>α</ns1:t>
                    </ns1:r>
                  </ns1:oMath>
                  <w:r>
                    <w:t xml:space="preserve"> </w:t>
                  </w:r>
                  <w:r>
                    <w:t xml:space="preserve">por dimensión y por condición o agregación, cohorte 2</w:t>
                  </w:r>
                </w:p>
              </w:tc>
              <w:tc>
                <w:tcPr/>
                <w:p>
                  <w:pPr>
                    <w:pStyle w:val="Compact"/>
                    <w:jc w:val="both"/>
                    <w:jc w:val="center"/>
                    <w:spacing w:line="360" w:lineRule="auto"/>
                  </w:pPr>
                  <w:r>
                    <w:t xml:space="preserve">Tabla</w:t>
                  </w:r>
                  <w:r>
                    <w:t xml:space="preserve"> </w:t>
                  </w:r>
                  <w:hyperlink w:anchor="tbl-exp4-icc-c2">
                    <w:r>
                      <w:rPr>
                        <w:rStyle w:val="Hipervnculo"/>
                      </w:rPr>
                      <w:t xml:space="preserve">5.4</w:t>
                    </w:r>
                  </w:hyperlink>
                  <w:r>
                    <w:t xml:space="preserve"> </w:t>
                  </w:r>
                  <w:r>
                    <w:t xml:space="preserve">(fuente)</w:t>
                  </w:r>
                </w:p>
              </w:tc>
            </w:tr>
          </w:tbl>
          <w:bookmarkEnd w:id="514"/>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en la condición primaria, los jueces LLM no alcanzan ICC</w:t>
      </w:r>
      <w:r>
        <w:t xml:space="preserve"> </w:t>
      </w:r>
      <ns1:oMath>
        <ns1:r>
          <ns1:rPr>
            <ns1:sty ns1:val="p"/>
          </ns1:rPr>
          <ns1:t>≥</ns1:t>
        </ns1:r>
        <ns1:r>
          <ns1:t>0.75</ns1:t>
        </ns1:r>
      </ns1:oMath>
      <w:r>
        <w:t xml:space="preserve"> </w:t>
      </w:r>
      <w:r>
        <w:t xml:space="preserve">bajo las rúbricas actuales, con dos paneles de jueces distintos) es</w:t>
      </w:r>
      <w:r>
        <w:t xml:space="preserve"> </w:t>
      </w:r>
      <w:r>
        <w:t xml:space="preserve">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w:t>
      </w:r>
      <w:hyperlink w:anchor="sec-exp4-fiabilidad">
        <w:r>
          <w:rPr>
            <w:rStyle w:val="Hipervnculo"/>
          </w:rPr>
          <w:t xml:space="preserve">5.8</w:t>
        </w:r>
      </w:hyperlink>
      <w:r>
        <w:t xml:space="preserve"> </w:t>
      </w:r>
      <w:r>
        <w:t xml:space="preserve">y §</w:t>
      </w:r>
      <w:hyperlink w:anchor="sec-futuro">
        <w:r>
          <w:rPr>
            <w:rStyle w:val="Hipervnculo"/>
          </w:rPr>
          <w:t xml:space="preserve">7.6</w:t>
        </w:r>
      </w:hyperlink>
      <w:r>
        <w:t xml:space="preserve">).</w:t>
      </w:r>
    </w:p>
    <w:bookmarkEnd w:id="515"/>
    <w:bookmarkStart w:id="517" w:name="Xb30eeab50807791c6a31d61db03fab06db172d3"/>
    <w:p>
      <w:pPr>
        <w:pStyle w:val="Ttulo2"/>
        <w:spacing w:line="360" w:lineRule="auto"/>
        <w:jc w:val="both"/>
      </w:pPr>
      <w:r>
        <w:t xml:space="preserve">Apéndice G: Artefactos de los estudios de seguimiento</w:t>
      </w:r>
    </w:p>
    <w:p>
      <w:pPr>
        <w:pStyle w:val="FirstParagraph"/>
        <w:spacing w:line="360" w:lineRule="auto"/>
        <w:jc w:val="both"/>
      </w:pPr>
      <w:r>
        <w:t xml:space="preserve">Los estudios de seguimiento del Capítulo 6 (§</w:t>
      </w:r>
      <w:hyperlink w:anchor="sec-seguimiento">
        <w:r>
          <w:rPr>
            <w:rStyle w:val="Hipervnculo"/>
          </w:rPr>
          <w:t xml:space="preserve">6</w:t>
        </w:r>
      </w:hyperlink>
      <w:r>
        <w:t xml:space="preserve">) tienen cada uno</w:t>
      </w:r>
      <w:r>
        <w:t xml:space="preserve"> </w:t>
      </w:r>
      <w:r>
        <w:t xml:space="preserve">su plan de análisis, su código y sus archivos de resultados en el repositorio.</w:t>
      </w:r>
      <w:r>
        <w:t xml:space="preserve"> </w:t>
      </w:r>
      <w:r>
        <w:t xml:space="preserve">Los nombres de las carpetas son identificadores históricos del repositorio. Cada</w:t>
      </w:r>
      <w:r>
        <w:t xml:space="preserve"> </w:t>
      </w:r>
      <w:r>
        <w:t xml:space="preserve">cifra del Capítulo 6 se vuelve a derivar de estos archivos en la verificación</w:t>
      </w:r>
      <w:r>
        <w:t xml:space="preserve"> </w:t>
      </w:r>
      <w:r>
        <w:t xml:space="preserve">automática de afirmaciones.</w:t>
      </w:r>
    </w:p>
    <w:tbl>
      <w:tblPr>
        <w:tblStyle w:val="Table"/>
        <w:tblW w:type="pct" w:w="5000"/>
        <w:jc w:val="center"/>
        <w:tblLayout w:type="fixed"/>
        <w:tblLook w:firstRow="0" w:lastRow="0" w:firstColumn="0" w:lastColumn="0" w:noHBand="0" w:noVBand="0" w:val="0000"/>
      </w:tblPr>
      <w:tblGrid>
        <w:gridCol w:w="7920"/>
      </w:tblGrid>
      <w:tr>
        <w:tc>
          <w:tcPr/>
          <w:bookmarkStart w:id="516" w:name="tbl-appendix-seguimiento"/>
          <w:p>
            <w:pPr>
              <w:pStyle w:val="ImageCaption"/>
              <w:spacing w:before="200" w:line="360" w:lineRule="auto"/>
              <w:jc w:val="center"/>
            </w:pPr>
            <w:r>
              <w:t xml:space="preserve">Tabla 7.18: Artefactos de los estudios de seguimiento y trazabilidad a la tesis.</w:t>
            </w:r>
          </w:p>
          <w:tbl>
            <w:tblPr>
              <w:tblStyle w:val="Table"/>
              <w:tblW w:type="pct" w:w="50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bCs/>
                      <w:b/>
                    </w:rPr>
                    <w:t xml:space="preserve">Estudio</w:t>
                  </w:r>
                </w:p>
              </w:tc>
              <w:tc>
                <w:tcPr/>
                <w:p>
                  <w:pPr>
                    <w:pStyle w:val="Compact"/>
                    <w:jc w:val="both"/>
                    <w:jc w:val="center"/>
                    <w:spacing w:line="360" w:lineRule="auto"/>
                  </w:pPr>
                  <w:r>
                    <w:rPr>
                      <w:bCs/>
                      <w:b/>
                    </w:rPr>
                    <w:t xml:space="preserve">Plan de análisis</w:t>
                  </w:r>
                </w:p>
              </w:tc>
              <w:tc>
                <w:tcPr/>
                <w:p>
                  <w:pPr>
                    <w:pStyle w:val="Compact"/>
                    <w:jc w:val="both"/>
                    <w:jc w:val="center"/>
                    <w:spacing w:line="360" w:lineRule="auto"/>
                  </w:pPr>
                  <w:r>
                    <w:rPr>
                      <w:bCs/>
                      <w:b/>
                    </w:rPr>
                    <w:t xml:space="preserve">Código de análisis</w:t>
                  </w:r>
                </w:p>
              </w:tc>
              <w:tc>
                <w:tcPr/>
                <w:p>
                  <w:pPr>
                    <w:pStyle w:val="Compact"/>
                    <w:jc w:val="both"/>
                    <w:jc w:val="center"/>
                    <w:spacing w:line="360" w:lineRule="auto"/>
                  </w:pPr>
                  <w:r>
                    <w:rPr>
                      <w:bCs/>
                      <w:b/>
                    </w:rPr>
                    <w:t xml:space="preserve">Resultados</w:t>
                  </w:r>
                </w:p>
              </w:tc>
              <w:tc>
                <w:tcPr/>
                <w:p>
                  <w:pPr>
                    <w:pStyle w:val="Compact"/>
                    <w:jc w:val="both"/>
                    <w:jc w:val="center"/>
                    <w:spacing w:line="360" w:lineRule="auto"/>
                  </w:pPr>
                  <w:r>
                    <w:rPr>
                      <w:bCs/>
                      <w:b/>
                    </w:rPr>
                    <w:t xml:space="preserve">Archivo Zenodo</w:t>
                  </w:r>
                </w:p>
              </w:tc>
            </w:tr>
            <w:tr>
              <w:tc>
                <w:tcPr/>
                <w:p>
                  <w:pPr>
                    <w:pStyle w:val="Compact"/>
                    <w:jc w:val="both"/>
                    <w:jc w:val="center"/>
                    <w:spacing w:line="360" w:lineRule="auto"/>
                  </w:pPr>
                  <w:r>
                    <w:t xml:space="preserve">Fiabilidad ante el Error</w:t>
                  </w:r>
                </w:p>
              </w:tc>
              <w:tc>
                <w:tcPr/>
                <w:p>
                  <w:pPr>
                    <w:pStyle w:val="Compact"/>
                    <w:jc w:val="both"/>
                    <w:jc w:val="center"/>
                    <w:spacing w:line="360" w:lineRule="auto"/>
                  </w:pPr>
                  <w:r>
                    <w:rPr>
                      <w:rStyle w:val="VerbatimChar"/>
                    </w:rPr>
                    <w:t xml:space="preserve">docs/reports/paper_d/ANALYSIS_PLAN.md</w:t>
                  </w:r>
                </w:p>
              </w:tc>
              <w:tc>
                <w:tcPr/>
                <w:p>
                  <w:pPr>
                    <w:pStyle w:val="Compact"/>
                    <w:jc w:val="both"/>
                    <w:jc w:val="center"/>
                    <w:spacing w:line="360" w:lineRule="auto"/>
                  </w:pPr>
                  <w:r>
                    <w:rPr>
                      <w:rStyle w:val="VerbatimChar"/>
                    </w:rPr>
                    <w:t xml:space="preserve">scripts/pubs/paper_d_analysis.py</w:t>
                  </w:r>
                </w:p>
              </w:tc>
              <w:tc>
                <w:tcPr/>
                <w:p>
                  <w:pPr>
                    <w:pStyle w:val="Compact"/>
                    <w:jc w:val="both"/>
                    <w:jc w:val="center"/>
                    <w:spacing w:line="360" w:lineRule="auto"/>
                  </w:pPr>
                  <w:r>
                    <w:rPr>
                      <w:rStyle w:val="VerbatimChar"/>
                    </w:rPr>
                    <w:t xml:space="preserve">outputs/analysis/paper_d/</w:t>
                  </w:r>
                </w:p>
              </w:tc>
              <w:tc>
                <w:tcPr/>
                <w:p>
                  <w:pPr>
                    <w:pStyle w:val="Compact"/>
                    <w:jc w:val="both"/>
                    <w:jc w:val="center"/>
                    <w:spacing w:line="360" w:lineRule="auto"/>
                  </w:pPr>
                  <w:r>
                    <w:rPr>
                      <w:rStyle w:val="VerbatimChar"/>
                    </w:rPr>
                    <w:t xml:space="preserve">10.5281/zenodo.23130014</w:t>
                  </w:r>
                </w:p>
              </w:tc>
            </w:tr>
            <w:tr>
              <w:tc>
                <w:tcPr/>
                <w:p>
                  <w:pPr>
                    <w:pStyle w:val="Compact"/>
                    <w:jc w:val="both"/>
                    <w:jc w:val="center"/>
                    <w:spacing w:line="360" w:lineRule="auto"/>
                  </w:pPr>
                  <w:r>
                    <w:t xml:space="preserve">Concordancia entre Explicadores</w:t>
                  </w:r>
                </w:p>
              </w:tc>
              <w:tc>
                <w:tcPr/>
                <w:p>
                  <w:pPr>
                    <w:pStyle w:val="Compact"/>
                    <w:jc w:val="both"/>
                    <w:jc w:val="center"/>
                    <w:spacing w:line="360" w:lineRule="auto"/>
                  </w:pPr>
                  <w:r>
                    <w:rPr>
                      <w:rStyle w:val="VerbatimChar"/>
                    </w:rPr>
                    <w:t xml:space="preserve">docs/reports/paper_e/ANALYSIS_PLAN.md</w:t>
                  </w:r>
                </w:p>
              </w:tc>
              <w:tc>
                <w:tcPr/>
                <w:p>
                  <w:pPr>
                    <w:pStyle w:val="Compact"/>
                    <w:jc w:val="both"/>
                    <w:jc w:val="center"/>
                    <w:spacing w:line="360" w:lineRule="auto"/>
                  </w:pPr>
                  <w:r>
                    <w:rPr>
                      <w:rStyle w:val="VerbatimChar"/>
                    </w:rPr>
                    <w:t xml:space="preserve">scripts/analyze_paper_e.py</w:t>
                  </w:r>
                </w:p>
              </w:tc>
              <w:tc>
                <w:tcPr/>
                <w:p>
                  <w:pPr>
                    <w:pStyle w:val="Compact"/>
                    <w:jc w:val="both"/>
                    <w:jc w:val="center"/>
                    <w:spacing w:line="360" w:lineRule="auto"/>
                  </w:pPr>
                  <w:r>
                    <w:rPr>
                      <w:rStyle w:val="VerbatimChar"/>
                    </w:rPr>
                    <w:t xml:space="preserve">outputs/analysis/paper_e/</w:t>
                  </w:r>
                </w:p>
              </w:tc>
              <w:tc>
                <w:tcPr/>
                <w:p>
                  <w:pPr>
                    <w:pStyle w:val="Compact"/>
                    <w:jc w:val="both"/>
                    <w:jc w:val="center"/>
                    <w:spacing w:line="360" w:lineRule="auto"/>
                  </w:pPr>
                  <w:r>
                    <w:rPr>
                      <w:rStyle w:val="VerbatimChar"/>
                    </w:rPr>
                    <w:t xml:space="preserve">10.5281/zenodo.23142429</w:t>
                  </w:r>
                </w:p>
              </w:tc>
            </w:tr>
            <w:tr>
              <w:tc>
                <w:tcPr/>
                <w:p>
                  <w:pPr>
                    <w:pStyle w:val="Compact"/>
                    <w:jc w:val="both"/>
                    <w:jc w:val="center"/>
                    <w:spacing w:line="360" w:lineRule="auto"/>
                  </w:pPr>
                  <w:r>
                    <w:t xml:space="preserve">Transferencia entre Conjuntos de Datos</w:t>
                  </w:r>
                </w:p>
              </w:tc>
              <w:tc>
                <w:tcPr/>
                <w:p>
                  <w:pPr>
                    <w:pStyle w:val="Compact"/>
                    <w:jc w:val="both"/>
                    <w:jc w:val="center"/>
                    <w:spacing w:line="360" w:lineRule="auto"/>
                  </w:pPr>
                  <w:r>
                    <w:rPr>
                      <w:rStyle w:val="VerbatimChar"/>
                    </w:rPr>
                    <w:t xml:space="preserve">docs/reports/paper_f/ANALYSIS_PLAN.md</w:t>
                  </w:r>
                </w:p>
              </w:tc>
              <w:tc>
                <w:tcPr/>
                <w:p>
                  <w:pPr>
                    <w:pStyle w:val="Compact"/>
                    <w:jc w:val="both"/>
                    <w:jc w:val="center"/>
                    <w:spacing w:line="360" w:lineRule="auto"/>
                  </w:pPr>
                  <w:r>
                    <w:rPr>
                      <w:rStyle w:val="VerbatimChar"/>
                    </w:rPr>
                    <w:t xml:space="preserve">scripts/paper_f_analyze.py</w:t>
                  </w:r>
                </w:p>
              </w:tc>
              <w:tc>
                <w:tcPr/>
                <w:p>
                  <w:pPr>
                    <w:pStyle w:val="Compact"/>
                    <w:jc w:val="both"/>
                    <w:jc w:val="center"/>
                    <w:spacing w:line="360" w:lineRule="auto"/>
                  </w:pPr>
                  <w:r>
                    <w:rPr>
                      <w:rStyle w:val="VerbatimChar"/>
                    </w:rPr>
                    <w:t xml:space="preserve">outputs/analysis/paper_f/results/</w:t>
                  </w:r>
                </w:p>
              </w:tc>
              <w:tc>
                <w:tcPr/>
                <w:p>
                  <w:pPr>
                    <w:pStyle w:val="Compact"/>
                    <w:jc w:val="both"/>
                    <w:jc w:val="center"/>
                    <w:spacing w:line="360" w:lineRule="auto"/>
                  </w:pPr>
                  <w:r>
                    <w:rPr>
                      <w:rStyle w:val="VerbatimChar"/>
                    </w:rPr>
                    <w:t xml:space="preserve">10.5281/zenodo.23325483</w:t>
                  </w:r>
                </w:p>
              </w:tc>
            </w:tr>
            <w:tr>
              <w:tc>
                <w:tcPr/>
                <w:p>
                  <w:pPr>
                    <w:pStyle w:val="Compact"/>
                    <w:jc w:val="both"/>
                    <w:jc w:val="center"/>
                    <w:spacing w:line="360" w:lineRule="auto"/>
                  </w:pPr>
                  <w:r>
                    <w:t xml:space="preserve">Controles del Estudio de Fiabilidad Inter-juez</w:t>
                  </w:r>
                </w:p>
              </w:tc>
              <w:tc>
                <w:tcPr/>
                <w:p>
                  <w:pPr>
                    <w:pStyle w:val="Compact"/>
                    <w:jc w:val="both"/>
                    <w:jc w:val="center"/>
                    <w:spacing w:line="360" w:lineRule="auto"/>
                  </w:pPr>
                  <w:r>
                    <w:rPr>
                      <w:rStyle w:val="VerbatimChar"/>
                    </w:rPr>
                    <w:t xml:space="preserve">docs/reports/paper_c/PLAN.md</w:t>
                  </w:r>
                </w:p>
              </w:tc>
              <w:tc>
                <w:tcPr/>
                <w:p>
                  <w:pPr>
                    <w:pStyle w:val="Compact"/>
                    <w:jc w:val="both"/>
                    <w:jc w:val="center"/>
                    <w:spacing w:line="360" w:lineRule="auto"/>
                  </w:pPr>
                  <w:r>
                    <w:rPr>
                      <w:rStyle w:val="VerbatimChar"/>
                    </w:rPr>
                    <w:t xml:space="preserve">docs/reports/paper_c/scripts/</w:t>
                  </w:r>
                </w:p>
              </w:tc>
              <w:tc>
                <w:tcPr/>
                <w:p>
                  <w:pPr>
                    <w:pStyle w:val="Compact"/>
                    <w:jc w:val="both"/>
                    <w:jc w:val="center"/>
                    <w:spacing w:line="360" w:lineRule="auto"/>
                  </w:pPr>
                  <w:r>
                    <w:rPr>
                      <w:rStyle w:val="VerbatimChar"/>
                    </w:rPr>
                    <w:t xml:space="preserve">docs/reports/paper_c/results/</w:t>
                  </w:r>
                  <w:r>
                    <w:t xml:space="preserve">,</w:t>
                  </w:r>
                  <w:r>
                    <w:t xml:space="preserve"> </w:t>
                  </w:r>
                  <w:r>
                    <w:rPr>
                      <w:rStyle w:val="VerbatimChar"/>
                    </w:rPr>
                    <w:t xml:space="preserve">clean_condition/</w:t>
                  </w:r>
                  <w:r>
                    <w:t xml:space="preserve"> </w:t>
                  </w:r>
                  <w:r>
                    <w:t xml:space="preserve">y</w:t>
                  </w:r>
                  <w:r>
                    <w:t xml:space="preserve"> </w:t>
                  </w:r>
                  <w:r>
                    <w:rPr>
                      <w:rStyle w:val="VerbatimChar"/>
                    </w:rPr>
                    <w:t xml:space="preserve">positive_control/</w:t>
                  </w:r>
                </w:p>
              </w:tc>
              <w:tc>
                <w:tcPr/>
                <w:p>
                  <w:pPr>
                    <w:pStyle w:val="Compact"/>
                    <w:jc w:val="both"/>
                    <w:jc w:val="center"/>
                    <w:spacing w:line="360" w:lineRule="auto"/>
                  </w:pPr>
                  <w:r>
                    <w:rPr>
                      <w:rStyle w:val="VerbatimChar"/>
                    </w:rPr>
                    <w:t xml:space="preserve">10.5281/zenodo.23165763</w:t>
                  </w:r>
                </w:p>
              </w:tc>
            </w:tr>
          </w:tbl>
          <w:bookmarkEnd w:id="516"/>
          <w:p>
            <w:pPr>
              <w:spacing w:line="360" w:lineRule="auto"/>
              <w:jc w:val="both"/>
            </w:pPr>
          </w:p>
        </w:tc>
      </w:tr>
    </w:tbl>
    <w:p>
      <w:pPr>
        <w:pStyle w:val="Textoindependiente"/>
        <w:spacing w:line="360" w:lineRule="auto"/>
        <w:jc w:val="both"/>
      </w:pPr>
      <w:r>
        <w:t xml:space="preserve">Los cuatro archivos son versiones del mismo depósito, cuyo DOI de concepto es</w:t>
      </w:r>
      <w:r>
        <w:t xml:space="preserve"> </w:t>
      </w:r>
      <w:r>
        <w:rPr>
          <w:rStyle w:val="VerbatimChar"/>
        </w:rPr>
        <w:t xml:space="preserve">10.5281/zenodo.19297723</w:t>
      </w:r>
      <w:r>
        <w:t xml:space="preserve">.</w:t>
      </w:r>
    </w:p>
    <w:bookmarkEnd w:id="517"/>
    <w:bookmarkEnd w:id="518"/>
    <w:sectPr w:rsidR="004A1446" w:rsidSect="0070096E">
      <w:headerReference ns5:id="rId9" w:type="even"/>
      <w:headerReference ns5:id="rId10" w:type="default"/>
      <w:pgSz w:h="15840" w:w="12240"/>
      <w:pgMar w:bottom="1440" w:footer="720" w:gutter="0" w:header="720" w:left="1440" w:right="1440" w:top="1728"/>
      <w:pgNumType w:fmt="decimal"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67" Target="media/rId167.png" /><Relationship Type="http://schemas.openxmlformats.org/officeDocument/2006/relationships/image" Id="rId163" Target="media/rId163.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71" Target="media/rId171.png" /><Relationship Type="http://schemas.openxmlformats.org/officeDocument/2006/relationships/image" Id="rId151" Target="media/rId151.png" /><Relationship Type="http://schemas.openxmlformats.org/officeDocument/2006/relationships/image" Id="rId175" Target="media/rId175.png" /><Relationship Type="http://schemas.openxmlformats.org/officeDocument/2006/relationships/hyperlink" Id="rId294" Target="http://archive.ics.uci.edu/ml" TargetMode="External" /><Relationship Type="http://schemas.openxmlformats.org/officeDocument/2006/relationships/hyperlink" Id="rId357" Target="https://archive.ics.uci.edu/dataset/2/adult" TargetMode="External" /><Relationship Type="http://schemas.openxmlformats.org/officeDocument/2006/relationships/hyperlink" Id="rId248" Target="https://arxiv.org/abs/1806.08049" TargetMode="External" /><Relationship Type="http://schemas.openxmlformats.org/officeDocument/2006/relationships/hyperlink" Id="rId410" Target="https://catalog.princeton.edu/catalog/2081365" TargetMode="External" /><Relationship Type="http://schemas.openxmlformats.org/officeDocument/2006/relationships/hyperlink" Id="rId252" Target="https://doi.org/10.1002/widm.1424" TargetMode="External" /><Relationship Type="http://schemas.openxmlformats.org/officeDocument/2006/relationships/hyperlink" Id="rId383" Target="https://doi.org/10.1002/widm.1493" TargetMode="External" /><Relationship Type="http://schemas.openxmlformats.org/officeDocument/2006/relationships/hyperlink" Id="rId451" Target="https://doi.org/10.1007/978-3-030-28954-6" TargetMode="External" /><Relationship Type="http://schemas.openxmlformats.org/officeDocument/2006/relationships/hyperlink" Id="rId396" Target="https://doi.org/10.1007/978-3-030-65965-3_28" TargetMode="External" /><Relationship Type="http://schemas.openxmlformats.org/officeDocument/2006/relationships/hyperlink" Id="rId333" Target="https://doi.org/10.1007/978-3-031-04083-2_2" TargetMode="External" /><Relationship Type="http://schemas.openxmlformats.org/officeDocument/2006/relationships/hyperlink" Id="rId459" Target="https://doi.org/10.1007/978-3-031-63787-2_23" TargetMode="External" /><Relationship Type="http://schemas.openxmlformats.org/officeDocument/2006/relationships/hyperlink" Id="rId385" Target="https://doi.org/10.1007/978-3-031-75387-9_12" TargetMode="External" /><Relationship Type="http://schemas.openxmlformats.org/officeDocument/2006/relationships/hyperlink" Id="rId242" Target="https://doi.org/10.1007/978-3-032-06744-9_14" TargetMode="External" /><Relationship Type="http://schemas.openxmlformats.org/officeDocument/2006/relationships/hyperlink" Id="rId482" Target="https://doi.org/10.1007/978-3-319-57959-7" TargetMode="External" /><Relationship Type="http://schemas.openxmlformats.org/officeDocument/2006/relationships/hyperlink" Id="rId455" Target="https://doi.org/10.1007/s10618-022-00867-8" TargetMode="External" /><Relationship Type="http://schemas.openxmlformats.org/officeDocument/2006/relationships/hyperlink" Id="rId406" Target="https://doi.org/10.1007/s10676-024-09773-7" TargetMode="External" /><Relationship Type="http://schemas.openxmlformats.org/officeDocument/2006/relationships/hyperlink" Id="rId307" Target="https://doi.org/10.1007/s11023-018-9482-5" TargetMode="External" /><Relationship Type="http://schemas.openxmlformats.org/officeDocument/2006/relationships/hyperlink" Id="rId327" Target="https://doi.org/10.1007/s12559-023-10179-8" TargetMode="External" /><Relationship Type="http://schemas.openxmlformats.org/officeDocument/2006/relationships/hyperlink" Id="rId463" Target="https://doi.org/10.1007/s13218-020-00637-y" TargetMode="External" /><Relationship Type="http://schemas.openxmlformats.org/officeDocument/2006/relationships/hyperlink" Id="rId331" Target="https://doi.org/10.1007/s13218-023-00806-9" TargetMode="External" /><Relationship Type="http://schemas.openxmlformats.org/officeDocument/2006/relationships/hyperlink" Id="rId336" Target="https://doi.org/10.1016/j.array.2025.100399" TargetMode="External" /><Relationship Type="http://schemas.openxmlformats.org/officeDocument/2006/relationships/hyperlink" Id="rId387" Target="https://doi.org/10.1016/j.artint.2018.07.007" TargetMode="External" /><Relationship Type="http://schemas.openxmlformats.org/officeDocument/2006/relationships/hyperlink" Id="rId366" Target="https://doi.org/10.1016/j.artint.2021.103473" TargetMode="External" /><Relationship Type="http://schemas.openxmlformats.org/officeDocument/2006/relationships/hyperlink" Id="rId256" Target="https://doi.org/10.1016/j.inffus.2019.12.012" TargetMode="External" /><Relationship Type="http://schemas.openxmlformats.org/officeDocument/2006/relationships/hyperlink" Id="rId240" Target="https://doi.org/10.1016/j.inffus.2023.101805" TargetMode="External" /><Relationship Type="http://schemas.openxmlformats.org/officeDocument/2006/relationships/hyperlink" Id="rId377" Target="https://doi.org/10.1016/j.inffus.2024.102301" TargetMode="External" /><Relationship Type="http://schemas.openxmlformats.org/officeDocument/2006/relationships/hyperlink" Id="rId359" Target="https://doi.org/10.1016/j.jcm.2016.02.012" TargetMode="External" /><Relationship Type="http://schemas.openxmlformats.org/officeDocument/2006/relationships/hyperlink" Id="rId449" Target="https://doi.org/10.1016/j.knosys.2023.110273" TargetMode="External" /><Relationship Type="http://schemas.openxmlformats.org/officeDocument/2006/relationships/hyperlink" Id="rId421" Target="https://doi.org/10.1016/j.neucom.2024.128282" TargetMode="External" /><Relationship Type="http://schemas.openxmlformats.org/officeDocument/2006/relationships/hyperlink" Id="rId272" Target="https://doi.org/10.1023/a:1010933404324" TargetMode="External" /><Relationship Type="http://schemas.openxmlformats.org/officeDocument/2006/relationships/hyperlink" Id="rId418" Target="https://doi.org/10.1038/s41467-022-33417-3" TargetMode="External" /><Relationship Type="http://schemas.openxmlformats.org/officeDocument/2006/relationships/hyperlink" Id="rId237" Target="https://doi.org/10.1038/s41597-023-01974-x" TargetMode="External" /><Relationship Type="http://schemas.openxmlformats.org/officeDocument/2006/relationships/hyperlink" Id="rId445" Target="https://doi.org/10.1038/s42256-019-0048-x" TargetMode="External" /><Relationship Type="http://schemas.openxmlformats.org/officeDocument/2006/relationships/hyperlink" Id="rId404" Target="https://doi.org/10.1073/pnas.1900654116" TargetMode="External" /><Relationship Type="http://schemas.openxmlformats.org/officeDocument/2006/relationships/hyperlink" Id="rId431" Target="https://doi.org/10.1073/pnas.2426766122" TargetMode="External" /><Relationship Type="http://schemas.openxmlformats.org/officeDocument/2006/relationships/hyperlink" Id="rId313" Target="https://doi.org/10.1080/01621459.1937.10503522" TargetMode="External" /><Relationship Type="http://schemas.openxmlformats.org/officeDocument/2006/relationships/hyperlink" Id="rId319" Target="https://doi.org/10.1080/10618600.2014.907095" TargetMode="External" /><Relationship Type="http://schemas.openxmlformats.org/officeDocument/2006/relationships/hyperlink" Id="rId229" Target="https://doi.org/10.1109/INES59045.2023.1030000" TargetMode="External" /><Relationship Type="http://schemas.openxmlformats.org/officeDocument/2006/relationships/hyperlink" Id="rId467" Target="https://doi.org/10.1109/TNNLS.2020.3027314" TargetMode="External" /><Relationship Type="http://schemas.openxmlformats.org/officeDocument/2006/relationships/hyperlink" Id="rId441" Target="https://doi.org/10.1109/TPAMI.2023.3331846" TargetMode="External" /><Relationship Type="http://schemas.openxmlformats.org/officeDocument/2006/relationships/hyperlink" Id="rId233" Target="https://doi.org/10.1109/access.2018.2870052" TargetMode="External" /><Relationship Type="http://schemas.openxmlformats.org/officeDocument/2006/relationships/hyperlink" Id="rId345" Target="https://doi.org/10.1109/access.2025.3546681" TargetMode="External" /><Relationship Type="http://schemas.openxmlformats.org/officeDocument/2006/relationships/hyperlink" Id="rId317" Target="https://doi.org/10.1109/dsaa.2018.00018" TargetMode="External" /><Relationship Type="http://schemas.openxmlformats.org/officeDocument/2006/relationships/hyperlink" Id="rId254" Target="https://doi.org/10.1111/rssb.12377" TargetMode="External" /><Relationship Type="http://schemas.openxmlformats.org/officeDocument/2006/relationships/hyperlink" Id="rId338" Target="https://doi.org/10.1126/science.359.6377.725" TargetMode="External" /><Relationship Type="http://schemas.openxmlformats.org/officeDocument/2006/relationships/hyperlink" Id="rId433" Target="https://doi.org/10.1145/2939672.2939778" TargetMode="External" /><Relationship Type="http://schemas.openxmlformats.org/officeDocument/2006/relationships/hyperlink" Id="rId227" Target="https://doi.org/10.1145/3173574.3174156" TargetMode="External" /><Relationship Type="http://schemas.openxmlformats.org/officeDocument/2006/relationships/hyperlink" Id="rId323" Target="https://doi.org/10.1145/3236009" TargetMode="External" /><Relationship Type="http://schemas.openxmlformats.org/officeDocument/2006/relationships/hyperlink" Id="rId373" Target="https://doi.org/10.1145/3236386.3241340" TargetMode="External" /><Relationship Type="http://schemas.openxmlformats.org/officeDocument/2006/relationships/hyperlink" Id="rId392" Target="https://doi.org/10.1145/3287560.3287574" TargetMode="External" /><Relationship Type="http://schemas.openxmlformats.org/officeDocument/2006/relationships/hyperlink" Id="rId351" Target="https://doi.org/10.1145/3313831.3376219" TargetMode="External" /><Relationship Type="http://schemas.openxmlformats.org/officeDocument/2006/relationships/hyperlink" Id="rId400" Target="https://doi.org/10.1145/3351095.3372850" TargetMode="External" /><Relationship Type="http://schemas.openxmlformats.org/officeDocument/2006/relationships/hyperlink" Id="rId461" Target="https://doi.org/10.1145/3375627.3375830" TargetMode="External" /><Relationship Type="http://schemas.openxmlformats.org/officeDocument/2006/relationships/hyperlink" Id="rId427" Target="https://doi.org/10.1145/3375627.3375850" TargetMode="External" /><Relationship Type="http://schemas.openxmlformats.org/officeDocument/2006/relationships/hyperlink" Id="rId394" Target="https://doi.org/10.1145/3387166" TargetMode="External" /><Relationship Type="http://schemas.openxmlformats.org/officeDocument/2006/relationships/hyperlink" Id="rId347" Target="https://doi.org/10.1145/3527848" TargetMode="External" /><Relationship Type="http://schemas.openxmlformats.org/officeDocument/2006/relationships/hyperlink" Id="rId235" Target="https://doi.org/10.1145/3533381" TargetMode="External" /><Relationship Type="http://schemas.openxmlformats.org/officeDocument/2006/relationships/hyperlink" Id="rId300" Target="https://doi.org/10.1145/3544549.3573832" TargetMode="External" /><Relationship Type="http://schemas.openxmlformats.org/officeDocument/2006/relationships/hyperlink" Id="rId296" Target="https://doi.org/10.1145/3561048" TargetMode="External" /><Relationship Type="http://schemas.openxmlformats.org/officeDocument/2006/relationships/hyperlink" Id="rId342" Target="https://doi.org/10.1145/3571730" TargetMode="External" /><Relationship Type="http://schemas.openxmlformats.org/officeDocument/2006/relationships/hyperlink" Id="rId304" Target="https://doi.org/10.1145/3573900.3591114" TargetMode="External" /><Relationship Type="http://schemas.openxmlformats.org/officeDocument/2006/relationships/hyperlink" Id="rId465" Target="https://doi.org/10.1145/3580305.3599337" TargetMode="External" /><Relationship Type="http://schemas.openxmlformats.org/officeDocument/2006/relationships/hyperlink" Id="rId408" Target="https://doi.org/10.1145/3583558" TargetMode="External" /><Relationship Type="http://schemas.openxmlformats.org/officeDocument/2006/relationships/hyperlink" Id="rId362" Target="https://doi.org/10.1145/3592307.3592342" TargetMode="External" /><Relationship Type="http://schemas.openxmlformats.org/officeDocument/2006/relationships/hyperlink" Id="rId478" Target="https://doi.org/10.1145/3599974" TargetMode="External" /><Relationship Type="http://schemas.openxmlformats.org/officeDocument/2006/relationships/hyperlink" Id="rId321" Target="https://doi.org/10.1145/3605098.3636109" TargetMode="External" /><Relationship Type="http://schemas.openxmlformats.org/officeDocument/2006/relationships/hyperlink" Id="rId390" Target="https://doi.org/10.1145/3607947.3608059" TargetMode="External" /><Relationship Type="http://schemas.openxmlformats.org/officeDocument/2006/relationships/hyperlink" Id="rId398" Target="https://doi.org/10.1145/3610064" TargetMode="External" /><Relationship Type="http://schemas.openxmlformats.org/officeDocument/2006/relationships/hyperlink" Id="rId415" Target="https://doi.org/10.1145/3613904.3642352" TargetMode="External" /><Relationship Type="http://schemas.openxmlformats.org/officeDocument/2006/relationships/hyperlink" Id="rId354" Target="https://doi.org/10.1145/3613905.3638184" TargetMode="External" /><Relationship Type="http://schemas.openxmlformats.org/officeDocument/2006/relationships/hyperlink" Id="rId315" Target="https://doi.org/10.1145/3626203.3670522" TargetMode="External" /><Relationship Type="http://schemas.openxmlformats.org/officeDocument/2006/relationships/hyperlink" Id="rId268" Target="https://doi.org/10.1145/3631700.3664911" TargetMode="External" /><Relationship Type="http://schemas.openxmlformats.org/officeDocument/2006/relationships/hyperlink" Id="rId340" Target="https://doi.org/10.1145/3631908.3631925" TargetMode="External" /><Relationship Type="http://schemas.openxmlformats.org/officeDocument/2006/relationships/hyperlink" Id="rId286" Target="https://doi.org/10.1145/3638380.3638426" TargetMode="External" /><Relationship Type="http://schemas.openxmlformats.org/officeDocument/2006/relationships/hyperlink" Id="rId474" Target="https://doi.org/10.1145/3643491.3660292" TargetMode="External" /><Relationship Type="http://schemas.openxmlformats.org/officeDocument/2006/relationships/hyperlink" Id="rId266" Target="https://doi.org/10.1145/3643834.3660722" TargetMode="External" /><Relationship Type="http://schemas.openxmlformats.org/officeDocument/2006/relationships/hyperlink" Id="rId381" Target="https://doi.org/10.1145/3647444.3647912" TargetMode="External" /><Relationship Type="http://schemas.openxmlformats.org/officeDocument/2006/relationships/hyperlink" Id="rId258" Target="https://doi.org/10.1145/3649144" TargetMode="External" /><Relationship Type="http://schemas.openxmlformats.org/officeDocument/2006/relationships/hyperlink" Id="rId349" Target="https://doi.org/10.1145/3651593" TargetMode="External" /><Relationship Type="http://schemas.openxmlformats.org/officeDocument/2006/relationships/hyperlink" Id="rId264" Target="https://doi.org/10.1145/3670685" TargetMode="External" /><Relationship Type="http://schemas.openxmlformats.org/officeDocument/2006/relationships/hyperlink" Id="rId274" Target="https://doi.org/10.1145/3672359.3672363" TargetMode="External" /><Relationship Type="http://schemas.openxmlformats.org/officeDocument/2006/relationships/hyperlink" Id="rId453" Target="https://doi.org/10.1145/3677374" TargetMode="External" /><Relationship Type="http://schemas.openxmlformats.org/officeDocument/2006/relationships/hyperlink" Id="rId425" Target="https://doi.org/10.1145/3678884.3682046" TargetMode="External" /><Relationship Type="http://schemas.openxmlformats.org/officeDocument/2006/relationships/hyperlink" Id="rId298" Target="https://doi.org/10.1145/3686169.3686185" TargetMode="External" /><Relationship Type="http://schemas.openxmlformats.org/officeDocument/2006/relationships/hyperlink" Id="rId288" Target="https://doi.org/10.1145/3702038.3702093" TargetMode="External" /><Relationship Type="http://schemas.openxmlformats.org/officeDocument/2006/relationships/hyperlink" Id="rId402" Target="https://doi.org/10.1145/3704522.3704524" TargetMode="External" /><Relationship Type="http://schemas.openxmlformats.org/officeDocument/2006/relationships/hyperlink" Id="rId476" Target="https://doi.org/10.1145/3705724" TargetMode="External" /><Relationship Type="http://schemas.openxmlformats.org/officeDocument/2006/relationships/hyperlink" Id="rId412" Target="https://doi.org/10.1145/3711123" TargetMode="External" /><Relationship Type="http://schemas.openxmlformats.org/officeDocument/2006/relationships/hyperlink" Id="rId278" Target="https://doi.org/10.1145/3737445" TargetMode="External" /><Relationship Type="http://schemas.openxmlformats.org/officeDocument/2006/relationships/hyperlink" Id="rId244" Target="https://doi.org/10.1146/annurev-statistics-040120-030919" TargetMode="External" /><Relationship Type="http://schemas.openxmlformats.org/officeDocument/2006/relationships/hyperlink" Id="rId284" Target="https://doi.org/10.1177/001316446002000104" TargetMode="External" /><Relationship Type="http://schemas.openxmlformats.org/officeDocument/2006/relationships/hyperlink" Id="rId471" Target="https://doi.org/10.1201/9781003442509" TargetMode="External" /><Relationship Type="http://schemas.openxmlformats.org/officeDocument/2006/relationships/hyperlink" Id="rId309" Target="https://doi.org/10.1214/07-aoas148" TargetMode="External" /><Relationship Type="http://schemas.openxmlformats.org/officeDocument/2006/relationships/hyperlink" Id="rId443" Target="https://doi.org/10.1214/21-ss133" TargetMode="External" /><Relationship Type="http://schemas.openxmlformats.org/officeDocument/2006/relationships/hyperlink" Id="rId311" Target="https://doi.org/10.1214/aos/1013203451" TargetMode="External" /><Relationship Type="http://schemas.openxmlformats.org/officeDocument/2006/relationships/hyperlink" Id="rId435" Target="https://doi.org/10.1609/aaai.v32i1.11491" TargetMode="External" /><Relationship Type="http://schemas.openxmlformats.org/officeDocument/2006/relationships/hyperlink" Id="rId469" Target="https://doi.org/10.1609/aaai.v34i04.6064" TargetMode="External" /><Relationship Type="http://schemas.openxmlformats.org/officeDocument/2006/relationships/hyperlink" Id="rId250" Target="https://doi.org/10.1609/aimag.v35i4.2513" TargetMode="External" /><Relationship Type="http://schemas.openxmlformats.org/officeDocument/2006/relationships/hyperlink" Id="rId480" Target="https://doi.org/10.1613/jair.1.13283" TargetMode="External" /><Relationship Type="http://schemas.openxmlformats.org/officeDocument/2006/relationships/hyperlink" Id="rId423" Target="https://doi.org/10.1613/jair.1.14888" TargetMode="External" /><Relationship Type="http://schemas.openxmlformats.org/officeDocument/2006/relationships/hyperlink" Id="rId325" Target="https://doi.org/10.18653/v1/2020.acl-main.491" TargetMode="External" /><Relationship Type="http://schemas.openxmlformats.org/officeDocument/2006/relationships/hyperlink" Id="rId260" Target="https://doi.org/10.18653/v1/2020.blackboxnlp-1.14" TargetMode="External" /><Relationship Type="http://schemas.openxmlformats.org/officeDocument/2006/relationships/hyperlink" Id="rId276" Target="https://doi.org/10.18653/v1/2023.emnlp-main.792" TargetMode="External" /><Relationship Type="http://schemas.openxmlformats.org/officeDocument/2006/relationships/hyperlink" Id="rId484" Target="https://doi.org/10.2139/ssrn.3063289" TargetMode="External" /><Relationship Type="http://schemas.openxmlformats.org/officeDocument/2006/relationships/hyperlink" Id="rId231" Target="https://doi.org/10.2139/ssrn.4710037" TargetMode="External" /><Relationship Type="http://schemas.openxmlformats.org/officeDocument/2006/relationships/hyperlink" Id="rId282" Target="https://doi.org/10.2139/ssrn.5040613" TargetMode="External" /><Relationship Type="http://schemas.openxmlformats.org/officeDocument/2006/relationships/hyperlink" Id="rId302" Target="https://doi.org/10.2139/ssrn.6847479" TargetMode="External" /><Relationship Type="http://schemas.openxmlformats.org/officeDocument/2006/relationships/hyperlink" Id="rId487" Target="https://doi.org/10.2307/3001968" TargetMode="External" /><Relationship Type="http://schemas.openxmlformats.org/officeDocument/2006/relationships/hyperlink" Id="rId368" Target="https://doi.org/10.24963/ijcai.2019/388" TargetMode="External" /><Relationship Type="http://schemas.openxmlformats.org/officeDocument/2006/relationships/hyperlink" Id="rId262" Target="https://doi.org/10.3389/fdata.2021.688969" TargetMode="External" /><Relationship Type="http://schemas.openxmlformats.org/officeDocument/2006/relationships/hyperlink" Id="rId364" Target="https://doi.org/10.3389/fpsyg.2013.00863" TargetMode="External" /><Relationship Type="http://schemas.openxmlformats.org/officeDocument/2006/relationships/hyperlink" Id="rId447" Target="https://doi.org/10.3390/app14198884" TargetMode="External" /><Relationship Type="http://schemas.openxmlformats.org/officeDocument/2006/relationships/hyperlink" Id="rId371" Target="https://doi.org/10.3390/e23010018" TargetMode="External" /><Relationship Type="http://schemas.openxmlformats.org/officeDocument/2006/relationships/hyperlink" Id="rId270" Target="https://doi.org/10.3390/electronics13112198" TargetMode="External" /><Relationship Type="http://schemas.openxmlformats.org/officeDocument/2006/relationships/hyperlink" Id="rId280" Target="https://doi.org/10.3390/electronics8080832" TargetMode="External" /><Relationship Type="http://schemas.openxmlformats.org/officeDocument/2006/relationships/hyperlink" Id="rId246" Target="https://doi.org/10.3390/technologies13030093" TargetMode="External" /><Relationship Type="http://schemas.openxmlformats.org/officeDocument/2006/relationships/hyperlink" Id="rId292" Target="https://doi.org/10.48550/arxiv.1702.08608" TargetMode="External" /><Relationship Type="http://schemas.openxmlformats.org/officeDocument/2006/relationships/hyperlink" Id="rId379" Target="https://doi.org/10.48550/arxiv.1705.07874" TargetMode="External" /><Relationship Type="http://schemas.openxmlformats.org/officeDocument/2006/relationships/hyperlink" Id="rId437" Target="https://doi.org/10.65109/vllw9552" TargetMode="External" /><Relationship Type="http://schemas.openxmlformats.org/officeDocument/2006/relationships/hyperlink" Id="rId439" Target="https://proceedings.mlr.press/v162/rong22a.html" TargetMode="External" /><Relationship Type="http://schemas.openxmlformats.org/officeDocument/2006/relationships/hyperlink" Id="rId489" Target="https://trustai4s-lab.github.io/ffidelity" TargetMode="External" /><Relationship Type="http://schemas.openxmlformats.org/officeDocument/2006/relationships/hyperlink" Id="rId290" Target="https://www.jmlr.org/papers/v7/demsar06a.html" TargetMode="External" /><Relationship Type="http://schemas.openxmlformats.org/officeDocument/2006/relationships/hyperlink" Id="rId457" Target="https://www.rand.org/pubs/papers/P0295.html" TargetMode="External" /></Relationships>
</file>

<file path=word/_rels/footnotes.xml.rels><?xml version="1.0" encoding="UTF-8"?><Relationships xmlns="http://schemas.openxmlformats.org/package/2006/relationships"><Relationship Type="http://schemas.openxmlformats.org/officeDocument/2006/relationships/hyperlink" Id="rId294" Target="http://archive.ics.uci.edu/ml" TargetMode="External" /><Relationship Type="http://schemas.openxmlformats.org/officeDocument/2006/relationships/hyperlink" Id="rId357" Target="https://archive.ics.uci.edu/dataset/2/adult" TargetMode="External" /><Relationship Type="http://schemas.openxmlformats.org/officeDocument/2006/relationships/hyperlink" Id="rId248" Target="https://arxiv.org/abs/1806.08049" TargetMode="External" /><Relationship Type="http://schemas.openxmlformats.org/officeDocument/2006/relationships/hyperlink" Id="rId410" Target="https://catalog.princeton.edu/catalog/2081365" TargetMode="External" /><Relationship Type="http://schemas.openxmlformats.org/officeDocument/2006/relationships/hyperlink" Id="rId252" Target="https://doi.org/10.1002/widm.1424" TargetMode="External" /><Relationship Type="http://schemas.openxmlformats.org/officeDocument/2006/relationships/hyperlink" Id="rId383" Target="https://doi.org/10.1002/widm.1493" TargetMode="External" /><Relationship Type="http://schemas.openxmlformats.org/officeDocument/2006/relationships/hyperlink" Id="rId451" Target="https://doi.org/10.1007/978-3-030-28954-6" TargetMode="External" /><Relationship Type="http://schemas.openxmlformats.org/officeDocument/2006/relationships/hyperlink" Id="rId396" Target="https://doi.org/10.1007/978-3-030-65965-3_28" TargetMode="External" /><Relationship Type="http://schemas.openxmlformats.org/officeDocument/2006/relationships/hyperlink" Id="rId333" Target="https://doi.org/10.1007/978-3-031-04083-2_2" TargetMode="External" /><Relationship Type="http://schemas.openxmlformats.org/officeDocument/2006/relationships/hyperlink" Id="rId459" Target="https://doi.org/10.1007/978-3-031-63787-2_23" TargetMode="External" /><Relationship Type="http://schemas.openxmlformats.org/officeDocument/2006/relationships/hyperlink" Id="rId385" Target="https://doi.org/10.1007/978-3-031-75387-9_12" TargetMode="External" /><Relationship Type="http://schemas.openxmlformats.org/officeDocument/2006/relationships/hyperlink" Id="rId242" Target="https://doi.org/10.1007/978-3-032-06744-9_14" TargetMode="External" /><Relationship Type="http://schemas.openxmlformats.org/officeDocument/2006/relationships/hyperlink" Id="rId482" Target="https://doi.org/10.1007/978-3-319-57959-7" TargetMode="External" /><Relationship Type="http://schemas.openxmlformats.org/officeDocument/2006/relationships/hyperlink" Id="rId455" Target="https://doi.org/10.1007/s10618-022-00867-8" TargetMode="External" /><Relationship Type="http://schemas.openxmlformats.org/officeDocument/2006/relationships/hyperlink" Id="rId406" Target="https://doi.org/10.1007/s10676-024-09773-7" TargetMode="External" /><Relationship Type="http://schemas.openxmlformats.org/officeDocument/2006/relationships/hyperlink" Id="rId307" Target="https://doi.org/10.1007/s11023-018-9482-5" TargetMode="External" /><Relationship Type="http://schemas.openxmlformats.org/officeDocument/2006/relationships/hyperlink" Id="rId327" Target="https://doi.org/10.1007/s12559-023-10179-8" TargetMode="External" /><Relationship Type="http://schemas.openxmlformats.org/officeDocument/2006/relationships/hyperlink" Id="rId463" Target="https://doi.org/10.1007/s13218-020-00637-y" TargetMode="External" /><Relationship Type="http://schemas.openxmlformats.org/officeDocument/2006/relationships/hyperlink" Id="rId331" Target="https://doi.org/10.1007/s13218-023-00806-9" TargetMode="External" /><Relationship Type="http://schemas.openxmlformats.org/officeDocument/2006/relationships/hyperlink" Id="rId336" Target="https://doi.org/10.1016/j.array.2025.100399" TargetMode="External" /><Relationship Type="http://schemas.openxmlformats.org/officeDocument/2006/relationships/hyperlink" Id="rId387" Target="https://doi.org/10.1016/j.artint.2018.07.007" TargetMode="External" /><Relationship Type="http://schemas.openxmlformats.org/officeDocument/2006/relationships/hyperlink" Id="rId366" Target="https://doi.org/10.1016/j.artint.2021.103473" TargetMode="External" /><Relationship Type="http://schemas.openxmlformats.org/officeDocument/2006/relationships/hyperlink" Id="rId256" Target="https://doi.org/10.1016/j.inffus.2019.12.012" TargetMode="External" /><Relationship Type="http://schemas.openxmlformats.org/officeDocument/2006/relationships/hyperlink" Id="rId240" Target="https://doi.org/10.1016/j.inffus.2023.101805" TargetMode="External" /><Relationship Type="http://schemas.openxmlformats.org/officeDocument/2006/relationships/hyperlink" Id="rId377" Target="https://doi.org/10.1016/j.inffus.2024.102301" TargetMode="External" /><Relationship Type="http://schemas.openxmlformats.org/officeDocument/2006/relationships/hyperlink" Id="rId359" Target="https://doi.org/10.1016/j.jcm.2016.02.012" TargetMode="External" /><Relationship Type="http://schemas.openxmlformats.org/officeDocument/2006/relationships/hyperlink" Id="rId449" Target="https://doi.org/10.1016/j.knosys.2023.110273" TargetMode="External" /><Relationship Type="http://schemas.openxmlformats.org/officeDocument/2006/relationships/hyperlink" Id="rId421" Target="https://doi.org/10.1016/j.neucom.2024.128282" TargetMode="External" /><Relationship Type="http://schemas.openxmlformats.org/officeDocument/2006/relationships/hyperlink" Id="rId272" Target="https://doi.org/10.1023/a:1010933404324" TargetMode="External" /><Relationship Type="http://schemas.openxmlformats.org/officeDocument/2006/relationships/hyperlink" Id="rId418" Target="https://doi.org/10.1038/s41467-022-33417-3" TargetMode="External" /><Relationship Type="http://schemas.openxmlformats.org/officeDocument/2006/relationships/hyperlink" Id="rId237" Target="https://doi.org/10.1038/s41597-023-01974-x" TargetMode="External" /><Relationship Type="http://schemas.openxmlformats.org/officeDocument/2006/relationships/hyperlink" Id="rId445" Target="https://doi.org/10.1038/s42256-019-0048-x" TargetMode="External" /><Relationship Type="http://schemas.openxmlformats.org/officeDocument/2006/relationships/hyperlink" Id="rId404" Target="https://doi.org/10.1073/pnas.1900654116" TargetMode="External" /><Relationship Type="http://schemas.openxmlformats.org/officeDocument/2006/relationships/hyperlink" Id="rId431" Target="https://doi.org/10.1073/pnas.2426766122" TargetMode="External" /><Relationship Type="http://schemas.openxmlformats.org/officeDocument/2006/relationships/hyperlink" Id="rId313" Target="https://doi.org/10.1080/01621459.1937.10503522" TargetMode="External" /><Relationship Type="http://schemas.openxmlformats.org/officeDocument/2006/relationships/hyperlink" Id="rId319" Target="https://doi.org/10.1080/10618600.2014.907095" TargetMode="External" /><Relationship Type="http://schemas.openxmlformats.org/officeDocument/2006/relationships/hyperlink" Id="rId229" Target="https://doi.org/10.1109/INES59045.2023.1030000" TargetMode="External" /><Relationship Type="http://schemas.openxmlformats.org/officeDocument/2006/relationships/hyperlink" Id="rId467" Target="https://doi.org/10.1109/TNNLS.2020.3027314" TargetMode="External" /><Relationship Type="http://schemas.openxmlformats.org/officeDocument/2006/relationships/hyperlink" Id="rId441" Target="https://doi.org/10.1109/TPAMI.2023.3331846" TargetMode="External" /><Relationship Type="http://schemas.openxmlformats.org/officeDocument/2006/relationships/hyperlink" Id="rId233" Target="https://doi.org/10.1109/access.2018.2870052" TargetMode="External" /><Relationship Type="http://schemas.openxmlformats.org/officeDocument/2006/relationships/hyperlink" Id="rId345" Target="https://doi.org/10.1109/access.2025.3546681" TargetMode="External" /><Relationship Type="http://schemas.openxmlformats.org/officeDocument/2006/relationships/hyperlink" Id="rId317" Target="https://doi.org/10.1109/dsaa.2018.00018" TargetMode="External" /><Relationship Type="http://schemas.openxmlformats.org/officeDocument/2006/relationships/hyperlink" Id="rId254" Target="https://doi.org/10.1111/rssb.12377" TargetMode="External" /><Relationship Type="http://schemas.openxmlformats.org/officeDocument/2006/relationships/hyperlink" Id="rId338" Target="https://doi.org/10.1126/science.359.6377.725" TargetMode="External" /><Relationship Type="http://schemas.openxmlformats.org/officeDocument/2006/relationships/hyperlink" Id="rId433" Target="https://doi.org/10.1145/2939672.2939778" TargetMode="External" /><Relationship Type="http://schemas.openxmlformats.org/officeDocument/2006/relationships/hyperlink" Id="rId227" Target="https://doi.org/10.1145/3173574.3174156" TargetMode="External" /><Relationship Type="http://schemas.openxmlformats.org/officeDocument/2006/relationships/hyperlink" Id="rId323" Target="https://doi.org/10.1145/3236009" TargetMode="External" /><Relationship Type="http://schemas.openxmlformats.org/officeDocument/2006/relationships/hyperlink" Id="rId373" Target="https://doi.org/10.1145/3236386.3241340" TargetMode="External" /><Relationship Type="http://schemas.openxmlformats.org/officeDocument/2006/relationships/hyperlink" Id="rId392" Target="https://doi.org/10.1145/3287560.3287574" TargetMode="External" /><Relationship Type="http://schemas.openxmlformats.org/officeDocument/2006/relationships/hyperlink" Id="rId351" Target="https://doi.org/10.1145/3313831.3376219" TargetMode="External" /><Relationship Type="http://schemas.openxmlformats.org/officeDocument/2006/relationships/hyperlink" Id="rId400" Target="https://doi.org/10.1145/3351095.3372850" TargetMode="External" /><Relationship Type="http://schemas.openxmlformats.org/officeDocument/2006/relationships/hyperlink" Id="rId461" Target="https://doi.org/10.1145/3375627.3375830" TargetMode="External" /><Relationship Type="http://schemas.openxmlformats.org/officeDocument/2006/relationships/hyperlink" Id="rId427" Target="https://doi.org/10.1145/3375627.3375850" TargetMode="External" /><Relationship Type="http://schemas.openxmlformats.org/officeDocument/2006/relationships/hyperlink" Id="rId394" Target="https://doi.org/10.1145/3387166" TargetMode="External" /><Relationship Type="http://schemas.openxmlformats.org/officeDocument/2006/relationships/hyperlink" Id="rId347" Target="https://doi.org/10.1145/3527848" TargetMode="External" /><Relationship Type="http://schemas.openxmlformats.org/officeDocument/2006/relationships/hyperlink" Id="rId235" Target="https://doi.org/10.1145/3533381" TargetMode="External" /><Relationship Type="http://schemas.openxmlformats.org/officeDocument/2006/relationships/hyperlink" Id="rId300" Target="https://doi.org/10.1145/3544549.3573832" TargetMode="External" /><Relationship Type="http://schemas.openxmlformats.org/officeDocument/2006/relationships/hyperlink" Id="rId296" Target="https://doi.org/10.1145/3561048" TargetMode="External" /><Relationship Type="http://schemas.openxmlformats.org/officeDocument/2006/relationships/hyperlink" Id="rId342" Target="https://doi.org/10.1145/3571730" TargetMode="External" /><Relationship Type="http://schemas.openxmlformats.org/officeDocument/2006/relationships/hyperlink" Id="rId304" Target="https://doi.org/10.1145/3573900.3591114" TargetMode="External" /><Relationship Type="http://schemas.openxmlformats.org/officeDocument/2006/relationships/hyperlink" Id="rId465" Target="https://doi.org/10.1145/3580305.3599337" TargetMode="External" /><Relationship Type="http://schemas.openxmlformats.org/officeDocument/2006/relationships/hyperlink" Id="rId408" Target="https://doi.org/10.1145/3583558" TargetMode="External" /><Relationship Type="http://schemas.openxmlformats.org/officeDocument/2006/relationships/hyperlink" Id="rId362" Target="https://doi.org/10.1145/3592307.3592342" TargetMode="External" /><Relationship Type="http://schemas.openxmlformats.org/officeDocument/2006/relationships/hyperlink" Id="rId478" Target="https://doi.org/10.1145/3599974" TargetMode="External" /><Relationship Type="http://schemas.openxmlformats.org/officeDocument/2006/relationships/hyperlink" Id="rId321" Target="https://doi.org/10.1145/3605098.3636109" TargetMode="External" /><Relationship Type="http://schemas.openxmlformats.org/officeDocument/2006/relationships/hyperlink" Id="rId390" Target="https://doi.org/10.1145/3607947.3608059" TargetMode="External" /><Relationship Type="http://schemas.openxmlformats.org/officeDocument/2006/relationships/hyperlink" Id="rId398" Target="https://doi.org/10.1145/3610064" TargetMode="External" /><Relationship Type="http://schemas.openxmlformats.org/officeDocument/2006/relationships/hyperlink" Id="rId415" Target="https://doi.org/10.1145/3613904.3642352" TargetMode="External" /><Relationship Type="http://schemas.openxmlformats.org/officeDocument/2006/relationships/hyperlink" Id="rId354" Target="https://doi.org/10.1145/3613905.3638184" TargetMode="External" /><Relationship Type="http://schemas.openxmlformats.org/officeDocument/2006/relationships/hyperlink" Id="rId315" Target="https://doi.org/10.1145/3626203.3670522" TargetMode="External" /><Relationship Type="http://schemas.openxmlformats.org/officeDocument/2006/relationships/hyperlink" Id="rId268" Target="https://doi.org/10.1145/3631700.3664911" TargetMode="External" /><Relationship Type="http://schemas.openxmlformats.org/officeDocument/2006/relationships/hyperlink" Id="rId340" Target="https://doi.org/10.1145/3631908.3631925" TargetMode="External" /><Relationship Type="http://schemas.openxmlformats.org/officeDocument/2006/relationships/hyperlink" Id="rId286" Target="https://doi.org/10.1145/3638380.3638426" TargetMode="External" /><Relationship Type="http://schemas.openxmlformats.org/officeDocument/2006/relationships/hyperlink" Id="rId474" Target="https://doi.org/10.1145/3643491.3660292" TargetMode="External" /><Relationship Type="http://schemas.openxmlformats.org/officeDocument/2006/relationships/hyperlink" Id="rId266" Target="https://doi.org/10.1145/3643834.3660722" TargetMode="External" /><Relationship Type="http://schemas.openxmlformats.org/officeDocument/2006/relationships/hyperlink" Id="rId381" Target="https://doi.org/10.1145/3647444.3647912" TargetMode="External" /><Relationship Type="http://schemas.openxmlformats.org/officeDocument/2006/relationships/hyperlink" Id="rId258" Target="https://doi.org/10.1145/3649144" TargetMode="External" /><Relationship Type="http://schemas.openxmlformats.org/officeDocument/2006/relationships/hyperlink" Id="rId349" Target="https://doi.org/10.1145/3651593" TargetMode="External" /><Relationship Type="http://schemas.openxmlformats.org/officeDocument/2006/relationships/hyperlink" Id="rId264" Target="https://doi.org/10.1145/3670685" TargetMode="External" /><Relationship Type="http://schemas.openxmlformats.org/officeDocument/2006/relationships/hyperlink" Id="rId274" Target="https://doi.org/10.1145/3672359.3672363" TargetMode="External" /><Relationship Type="http://schemas.openxmlformats.org/officeDocument/2006/relationships/hyperlink" Id="rId453" Target="https://doi.org/10.1145/3677374" TargetMode="External" /><Relationship Type="http://schemas.openxmlformats.org/officeDocument/2006/relationships/hyperlink" Id="rId425" Target="https://doi.org/10.1145/3678884.3682046" TargetMode="External" /><Relationship Type="http://schemas.openxmlformats.org/officeDocument/2006/relationships/hyperlink" Id="rId298" Target="https://doi.org/10.1145/3686169.3686185" TargetMode="External" /><Relationship Type="http://schemas.openxmlformats.org/officeDocument/2006/relationships/hyperlink" Id="rId288" Target="https://doi.org/10.1145/3702038.3702093" TargetMode="External" /><Relationship Type="http://schemas.openxmlformats.org/officeDocument/2006/relationships/hyperlink" Id="rId402" Target="https://doi.org/10.1145/3704522.3704524" TargetMode="External" /><Relationship Type="http://schemas.openxmlformats.org/officeDocument/2006/relationships/hyperlink" Id="rId476" Target="https://doi.org/10.1145/3705724" TargetMode="External" /><Relationship Type="http://schemas.openxmlformats.org/officeDocument/2006/relationships/hyperlink" Id="rId412" Target="https://doi.org/10.1145/3711123" TargetMode="External" /><Relationship Type="http://schemas.openxmlformats.org/officeDocument/2006/relationships/hyperlink" Id="rId278" Target="https://doi.org/10.1145/3737445" TargetMode="External" /><Relationship Type="http://schemas.openxmlformats.org/officeDocument/2006/relationships/hyperlink" Id="rId244" Target="https://doi.org/10.1146/annurev-statistics-040120-030919" TargetMode="External" /><Relationship Type="http://schemas.openxmlformats.org/officeDocument/2006/relationships/hyperlink" Id="rId284" Target="https://doi.org/10.1177/001316446002000104" TargetMode="External" /><Relationship Type="http://schemas.openxmlformats.org/officeDocument/2006/relationships/hyperlink" Id="rId471" Target="https://doi.org/10.1201/9781003442509" TargetMode="External" /><Relationship Type="http://schemas.openxmlformats.org/officeDocument/2006/relationships/hyperlink" Id="rId309" Target="https://doi.org/10.1214/07-aoas148" TargetMode="External" /><Relationship Type="http://schemas.openxmlformats.org/officeDocument/2006/relationships/hyperlink" Id="rId443" Target="https://doi.org/10.1214/21-ss133" TargetMode="External" /><Relationship Type="http://schemas.openxmlformats.org/officeDocument/2006/relationships/hyperlink" Id="rId311" Target="https://doi.org/10.1214/aos/1013203451" TargetMode="External" /><Relationship Type="http://schemas.openxmlformats.org/officeDocument/2006/relationships/hyperlink" Id="rId435" Target="https://doi.org/10.1609/aaai.v32i1.11491" TargetMode="External" /><Relationship Type="http://schemas.openxmlformats.org/officeDocument/2006/relationships/hyperlink" Id="rId469" Target="https://doi.org/10.1609/aaai.v34i04.6064" TargetMode="External" /><Relationship Type="http://schemas.openxmlformats.org/officeDocument/2006/relationships/hyperlink" Id="rId250" Target="https://doi.org/10.1609/aimag.v35i4.2513" TargetMode="External" /><Relationship Type="http://schemas.openxmlformats.org/officeDocument/2006/relationships/hyperlink" Id="rId480" Target="https://doi.org/10.1613/jair.1.13283" TargetMode="External" /><Relationship Type="http://schemas.openxmlformats.org/officeDocument/2006/relationships/hyperlink" Id="rId423" Target="https://doi.org/10.1613/jair.1.14888" TargetMode="External" /><Relationship Type="http://schemas.openxmlformats.org/officeDocument/2006/relationships/hyperlink" Id="rId325" Target="https://doi.org/10.18653/v1/2020.acl-main.491" TargetMode="External" /><Relationship Type="http://schemas.openxmlformats.org/officeDocument/2006/relationships/hyperlink" Id="rId260" Target="https://doi.org/10.18653/v1/2020.blackboxnlp-1.14" TargetMode="External" /><Relationship Type="http://schemas.openxmlformats.org/officeDocument/2006/relationships/hyperlink" Id="rId276" Target="https://doi.org/10.18653/v1/2023.emnlp-main.792" TargetMode="External" /><Relationship Type="http://schemas.openxmlformats.org/officeDocument/2006/relationships/hyperlink" Id="rId484" Target="https://doi.org/10.2139/ssrn.3063289" TargetMode="External" /><Relationship Type="http://schemas.openxmlformats.org/officeDocument/2006/relationships/hyperlink" Id="rId231" Target="https://doi.org/10.2139/ssrn.4710037" TargetMode="External" /><Relationship Type="http://schemas.openxmlformats.org/officeDocument/2006/relationships/hyperlink" Id="rId282" Target="https://doi.org/10.2139/ssrn.5040613" TargetMode="External" /><Relationship Type="http://schemas.openxmlformats.org/officeDocument/2006/relationships/hyperlink" Id="rId302" Target="https://doi.org/10.2139/ssrn.6847479" TargetMode="External" /><Relationship Type="http://schemas.openxmlformats.org/officeDocument/2006/relationships/hyperlink" Id="rId487" Target="https://doi.org/10.2307/3001968" TargetMode="External" /><Relationship Type="http://schemas.openxmlformats.org/officeDocument/2006/relationships/hyperlink" Id="rId368" Target="https://doi.org/10.24963/ijcai.2019/388" TargetMode="External" /><Relationship Type="http://schemas.openxmlformats.org/officeDocument/2006/relationships/hyperlink" Id="rId262" Target="https://doi.org/10.3389/fdata.2021.688969" TargetMode="External" /><Relationship Type="http://schemas.openxmlformats.org/officeDocument/2006/relationships/hyperlink" Id="rId364" Target="https://doi.org/10.3389/fpsyg.2013.00863" TargetMode="External" /><Relationship Type="http://schemas.openxmlformats.org/officeDocument/2006/relationships/hyperlink" Id="rId447" Target="https://doi.org/10.3390/app14198884" TargetMode="External" /><Relationship Type="http://schemas.openxmlformats.org/officeDocument/2006/relationships/hyperlink" Id="rId371" Target="https://doi.org/10.3390/e23010018" TargetMode="External" /><Relationship Type="http://schemas.openxmlformats.org/officeDocument/2006/relationships/hyperlink" Id="rId270" Target="https://doi.org/10.3390/electronics13112198" TargetMode="External" /><Relationship Type="http://schemas.openxmlformats.org/officeDocument/2006/relationships/hyperlink" Id="rId280" Target="https://doi.org/10.3390/electronics8080832" TargetMode="External" /><Relationship Type="http://schemas.openxmlformats.org/officeDocument/2006/relationships/hyperlink" Id="rId246" Target="https://doi.org/10.3390/technologies13030093" TargetMode="External" /><Relationship Type="http://schemas.openxmlformats.org/officeDocument/2006/relationships/hyperlink" Id="rId292" Target="https://doi.org/10.48550/arxiv.1702.08608" TargetMode="External" /><Relationship Type="http://schemas.openxmlformats.org/officeDocument/2006/relationships/hyperlink" Id="rId379" Target="https://doi.org/10.48550/arxiv.1705.07874" TargetMode="External" /><Relationship Type="http://schemas.openxmlformats.org/officeDocument/2006/relationships/hyperlink" Id="rId437" Target="https://doi.org/10.65109/vllw9552" TargetMode="External" /><Relationship Type="http://schemas.openxmlformats.org/officeDocument/2006/relationships/hyperlink" Id="rId439" Target="https://proceedings.mlr.press/v162/rong22a.html" TargetMode="External" /><Relationship Type="http://schemas.openxmlformats.org/officeDocument/2006/relationships/hyperlink" Id="rId489" Target="https://trustai4s-lab.github.io/ffidelity" TargetMode="External" /><Relationship Type="http://schemas.openxmlformats.org/officeDocument/2006/relationships/hyperlink" Id="rId290" Target="https://www.jmlr.org/papers/v7/demsar06a.html" TargetMode="External" /><Relationship Type="http://schemas.openxmlformats.org/officeDocument/2006/relationships/hyperlink" Id="rId457" Target="https://www.rand.org/pubs/papers/P0295.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Agnóstica para la Interpretabilidad de Modelos de Inteligencia Artificial de Caja Negra</dc:title>
  <dc:creator>J. Herrera</dc:creator>
  <dc:language>es</dc:language>
  <cp:keywords/>
  <dcterms:created xsi:type="dcterms:W3CDTF">2026-10-13T02:43:06Z</dcterms:created>
  <dcterms:modified xsi:type="dcterms:W3CDTF">2026-10-13T02:43:06Z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Integración de Benchmarking Técnico, Protocolo Reproducible (FOM-7) y Taxonomía de Métricas</vt:lpwstr>
  </property>
  <property fmtid="{D5CDD505-2E9C-101B-9397-08002B2CF9AE}" pid="14" name="template-partials">
    <vt:lpwstr/>
  </property>
  <property fmtid="{D5CDD505-2E9C-101B-9397-08002B2CF9AE}" pid="15" name="toc-title">
    <vt:lpwstr>Tabla de contenidos</vt:lpwstr>
  </property>
</Properties>
</file>