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43.png" ContentType="image/png"/>
  <Override PartName="/word/media/rId139.png" ContentType="image/png"/>
  <Override PartName="/word/media/rId135.png" ContentType="image/png"/>
  <Override PartName="/word/media/rId131.png" ContentType="image/png"/>
  <Override PartName="/word/media/rId147.png" ContentType="image/png"/>
  <Override PartName="/word/media/rId127.png" ContentType="image/png"/>
  <Override PartName="/word/media/rId151.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Title"/>
        <w:spacing w:line="360" w:lineRule="auto"/>
        <w:jc w:val="both"/>
      </w:pPr>
      <w:r>
        <w:t xml:space="preserve">Marco para la Evaluación Multinivel de la Explicabilidad en IA</w:t>
      </w:r>
    </w:p>
    <w:p>
      <w:pPr>
        <w:pStyle w:val="Subtitle"/>
        <w:spacing w:line="360" w:lineRule="auto"/>
        <w:jc w:val="both"/>
      </w:pPr>
      <w:r>
        <w:t xml:space="preserve">Integración de Benchmarking Técnico, Protocolo Reproducible (FOM-7) y Taxonomía de Métricas</w:t>
      </w:r>
    </w:p>
    <w:p>
      <w:pPr>
        <w:pStyle w:val="Author"/>
        <w:spacing w:line="360" w:lineRule="auto"/>
        <w:jc w:val="both"/>
      </w:pPr>
      <w:r>
        <w:t xml:space="preserve">J. Herrera</w:t>
      </w:r>
    </w:p>
    <w:p>
      <w:pPr>
        <w:pStyle w:val="Date"/>
        <w:spacing w:line="360" w:lineRule="auto"/>
        <w:jc w:val="both"/>
      </w:pPr>
      <w:r>
        <w:t xml:space="preserve">2026-04-19</w:t>
      </w:r>
    </w:p>
    <w:sdt>
      <w:sdtPr>
        <w:docPartObj>
          <w:docPartGallery w:val="Table of Contents"/>
          <w:docPartUnique/>
        </w:docPartObj>
      </w:sdtPr>
      <w:sdtContent>
        <w:p>
          <w:pPr>
            <w:pStyle w:val="TtulodeTDC"/>
            <w:spacing w:line="360" w:lineRule="auto"/>
            <w:jc w:val="both"/>
          </w:pPr>
          <w:r>
            <w:t xml:space="preserve">Table of contents</w:t>
          </w:r>
        </w:p>
        <w:p>
          <w:pPr>
            <w:spacing w:line="360" w:lineRule="auto"/>
            <w:jc w:val="both"/>
          </w:pPr>
          <w:r>
            <w:fldChar w:fldCharType="begin" w:dirty="true"/>
            <w:instrText xml:space="preserve">TOC \o "1-3" \h \z \u</w:instrText>
            <w:fldChar w:fldCharType="separate"/>
            <w:fldChar w:fldCharType="end"/>
          </w:r>
        </w:p>
      </w:sdtContent>
    </w:sdt>
    <w:bookmarkStart w:id="25" w:name="X9879de00516a950326abd0572f192803626eb50"/>
    <w:p>
      <w:pPr>
        <w:pStyle w:val="Ttulo1"/>
        <w:spacing w:line="360" w:lineRule="auto"/>
        <w:jc w:val="both"/>
      </w:pPr>
      <w:r>
        <w:t xml:space="preserve">Marco para la Evaluación Multinivel de la Explicabilidad en IA</w:t>
      </w:r>
    </w:p>
    <w:p>
      <w:pPr>
        <w:pStyle w:val="FirstParagraph"/>
        <w:spacing w:line="360" w:lineRule="auto"/>
        <w:jc w:val="both"/>
      </w:pPr>
      <w:r>
        <w:t xml:space="preserve">Integración de Benchmarking Técnico, Protocolo Reproducible (FOM-7) y</w:t>
      </w:r>
      <w:r>
        <w:t xml:space="preserve"> </w:t>
      </w:r>
      <w:r>
        <w:t xml:space="preserve">Taxonomía de Métricas</w:t>
      </w:r>
    </w:p>
    <w:p>
      <w:pPr>
        <w:pStyle w:val="Textoindependiente"/>
        <w:spacing w:line="360" w:lineRule="auto"/>
        <w:jc w:val="both"/>
      </w:pPr>
      <w:r>
        <w:br/>
      </w:r>
    </w:p>
    <w:bookmarkEnd w:id="25"/>
    <w:bookmarkStart w:id="26"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con control de multiplicidad y en un análisis pareado SHAP–LIME para cuantificar el trade-off calidad–coste. Los resultados muestran diferencias grandes y consistentes entre métodos: SHAP domina en fidelidad y estabilidad en los contextos evaluados, mientras que LIME resulta competitivo cuando la latencia es crítica, a costa de explicaciones estructuralmente inestables. Anchors y DiCE se posicionan como enfoques con objetivos explicativos cualitativamente distintos a la atribución de características. En conjunto, la tesis aporta un protocolo portable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6"/>
    <w:bookmarkStart w:id="27"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XAI,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with multiplicity control and on a paired SHAP–LIME analysis to quantify the quality–cost trade-off. Results show large and consistent differences across methods: SHAP dominates in faithfulness and stability in the evaluated settings, whereas LIME becomes attractive when latency constraints dominate, at the cost of structurally unstable explanations. Anchors and DiCE address qualitatively different explanatory objectives than feature attribution. Overall, the thesis contributes a portable protocol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7"/>
    <w:bookmarkStart w:id="28"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and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and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w:t>
      </w:r>
    </w:p>
    <w:p>
      <w:pPr>
        <w:pStyle w:val="Textoindependiente"/>
        <w:spacing w:line="360" w:lineRule="auto"/>
        <w:jc w:val="both"/>
      </w:pPr>
      <w:r>
        <w:t xml:space="preserve">Para alcanzar estos objetivos, el documento se estructura en seis capítulos</w:t>
      </w:r>
      <w:r>
        <w:t xml:space="preserve"> </w:t>
      </w:r>
      <w:r>
        <w:t xml:space="preserve">y 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 conjunto</w:t>
      </w:r>
      <w:r>
        <w:t xml:space="preserve"> </w:t>
      </w:r>
      <w:r>
        <w:t xml:space="preserve">de datos, el diseño factorial, la operacionalización de métricas, el análisis de</w:t>
      </w:r>
      <w:r>
        <w:t xml:space="preserve"> </w:t>
      </w:r>
      <w:r>
        <w:t xml:space="preserve">cobertura y el plan de inferencia estadística. El</w:t>
      </w:r>
      <w:r>
        <w:t xml:space="preserve"> </w:t>
      </w:r>
      <w:r>
        <w:rPr>
          <w:b/>
          <w:bCs/>
        </w:rPr>
        <w:t xml:space="preserve">Capítulo 4</w:t>
      </w:r>
      <w:r>
        <w:t xml:space="preserve"> </w:t>
      </w:r>
      <w:r>
        <w:t xml:space="preserve">expone y</w:t>
      </w:r>
      <w:r>
        <w:t xml:space="preserve"> </w:t>
      </w:r>
      <w:r>
        <w:t xml:space="preserve">discute los resultados empíricos de los Estudios A y B, con plena trazabilidad</w:t>
      </w:r>
      <w:r>
        <w:t xml:space="preserve"> </w:t>
      </w:r>
      <w:r>
        <w:t xml:space="preserve">de afirmaciones. El</w:t>
      </w:r>
      <w:r>
        <w:t xml:space="preserve"> </w:t>
      </w:r>
      <w:r>
        <w:rPr>
          <w:b/>
          <w:bCs/>
        </w:rPr>
        <w:t xml:space="preserve">Capítulo 5</w:t>
      </w:r>
      <w:r>
        <w:t xml:space="preserve"> </w:t>
      </w:r>
      <w:r>
        <w:t xml:space="preserve">desarrolla la taxonomía de métricas XAI como</w:t>
      </w:r>
      <w:r>
        <w:t xml:space="preserve"> </w:t>
      </w:r>
      <w:r>
        <w:t xml:space="preserve">contribución teórica autónoma. El</w:t>
      </w:r>
      <w:r>
        <w:t xml:space="preserve"> </w:t>
      </w:r>
      <w:r>
        <w:rPr>
          <w:b/>
          <w:bCs/>
        </w:rPr>
        <w:t xml:space="preserve">Capítulo 6</w:t>
      </w:r>
      <w:r>
        <w:t xml:space="preserve"> </w:t>
      </w:r>
      <w:r>
        <w:t xml:space="preserve">sintetiza las conclusiones,</w:t>
      </w:r>
      <w:r>
        <w:t xml:space="preserve"> </w:t>
      </w:r>
      <w:r>
        <w:t xml:space="preserve">separa las contribuciones de la literatura previa, reconoce las limitaciones y</w:t>
      </w:r>
      <w:r>
        <w:t xml:space="preserve"> </w:t>
      </w:r>
      <w:r>
        <w:t xml:space="preserve">propone líneas de investigación futura. Los apéndices documentan los datos,</w:t>
      </w:r>
      <w:r>
        <w:t xml:space="preserve"> </w:t>
      </w:r>
      <w:r>
        <w:t xml:space="preserve">modelos, configuraciones, salidas estadísticas y entorno de reproducción.</w:t>
      </w:r>
    </w:p>
    <w:bookmarkEnd w:id="28"/>
    <w:bookmarkStart w:id="43" w:name="X13574bcfb14bbd4e095f2c559ff6b33999e5b97"/>
    <w:p>
      <w:pPr>
        <w:pStyle w:val="Ttulo1"/>
        <w:spacing w:line="360" w:lineRule="auto"/>
        <w:jc w:val="both"/>
      </w:pP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29" w:name="problema-de-investigación"/>
    <w:p>
      <w:pPr>
        <w:pStyle w:val="Ttulo2"/>
        <w:spacing w:line="360" w:lineRule="auto"/>
        <w:jc w:val="both"/>
      </w:pP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2019a;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and Verbert 2024; Lipton 2018)</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and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(Alvarez-Melis and Jaakkola 2018;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29"/>
    <w:bookmarkStart w:id="30" w:name="justificación-científica-y-práctica"/>
    <w:p>
      <w:pPr>
        <w:pStyle w:val="Ttulo2"/>
        <w:spacing w:line="360" w:lineRule="auto"/>
        <w:jc w:val="both"/>
      </w:pP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and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bookmarkEnd w:id="30"/>
    <w:bookmarkStart w:id="34" w:name="objetivos-e-hipótesis"/>
    <w:p>
      <w:pPr>
        <w:pStyle w:val="Ttulo2"/>
        <w:spacing w:line="360" w:lineRule="auto"/>
        <w:jc w:val="both"/>
      </w:pPr>
      <w:r>
        <w:t xml:space="preserve">Objetivos e hipótesis</w:t>
      </w:r>
    </w:p>
    <w:bookmarkStart w:id="31" w:name="objetivo-general"/>
    <w:p>
      <w:pPr>
        <w:pStyle w:val="Ttulo3"/>
        <w:spacing w:line="360" w:lineRule="auto"/>
        <w:jc w:val="both"/>
      </w:pPr>
      <w:r>
        <w:t xml:space="preserve">Objetivo general</w:t>
      </w:r>
    </w:p>
    <w:p>
      <w:pPr>
        <w:pStyle w:val="FirstParagraph"/>
        <w:spacing w:line="360" w:lineRule="auto"/>
        <w:jc w:val="both"/>
      </w:pPr>
      <w:r>
        <w:t xml:space="preserve">Desarrollar y validar un marco de evaluación multinivel y reproducible para</w:t>
      </w:r>
      <w:r>
        <w:t xml:space="preserve"> </w:t>
      </w:r>
      <w:r>
        <w:t xml:space="preserve">métodos de explicabilidad agnósticos al modelo, que integre un protocolo de</w:t>
      </w:r>
      <w:r>
        <w:t xml:space="preserve"> </w:t>
      </w:r>
      <w:r>
        <w:t xml:space="preserve">benchmarking cuantitativo multi-métrico y un análisis taxonómico estructurado,</w:t>
      </w:r>
      <w:r>
        <w:t xml:space="preserve"> </w:t>
      </w:r>
      <w:r>
        <w:t xml:space="preserve">con el fin de establecer criterios técnicamente rigurosos para la selección y</w:t>
      </w:r>
      <w:r>
        <w:t xml:space="preserve"> </w:t>
      </w:r>
      <w:r>
        <w:t xml:space="preserve">comparación de métodos XAI en contextos de datos tabulares.</w:t>
      </w:r>
    </w:p>
    <w:bookmarkEnd w:id="31"/>
    <w:bookmarkStart w:id="32" w:name="objetivos-específicos"/>
    <w:p>
      <w:pPr>
        <w:pStyle w:val="Ttulo3"/>
        <w:spacing w:line="360" w:lineRule="auto"/>
        <w:jc w:val="both"/>
      </w:pP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r>
        <w:t xml:space="preserve"> </w:t>
      </w:r>
      <w:r>
        <w:t xml:space="preserve">(Canha et al. 2025; Hedström et al. 2023; Agarwal et al. 2022)</w:t>
      </w:r>
      <w:r>
        <w:t xml:space="preserv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r>
        <w:t xml:space="preserve"> </w:t>
      </w:r>
      <w:r>
        <w:t xml:space="preserve">(Lundberg 2017; Ribeiro 2016, 2018; Mothilal 2020; Wachter 2017; Kohavi and Becker 1996; Abdul Kadir et al. 2023; Bhattacharya and Verbert 2024)</w:t>
      </w:r>
    </w:p>
    <w:p>
      <w:pPr>
        <w:numPr>
          <w:ilvl w:val="0"/>
          <w:numId w:val="1001"/>
        </w:numPr>
        <w:spacing w:line="360" w:lineRule="auto"/>
        <w:jc w:val="both"/>
      </w:pPr>
      <w:r>
        <w:t xml:space="preserve">Cuantificar las diferencias en el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los Estudios A y B</w:t>
      </w:r>
      <w:r>
        <w:t xml:space="preserve"> </w:t>
      </w:r>
      <w:r>
        <w:t xml:space="preserve">(Abdul Kadir et al. 2023; Pawlicki et al. 2024; Nizam and Zafar 2023; Marcinkevičs 2023; Schwalbe 2023)</w:t>
      </w:r>
      <w:r>
        <w:t xml:space="preserve">.</w:t>
      </w:r>
    </w:p>
    <w:bookmarkEnd w:id="32"/>
    <w:bookmarkStart w:id="33" w:name="hipótesis-o-proposiciones-de-trabajo"/>
    <w:p>
      <w:pPr>
        <w:pStyle w:val="Ttulo3"/>
        <w:spacing w:line="360" w:lineRule="auto"/>
        <w:jc w:val="both"/>
      </w:pP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bookmarkEnd w:id="33"/>
    <w:bookmarkEnd w:id="34"/>
    <w:bookmarkStart w:id="42" w:name="metodología-general-de-la-investigación"/>
    <w:p>
      <w:pPr>
        <w:pStyle w:val="Ttulo2"/>
        <w:spacing w:line="360" w:lineRule="auto"/>
        <w:jc w:val="both"/>
      </w:pPr>
      <w:r>
        <w:t xml:space="preserve">Metodología general de la investigación</w:t>
      </w:r>
    </w:p>
    <w:bookmarkStart w:id="35" w:name="enfoque"/>
    <w:p>
      <w:pPr>
        <w:pStyle w:val="Ttulo3"/>
        <w:spacing w:line="360" w:lineRule="auto"/>
        <w:jc w:val="both"/>
      </w:pP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 los Estudios A y B descansa en el</w:t>
      </w:r>
      <w:r>
        <w:t xml:space="preserve"> </w:t>
      </w:r>
      <w:r>
        <w:t xml:space="preserve">análisis estadístico de métricas computadas sobre experimentos controlados y</w:t>
      </w:r>
      <w:r>
        <w:t xml:space="preserve"> </w:t>
      </w:r>
      <w:r>
        <w:t xml:space="preserve">reproducibles, siguiendo una lógica hipotético-deductiva. El componente</w:t>
      </w:r>
      <w:r>
        <w:t xml:space="preserve"> </w:t>
      </w:r>
      <w:r>
        <w:t xml:space="preserve">taxonómico del Estudio C —que actúa como puente conceptual integrador— adopta</w:t>
      </w:r>
      <w:r>
        <w:t xml:space="preserve"> </w:t>
      </w:r>
      <w:r>
        <w:t xml:space="preserve">una metodología de revisión estructurada con codificación explícita de</w:t>
      </w:r>
      <w:r>
        <w:t xml:space="preserve"> </w:t>
      </w:r>
      <w:r>
        <w:t xml:space="preserve">dimensiones, siguiendo protocolos de síntesis narrativa rigurosa</w:t>
      </w:r>
      <w:r>
        <w:t xml:space="preserve"> </w:t>
      </w:r>
      <w:r>
        <w:t xml:space="preserve">(Linardatos 2020; Gilpin 2018; Schwalbe 2023; Abdul Kadir et al. 2023)</w:t>
      </w:r>
      <w:r>
        <w:t xml:space="preserve">.</w:t>
      </w:r>
    </w:p>
    <w:bookmarkEnd w:id="35"/>
    <w:bookmarkStart w:id="36" w:name="tipo-de-investigación"/>
    <w:p>
      <w:pPr>
        <w:pStyle w:val="Ttulo3"/>
        <w:spacing w:line="360" w:lineRule="auto"/>
        <w:jc w:val="both"/>
      </w:pPr>
      <w:r>
        <w:t xml:space="preserve">Tipo de investigación</w:t>
      </w:r>
    </w:p>
    <w:p>
      <w:pPr>
        <w:pStyle w:val="FirstParagraph"/>
        <w:spacing w:line="360" w:lineRule="auto"/>
        <w:jc w:val="both"/>
      </w:pPr>
      <w:r>
        <w:t xml:space="preserve">Los Estudios A y B corresponden a investigación comparativa-experimental no</w:t>
      </w:r>
      <w:r>
        <w:t xml:space="preserve"> </w:t>
      </w:r>
      <w:r>
        <w:t xml:space="preserve">intervencional: los métodos XAI son los factores de tratamiento, los modelos</w:t>
      </w:r>
      <w:r>
        <w:t xml:space="preserve"> </w:t>
      </w:r>
      <w:r>
        <w:t xml:space="preserve">predictivos son el contexto experimental y las métricas de calidad son las</w:t>
      </w:r>
      <w:r>
        <w:t xml:space="preserve"> </w:t>
      </w:r>
      <w:r>
        <w:t xml:space="preserve">variables de resultado. El Estudio C corresponde a una revisión sistemática</w:t>
      </w:r>
      <w:r>
        <w:t xml:space="preserve"> </w:t>
      </w:r>
      <w:r>
        <w:t xml:space="preserve">estructurada con propósito taxonómico y de síntesis de brechas de constructo en</w:t>
      </w:r>
      <w:r>
        <w:t xml:space="preserve"> </w:t>
      </w:r>
      <w:r>
        <w:t xml:space="preserve">el campo de la evaluación XAI.</w:t>
      </w:r>
    </w:p>
    <w:bookmarkEnd w:id="36"/>
    <w:bookmarkStart w:id="37" w:name="universo-y-contexto-experimental"/>
    <w:p>
      <w:pPr>
        <w:pStyle w:val="Ttulo3"/>
        <w:spacing w:line="360" w:lineRule="auto"/>
        <w:jc w:val="both"/>
      </w:pP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and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37"/>
    <w:bookmarkStart w:id="38" w:name="Xdcd1be9d99c262f87a75615ad9164d40f630ac9"/>
    <w:p>
      <w:pPr>
        <w:pStyle w:val="Ttulo3"/>
        <w:spacing w:line="360" w:lineRule="auto"/>
        <w:jc w:val="both"/>
      </w:pP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A)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análisis pareado LIME-SHAP (Estudio B) opera sobre 75 celdas</w:t>
      </w:r>
      <w:r>
        <w:t xml:space="preserve"> </w:t>
      </w:r>
      <w:r>
        <w:t xml:space="preserve">coincidentes.</w:t>
      </w:r>
    </w:p>
    <w:bookmarkEnd w:id="38"/>
    <w:bookmarkStart w:id="39" w:name="criterios-de-inclusión-y-exclusión"/>
    <w:p>
      <w:pPr>
        <w:pStyle w:val="Ttulo3"/>
        <w:spacing w:line="360" w:lineRule="auto"/>
        <w:jc w:val="both"/>
      </w:pP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análisis pareado del Estudio B.</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39"/>
    <w:bookmarkStart w:id="40" w:name="variables-dimensiones-y-métricas"/>
    <w:p>
      <w:pPr>
        <w:pStyle w:val="Ttulo3"/>
        <w:spacing w:line="360" w:lineRule="auto"/>
        <w:jc w:val="both"/>
      </w:pP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and Verbert 2024; Canha et al. 2025; Zheng et al. 2025)</w:t>
      </w:r>
      <w:r>
        <w:t xml:space="preserve">.</w:t>
      </w:r>
    </w:p>
    <w:bookmarkEnd w:id="40"/>
    <w:bookmarkStart w:id="41" w:name="estrategia-procedimental"/>
    <w:p>
      <w:pPr>
        <w:pStyle w:val="Ttulo3"/>
        <w:spacing w:line="360" w:lineRule="auto"/>
        <w:jc w:val="both"/>
      </w:pP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tres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1"/>
    <w:bookmarkEnd w:id="42"/>
    <w:bookmarkEnd w:id="43"/>
    <w:bookmarkStart w:id="59" w:name="X5df853d312351836bad75f10c25fdcfe7ebc358"/>
    <w:p>
      <w:pPr>
        <w:pStyle w:val="Ttulo1"/>
        <w:spacing w:line="360" w:lineRule="auto"/>
        <w:jc w:val="both"/>
      </w:pPr>
      <w:r>
        <w:t xml:space="preserve">Marco teórico específico / fundamentos conceptuales</w:t>
      </w:r>
    </w:p>
    <w:bookmarkStart w:id="44" w:name="propósito-del-capítulo"/>
    <w:p>
      <w:pPr>
        <w:pStyle w:val="Ttulo2"/>
        <w:spacing w:line="360" w:lineRule="auto"/>
        <w:jc w:val="both"/>
      </w:pP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4"/>
    <w:bookmarkStart w:id="45" w:name="Xe6760546a452d6306b93a783545f3c51ee07c22"/>
    <w:p>
      <w:pPr>
        <w:pStyle w:val="Ttulo2"/>
        <w:spacing w:line="360" w:lineRule="auto"/>
        <w:jc w:val="both"/>
      </w:pP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2019a)</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2019a;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2019a;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2019a)</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2019a; Hedström et al. 2023)</w:t>
      </w:r>
      <w:r>
        <w:t xml:space="preserve">.</w:t>
      </w:r>
    </w:p>
    <w:p>
      <w:pPr>
        <w:pStyle w:val="Textoindependiente"/>
        <w:spacing w:line="360" w:lineRule="auto"/>
        <w:jc w:val="both"/>
      </w:pPr>
      <w:r>
        <w:t xml:space="preserve">La literatura también distingue métodos agnósticos y específicos del modelo</w:t>
      </w:r>
      <w:r>
        <w:t xml:space="preserve"> </w:t>
      </w:r>
      <w:r>
        <w:t xml:space="preserve">(Arrieta 2019a;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2019a;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2019a;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5"/>
    <w:bookmarkStart w:id="46" w:name="distinciones-conceptuales-fundamentales"/>
    <w:p>
      <w:pPr>
        <w:pStyle w:val="Ttulo2"/>
        <w:spacing w:line="360" w:lineRule="auto"/>
        <w:jc w:val="both"/>
      </w:pP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2019a;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2019a;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46"/>
    <w:bookmarkStart w:id="51" w:name="Xa854bcdfe02171eee67e88340a3233edf48569f"/>
    <w:p>
      <w:pPr>
        <w:pStyle w:val="Ttulo2"/>
        <w:spacing w:line="360" w:lineRule="auto"/>
        <w:jc w:val="both"/>
      </w:pPr>
      <w:r>
        <w:t xml:space="preserve">Métodos de explicación evaluados en esta tesis</w:t>
      </w:r>
    </w:p>
    <w:bookmarkStart w:id="47" w:name="Xbbcfa782e2d35f160f8750f56befcd9ee8cf14e"/>
    <w:p>
      <w:pPr>
        <w:pStyle w:val="Ttulo3"/>
        <w:spacing w:line="360" w:lineRule="auto"/>
        <w:jc w:val="both"/>
      </w:pP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47"/>
    <w:bookmarkStart w:id="48" w:name="X187de0a2f0f332efaa60a19888eaffd7cc2e7b5"/>
    <w:p>
      <w:pPr>
        <w:pStyle w:val="Ttulo3"/>
        <w:spacing w:line="360" w:lineRule="auto"/>
        <w:jc w:val="both"/>
      </w:pP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(Lundberg 2017)</w:t>
      </w:r>
      <w:r>
        <w:t xml:space="preserve">. La predicción se</w:t>
      </w:r>
      <w:r>
        <w:t xml:space="preserve"> </w:t>
      </w:r>
      <w:r>
        <w:t xml:space="preserve">expresa como una suma de contribuciones atribuibles a cada característica, bajo</w:t>
      </w:r>
      <w:r>
        <w:t xml:space="preserve"> </w:t>
      </w:r>
      <w:r>
        <w:t xml:space="preserve">un conjunto de propiedades deseables para explicaciones aditivas.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48"/>
    <w:bookmarkStart w:id="49" w:name="X029215b3a63b0848a75a7aa70454b1144c0f31f"/>
    <w:p>
      <w:pPr>
        <w:pStyle w:val="Ttulo3"/>
        <w:spacing w:line="360" w:lineRule="auto"/>
        <w:jc w:val="both"/>
      </w:pP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49"/>
    <w:bookmarkStart w:id="50" w:name="Xd196f32f12fd1cc1850af93995e5a1615dfcb83"/>
    <w:p>
      <w:pPr>
        <w:pStyle w:val="Ttulo3"/>
        <w:spacing w:line="360" w:lineRule="auto"/>
        <w:jc w:val="both"/>
      </w:pP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0"/>
    <w:bookmarkEnd w:id="51"/>
    <w:bookmarkStart w:id="55" w:name="marcos-y-protocolos-de-evaluación-xai"/>
    <w:p>
      <w:pPr>
        <w:pStyle w:val="Ttulo2"/>
        <w:spacing w:line="360" w:lineRule="auto"/>
        <w:jc w:val="both"/>
      </w:pPr>
      <w:r>
        <w:t xml:space="preserve">Marcos y protocolos de evaluación XAI</w:t>
      </w:r>
    </w:p>
    <w:p>
      <w:pPr>
        <w:pStyle w:val="FirstParagraph"/>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and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Table 3.1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tblLayout w:type="fixed"/>
        <w:tblLook w:firstRow="0" w:lastRow="0" w:firstColumn="0" w:lastColumn="0" w:noHBand="0" w:noVBand="0" w:val="0000"/>
      </w:tblPr>
      <w:tblGrid>
        <w:gridCol w:w="7920"/>
      </w:tblGrid>
      <w:tr>
        <w:tc>
          <w:tcPr/>
          <w:bookmarkStart w:id="52" w:name="tbl-framework-comparison"/>
          <w:p>
            <w:pPr>
              <w:jc w:val="both"/>
              <w:spacing w:line="360" w:lineRule="auto"/>
            </w:pPr>
            <w:pPr>
              <w:jc w:val="left"/>
              <w:spacing w:before="200"/>
              <w:pStyle w:val="ImageCaption"/>
            </w:pPr>
            <w:r>
              <w:t xml:space="preserve">Table 3.1: Comparación de marcos de evaluación XAI según cobertura, reproducibilidad, gobernanza y tipo de evaluación.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Marco / protocolo</w:t>
                  </w:r>
                </w:p>
              </w:tc>
              <w:tc>
                <w:tcPr/>
                <w:p>
                  <w:pPr>
                    <w:pStyle w:val="Compact"/>
                    <w:jc w:val="both"/>
                    <w:jc w:val="center"/>
                    <w:spacing w:line="360" w:lineRule="auto"/>
                  </w:pPr>
                  <w:r>
                    <w:t xml:space="preserve">Cobertura de métricas</w:t>
                  </w:r>
                </w:p>
              </w:tc>
              <w:tc>
                <w:tcPr/>
                <w:p>
                  <w:pPr>
                    <w:pStyle w:val="Compact"/>
                    <w:jc w:val="both"/>
                    <w:jc w:val="center"/>
                    <w:spacing w:line="360" w:lineRule="auto"/>
                  </w:pPr>
                  <w:r>
                    <w:t xml:space="preserve">Soporte a reproducibilidad</w:t>
                  </w:r>
                </w:p>
              </w:tc>
              <w:tc>
                <w:tcPr/>
                <w:p>
                  <w:pPr>
                    <w:pStyle w:val="Compact"/>
                    <w:jc w:val="both"/>
                    <w:jc w:val="center"/>
                    <w:spacing w:line="360" w:lineRule="auto"/>
                  </w:pPr>
                  <w:r>
                    <w:t xml:space="preserve">Protocolo de gobernanza</w:t>
                  </w:r>
                </w:p>
              </w:tc>
              <w:tc>
                <w:tcPr/>
                <w:p>
                  <w:pPr>
                    <w:pStyle w:val="Compact"/>
                    <w:jc w:val="both"/>
                    <w:jc w:val="center"/>
                    <w:spacing w:line="360" w:lineRule="auto"/>
                  </w:pPr>
                  <w: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2"/>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and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and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3" w:name="X900f39c64f84f209bdf33df61ada6c5cfa8ef2d"/>
    <w:p>
      <w:pPr>
        <w:pStyle w:val="Ttulo3"/>
        <w:spacing w:line="360" w:lineRule="auto"/>
        <w:jc w:val="both"/>
      </w:pPr>
      <w:r>
        <w:t xml:space="preserve">Evaluación human-centered: usuarios, tareas y calidad explicativa</w:t>
      </w:r>
    </w:p>
    <w:p>
      <w:pPr>
        <w:pStyle w:val="FirstParagraph"/>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and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and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3"/>
    <w:bookmarkStart w:id="54" w:name="Xcb28a5da8e0ee4c37a7111d109b1f7262846e3e"/>
    <w:p>
      <w:pPr>
        <w:pStyle w:val="Ttulo3"/>
        <w:spacing w:line="360" w:lineRule="auto"/>
        <w:jc w:val="both"/>
      </w:pP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4"/>
    <w:bookmarkEnd w:id="55"/>
    <w:bookmarkStart w:id="56" w:name="X1ac049df9037bab7d9ddedb9eb6dfc246d0f001"/>
    <w:p>
      <w:pPr>
        <w:pStyle w:val="Ttulo2"/>
        <w:spacing w:line="360" w:lineRule="auto"/>
        <w:jc w:val="both"/>
      </w:pPr>
      <w:r>
        <w:t xml:space="preserve">Taxonomias de métricas y brechas de constructo</w:t>
      </w:r>
    </w:p>
    <w:p>
      <w:pPr>
        <w:pStyle w:val="FirstParagraph"/>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and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t xml:space="preserve">Método</w:t>
            </w:r>
          </w:p>
        </w:tc>
        <w:tc>
          <w:tcPr/>
          <w:p>
            <w:pPr>
              <w:pStyle w:val="Compact"/>
              <w:spacing w:line="360" w:lineRule="auto"/>
              <w:jc w:val="both"/>
            </w:pPr>
            <w:r>
              <w:t xml:space="preserve">Objeto explicativo principal</w:t>
            </w:r>
          </w:p>
        </w:tc>
        <w:tc>
          <w:tcPr/>
          <w:p>
            <w:pPr>
              <w:pStyle w:val="Compact"/>
              <w:spacing w:line="360" w:lineRule="auto"/>
              <w:jc w:val="both"/>
            </w:pPr>
            <w:r>
              <w:t xml:space="preserve">Constructos naturalmente alineados</w:t>
            </w:r>
          </w:p>
        </w:tc>
        <w:tc>
          <w:tcPr/>
          <w:p>
            <w:pPr>
              <w:pStyle w:val="Compact"/>
              <w:spacing w:line="360" w:lineRule="auto"/>
              <w:jc w:val="both"/>
            </w:pPr>
            <w:r>
              <w:t xml:space="preserve">Riesgos de evaluación</w:t>
            </w:r>
          </w:p>
        </w:tc>
        <w:tc>
          <w:tcPr/>
          <w:p>
            <w:pPr>
              <w:pStyle w:val="Compact"/>
              <w:spacing w:line="360" w:lineRule="auto"/>
              <w:jc w:val="both"/>
            </w:pPr>
            <w: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56"/>
    <w:bookmarkStart w:id="57" w:name="X56f8700cbeeed185eff27b2505360753d99a361"/>
    <w:p>
      <w:pPr>
        <w:pStyle w:val="Ttulo2"/>
        <w:spacing w:line="360" w:lineRule="auto"/>
        <w:jc w:val="both"/>
      </w:pP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57"/>
    <w:bookmarkStart w:id="58" w:name="síntesis-crítica-justificación-de-fom-7"/>
    <w:p>
      <w:pPr>
        <w:pStyle w:val="Ttulo2"/>
        <w:spacing w:line="360" w:lineRule="auto"/>
        <w:jc w:val="both"/>
      </w:pP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and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58"/>
    <w:bookmarkEnd w:id="59"/>
    <w:bookmarkStart w:id="102" w:name="marco-empírico-y-diseño-experimental"/>
    <w:p>
      <w:pPr>
        <w:pStyle w:val="Ttulo1"/>
        <w:spacing w:line="360" w:lineRule="auto"/>
        <w:jc w:val="both"/>
      </w:pP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(Estudio A, Paper A) y la comparación pareada enfocada entre LIME y SHAP</w:t>
      </w:r>
      <w:r>
        <w:t xml:space="preserve"> </w:t>
      </w:r>
      <w:r>
        <w:t xml:space="preserve">(Estudio B, Paper B). Ambos estudios comparten el mismo pipeline experimental,</w:t>
      </w:r>
      <w:r>
        <w:t xml:space="preserve"> </w:t>
      </w:r>
      <w:r>
        <w:t xml:space="preserve">el mismo conjunto de datos y los mismos artefactos de modelo, y se distinguen</w:t>
      </w:r>
      <w:r>
        <w:t xml:space="preserve"> </w:t>
      </w:r>
      <w:r>
        <w:t xml:space="preserve">por el alcance del análisis inferencial: Estudio A evalúa los cuatro métodos</w:t>
      </w:r>
      <w:r>
        <w:t xml:space="preserve"> </w:t>
      </w:r>
      <w:r>
        <w:t xml:space="preserve">sobre el diseño factorial completo; Estudio B restringe la inferencia</w:t>
      </w:r>
      <w:r>
        <w:t xml:space="preserve"> </w:t>
      </w:r>
      <w:r>
        <w:t xml:space="preserve">confirmativa al subconjunto pareado LIME-SHAP. El capítulo se organiza en ocho</w:t>
      </w:r>
      <w:r>
        <w:t xml:space="preserve"> </w:t>
      </w:r>
      <w:r>
        <w:t xml:space="preserve">secciones: las dos fases experimentales (EXP1 y EXP2), el conjunto de datos y</w:t>
      </w:r>
      <w:r>
        <w:t xml:space="preserve"> </w:t>
      </w:r>
      <w:r>
        <w:t xml:space="preserve">el protocolo de preprocesamiento, el diseño factorial, las configuraciones de</w:t>
      </w:r>
      <w:r>
        <w:t xml:space="preserve"> </w:t>
      </w:r>
      <w:r>
        <w:t xml:space="preserve">los explicadores, la operacionalización de las métricas, el protocolo FOM-7,</w:t>
      </w:r>
      <w:r>
        <w:t xml:space="preserve"> </w:t>
      </w:r>
      <w:r>
        <w:t xml:space="preserve">el análisis de cobertura de artefactos, y el plan de inferencia estadística.</w:t>
      </w:r>
      <w:r>
        <w:t xml:space="preserve"> </w:t>
      </w:r>
      <w:r>
        <w:t xml:space="preserve">Las amenazas a la validez y el inventario de recursos de reproducibilidad</w:t>
      </w:r>
      <w:r>
        <w:t xml:space="preserve"> </w:t>
      </w:r>
      <w:r>
        <w:t xml:space="preserve">figuran 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3" w:name="fases-experimentales-exp1-y-exp2"/>
    <w:p>
      <w:pPr>
        <w:pStyle w:val="Ttulo2"/>
        <w:spacing w:line="360" w:lineRule="auto"/>
        <w:jc w:val="both"/>
      </w:pP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1" w:name="X32cac70d6076bcfbcdceb21da7e13d3984b2a1d"/>
    <w:p>
      <w:pPr>
        <w:pStyle w:val="Ttulo3"/>
        <w:spacing w:line="360" w:lineRule="auto"/>
        <w:jc w:val="both"/>
      </w:pP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tblLayout w:type="fixed"/>
        <w:tblLook w:firstRow="0" w:lastRow="0" w:firstColumn="0" w:lastColumn="0" w:noHBand="0" w:noVBand="0" w:val="0000"/>
      </w:tblPr>
      <w:tblGrid>
        <w:gridCol w:w="7920"/>
      </w:tblGrid>
      <w:tr>
        <w:tc>
          <w:tcPr/>
          <w:bookmarkStart w:id="60" w:name="tbl-model-performance"/>
          <w:p>
            <w:pPr>
              <w:jc w:val="both"/>
              <w:spacing w:line="360" w:lineRule="auto"/>
            </w:pPr>
            <w:pPr>
              <w:jc w:val="left"/>
              <w:spacing w:before="200"/>
              <w:pStyle w:val="ImageCaption"/>
            </w:pPr>
            <w:r>
              <w:t xml:space="preserve">Table 4.1: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Exactitud</w:t>
                  </w:r>
                </w:p>
              </w:tc>
              <w:tc>
                <w:tcPr/>
                <w:p>
                  <w:pPr>
                    <w:pStyle w:val="Compact"/>
                    <w:jc w:val="both"/>
                    <w:jc w:val="center"/>
                    <w:spacing w:line="360" w:lineRule="auto"/>
                  </w:pPr>
                  <w:r>
                    <w:t xml:space="preserve">Precisión</w:t>
                  </w:r>
                </w:p>
              </w:tc>
              <w:tc>
                <w:tcPr/>
                <w:p>
                  <w:pPr>
                    <w:pStyle w:val="Compact"/>
                    <w:jc w:val="both"/>
                    <w:jc w:val="center"/>
                    <w:spacing w:line="360" w:lineRule="auto"/>
                  </w:pPr>
                  <w:r>
                    <w:t xml:space="preserve">Recall</w:t>
                  </w:r>
                </w:p>
              </w:tc>
              <w:tc>
                <w:tcPr/>
                <w:p>
                  <w:pPr>
                    <w:pStyle w:val="Compact"/>
                    <w:jc w:val="both"/>
                    <w:jc w:val="center"/>
                    <w:spacing w:line="360" w:lineRule="auto"/>
                  </w:pPr>
                  <w:r>
                    <w:t xml:space="preserve">F1</w:t>
                  </w:r>
                </w:p>
              </w:tc>
              <w:tc>
                <w:tcPr/>
                <w:p>
                  <w:pPr>
                    <w:pStyle w:val="Compact"/>
                    <w:jc w:val="both"/>
                    <w:jc w:val="center"/>
                    <w:spacing w:line="360" w:lineRule="auto"/>
                  </w:pPr>
                  <w: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0"/>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0.063</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0.044</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1"/>
    <w:bookmarkStart w:id="62" w:name="X88dee61532cae681dfa2cfeee2779c5c9929176"/>
    <w:p>
      <w:pPr>
        <w:pStyle w:val="Ttulo3"/>
        <w:spacing w:line="360" w:lineRule="auto"/>
        <w:jc w:val="both"/>
      </w:pP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 los Estudios A y B.</w:t>
      </w:r>
    </w:p>
    <w:bookmarkEnd w:id="62"/>
    <w:bookmarkEnd w:id="63"/>
    <w:bookmarkStart w:id="67" w:name="Xb179eb5e9b7cbdb0e78e991d72b8aeee41d8932"/>
    <w:p>
      <w:pPr>
        <w:pStyle w:val="Ttulo2"/>
        <w:spacing w:line="360" w:lineRule="auto"/>
        <w:jc w:val="both"/>
      </w:pPr>
      <w:r>
        <w:t xml:space="preserve">Conjunto de datos y protocolo de preprocesamiento</w:t>
      </w:r>
    </w:p>
    <w:bookmarkStart w:id="64" w:name="descripción-del-conjunto-de-datos"/>
    <w:p>
      <w:pPr>
        <w:pStyle w:val="Ttulo3"/>
        <w:spacing w:line="360" w:lineRule="auto"/>
        <w:jc w:val="both"/>
      </w:pP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and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4"/>
    <w:bookmarkStart w:id="65" w:name="carga-limpieza-y-partición"/>
    <w:p>
      <w:pPr>
        <w:pStyle w:val="Ttulo3"/>
        <w:spacing w:line="360" w:lineRule="auto"/>
        <w:jc w:val="both"/>
      </w:pP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w:t>
      </w:r>
    </w:p>
    <w:p>
      <w:pPr>
        <w:pStyle w:val="Textoindependiente"/>
        <w:spacing w:line="360" w:lineRule="auto"/>
        <w:jc w:val="both"/>
      </w:pPr>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oMath>
      </ns1:oMathPara>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5"/>
    <w:bookmarkStart w:id="66" w:name="controles-de-fuga-de-datos"/>
    <w:p>
      <w:pPr>
        <w:pStyle w:val="Ttulo3"/>
        <w:spacing w:line="360" w:lineRule="auto"/>
        <w:jc w:val="both"/>
      </w:pP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66"/>
    <w:bookmarkEnd w:id="67"/>
    <w:bookmarkStart w:id="69" w:name="X810bf4db8899260d734480c9f59b02e6a2182a3"/>
    <w:p>
      <w:pPr>
        <w:pStyle w:val="Ttulo2"/>
        <w:spacing w:line="360" w:lineRule="auto"/>
        <w:jc w:val="both"/>
      </w:pP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w:t>
      </w:r>
    </w:p>
    <w:p>
      <w:pPr>
        <w:pStyle w:val="Textoindependiente"/>
        <w:spacing w:line="360" w:lineRule="auto"/>
        <w:jc w:val="both"/>
      </w:pPr>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oMath>
      </ns1:oMathPara>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w:t>
      </w:r>
    </w:p>
    <w:p>
      <w:pPr>
        <w:pStyle w:val="Textoindependiente"/>
        <w:spacing w:line="360" w:lineRule="auto"/>
        <w:jc w:val="both"/>
      </w:pPr>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oMath>
      </ns1:oMathPara>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68" w:name="X7f3be01e797123bdbedac923d646584591998bc"/>
    <w:p>
      <w:pPr>
        <w:pStyle w:val="Ttulo3"/>
        <w:spacing w:line="360" w:lineRule="auto"/>
        <w:jc w:val="both"/>
      </w:pP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B es la</w:t>
      </w:r>
      <w:r>
        <w:t xml:space="preserve"> </w:t>
      </w:r>
      <w:r>
        <w:rPr>
          <w:b/>
          <w:bCs/>
        </w:rPr>
        <w:t xml:space="preserve">celda 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 calificados de</w:t>
      </w:r>
      <w:r>
        <w:t xml:space="preserve"> </w:t>
      </w:r>
      <w:r>
        <w:t xml:space="preserve">SHAP y LIME con coordenadas idénticas.</w:t>
      </w:r>
    </w:p>
    <w:bookmarkEnd w:id="68"/>
    <w:bookmarkEnd w:id="69"/>
    <w:bookmarkStart w:id="72" w:name="Xa1b63f5b80ef9314faeb5aae6b8d7e743e4217a"/>
    <w:p>
      <w:pPr>
        <w:pStyle w:val="Ttulo2"/>
        <w:spacing w:line="360" w:lineRule="auto"/>
        <w:jc w:val="both"/>
      </w:pPr>
      <w:r>
        <w:t xml:space="preserve">Protocolo de muestreo de instancias y configuración de explicadores</w:t>
      </w:r>
    </w:p>
    <w:bookmarkStart w:id="70" w:name="X22a27531824c8c7d79a9c6abca6e13f987fd35c"/>
    <w:p>
      <w:pPr>
        <w:pStyle w:val="Ttulo3"/>
        <w:spacing w:line="360" w:lineRule="auto"/>
        <w:jc w:val="both"/>
      </w:pP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w:t>
      </w:r>
    </w:p>
    <w:p>
      <w:pPr>
        <w:pStyle w:val="Textoindependiente"/>
        <w:spacing w:line="360" w:lineRule="auto"/>
        <w:jc w:val="both"/>
      </w:pPr>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oMath>
      </ns1:oMathPara>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0"/>
    <w:bookmarkStart w:id="71" w:name="configuración-de-los-explicadores"/>
    <w:p>
      <w:pPr>
        <w:pStyle w:val="Ttulo3"/>
        <w:spacing w:line="360" w:lineRule="auto"/>
        <w:jc w:val="both"/>
      </w:pP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1"/>
    <w:bookmarkEnd w:id="72"/>
    <w:bookmarkStart w:id="80" w:name="operacionalización-de-las-métricas"/>
    <w:p>
      <w:pPr>
        <w:pStyle w:val="Ttulo2"/>
        <w:spacing w:line="360" w:lineRule="auto"/>
        <w:jc w:val="both"/>
      </w:pP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73" w:name="fidelidad"/>
    <w:p>
      <w:pPr>
        <w:pStyle w:val="Ttulo3"/>
        <w:spacing w:line="360" w:lineRule="auto"/>
        <w:jc w:val="both"/>
      </w:pP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spacing w:line="360" w:lineRule="auto"/>
        <w:jc w:val="both"/>
      </w:pPr>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oMath>
      </ns1:oMathPara>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la característica</w:t>
      </w:r>
      <w:r>
        <w:t xml:space="preserve"> </w:t>
      </w:r>
      <ns1:oMath>
        <ns1:r>
          <ns1:t>i</ns1:t>
        </ns1:r>
      </ns1:oMath>
      <w:r>
        <w:t xml:space="preserve"> </w:t>
      </w:r>
      <w:r>
        <w:t xml:space="preserve">por su media de entrenamiento.</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73"/>
    <w:bookmarkStart w:id="74" w:name="estabilidad"/>
    <w:p>
      <w:pPr>
        <w:pStyle w:val="Ttulo3"/>
        <w:spacing w:line="360" w:lineRule="auto"/>
        <w:jc w:val="both"/>
      </w:pP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
          </ns1:rPr>
          <ns1:t>I</ns1:t>
        </ns1:r>
        <ns1:r>
          <ns1:rPr>
            <ns1:sty ns1:val="p"/>
          </ns1:rPr>
          <ns1:t>)</ns1:t>
        </ns1:r>
      </ns1:oMath>
      <w:r>
        <w:t xml:space="preserve">,</w:t>
      </w:r>
      <w:r>
        <w:t xml:space="preserve"> </w:t>
      </w:r>
      <ns1:oMath>
        <ns1:r>
          <ns1:t>σ</ns1:t>
        </ns1:r>
        <ns1:r>
          <ns1:rPr>
            <ns1:sty ns1:val="p"/>
          </ns1:rPr>
          <ns1:t>=</ns1:t>
        </ns1:r>
        <ns1:r>
          <ns1:t>0.1</ns1:t>
        </ns1:r>
      </ns1:oMath>
      <w:r>
        <w:t xml:space="preserve">:</w:t>
      </w:r>
    </w:p>
    <w:p>
      <w:pPr>
        <w:pStyle w:val="Textoindependiente"/>
        <w:spacing w:line="360" w:lineRule="auto"/>
        <w:jc w:val="both"/>
      </w:pPr>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oMath>
      </ns1:oMathPara>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74"/>
    <w:bookmarkStart w:id="75" w:name="parsimonia"/>
    <w:p>
      <w:pPr>
        <w:pStyle w:val="Ttulo3"/>
        <w:spacing w:line="360" w:lineRule="auto"/>
        <w:jc w:val="both"/>
      </w:pP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p>
    <w:p>
      <w:pPr>
        <w:pStyle w:val="Textoindependiente"/>
        <w:spacing w:line="360" w:lineRule="auto"/>
        <w:jc w:val="both"/>
      </w:pPr>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oMath>
      </ns1:oMathPara>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75"/>
    <w:bookmarkStart w:id="76" w:name="brecha-de-fidelidad"/>
    <w:p>
      <w:pPr>
        <w:pStyle w:val="Ttulo3"/>
        <w:spacing w:line="360" w:lineRule="auto"/>
        <w:jc w:val="both"/>
      </w:pP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p>
    <w:p>
      <w:pPr>
        <w:pStyle w:val="Textoindependiente"/>
        <w:spacing w:line="360" w:lineRule="auto"/>
        <w:jc w:val="both"/>
      </w:pPr>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oMath>
      </ns1:oMathPara>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76"/>
    <w:bookmarkStart w:id="77" w:name="coste-computacional"/>
    <w:p>
      <w:pPr>
        <w:pStyle w:val="Ttulo3"/>
        <w:spacing w:line="360" w:lineRule="auto"/>
        <w:jc w:val="both"/>
      </w:pP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77"/>
    <w:bookmarkStart w:id="79" w:name="resumen-de-métricas-primarias"/>
    <w:p>
      <w:pPr>
        <w:pStyle w:val="Ttulo3"/>
        <w:spacing w:line="360" w:lineRule="auto"/>
        <w:jc w:val="both"/>
      </w:pPr>
      <w:r>
        <w:t xml:space="preserve">Resumen de métricas primarias</w:t>
      </w:r>
    </w:p>
    <w:tbl>
      <w:tblPr>
        <w:tblStyle w:val="Table"/>
        <w:tblW w:type="pct" w:w="5000"/>
        <w:tblLayout w:type="fixed"/>
        <w:tblLook w:firstRow="0" w:lastRow="0" w:firstColumn="0" w:lastColumn="0" w:noHBand="0" w:noVBand="0" w:val="0000"/>
      </w:tblPr>
      <w:tblGrid>
        <w:gridCol w:w="7920"/>
      </w:tblGrid>
      <w:tr>
        <w:tc>
          <w:tcPr/>
          <w:bookmarkStart w:id="78" w:name="tbl-metrics"/>
          <w:p>
            <w:pPr>
              <w:jc w:val="both"/>
              <w:spacing w:line="360" w:lineRule="auto"/>
            </w:pPr>
            <w:pPr>
              <w:jc w:val="left"/>
              <w:spacing w:before="200"/>
              <w:pStyle w:val="ImageCaption"/>
            </w:pPr>
            <w:r>
              <w:t xml:space="preserve">Table 4.2: Métricas primarias del benchmark con unidades y direcciones.</w:t>
            </w: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Símbolo</w:t>
                  </w:r>
                </w:p>
              </w:tc>
              <w:tc>
                <w:tcPr/>
                <w:p>
                  <w:pPr>
                    <w:pStyle w:val="Compact"/>
                    <w:jc w:val="both"/>
                    <w:jc w:val="center"/>
                    <w:spacing w:line="360" w:lineRule="auto"/>
                  </w:pPr>
                  <w:r>
                    <w:t xml:space="preserve">Unidad</w:t>
                  </w:r>
                </w:p>
              </w:tc>
              <w:tc>
                <w:tcPr/>
                <w:p>
                  <w:pPr>
                    <w:pStyle w:val="Compact"/>
                    <w:jc w:val="both"/>
                    <w:jc w:val="center"/>
                    <w:spacing w:line="360" w:lineRule="auto"/>
                  </w:pPr>
                  <w: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p>
              </w:tc>
            </w:tr>
          </w:tbl>
          <w:bookmarkEnd w:id="78"/>
          <w:p>
            <w:pPr>
              <w:spacing w:line="360" w:lineRule="auto"/>
              <w:jc w:val="both"/>
            </w:pPr>
          </w:p>
        </w:tc>
      </w:tr>
    </w:tbl>
    <w:bookmarkEnd w:id="79"/>
    <w:bookmarkEnd w:id="80"/>
    <w:bookmarkStart w:id="82" w:name="protocolo-de-operación-fom-7"/>
    <w:p>
      <w:pPr>
        <w:pStyle w:val="Ttulo2"/>
        <w:spacing w:line="360" w:lineRule="auto"/>
        <w:jc w:val="both"/>
      </w:pP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es:</w:t>
      </w:r>
    </w:p>
    <w:p>
      <w:pPr>
        <w:pStyle w:val="Textoindependiente"/>
        <w:spacing w:line="360" w:lineRule="auto"/>
        <w:jc w:val="both"/>
      </w:pPr>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oMath>
      </ns1:oMathPara>
    </w:p>
    <w:p>
      <w:pPr>
        <w:pStyle w:val="FirstParagraph"/>
        <w:spacing w:line="360" w:lineRule="auto"/>
        <w:jc w:val="both"/>
      </w:pPr>
      <w:r>
        <w:t xml:space="preserve">La Tabla</w:t>
      </w:r>
      <w:r>
        <w:t xml:space="preserve"> </w:t>
      </w:r>
      <w:hyperlink w:anchor="tbl-fom7-gates">
        <w:r>
          <w:rPr>
            <w:rStyle w:val="Hipervnculo"/>
          </w:rPr>
          <w:t xml:space="preserve">Table 4.3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tblLayout w:type="fixed"/>
        <w:tblLook w:firstRow="0" w:lastRow="0" w:firstColumn="0" w:lastColumn="0" w:noHBand="0" w:noVBand="0" w:val="0000"/>
      </w:tblPr>
      <w:tblGrid>
        <w:gridCol w:w="7920"/>
      </w:tblGrid>
      <w:tr>
        <w:tc>
          <w:tcPr/>
          <w:bookmarkStart w:id="81" w:name="tbl-fom7-gates"/>
          <w:p>
            <w:pPr>
              <w:jc w:val="both"/>
              <w:spacing w:line="360" w:lineRule="auto"/>
            </w:pPr>
            <w:pPr>
              <w:jc w:val="left"/>
              <w:spacing w:before="200"/>
              <w:pStyle w:val="ImageCaption"/>
            </w:pPr>
            <w:r>
              <w:t xml:space="preserve">Table 4.3: Puertas FOM-7, artefactos y modos de fallo controlados.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Puerta</w:t>
                  </w:r>
                </w:p>
              </w:tc>
              <w:tc>
                <w:tcPr/>
                <w:p>
                  <w:pPr>
                    <w:pStyle w:val="Compact"/>
                    <w:jc w:val="both"/>
                    <w:jc w:val="center"/>
                    <w:spacing w:line="360" w:lineRule="auto"/>
                  </w:pPr>
                  <w:r>
                    <w:t xml:space="preserve">Propósito</w:t>
                  </w:r>
                </w:p>
              </w:tc>
              <w:tc>
                <w:tcPr/>
                <w:p>
                  <w:pPr>
                    <w:pStyle w:val="Compact"/>
                    <w:jc w:val="both"/>
                    <w:jc w:val="center"/>
                    <w:spacing w:line="360" w:lineRule="auto"/>
                  </w:pPr>
                  <w:r>
                    <w:t xml:space="preserve">Artefacto de entrada</w:t>
                  </w:r>
                </w:p>
              </w:tc>
              <w:tc>
                <w:tcPr/>
                <w:p>
                  <w:pPr>
                    <w:pStyle w:val="Compact"/>
                    <w:jc w:val="both"/>
                    <w:jc w:val="center"/>
                    <w:spacing w:line="360" w:lineRule="auto"/>
                  </w:pPr>
                  <w:r>
                    <w:t xml:space="preserve">Artefacto de salida</w:t>
                  </w:r>
                </w:p>
              </w:tc>
              <w:tc>
                <w:tcPr/>
                <w:p>
                  <w:pPr>
                    <w:pStyle w:val="Compact"/>
                    <w:jc w:val="both"/>
                    <w:jc w:val="center"/>
                    <w:spacing w:line="360" w:lineRule="auto"/>
                  </w:pPr>
                  <w:r>
                    <w:t xml:space="preserve">Fallo controlado</w:t>
                  </w:r>
                </w:p>
              </w:tc>
              <w:tc>
                <w:tcPr/>
                <w:p>
                  <w:pPr>
                    <w:pStyle w:val="Compact"/>
                    <w:jc w:val="both"/>
                    <w:jc w:val="center"/>
                    <w:spacing w:line="360" w:lineRule="auto"/>
                  </w:pPr>
                  <w: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Table 5.1</w:t>
                    </w:r>
                  </w:hyperlink>
                  <w:r>
                    <w:t xml:space="preserve"> </w:t>
                  </w:r>
                  <w:r>
                    <w:t xml:space="preserve">y</w:t>
                  </w:r>
                  <w:r>
                    <w:t xml:space="preserve"> </w:t>
                  </w:r>
                  <w:hyperlink w:anchor="tbl-claim-traceability">
                    <w:r>
                      <w:rPr>
                        <w:rStyle w:val="Hipervnculo"/>
                      </w:rPr>
                      <w:t xml:space="preserve">Table 5.7</w:t>
                    </w:r>
                  </w:hyperlink>
                </w:p>
              </w:tc>
            </w:tr>
          </w:tbl>
          <w:bookmarkEnd w:id="81"/>
          <w:p>
            <w:pPr>
              <w:spacing w:line="360" w:lineRule="auto"/>
              <w:jc w:val="both"/>
            </w:pPr>
          </w:p>
        </w:tc>
      </w:tr>
    </w:tbl>
    <w:bookmarkEnd w:id="82"/>
    <w:bookmarkStart w:id="87" w:name="X70736bc07e73377e919d2c60f119994d057bf14"/>
    <w:p>
      <w:pPr>
        <w:pStyle w:val="Ttulo2"/>
        <w:spacing w:line="360" w:lineRule="auto"/>
        <w:jc w:val="both"/>
      </w:pPr>
      <w:r>
        <w:t xml:space="preserve">Cobertura de artefactos y análisis del impacto de datos faltantes</w:t>
      </w:r>
    </w:p>
    <w:bookmarkStart w:id="85" w:name="inventario-de-cobertura"/>
    <w:p>
      <w:pPr>
        <w:pStyle w:val="Ttulo3"/>
        <w:spacing w:line="360" w:lineRule="auto"/>
        <w:jc w:val="both"/>
      </w:pP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tblLayout w:type="fixed"/>
        <w:tblLook w:firstRow="0" w:lastRow="0" w:firstColumn="0" w:lastColumn="0" w:noHBand="0" w:noVBand="0" w:val="0000"/>
      </w:tblPr>
      <w:tblGrid>
        <w:gridCol w:w="7920"/>
      </w:tblGrid>
      <w:tr>
        <w:tc>
          <w:tcPr/>
          <w:bookmarkStart w:id="83" w:name="tbl-coverage"/>
          <w:p>
            <w:pPr>
              <w:jc w:val="both"/>
              <w:spacing w:line="360" w:lineRule="auto"/>
            </w:pPr>
            <w:pPr>
              <w:jc w:val="left"/>
              <w:spacing w:before="200"/>
              <w:pStyle w:val="ImageCaption"/>
            </w:pPr>
            <w:r>
              <w:t xml:space="preserve">Table 4.4: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Cohorte</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Presentes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83"/>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tblLayout w:type="fixed"/>
        <w:tblLook w:firstRow="0" w:lastRow="0" w:firstColumn="0" w:lastColumn="0" w:noHBand="0" w:noVBand="0" w:val="0000"/>
      </w:tblPr>
      <w:tblGrid>
        <w:gridCol w:w="7920"/>
      </w:tblGrid>
      <w:tr>
        <w:tc>
          <w:tcPr/>
          <w:bookmarkStart w:id="84" w:name="tbl-coverage-method"/>
          <w:p>
            <w:pPr>
              <w:jc w:val="both"/>
              <w:spacing w:line="360" w:lineRule="auto"/>
            </w:pPr>
            <w:pPr>
              <w:jc w:val="left"/>
              <w:spacing w:before="200"/>
              <w:pStyle w:val="ImageCaption"/>
            </w:pPr>
            <w:r>
              <w:t xml:space="preserve">Table 4.5: Cobertura analítica por método. SHAP incluye la superposición de</w:t>
            </w:r>
            <w:r>
              <w:t xml:space="preserve"> </w:t>
            </w:r>
            <w:r>
              <w:t xml:space="preserve">recuperación.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Método</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84"/>
          <w:p>
            <w:pPr>
              <w:spacing w:line="360" w:lineRule="auto"/>
              <w:jc w:val="both"/>
            </w:pPr>
          </w:p>
        </w:tc>
      </w:tr>
    </w:tbl>
    <w:bookmarkEnd w:id="85"/>
    <w:bookmarkStart w:id="86" w:name="Xcb4396ffd8bf23e7b418105a9e8d3fef7075c0b"/>
    <w:p>
      <w:pPr>
        <w:pStyle w:val="Ttulo3"/>
        <w:spacing w:line="360" w:lineRule="auto"/>
        <w:jc w:val="both"/>
      </w:pP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análisis pareado del Estudio B.</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w:t>
      </w:r>
    </w:p>
    <w:p>
      <w:pPr>
        <w:pStyle w:val="Textoindependiente"/>
        <w:spacing w:line="360" w:lineRule="auto"/>
        <w:jc w:val="both"/>
      </w:pPr>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oMath>
      </ns1:oMathPara>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A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 encima del</w:t>
      </w:r>
      <w:r>
        <w:t xml:space="preserve"> </w:t>
      </w:r>
      <w:r>
        <w:t xml:space="preserve">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oMath>
      </ns1:oMathPara>
    </w:p>
    <w:p>
      <w:pPr>
        <w:pStyle w:val="FirstParagraph"/>
        <w:spacing w:line="360" w:lineRule="auto"/>
        <w:jc w:val="both"/>
      </w:pPr>
      <w:r>
        <w:t xml:space="preserve">Incluso asumiendo una reducción del poder del 50% —hipótesis conservadora que</w:t>
      </w:r>
      <w:r>
        <w:t xml:space="preserve"> </w:t>
      </w:r>
      <w:r>
        <w:t xml:space="preserve">supera la inflación de varianza calculada— el estadístico de Coste sería</w:t>
      </w:r>
      <w:r>
        <w:t xml:space="preserve"> </w:t>
      </w:r>
      <ns1:oMath>
        <ns1:sSup>
          <ns1:e>
            <ns1:r>
              <ns1:t>χ</ns1:t>
            </ns1:r>
          </ns1:e>
          <ns1:sup>
            <ns1:r>
              <ns1:t>2</ns1:t>
            </ns1:r>
          </ns1:sup>
        </ns1:sSup>
        <ns1:r>
          <ns1:rPr>
            <ns1:sty ns1:val="p"/>
          </ns1:rPr>
          <ns1:t>≈</ns1:t>
        </ns1:r>
        <ns1:r>
          <ns1:t>15.2</ns1:t>
        </ns1:r>
      </ns1:oMath>
      <w:r>
        <w:t xml:space="preserve"> </w:t>
      </w:r>
      <w:r>
        <w:t xml:space="preserve">(</w:t>
      </w:r>
      <ns1:oMath>
        <ns1:r>
          <ns1:t>p</ns1:t>
        </ns1:r>
        <ns1:r>
          <ns1:rPr>
            <ns1:sty ns1:val="p"/>
          </ns1:rPr>
          <ns1:t>≈</ns1:t>
        </ns1:r>
        <ns1:r>
          <ns1:t>0.0016</ns1:t>
        </ns1:r>
      </ns1:oMath>
      <w:r>
        <w:t xml:space="preserve">), significativo al nivel</w:t>
      </w:r>
      <w:r>
        <w:t xml:space="preserve"> </w:t>
      </w:r>
      <ns1:oMath>
        <ns1:r>
          <ns1:t>α</ns1:t>
        </ns1:r>
        <ns1:r>
          <ns1:rPr>
            <ns1:sty ns1:val="p"/>
          </ns1:rPr>
          <ns1:t>=</ns1:t>
        </ns1:r>
        <ns1:r>
          <ns1:t>0.05</ns1:t>
        </ns1:r>
      </ns1:oMath>
      <w:r>
        <w:t xml:space="preserve">.</w:t>
      </w:r>
    </w:p>
    <w:p>
      <w:pPr>
        <w:pStyle w:val="Textoindependiente"/>
        <w:spacing w:line="360" w:lineRule="auto"/>
        <w:jc w:val="both"/>
      </w:pPr>
      <w:r>
        <w:rPr>
          <w:b/>
          <w:bCs/>
        </w:rPr>
        <w:t xml:space="preserve">Integridad del análisis pareado del Estudio B.</w:t>
      </w:r>
      <w:r>
        <w:t xml:space="preserve"> </w:t>
      </w:r>
      <w:r>
        <w:t xml:space="preserve">Con cobertura completa de</w:t>
      </w:r>
      <w:r>
        <w:t xml:space="preserve"> </w:t>
      </w:r>
      <w:r>
        <w:t xml:space="preserve">SHAP (75/75) y LIME (75/75), la cobertura pareada del Estudio B es del 100%.</w:t>
      </w:r>
      <w:r>
        <w:t xml:space="preserve"> </w:t>
      </w:r>
      <w:r>
        <w:t xml:space="preserve">Los datos faltantes de Anchors y DiCE</w:t>
      </w:r>
      <w:r>
        <w:t xml:space="preserve"> </w:t>
      </w:r>
      <w:r>
        <w:rPr>
          <w:b/>
          <w:bCs/>
        </w:rPr>
        <w:t xml:space="preserve">no afectan</w:t>
      </w:r>
      <w:r>
        <w:t xml:space="preserve"> </w:t>
      </w:r>
      <w:r>
        <w:t xml:space="preserve">al Estudio B.</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análisis pareado del Estudio B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6"/>
    <w:bookmarkEnd w:id="87"/>
    <w:bookmarkStart w:id="95" w:name="plan-de-inferencia-estadística"/>
    <w:p>
      <w:pPr>
        <w:pStyle w:val="Ttulo2"/>
        <w:spacing w:line="360" w:lineRule="auto"/>
        <w:jc w:val="both"/>
      </w:pPr>
      <w:r>
        <w:t xml:space="preserve">Plan de inferencia estadística</w:t>
      </w:r>
    </w:p>
    <w:bookmarkStart w:id="88" w:name="estudio-a-test-omnibus-de-friedman"/>
    <w:p>
      <w:pPr>
        <w:pStyle w:val="Ttulo3"/>
        <w:spacing w:line="360" w:lineRule="auto"/>
        <w:jc w:val="both"/>
      </w:pPr>
      <w:r>
        <w:t xml:space="preserve">Estudio A: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oMath>
      </ns1:oMathPara>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w:t>
      </w:r>
    </w:p>
    <w:p>
      <w:pPr>
        <w:pStyle w:val="Textoindependiente"/>
        <w:spacing w:line="360" w:lineRule="auto"/>
        <w:jc w:val="both"/>
      </w:pPr>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oMath>
      </ns1:oMathPara>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88"/>
    <w:bookmarkStart w:id="89" w:name="localización-post-hoc-nemenyi"/>
    <w:p>
      <w:pPr>
        <w:pStyle w:val="Ttulo3"/>
        <w:spacing w:line="360" w:lineRule="auto"/>
        <w:jc w:val="both"/>
      </w:pP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oMath>
      </ns1:oMathPara>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89"/>
    <w:bookmarkStart w:id="90" w:name="X82a710d830240cc18776e0ef609d9e71b3f53e7"/>
    <w:p>
      <w:pPr>
        <w:pStyle w:val="Ttulo3"/>
        <w:spacing w:line="360" w:lineRule="auto"/>
        <w:jc w:val="both"/>
      </w:pP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w:t>
      </w:r>
    </w:p>
    <w:p>
      <w:pPr>
        <w:pStyle w:val="Textoindependiente"/>
        <w:spacing w:line="360" w:lineRule="auto"/>
        <w:jc w:val="both"/>
      </w:pPr>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oMath>
      </ns1:oMathPara>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90"/>
    <w:bookmarkStart w:id="92" w:name="control-de-multiplicidad"/>
    <w:p>
      <w:pPr>
        <w:pStyle w:val="Ttulo3"/>
        <w:spacing w:line="360" w:lineRule="auto"/>
        <w:jc w:val="both"/>
      </w:pPr>
      <w:r>
        <w:t xml:space="preserve">Control de multiplicidad</w:t>
      </w:r>
    </w:p>
    <w:p>
      <w:pPr>
        <w:pStyle w:val="FirstParagraph"/>
        <w:spacing w:line="360" w:lineRule="auto"/>
        <w:jc w:val="both"/>
      </w:pPr>
      <w:r>
        <w:t xml:space="preserve">Las pruebas se organizan en tres familias inferenciales independientes, con</w:t>
      </w:r>
      <w:r>
        <w:t xml:space="preserve"> </w:t>
      </w:r>
      <w:r>
        <w:t xml:space="preserve">corrección de Holm-Bonferroni dentro de cada familia:</w:t>
      </w:r>
    </w:p>
    <w:tbl>
      <w:tblPr>
        <w:tblStyle w:val="Table"/>
        <w:tblW w:type="pct" w:w="5000"/>
        <w:tblLayout w:type="fixed"/>
        <w:tblLook w:firstRow="0" w:lastRow="0" w:firstColumn="0" w:lastColumn="0" w:noHBand="0" w:noVBand="0" w:val="0000"/>
      </w:tblPr>
      <w:tblGrid>
        <w:gridCol w:w="7920"/>
      </w:tblGrid>
      <w:tr>
        <w:tc>
          <w:tcPr/>
          <w:bookmarkStart w:id="91" w:name="tbl-stat-plan"/>
          <w:p>
            <w:pPr>
              <w:jc w:val="both"/>
              <w:spacing w:line="360" w:lineRule="auto"/>
            </w:pPr>
            <w:pPr>
              <w:jc w:val="left"/>
              <w:spacing w:before="200"/>
              <w:pStyle w:val="ImageCaption"/>
            </w:pPr>
            <w:r>
              <w:t xml:space="preserve">Table 4.6: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Tests</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Corrección</w:t>
                  </w:r>
                </w:p>
              </w:tc>
            </w:tr>
            <w:tr>
              <w:tc>
                <w:tcPr/>
                <w:p>
                  <w:pPr>
                    <w:pStyle w:val="Compact"/>
                    <w:jc w:val="both"/>
                    <w:jc w:val="center"/>
                    <w:spacing w:line="360" w:lineRule="auto"/>
                  </w:pPr>
                  <w:r>
                    <w:t xml:space="preserve">Friedman (Estudio A)</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A)</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(Estudios A y B)</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91"/>
          <w:p>
            <w:pPr>
              <w:spacing w:line="360" w:lineRule="auto"/>
              <w:jc w:val="both"/>
            </w:pPr>
          </w:p>
        </w:tc>
      </w:tr>
    </w:tbl>
    <w:bookmarkEnd w:id="92"/>
    <w:bookmarkStart w:id="94" w:name="X8d8a6fe44143f1c1b581a8bcb7389a6bd938df3"/>
    <w:p>
      <w:pPr>
        <w:pStyle w:val="Ttulo3"/>
        <w:spacing w:line="360" w:lineRule="auto"/>
        <w:jc w:val="both"/>
      </w:pPr>
      <w:r>
        <w:t xml:space="preserve">Resumen del plan estadístico por hipótesis</w:t>
      </w:r>
    </w:p>
    <w:tbl>
      <w:tblPr>
        <w:tblStyle w:val="Table"/>
        <w:tblW w:type="pct" w:w="5000"/>
        <w:tblLayout w:type="fixed"/>
        <w:tblLook w:firstRow="0" w:lastRow="0" w:firstColumn="0" w:lastColumn="0" w:noHBand="0" w:noVBand="0" w:val="0000"/>
      </w:tblPr>
      <w:tblGrid>
        <w:gridCol w:w="7920"/>
      </w:tblGrid>
      <w:tr>
        <w:tc>
          <w:tcPr/>
          <w:bookmarkStart w:id="93" w:name="tbl-hypo-plan"/>
          <w:p>
            <w:pPr>
              <w:jc w:val="both"/>
              <w:spacing w:line="360" w:lineRule="auto"/>
            </w:pPr>
            <w:pPr>
              <w:jc w:val="left"/>
              <w:spacing w:before="200"/>
              <w:pStyle w:val="ImageCaption"/>
            </w:pPr>
            <w:r>
              <w:t xml:space="preserve">Table 4.7: Plan de decisiones estadísticas por hipótesis.</w:t>
            </w:r>
          </w:p>
          <w:tbl>
            <w:tblPr>
              <w:tblStyle w:val="Table"/>
              <w:tblW w:type="pct" w:w="5000"/>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t xml:space="preserve">Hipótesis</w:t>
                  </w:r>
                </w:p>
              </w:tc>
              <w:tc>
                <w:tcPr/>
                <w:p>
                  <w:pPr>
                    <w:pStyle w:val="Compact"/>
                    <w:jc w:val="both"/>
                    <w:jc w:val="center"/>
                    <w:spacing w:line="360" w:lineRule="auto"/>
                  </w:pPr>
                  <w:r>
                    <w:t xml:space="preserve">Test</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93"/>
          <w:p>
            <w:pPr>
              <w:spacing w:line="360" w:lineRule="auto"/>
              <w:jc w:val="both"/>
            </w:pPr>
          </w:p>
        </w:tc>
      </w:tr>
    </w:tbl>
    <w:bookmarkEnd w:id="94"/>
    <w:bookmarkEnd w:id="95"/>
    <w:bookmarkStart w:id="97" w:name="amenazas-a-la-validez"/>
    <w:p>
      <w:pPr>
        <w:pStyle w:val="Ttulo2"/>
        <w:spacing w:line="360" w:lineRule="auto"/>
        <w:jc w:val="both"/>
      </w:pP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tblLayout w:type="fixed"/>
        <w:tblLook w:firstRow="0" w:lastRow="0" w:firstColumn="0" w:lastColumn="0" w:noHBand="0" w:noVBand="0" w:val="0000"/>
      </w:tblPr>
      <w:tblGrid>
        <w:gridCol w:w="7920"/>
      </w:tblGrid>
      <w:tr>
        <w:tc>
          <w:tcPr/>
          <w:bookmarkStart w:id="96" w:name="tbl-validity-threats"/>
          <w:p>
            <w:pPr>
              <w:jc w:val="both"/>
              <w:spacing w:line="360" w:lineRule="auto"/>
            </w:pPr>
            <w:pPr>
              <w:jc w:val="left"/>
              <w:spacing w:before="200"/>
              <w:pStyle w:val="ImageCaption"/>
            </w:pPr>
            <w:r>
              <w:t xml:space="preserve">Table 4.8: Amenazas a la validez, controles y riesgo residual.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Amenaza principal</w:t>
                  </w:r>
                </w:p>
              </w:tc>
              <w:tc>
                <w:tcPr/>
                <w:p>
                  <w:pPr>
                    <w:pStyle w:val="Compact"/>
                    <w:jc w:val="both"/>
                    <w:jc w:val="center"/>
                    <w:spacing w:line="360" w:lineRule="auto"/>
                  </w:pPr>
                  <w:r>
                    <w:t xml:space="preserve">Control aplicado</w:t>
                  </w:r>
                </w:p>
              </w:tc>
              <w:tc>
                <w:tcPr/>
                <w:p>
                  <w:pPr>
                    <w:pStyle w:val="Compact"/>
                    <w:jc w:val="both"/>
                    <w:jc w:val="center"/>
                    <w:spacing w:line="360" w:lineRule="auto"/>
                  </w:pPr>
                  <w: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w:t>
                  </w:r>
                </w:p>
              </w:tc>
              <w:tc>
                <w:tcPr/>
                <w:p>
                  <w:pPr>
                    <w:pStyle w:val="Compact"/>
                    <w:jc w:val="both"/>
                    <w:jc w:val="center"/>
                    <w:spacing w:line="360" w:lineRule="auto"/>
                  </w:pPr>
                  <w:r>
                    <w:t xml:space="preserve">Definición previa de fidelidad, estabilidad, parsimonia, brecha y coste como proxies functionally-grounded</w:t>
                  </w:r>
                </w:p>
              </w:tc>
              <w:tc>
                <w:tcPr/>
                <w:p>
                  <w:pPr>
                    <w:pStyle w:val="Compact"/>
                    <w:jc w:val="both"/>
                    <w:jc w:val="center"/>
                    <w:spacing w:line="360" w:lineRule="auto"/>
                  </w:pPr>
                  <w:r>
                    <w:t xml:space="preserve">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w:t>
                  </w:r>
                </w:p>
              </w:tc>
              <w:tc>
                <w:tcPr/>
                <w:p>
                  <w:pPr>
                    <w:pStyle w:val="Compact"/>
                    <w:jc w:val="both"/>
                    <w:jc w:val="center"/>
                    <w:spacing w:line="360" w:lineRule="auto"/>
                  </w:pPr>
                  <w:r>
                    <w:t xml:space="preserve">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96"/>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97"/>
    <w:bookmarkStart w:id="98" w:name="trazabilidad-y-reproducibilidad"/>
    <w:p>
      <w:pPr>
        <w:pStyle w:val="Ttulo2"/>
        <w:spacing w:line="360" w:lineRule="auto"/>
        <w:jc w:val="both"/>
      </w:pP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10.5281/zenodo.21538180</w:t>
      </w:r>
      <w:r>
        <w:t xml:space="preserve"> </w:t>
      </w:r>
      <w:r>
        <w:t xml:space="preserve">(commit</w:t>
      </w:r>
      <w:r>
        <w:t xml:space="preserve"> </w:t>
      </w:r>
      <w:r>
        <w:rPr>
          <w:rStyle w:val="VerbatimChar"/>
        </w:rPr>
        <w:t xml:space="preserve">553f65d71b077ec181ad36da7bb6e7c9942fe116</w:t>
      </w:r>
      <w:r>
        <w:t xml:space="preserve">,</w:t>
      </w:r>
      <w:r>
        <w:t xml:space="preserve"> </w:t>
      </w:r>
      <w:r>
        <w:t xml:space="preserve">2026-07-24), que es el corte de evidencia efectivamente reportado en el</w:t>
      </w:r>
      <w:r>
        <w:t xml:space="preserve"> </w:t>
      </w:r>
      <w:r>
        <w:t xml:space="preserve">Capítulo 4: 299 artefactos comprometidos y 275 ejecuciones analizables tras la</w:t>
      </w:r>
      <w:r>
        <w:t xml:space="preserve"> </w:t>
      </w:r>
      <w:r>
        <w:t xml:space="preserve">superposición de recuperación. El DOI de concepto</w:t>
      </w:r>
      <w:r>
        <w:t xml:space="preserve"> </w:t>
      </w:r>
      <w:r>
        <w:rPr>
          <w:rStyle w:val="VerbatimChar"/>
        </w:rPr>
        <w:t xml:space="preserve">10.5281/zenodo.19297723</w:t>
      </w:r>
      <w:r>
        <w:t xml:space="preserve"> </w:t>
      </w:r>
      <w:r>
        <w:t xml:space="preserve">resuelve siempre a la versión más reciente. La</w:t>
      </w:r>
      <w:r>
        <w:t xml:space="preserve"> </w:t>
      </w:r>
      <w:r>
        <w:t xml:space="preserve">instantánea previa</w:t>
      </w:r>
      <w:r>
        <w:t xml:space="preserve"> </w:t>
      </w:r>
      <w:r>
        <w:rPr>
          <w:rStyle w:val="VerbatimChar"/>
        </w:rPr>
        <w:t xml:space="preserve">10.5281/zenodo.19297724</w:t>
      </w:r>
      <w:r>
        <w:t xml:space="preserve"> </w:t>
      </w:r>
      <w:r>
        <w:t xml:space="preserve">(abril de 2026) permanece</w:t>
      </w:r>
      <w:r>
        <w:t xml:space="preserve"> </w:t>
      </w:r>
      <w:r>
        <w:t xml:space="preserve">archivada por procedencia, pero es anterior a la superposición de recuperación</w:t>
      </w:r>
      <w:r>
        <w:t xml:space="preserve"> </w:t>
      </w:r>
      <w:r>
        <w:t xml:space="preserve">y no corresponde a las cifras reportadas aquí.</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bookmarkEnd w:id="98"/>
    <w:bookmarkStart w:id="101" w:name="sec-estudios-complementarios"/>
    <w:p>
      <w:pPr>
        <w:pStyle w:val="Ttulo2"/>
        <w:spacing w:line="360" w:lineRule="auto"/>
        <w:jc w:val="both"/>
      </w:pPr>
      <w:r>
        <w:t xml:space="preserve">Estudios complementarios: EXP3 y EXP4</w:t>
      </w:r>
    </w:p>
    <w:p>
      <w:pPr>
        <w:pStyle w:val="FirstParagraph"/>
        <w:spacing w:line="360" w:lineRule="auto"/>
        <w:jc w:val="both"/>
      </w:pPr>
      <w:r>
        <w:t xml:space="preserve">El diseño experimental principal comprende las fases EXP1 y EXP2 descritas en</w:t>
      </w:r>
      <w:r>
        <w:t xml:space="preserve"> </w:t>
      </w:r>
      <w:r>
        <w:t xml:space="preserve">las secciones anteriores. Dos estudios complementarios amplían el alcance de la</w:t>
      </w:r>
      <w:r>
        <w:t xml:space="preserve"> </w:t>
      </w:r>
      <w:r>
        <w:t xml:space="preserve">evidencia sin alterar el protocolo confirmativo: EXP3 extiende la validación</w:t>
      </w:r>
      <w:r>
        <w:t xml:space="preserve"> </w:t>
      </w:r>
      <w:r>
        <w:t xml:space="preserve">de fidelidad a datasets adicionales y EXP4 cuantifica la fiabilidad de los</w:t>
      </w:r>
      <w:r>
        <w:t xml:space="preserve"> </w:t>
      </w:r>
      <w:r>
        <w:t xml:space="preserve">evaluadores semánticos LLM como instrumento de medición.</w:t>
      </w:r>
    </w:p>
    <w:bookmarkStart w:id="99" w:name="sec-exp3-diseno"/>
    <w:p>
      <w:pPr>
        <w:pStyle w:val="Ttulo3"/>
        <w:spacing w:line="360" w:lineRule="auto"/>
        <w:jc w:val="both"/>
      </w:pPr>
      <w:r>
        <w:t xml:space="preserve">EXP3: Validación cruzada de fidelidad en datasets adicionales</w:t>
      </w:r>
    </w:p>
    <w:p>
      <w:pPr>
        <w:pStyle w:val="FirstParagraph"/>
        <w:spacing w:line="360" w:lineRule="auto"/>
        <w:jc w:val="both"/>
      </w:pPr>
      <w:r>
        <w:t xml:space="preserve">EXP3 replica parcialmente los ordenamientos de fidelidad fuera del dataset</w:t>
      </w:r>
      <w:r>
        <w:t xml:space="preserve"> </w:t>
      </w:r>
      <w:r>
        <w:t xml:space="preserve">primario mediante dos datasets tabulares de clasificación binaria:</w:t>
      </w:r>
    </w:p>
    <w:p>
      <w:pPr>
        <w:pStyle w:val="Compact"/>
        <w:numPr>
          <w:ilvl w:val="0"/>
          <w:numId w:val="1011"/>
        </w:numPr>
        <w:spacing w:line="360" w:lineRule="auto"/>
        <w:jc w:val="both"/>
      </w:pPr>
      <w:r>
        <w:rPr>
          <w:b/>
          <w:bCs/>
        </w:rPr>
        <w:t xml:space="preserve">Breast Cancer Wisconsin</w:t>
      </w:r>
      <w:r>
        <w:t xml:space="preserve"> </w:t>
      </w:r>
      <w:r>
        <w:t xml:space="preserve">(Dua and Graff 2019)</w:t>
      </w:r>
      <w:r>
        <w:t xml:space="preserve">:</w:t>
      </w:r>
      <w:r>
        <w:t xml:space="preserve"> </w:t>
      </w:r>
      <ns1:oMath>
        <ns1:r>
          <ns1:t>n</ns1:t>
        </ns1:r>
        <ns1:r>
          <ns1:rPr>
            <ns1:sty ns1:val="p"/>
          </ns1:rPr>
          <ns1:t>=</ns1:t>
        </ns1:r>
        <ns1:r>
          <ns1:t>569</ns1:t>
        </ns1:r>
      </ns1:oMath>
      <w:r>
        <w:t xml:space="preserve"> </w:t>
      </w:r>
      <w:r>
        <w:t xml:space="preserve">instancias, 30</w:t>
      </w:r>
      <w:r>
        <w:t xml:space="preserve"> </w:t>
      </w:r>
      <w:r>
        <w:t xml:space="preserve">características numéricas continuas (sin categóricas), clasificación binaria</w:t>
      </w:r>
      <w:r>
        <w:t xml:space="preserve"> </w:t>
      </w:r>
      <w:r>
        <w:t xml:space="preserve">maligno/benigno.</w:t>
      </w:r>
    </w:p>
    <w:p>
      <w:pPr>
        <w:pStyle w:val="Compact"/>
        <w:numPr>
          <w:ilvl w:val="0"/>
          <w:numId w:val="1011"/>
        </w:numPr>
        <w:spacing w:line="360" w:lineRule="auto"/>
        <w:jc w:val="both"/>
      </w:pPr>
      <w:r>
        <w:rPr>
          <w:b/>
          <w:bCs/>
        </w:rPr>
        <w:t xml:space="preserve">German Credit</w:t>
      </w:r>
      <w:r>
        <w:t xml:space="preserve"> </w:t>
      </w:r>
      <w:r>
        <w:t xml:space="preserve">(Dua and Graff 2019)</w:t>
      </w:r>
      <w:r>
        <w:t xml:space="preserve">:</w:t>
      </w:r>
      <w:r>
        <w:t xml:space="preserve"> </w:t>
      </w:r>
      <ns1:oMath>
        <ns1:r>
          <ns1:t>n</ns1:t>
        </ns1:r>
        <ns1:r>
          <ns1:rPr>
            <ns1:sty ns1:val="p"/>
          </ns1:rPr>
          <ns1:t>=</ns1:t>
        </ns1:r>
        <ns1:r>
          <ns1:t>1</ns1:t>
        </ns1:r>
        <ns1:r>
          <ns1:rPr>
            <ns1:sty ns1:val="p"/>
          </ns1:rPr>
          <ns1:t>,</ns1:t>
        </ns1:r>
        <ns1:r>
          <ns1:t>000</ns1:t>
        </ns1:r>
      </ns1:oMath>
      <w:r>
        <w:t xml:space="preserve"> </w:t>
      </w:r>
      <w:r>
        <w:t xml:space="preserve">instancias, 20 características</w:t>
      </w:r>
      <w:r>
        <w:t xml:space="preserve"> </w:t>
      </w:r>
      <w:r>
        <w:t xml:space="preserve">(mixtas numéricas y codificadas), clasificación binaria crédito-bueno/malo.</w:t>
      </w:r>
    </w:p>
    <w:p>
      <w:pPr>
        <w:pStyle w:val="FirstParagraph"/>
        <w:spacing w:line="360" w:lineRule="auto"/>
        <w:jc w:val="both"/>
      </w:pPr>
      <w:r>
        <w:t xml:space="preserve">El diseño base de EXP3 cruza dos modelos (Random Forest y XGBoost), tres</w:t>
      </w:r>
      <w:r>
        <w:t xml:space="preserve"> </w:t>
      </w:r>
      <w:r>
        <w:t xml:space="preserve">semillas (</w:t>
      </w:r>
      <ns1:oMath>
        <ns1:r>
          <ns1:rPr>
            <ns1:sty ns1:val="p"/>
          </ns1:rPr>
          <ns1:t>{</ns1:t>
        </ns1:r>
        <ns1:r>
          <ns1:t>42</ns1:t>
        </ns1:r>
        <ns1:r>
          <ns1:rPr>
            <ns1:sty ns1:val="p"/>
          </ns1:rPr>
          <ns1:t>,</ns1:t>
        </ns1:r>
        <ns1:r>
          <ns1:t>123</ns1:t>
        </ns1:r>
        <ns1:r>
          <ns1:rPr>
            <ns1:sty ns1:val="p"/>
          </ns1:rPr>
          <ns1:t>,</ns1:t>
        </ns1:r>
        <ns1:r>
          <ns1:t>456</ns1:t>
        </ns1:r>
        <ns1:r>
          <ns1:rPr>
            <ns1:sty ns1:val="p"/>
          </ns1:rPr>
          <ns1:t>}</ns1:t>
        </ns1:r>
      </ns1:oMath>
      <w:r>
        <w:t xml:space="preserve">) y los dos datasets, produciendo</w:t>
      </w:r>
      <w:r>
        <w:t xml:space="preserve"> </w:t>
      </w:r>
      <ns1:oMath>
        <ns1:r>
          <ns1:t>2</ns1:t>
        </ns1:r>
        <ns1:r>
          <ns1:rPr>
            <ns1:sty ns1:val="p"/>
          </ns1:rPr>
          <ns1:t>×</ns1:t>
        </ns1:r>
        <ns1:r>
          <ns1:t>2</ns1:t>
        </ns1:r>
        <ns1:r>
          <ns1:rPr>
            <ns1:sty ns1:val="p"/>
          </ns1:rPr>
          <ns1:t>×</ns1:t>
        </ns1:r>
        <ns1:r>
          <ns1:t>3</ns1:t>
        </ns1:r>
        <ns1:r>
          <ns1:rPr>
            <ns1:sty ns1:val="p"/>
          </ns1:rPr>
          <ns1:t>=</ns1:t>
        </ns1:r>
        <ns1:r>
          <ns1:t>12</ns1:t>
        </ns1:r>
      </ns1:oMath>
      <w:r>
        <w:t xml:space="preserve"> </w:t>
      </w:r>
      <w:r>
        <w:t xml:space="preserve">comparaciones pareadas SHAP–Anchors. La métrica evaluada es</w:t>
      </w:r>
      <w:r>
        <w:t xml:space="preserve"> </w:t>
      </w:r>
      <w:r>
        <w:t xml:space="preserve">fidelidad con la misma operacionalización que EXP2</w:t>
      </w:r>
      <w:r>
        <w:t xml:space="preserve"> </w:t>
      </w:r>
      <w:r>
        <w:t xml:space="preserve">(correlación importancias–enmascaramiento). Una extensión posterior incorporó</w:t>
      </w:r>
      <w:r>
        <w:t xml:space="preserve"> </w:t>
      </w:r>
      <w:r>
        <w:t xml:space="preserve">LIME en los mismos datasets y modelos, reportando fidelidad y estabilidad de</w:t>
      </w:r>
      <w:r>
        <w:t xml:space="preserve"> </w:t>
      </w:r>
      <w:r>
        <w:t xml:space="preserve">LIME bajo el protocolo EXP2. Sin embargo, la estabilidad de SHAP no fue</w:t>
      </w:r>
      <w:r>
        <w:t xml:space="preserve"> </w:t>
      </w:r>
      <w:r>
        <w:t xml:space="preserve">instrumentada en esa extensión, por lo que EXP3 proporciona validación</w:t>
      </w:r>
      <w:r>
        <w:t xml:space="preserve"> </w:t>
      </w:r>
      <w:r>
        <w:t xml:space="preserve">cross-dataset parcial de los ordenamientos de fidelidad, pero no un contraste</w:t>
      </w:r>
      <w:r>
        <w:t xml:space="preserve"> </w:t>
      </w:r>
      <w:r>
        <w:t xml:space="preserve">pareado SHAP-LIME completo de estabilidad fuera de UCI Adult Income.</w:t>
      </w:r>
    </w:p>
    <w:bookmarkEnd w:id="99"/>
    <w:bookmarkStart w:id="100" w:name="sec-exp4-diseno"/>
    <w:p>
      <w:pPr>
        <w:pStyle w:val="Ttulo3"/>
        <w:spacing w:line="360" w:lineRule="auto"/>
        <w:jc w:val="both"/>
      </w:pPr>
      <w:r>
        <w:t xml:space="preserve">EXP4: Estudio de fiabilidad de jueces LLM para evaluación semántica</w:t>
      </w:r>
    </w:p>
    <w:p>
      <w:pPr>
        <w:pStyle w:val="FirstParagraph"/>
        <w:spacing w:line="360" w:lineRule="auto"/>
        <w:jc w:val="both"/>
      </w:pPr>
      <w:r>
        <w:t xml:space="preserve">EXP4 es un estudio de calibración empírica cuyo propósito es cuantificar la</w:t>
      </w:r>
      <w:r>
        <w:t xml:space="preserve"> </w:t>
      </w:r>
      <w:r>
        <w:t xml:space="preserve">convergencia inter-juez de evaluadores LLM sobre explicaciones del corpus</w:t>
      </w:r>
      <w:r>
        <w:t xml:space="preserve"> </w:t>
      </w:r>
      <w:r>
        <w:t xml:space="preserve">experimental de EXP2. Su función en la tesis es proporcionar evidencia</w:t>
      </w:r>
      <w:r>
        <w:t xml:space="preserve"> </w:t>
      </w:r>
      <w:r>
        <w:t xml:space="preserve">cuantitativa de la brecha de evaluación semántica identificada en la taxonomía</w:t>
      </w:r>
      <w:r>
        <w:t xml:space="preserve"> </w:t>
      </w:r>
      <w:r>
        <w:t xml:space="preserve">del Capítulo 5 (Brecha 3: la evaluación semántica crece más rápido que su base</w:t>
      </w:r>
      <w:r>
        <w:t xml:space="preserve"> </w:t>
      </w:r>
      <w:r>
        <w:t xml:space="preserve">de validación empírica).</w:t>
      </w:r>
    </w:p>
    <w:p>
      <w:pPr>
        <w:pStyle w:val="Textoindependiente"/>
        <w:spacing w:line="360" w:lineRule="auto"/>
        <w:jc w:val="both"/>
      </w:pPr>
      <w:r>
        <w:rPr>
          <w:b/>
          <w:bCs/>
        </w:rPr>
        <w:t xml:space="preserve">Muestra.</w:t>
      </w:r>
      <w:r>
        <w:t xml:space="preserve"> </w:t>
      </w:r>
      <w:r>
        <w:t xml:space="preserve">Se seleccionaron</w:t>
      </w:r>
      <w:r>
        <w:t xml:space="preserve"> </w:t>
      </w:r>
      <ns1:oMath>
        <ns1:r>
          <ns1:t>n</ns1:t>
        </ns1:r>
        <ns1:r>
          <ns1:rPr>
            <ns1:sty ns1:val="p"/>
          </ns1:rPr>
          <ns1:t>=</ns1:t>
        </ns1:r>
        <ns1:r>
          <ns1:t>147</ns1:t>
        </ns1:r>
      </ns1:oMath>
      <w:r>
        <w:t xml:space="preserve"> </w:t>
      </w:r>
      <w:r>
        <w:t xml:space="preserve">pares de salidas de explicación del</w:t>
      </w:r>
      <w:r>
        <w:t xml:space="preserve"> </w:t>
      </w:r>
      <w:r>
        <w:t xml:space="preserve">corpus EXP2, estratificados para representar los cinco modelos y los cuatro</w:t>
      </w:r>
      <w:r>
        <w:t xml:space="preserve"> </w:t>
      </w:r>
      <w:r>
        <w:t xml:space="preserve">métodos explicadores. Cada par contiene la salida de texto de dos explicaciones</w:t>
      </w:r>
      <w:r>
        <w:t xml:space="preserve"> </w:t>
      </w:r>
      <w:r>
        <w:t xml:space="preserve">sobre la misma instancia o configuración comparable.</w:t>
      </w:r>
    </w:p>
    <w:p>
      <w:pPr>
        <w:pStyle w:val="Textoindependiente"/>
        <w:spacing w:line="360" w:lineRule="auto"/>
        <w:jc w:val="both"/>
      </w:pPr>
      <w:r>
        <w:rPr>
          <w:b/>
          <w:bCs/>
        </w:rPr>
        <w:t xml:space="preserve">Jueces.</w:t>
      </w:r>
      <w:r>
        <w:t xml:space="preserve"> </w:t>
      </w:r>
      <w:r>
        <w:t xml:space="preserve">Tres jueces LLM independientes puntuaron cada par de forma</w:t>
      </w:r>
      <w:r>
        <w:t xml:space="preserve"> </w:t>
      </w:r>
      <w:r>
        <w:t xml:space="preserve">ciega (sin conocer la puntuación de los otros jueces) sobre siete dimensiones</w:t>
      </w:r>
      <w:r>
        <w:t xml:space="preserve"> </w:t>
      </w:r>
      <w:r>
        <w:t xml:space="preserve">semánticas estructuradas mediante una rúbrica de escala 1–5 por dimensión</w:t>
      </w:r>
      <w:r>
        <w:t xml:space="preserve"> </w:t>
      </w:r>
      <w:r>
        <w:t xml:space="preserve">(las siete dimensiones se enumeran en la Tabla</w:t>
      </w:r>
      <w:r>
        <w:t xml:space="preserve"> </w:t>
      </w:r>
      <w:hyperlink w:anchor="tbl-exp4-icc">
        <w:r>
          <w:rPr>
            <w:rStyle w:val="Hipervnculo"/>
          </w:rPr>
          <w:t xml:space="preserve">Table 6.3</w:t>
        </w:r>
      </w:hyperlink>
      <w:r>
        <w:t xml:space="preserve"> </w:t>
      </w:r>
      <w:r>
        <w:t xml:space="preserve">del Capítulo 5).</w:t>
      </w:r>
    </w:p>
    <w:p>
      <w:pPr>
        <w:pStyle w:val="Textoindependiente"/>
        <w:spacing w:line="360" w:lineRule="auto"/>
        <w:jc w:val="both"/>
      </w:pPr>
      <w:r>
        <w:rPr>
          <w:b/>
          <w:bCs/>
        </w:rPr>
        <w:t xml:space="preserve">Análisis.</w:t>
      </w:r>
      <w:r>
        <w:t xml:space="preserve"> </w:t>
      </w:r>
      <w:r>
        <w:t xml:space="preserve">La fiabilidad inter-juez se cuantifica mediante la correlación</w:t>
      </w:r>
      <w:r>
        <w:t xml:space="preserve"> </w:t>
      </w:r>
      <w:r>
        <w:t xml:space="preserve">intraclase ICC(2,1) —modelo de efectos aleatorios bidireccionales, concordancia</w:t>
      </w:r>
      <w:r>
        <w:t xml:space="preserve"> </w:t>
      </w:r>
      <w:r>
        <w:t xml:space="preserve">absoluta— y el</w:t>
      </w:r>
      <w:r>
        <w:t xml:space="preserve"> </w:t>
      </w:r>
      <ns1:oMath>
        <ns1:r>
          <ns1:t>α</ns1:t>
        </ns1:r>
      </ns1:oMath>
      <w:r>
        <w:t xml:space="preserve"> </w:t>
      </w:r>
      <w:r>
        <w:t xml:space="preserve">de Krippendorff. El umbral de fiabilidad aceptable es</w:t>
      </w:r>
      <w:r>
        <w:t xml:space="preserve"> </w:t>
      </w:r>
      <ns1:oMath>
        <ns1:r>
          <ns1:rPr>
            <ns1:sty ns1:val="p"/>
          </ns1:rPr>
          <ns1:t>≥</ns1:t>
        </ns1:r>
        <ns1:r>
          <ns1:t>0.75</ns1:t>
        </ns1:r>
      </ns1:oMath>
      <w:r>
        <w:t xml:space="preserve"> </w:t>
      </w:r>
      <w:r>
        <w:t xml:space="preserve">(Koo and Li 2016)</w:t>
      </w:r>
      <w:r>
        <w:t xml:space="preserve">, que corresponde a la categoría</w:t>
      </w:r>
      <w:r>
        <w:t xml:space="preserve"> </w:t>
      </w:r>
      <w:r>
        <w:rPr>
          <w:i/>
          <w:iCs/>
        </w:rPr>
        <w:t xml:space="preserve">good</w:t>
      </w:r>
      <w:r>
        <w:t xml:space="preserve"> </w:t>
      </w:r>
      <w:r>
        <w:t xml:space="preserve">o superior según</w:t>
      </w:r>
      <w:r>
        <w:t xml:space="preserve"> </w:t>
      </w:r>
      <w:r>
        <w:t xml:space="preserve">los criterios de</w:t>
      </w:r>
      <w:r>
        <w:t xml:space="preserve"> </w:t>
      </w:r>
      <w:r>
        <w:t xml:space="preserve">Koo and Li (2016)</w:t>
      </w:r>
      <w:r>
        <w:t xml:space="preserve">.</w:t>
      </w:r>
    </w:p>
    <w:p>
      <w:pPr>
        <w:pStyle w:val="Textoindependiente"/>
        <w:spacing w:line="360" w:lineRule="auto"/>
        <w:jc w:val="both"/>
      </w:pPr>
      <w:r>
        <w:rPr>
          <w:b/>
          <w:bCs/>
        </w:rPr>
        <w:t xml:space="preserve">Alcance.</w:t>
      </w:r>
      <w:r>
        <w:t xml:space="preserve"> </w:t>
      </w:r>
      <w:r>
        <w:t xml:space="preserve">EXP4 evalúa la fiabilidad del instrumento de medición semántico,</w:t>
      </w:r>
      <w:r>
        <w:t xml:space="preserve"> </w:t>
      </w:r>
      <w:r>
        <w:t xml:space="preserve">no la calidad de los métodos explicadores. Sus resultados no modifican las</w:t>
      </w:r>
      <w:r>
        <w:t xml:space="preserve"> </w:t>
      </w:r>
      <w:r>
        <w:t xml:space="preserve">conclusiones confirmativas de H1–H3; aportan evidencia sobre el diseño de</w:t>
      </w:r>
      <w:r>
        <w:t xml:space="preserve"> </w:t>
      </w:r>
      <w:r>
        <w:t xml:space="preserve">rúbricas para evaluación semántica futura. EXP4 tiene carácter exploratorio y</w:t>
      </w:r>
      <w:r>
        <w:t xml:space="preserve"> </w:t>
      </w:r>
      <w:r>
        <w:t xml:space="preserve">no genera hipótesis confirmativas propias; su resultado se clasifica como</w:t>
      </w:r>
      <w:r>
        <w:t xml:space="preserve"> </w:t>
      </w:r>
      <w:r>
        <w:t xml:space="preserve">proposición de calibración P2 (Capítulo 6).</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Los estudios complementarios EXP3 y</w:t>
      </w:r>
      <w:r>
        <w:t xml:space="preserve"> </w:t>
      </w:r>
      <w:r>
        <w:t xml:space="preserve">EXP4 amplían la evidencia disponible sin alterar el protocolo confirmativo</w:t>
      </w:r>
      <w:r>
        <w:t xml:space="preserve"> </w:t>
      </w:r>
      <w:r>
        <w:t xml:space="preserve">central. El Capítulo 4 presenta los resultados de H1, H2, H3 y P1; el Capítulo 5</w:t>
      </w:r>
      <w:r>
        <w:t xml:space="preserve"> </w:t>
      </w:r>
      <w:r>
        <w:t xml:space="preserve">incorpora los resultados de EXP4 como componente empírico de la taxonomía.</w:t>
      </w:r>
    </w:p>
    <w:bookmarkEnd w:id="100"/>
    <w:bookmarkEnd w:id="101"/>
    <w:bookmarkEnd w:id="102"/>
    <w:bookmarkStart w:id="160" w:name="resultados-y-discusión"/>
    <w:p>
      <w:pPr>
        <w:pStyle w:val="Ttulo1"/>
        <w:spacing w:line="360" w:lineRule="auto"/>
        <w:jc w:val="both"/>
      </w:pPr>
      <w:r>
        <w:t xml:space="preserve">Resultados y discusión</w:t>
      </w:r>
    </w:p>
    <w:p>
      <w:pPr>
        <w:pStyle w:val="FirstParagraph"/>
        <w:spacing w:line="360" w:lineRule="auto"/>
        <w:jc w:val="both"/>
      </w:pPr>
      <w:r>
        <w:t xml:space="preserve">Este capítulo presenta los resultados empíricos de los Estudios A y B del</w:t>
      </w:r>
      <w:r>
        <w:t xml:space="preserve"> </w:t>
      </w:r>
      <w:r>
        <w:t xml:space="preserve">benchmark XAI, organizados conforme a las hipótesis y proposición de trabajo</w:t>
      </w:r>
      <w:r>
        <w:t xml:space="preserve"> </w:t>
      </w:r>
      <w:r>
        <w:t xml:space="preserve">establecidas en el Capítulo 1. La exposición sigue la secuencia lógica del</w:t>
      </w:r>
      <w:r>
        <w:t xml:space="preserve"> </w:t>
      </w:r>
      <w:r>
        <w:t xml:space="preserve">protocolo FOM-7: primero se documentan los resultados del análisis omnibus</w:t>
      </w:r>
      <w:r>
        <w:t xml:space="preserve"> </w:t>
      </w:r>
      <w:r>
        <w:t xml:space="preserve">(Estudio A), luego el análisis pareado SHAP-LIME (Estudio B), y finalmente</w:t>
      </w:r>
      <w:r>
        <w:t xml:space="preserve"> </w:t>
      </w:r>
      <w:r>
        <w:t xml:space="preserve">la verificación de la proposición de reproducibilidad (P1). La discusión</w:t>
      </w:r>
      <w:r>
        <w:t xml:space="preserve"> </w:t>
      </w:r>
      <w:r>
        <w:t xml:space="preserve">integradora al final del capítulo articula los hallazgos con la literatura y</w:t>
      </w:r>
      <w:r>
        <w:t xml:space="preserve"> </w:t>
      </w:r>
      <w:r>
        <w:t xml:space="preserve">deriva criterios operativos de selección de 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04" w:name="X265f56e886428ba30debc49e85dcc5a7469d3ae"/>
    <w:p>
      <w:pPr>
        <w:pStyle w:val="Ttulo2"/>
        <w:spacing w:line="360" w:lineRule="auto"/>
        <w:jc w:val="both"/>
      </w:pP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2"/>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2"/>
        </w:numPr>
        <w:spacing w:line="360" w:lineRule="auto"/>
        <w:jc w:val="both"/>
      </w:pPr>
      <w:r>
        <w:rPr>
          <w:b/>
          <w:bCs/>
        </w:rPr>
        <w:t xml:space="preserve">LIME</w:t>
      </w:r>
      <w:r>
        <w:t xml:space="preserve">: 75 de 75 celdas (100%). Cobertura completa.</w:t>
      </w:r>
    </w:p>
    <w:p>
      <w:pPr>
        <w:numPr>
          <w:ilvl w:val="0"/>
          <w:numId w:val="1012"/>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2"/>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Table 5.1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tblLayout w:type="fixed"/>
        <w:tblLook w:firstRow="0" w:lastRow="0" w:firstColumn="0" w:lastColumn="0" w:noHBand="0" w:noVBand="0" w:val="0000"/>
      </w:tblPr>
      <w:tblGrid>
        <w:gridCol w:w="7920"/>
      </w:tblGrid>
      <w:tr>
        <w:tc>
          <w:tcPr/>
          <w:bookmarkStart w:id="103" w:name="tbl-results-overview"/>
          <w:p>
            <w:pPr>
              <w:jc w:val="both"/>
              <w:spacing w:line="360" w:lineRule="auto"/>
            </w:pPr>
            <w:pPr>
              <w:jc w:val="left"/>
              <w:spacing w:before="200"/>
              <w:pStyle w:val="ImageCaption"/>
            </w:pPr>
            <w:r>
              <w:t xml:space="preserve">Table 5.1: Resumen auditable de hipótesis, pruebas y decisiones.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Test</w:t>
                  </w:r>
                </w:p>
              </w:tc>
              <w:tc>
                <w:tcPr/>
                <w:p>
                  <w:pPr>
                    <w:pStyle w:val="Compact"/>
                    <w:jc w:val="both"/>
                    <w:jc w:val="center"/>
                    <w:spacing w:line="360" w:lineRule="auto"/>
                  </w:pPr>
                  <w:r>
                    <w:t xml:space="preserve">Unidad /</w:t>
                  </w:r>
                  <w:r>
                    <w:t xml:space="preserve"> </w:t>
                  </w:r>
                  <ns1:oMath>
                    <ns1:r>
                      <ns1:t>n</ns1:t>
                    </ns1:r>
                  </ns1:oMath>
                </w:p>
              </w:tc>
              <w:tc>
                <w:tcPr/>
                <w:p>
                  <w:pPr>
                    <w:pStyle w:val="Compact"/>
                    <w:jc w:val="both"/>
                    <w:jc w:val="center"/>
                    <w:spacing w:line="360" w:lineRule="auto"/>
                  </w:pPr>
                  <w: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Efecto</w:t>
                  </w:r>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0.936</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SHAP supera a Anchors/DiCE y LIME supera a DiCE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0.904</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03"/>
          <w:p>
            <w:pPr>
              <w:spacing w:line="360" w:lineRule="auto"/>
              <w:jc w:val="both"/>
            </w:pPr>
          </w:p>
        </w:tc>
      </w:tr>
    </w:tbl>
    <w:bookmarkEnd w:id="104"/>
    <w:bookmarkStart w:id="110" w:name="sec-estudio-a"/>
    <w:p>
      <w:pPr>
        <w:pStyle w:val="Ttulo2"/>
        <w:spacing w:line="360" w:lineRule="auto"/>
        <w:jc w:val="both"/>
      </w:pPr>
      <w:r>
        <w:t xml:space="preserve">Estudio A: Análisis omnibus multimétrico (H1 y H2)</w:t>
      </w:r>
    </w:p>
    <w:bookmarkStart w:id="107" w:name="X41be5df394949178755daa825e68dc45d5470c0"/>
    <w:p>
      <w:pPr>
        <w:pStyle w:val="Ttulo3"/>
        <w:spacing w:line="360" w:lineRule="auto"/>
        <w:jc w:val="both"/>
      </w:pP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oMath>
      </ns1:oMathPara>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tblLayout w:type="fixed"/>
        <w:tblLook w:firstRow="0" w:lastRow="0" w:firstColumn="0" w:lastColumn="0" w:noHBand="0" w:noVBand="0" w:val="0000"/>
      </w:tblPr>
      <w:tblGrid>
        <w:gridCol w:w="7920"/>
      </w:tblGrid>
      <w:tr>
        <w:tc>
          <w:tcPr/>
          <w:bookmarkStart w:id="105" w:name="tbl-friedman-fidelity"/>
          <w:p>
            <w:pPr>
              <w:jc w:val="both"/>
              <w:spacing w:line="360" w:lineRule="auto"/>
            </w:pPr>
            <w:pPr>
              <w:jc w:val="left"/>
              <w:spacing w:before="200"/>
              <w:pStyle w:val="ImageCaption"/>
            </w:pPr>
            <w:r>
              <w:t xml:space="preserve">Table 5.2: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05"/>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oMath>
      </ns1:oMathPara>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tblLayout w:type="fixed"/>
        <w:tblLook w:firstRow="0" w:lastRow="0" w:firstColumn="0" w:lastColumn="0" w:noHBand="0" w:noVBand="0" w:val="0000"/>
      </w:tblPr>
      <w:tblGrid>
        <w:gridCol w:w="7920"/>
      </w:tblGrid>
      <w:tr>
        <w:tc>
          <w:tcPr/>
          <w:bookmarkStart w:id="106" w:name="tbl-nemenyi-fidelity"/>
          <w:p>
            <w:pPr>
              <w:jc w:val="both"/>
              <w:spacing w:line="360" w:lineRule="auto"/>
            </w:pPr>
            <w:pPr>
              <w:jc w:val="left"/>
              <w:spacing w:before="200"/>
              <w:pStyle w:val="ImageCaption"/>
            </w:pPr>
            <w:r>
              <w:t xml:space="preserve">Table 5.3: Comparaciones post-hoc de Nemenyi para fidelidad.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p>
              </w:tc>
              <w:tc>
                <w:tcPr/>
                <w:p>
                  <w:pPr>
                    <w:pStyle w:val="Compact"/>
                    <w:jc w:val="both"/>
                    <w:spacing w:line="360" w:lineRule="auto"/>
                  </w:pPr>
                  <w:r>
                    <w:t xml:space="preserve">CD</w:t>
                  </w:r>
                </w:p>
              </w:tc>
              <w:tc>
                <w:tcPr/>
                <w:p>
                  <w:pPr>
                    <w:pStyle w:val="Compact"/>
                    <w:jc w:val="both"/>
                    <w:spacing w:line="360" w:lineRule="auto"/>
                  </w:pPr>
                  <w: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06"/>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 pareado</w:t>
      </w:r>
      <w:r>
        <w:t xml:space="preserve"> </w:t>
      </w:r>
      <w:r>
        <w:t xml:space="preserve">SHAP–LIME del Estudio B.</w:t>
      </w:r>
    </w:p>
    <w:bookmarkEnd w:id="107"/>
    <w:bookmarkStart w:id="109" w:name="X117d71016dd8839ee57c9e60cc09d0400ac5f3d"/>
    <w:p>
      <w:pPr>
        <w:pStyle w:val="Ttulo3"/>
        <w:spacing w:line="360" w:lineRule="auto"/>
        <w:jc w:val="both"/>
      </w:pP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un margen de seguridad de:</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oMath>
      </ns1:oMathPara>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tblLayout w:type="fixed"/>
        <w:tblLook w:firstRow="0" w:lastRow="0" w:firstColumn="0" w:lastColumn="0" w:noHBand="0" w:noVBand="0" w:val="0000"/>
      </w:tblPr>
      <w:tblGrid>
        <w:gridCol w:w="7920"/>
      </w:tblGrid>
      <w:tr>
        <w:tc>
          <w:tcPr/>
          <w:bookmarkStart w:id="108" w:name="tbl-friedman-stability"/>
          <w:p>
            <w:pPr>
              <w:jc w:val="both"/>
              <w:spacing w:line="360" w:lineRule="auto"/>
            </w:pPr>
            <w:pPr>
              <w:jc w:val="left"/>
              <w:spacing w:before="200"/>
              <w:pStyle w:val="ImageCaption"/>
            </w:pPr>
            <w:r>
              <w:t xml:space="preserve">Table 5.4: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08"/>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3"/>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3"/>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09"/>
    <w:bookmarkEnd w:id="110"/>
    <w:bookmarkStart w:id="114" w:name="sec-estudio-b"/>
    <w:p>
      <w:pPr>
        <w:pStyle w:val="Ttulo2"/>
        <w:spacing w:line="360" w:lineRule="auto"/>
        <w:jc w:val="both"/>
      </w:pPr>
      <w:r>
        <w:t xml:space="preserve">Estudio B: Análisis pareado SHAP-LIME y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12" w:name="diferencias-en-métricas-de-calidad"/>
    <w:p>
      <w:pPr>
        <w:pStyle w:val="Ttulo3"/>
        <w:spacing w:line="360" w:lineRule="auto"/>
        <w:jc w:val="both"/>
      </w:pP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tblLayout w:type="fixed"/>
        <w:tblLook w:firstRow="0" w:lastRow="0" w:firstColumn="0" w:lastColumn="0" w:noHBand="0" w:noVBand="0" w:val="0000"/>
      </w:tblPr>
      <w:tblGrid>
        <w:gridCol w:w="7920"/>
      </w:tblGrid>
      <w:tr>
        <w:tc>
          <w:tcPr/>
          <w:bookmarkStart w:id="111" w:name="tbl-paired-shap-lime"/>
          <w:p>
            <w:pPr>
              <w:jc w:val="both"/>
              <w:spacing w:line="360" w:lineRule="auto"/>
            </w:pPr>
            <w:pPr>
              <w:jc w:val="left"/>
              <w:spacing w:before="200"/>
              <w:pStyle w:val="ImageCaption"/>
            </w:pPr>
            <w:r>
              <w:t xml:space="preserve">Table 5.5: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t xml:space="preserve">Métrica</w:t>
                  </w:r>
                </w:p>
              </w:tc>
              <w:tc>
                <w:tcPr/>
                <w:p>
                  <w:pPr>
                    <w:pStyle w:val="Compact"/>
                    <w:jc w:val="both"/>
                    <w:spacing w:line="360" w:lineRule="auto"/>
                  </w:pPr>
                  <ns1:oMath>
                    <ns1:acc>
                      <ns1:accPr>
                        <ns1:chr ns1:val="‾"/>
                      </ns1:accPr>
                      <ns1:e>
                        <ns1:r>
                          <ns1:t>d</ns1:t>
                        </ns1:r>
                      </ns1:e>
                    </ns1:acc>
                  </ns1:oMath>
                </w:p>
              </w:tc>
              <w:tc>
                <w:tcPr/>
                <w:p>
                  <w:pPr>
                    <w:pStyle w:val="Compact"/>
                    <w:jc w:val="both"/>
                    <w:spacing w:line="360" w:lineRule="auto"/>
                  </w:pPr>
                  <ns1:oMath>
                    <ns1:sSub>
                      <ns1:e>
                        <ns1:r>
                          <ns1:t>s</ns1:t>
                        </ns1:r>
                      </ns1:e>
                      <ns1:sub>
                        <ns1:r>
                          <ns1:t>d</ns1:t>
                        </ns1:r>
                      </ns1:sub>
                    </ns1:sSub>
                  </ns1:oMath>
                </w:p>
              </w:tc>
              <w:tc>
                <w:tcPr/>
                <w:p>
                  <w:pPr>
                    <w:pStyle w:val="Compact"/>
                    <w:jc w:val="both"/>
                    <w:spacing w:line="360" w:lineRule="auto"/>
                  </w:pPr>
                  <ns1:oMath>
                    <ns1:sSub>
                      <ns1:e>
                        <ns1:r>
                          <ns1:t>d</ns1:t>
                        </ns1:r>
                      </ns1:e>
                      <ns1:sub>
                        <ns1:r>
                          <ns1:t>z</ns1:t>
                        </ns1:r>
                      </ns1:sub>
                    </ns1:sSub>
                  </ns1:oMath>
                </w:p>
              </w:tc>
              <w:tc>
                <w:tcPr/>
                <w:p>
                  <w:pPr>
                    <w:pStyle w:val="Compact"/>
                    <w:jc w:val="both"/>
                    <w:spacing w:line="360" w:lineRule="auto"/>
                  </w:pPr>
                  <w:r>
                    <w:t xml:space="preserve">Pos.</w:t>
                  </w:r>
                </w:p>
              </w:tc>
              <w:tc>
                <w:tcPr/>
                <w:p>
                  <w:pPr>
                    <w:pStyle w:val="Compact"/>
                    <w:jc w:val="both"/>
                    <w:spacing w:line="360" w:lineRule="auto"/>
                  </w:pPr>
                  <w:r>
                    <w:t xml:space="preserve">Neg.</w:t>
                  </w:r>
                </w:p>
              </w:tc>
              <w:tc>
                <w:tcPr/>
                <w:p>
                  <w:pPr>
                    <w:pStyle w:val="Compact"/>
                    <w:jc w:val="both"/>
                    <w:spacing w:line="360" w:lineRule="auto"/>
                  </w:pPr>
                  <ns1:oMath>
                    <ns1:r>
                      <ns1:t>n</ns1:t>
                    </ns1:r>
                  </ns1:oMath>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11"/>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12"/>
    <w:bookmarkStart w:id="113" w:name="X2c15e0a178907c68bf437d0d85cae845d1c590b"/>
    <w:p>
      <w:pPr>
        <w:pStyle w:val="Ttulo3"/>
        <w:spacing w:line="360" w:lineRule="auto"/>
        <w:jc w:val="both"/>
      </w:pP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13"/>
    <w:bookmarkEnd w:id="114"/>
    <w:bookmarkStart w:id="116" w:name="sec-p1"/>
    <w:p>
      <w:pPr>
        <w:pStyle w:val="Ttulo2"/>
        <w:spacing w:line="360" w:lineRule="auto"/>
        <w:jc w:val="both"/>
      </w:pP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tblLayout w:type="fixed"/>
        <w:tblLook w:firstRow="0" w:lastRow="0" w:firstColumn="0" w:lastColumn="0" w:noHBand="0" w:noVBand="0" w:val="0000"/>
      </w:tblPr>
      <w:tblGrid>
        <w:gridCol w:w="7920"/>
      </w:tblGrid>
      <w:tr>
        <w:tc>
          <w:tcPr/>
          <w:bookmarkStart w:id="115" w:name="tbl-cv-p1"/>
          <w:p>
            <w:pPr>
              <w:jc w:val="both"/>
              <w:spacing w:line="360" w:lineRule="auto"/>
            </w:pPr>
            <w:pPr>
              <w:jc w:val="left"/>
              <w:spacing w:before="200"/>
              <w:pStyle w:val="ImageCaption"/>
            </w:pPr>
            <w:r>
              <w:t xml:space="preserve">Table 5.6: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Métrica</w:t>
                  </w:r>
                </w:p>
              </w:tc>
              <w:tc>
                <w:tcPr/>
                <w:p>
                  <w:pPr>
                    <w:pStyle w:val="Compact"/>
                    <w:jc w:val="both"/>
                    <w:spacing w:line="360" w:lineRule="auto"/>
                  </w:pPr>
                  <w:r>
                    <w:t xml:space="preserve">Media</w:t>
                  </w:r>
                </w:p>
              </w:tc>
              <w:tc>
                <w:tcPr/>
                <w:p>
                  <w:pPr>
                    <w:pStyle w:val="Compact"/>
                    <w:jc w:val="both"/>
                    <w:spacing w:line="360" w:lineRule="auto"/>
                  </w:pPr>
                  <w:r>
                    <w:t xml:space="preserve">Desv. típica</w:t>
                  </w:r>
                </w:p>
              </w:tc>
              <w:tc>
                <w:tcPr/>
                <w:p>
                  <w:pPr>
                    <w:pStyle w:val="Compact"/>
                    <w:jc w:val="both"/>
                    <w:spacing w:line="360" w:lineRule="auto"/>
                  </w:pPr>
                  <w:r>
                    <w:t xml:space="preserve">CV (%)</w:t>
                  </w:r>
                </w:p>
              </w:tc>
              <w:tc>
                <w:tcPr/>
                <w:p>
                  <w:pPr>
                    <w:pStyle w:val="Compact"/>
                    <w:jc w:val="both"/>
                    <w:spacing w:line="360" w:lineRule="auto"/>
                  </w:pPr>
                  <w: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15"/>
          <w:p>
            <w:pPr>
              <w:spacing w:line="360" w:lineRule="auto"/>
              <w:jc w:val="both"/>
            </w:pPr>
          </w:p>
        </w:tc>
      </w:tr>
    </w:tbl>
    <w:p>
      <w:pPr>
        <w:pStyle w:val="Textoindependiente"/>
        <w:spacing w:line="360" w:lineRule="auto"/>
        <w:jc w:val="both"/>
      </w:pPr>
      <w:r>
        <w:rPr>
          <w:i/>
          <w:iCs/>
        </w:rPr>
        <w:t xml:space="preserve">Nota de alcance:</w:t>
      </w:r>
      <w:r>
        <w:t xml:space="preserve"> </w:t>
      </w:r>
      <w:r>
        <w:t xml:space="preserve">El valor de estabilidad de SHAP (0.948) corresponde exclusivamente al subgrupo RF/</w:t>
      </w:r>
      <ns1:oMath>
        <ns1:r>
          <ns1:t>N</ns1:t>
        </ns1:r>
        <ns1:r>
          <ns1:rPr>
            <ns1:sty ns1:val="p"/>
          </ns1:rPr>
          <ns1:t>=</ns1:t>
        </ns1:r>
        <ns1:r>
          <ns1:t>100</ns1:t>
        </ns1:r>
      </ns1:oMath>
      <w:r>
        <w:t xml:space="preserve"> </w:t>
      </w:r>
      <w:r>
        <w:t xml:space="preserve">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estructural del método, no</w:t>
      </w:r>
      <w:r>
        <w:t xml:space="preserve"> </w:t>
      </w:r>
      <w:r>
        <w:t xml:space="preserve">de la irreproducibilidad del protocolo.</w:t>
      </w:r>
    </w:p>
    <w:p>
      <w:pPr>
        <w:pStyle w:val="Textoindependiente"/>
        <w:spacing w:line="360" w:lineRule="auto"/>
        <w:jc w:val="both"/>
      </w:pPr>
      <w:r>
        <w:t xml:space="preserve">Para la generalización global, el CV en fidelidad para todos los métodos y</w:t>
      </w:r>
      <w:r>
        <w:t xml:space="preserve"> </w:t>
      </w:r>
      <w:r>
        <w:t xml:space="preserve">modelos oscila entre 12.0% (LIME) y 12.8% (SHAP), confirmando que la</w:t>
      </w:r>
      <w:r>
        <w:t xml:space="preserve"> </w:t>
      </w:r>
      <w:r>
        <w:t xml:space="preserve">variabilidad métrica debida a la aleatoriedad de la semilla es controlada y</w:t>
      </w:r>
      <w:r>
        <w:t xml:space="preserve"> </w:t>
      </w:r>
      <w:r>
        <w:t xml:space="preserve">uniforme.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16"/>
    <w:bookmarkStart w:id="121" w:name="sec-perfiles"/>
    <w:p>
      <w:pPr>
        <w:pStyle w:val="Ttulo2"/>
        <w:spacing w:line="360" w:lineRule="auto"/>
        <w:jc w:val="both"/>
      </w:pP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17" w:name="shap"/>
    <w:p>
      <w:pPr>
        <w:pStyle w:val="Ttulo3"/>
        <w:spacing w:line="360" w:lineRule="auto"/>
        <w:jc w:val="both"/>
      </w:pP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las 75 ejecuciones calificadas son:</w:t>
      </w:r>
      <w:r>
        <w:t xml:space="preserve"> </w:t>
      </w:r>
      <w:r>
        <w:t xml:space="preserve">fidelidad = 0.808, estabilidad = 0.732, parsimonia = 0.226, brecha de</w:t>
      </w:r>
      <w:r>
        <w:t xml:space="preserve"> </w:t>
      </w:r>
      <w:r>
        <w:t xml:space="preserve">fidelidad = 0.380, coste = 11,708 ms. El ratio activo más alto de todos los</w:t>
      </w:r>
      <w:r>
        <w:t xml:space="preserve"> </w:t>
      </w:r>
      <w:r>
        <w:t xml:space="preserve">métodos (0.226 frente a 0.085 de LIME) refleja que SHAP puede distribuir</w:t>
      </w:r>
      <w:r>
        <w:t xml:space="preserve"> </w:t>
      </w:r>
      <w:r>
        <w:t xml:space="preserve">importancias entre un mayor número de características cuando el modelo así lo</w:t>
      </w:r>
      <w:r>
        <w:t xml:space="preserve"> </w:t>
      </w:r>
      <w:r>
        <w:t xml:space="preserve">requiere, lo que es un reflejo adecuado de la complejidad real del modelo; por</w:t>
      </w:r>
      <w:r>
        <w:t xml:space="preserve"> </w:t>
      </w:r>
      <w:r>
        <w:t xml:space="preserve">la dirección de la métrica (§sec-metricas), esto significa que SHAP es el</w:t>
      </w:r>
      <w:r>
        <w:t xml:space="preserve"> </w:t>
      </w:r>
      <w:r>
        <w:t xml:space="preserve">método</w:t>
      </w:r>
      <w:r>
        <w:t xml:space="preserve"> </w:t>
      </w:r>
      <w:r>
        <w:rPr>
          <w:i/>
          <w:iCs/>
        </w:rPr>
        <w:t xml:space="preserve">menos</w:t>
      </w:r>
      <w:r>
        <w:t xml:space="preserve"> </w:t>
      </w:r>
      <w:r>
        <w:t xml:space="preserve">parsimonioso del benchmark.</w:t>
      </w:r>
    </w:p>
    <w:p>
      <w:pPr>
        <w:pStyle w:val="Textoindependiente"/>
        <w:spacing w:line="360" w:lineRule="auto"/>
        <w:jc w:val="both"/>
      </w:pPr>
      <w:r>
        <w:t xml:space="preserve">El coste es la dimensión adversa de SHAP. Todas las cifras de coste de esta</w:t>
      </w:r>
      <w:r>
        <w:t xml:space="preserve"> </w:t>
      </w:r>
      <w:r>
        <w:t xml:space="preserve">sección son medias por instancia agregadas a nivel de ejecución</w:t>
      </w:r>
      <w:r>
        <w:t xml:space="preserve"> </w:t>
      </w:r>
      <w:r>
        <w:t xml:space="preserve">(instancia → ejecución), la misma unidad usada en los contrastes pareados. La</w:t>
      </w:r>
      <w:r>
        <w:t xml:space="preserve"> </w:t>
      </w:r>
      <w:r>
        <w:t xml:space="preserve">media de 11,708 ms esconde una distribución fuertemente asimétrica: la mediana</w:t>
      </w:r>
      <w:r>
        <w:t xml:space="preserve"> </w:t>
      </w:r>
      <w:r>
        <w:t xml:space="preserve">por ejecución es de solo 684 ms, y la heterogeneidad entre familias de modelos</w:t>
      </w:r>
      <w:r>
        <w:t xml:space="preserve"> </w:t>
      </w:r>
      <w:r>
        <w:t xml:space="preserve">alcanza tres órdenes de magnitud —para XGBoost, TreeSHAP opera en ~21 ms de</w:t>
      </w:r>
      <w:r>
        <w:t xml:space="preserve"> </w:t>
      </w:r>
      <w:r>
        <w:t xml:space="preserve">media (mediana 18 ms), mientras que KernelSHAP sobre SVM requiere ~54,231 ms.</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(0.882),</w:t>
      </w:r>
      <w:r>
        <w:t xml:space="preserve"> </w:t>
      </w:r>
      <w:r>
        <w:t xml:space="preserve">donde la linealidad o la estructura de margen del modelo facilita la aproximación</w:t>
      </w:r>
      <w:r>
        <w:t xml:space="preserve"> </w:t>
      </w:r>
      <w:r>
        <w:t xml:space="preserve">local por valores de Shapley. Las fidelidades más bajas se registran en MLP</w:t>
      </w:r>
      <w:r>
        <w:t xml:space="preserve"> </w:t>
      </w:r>
      <w:r>
        <w:t xml:space="preserve">(0.725) y RF (0.729), coherente con la complejidad de sus superficies de</w:t>
      </w:r>
      <w:r>
        <w:t xml:space="preserve"> </w:t>
      </w:r>
      <w:r>
        <w:t xml:space="preserve">decisión. XGBoost presenta el balance óptimo calidad-coste: fidelidad 0.759 con</w:t>
      </w:r>
      <w:r>
        <w:t xml:space="preserve"> </w:t>
      </w:r>
      <w:r>
        <w:t xml:space="preserve">un coste medio de 21 ms.</w:t>
      </w:r>
    </w:p>
    <w:bookmarkEnd w:id="117"/>
    <w:bookmarkStart w:id="118" w:name="lime"/>
    <w:p>
      <w:pPr>
        <w:pStyle w:val="Ttulo3"/>
        <w:spacing w:line="360" w:lineRule="auto"/>
        <w:jc w:val="both"/>
      </w:pPr>
      <w:r>
        <w:t xml:space="preserve">LIME</w:t>
      </w:r>
    </w:p>
    <w:p>
      <w:pPr>
        <w:pStyle w:val="FirstParagraph"/>
        <w:spacing w:line="360" w:lineRule="auto"/>
        <w:jc w:val="both"/>
      </w:pPr>
      <w:r>
        <w:t xml:space="preserve">LIME es el método más económico en coste (media 3,661 ms, mediana por ejecución</w:t>
      </w:r>
      <w:r>
        <w:t xml:space="preserve"> </w:t>
      </w:r>
      <w:r>
        <w:t xml:space="preserve">65.7 ms, con medias por familia de modelo de 52 ms en MLP a 17,620 ms en SVM),</w:t>
      </w:r>
      <w:r>
        <w:t xml:space="preserve"> </w:t>
      </w:r>
      <w:r>
        <w:t xml:space="preserve">con una fidelidad media moderada (0.560) y ratio activo bajo y consistente</w:t>
      </w:r>
      <w:r>
        <w:t xml:space="preserve"> </w:t>
      </w:r>
      <w:r>
        <w:t xml:space="preserve">(0.085 en todos los modelos, por diseño), es decir, el método más parsimonioso</w:t>
      </w:r>
      <w:r>
        <w:t xml:space="preserve"> </w:t>
      </w:r>
      <w:r>
        <w:t xml:space="preserve">del benchmark.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estructural de LIME es su estabilidad casi nula (0.014).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and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18"/>
    <w:bookmarkStart w:id="119" w:name="anchors"/>
    <w:p>
      <w:pPr>
        <w:pStyle w:val="Ttulo3"/>
        <w:spacing w:line="360" w:lineRule="auto"/>
        <w:jc w:val="both"/>
      </w:pPr>
      <w:r>
        <w:t xml:space="preserve">Anchors</w:t>
      </w:r>
    </w:p>
    <w:p>
      <w:pPr>
        <w:pStyle w:val="FirstParagraph"/>
        <w:spacing w:line="360" w:lineRule="auto"/>
        <w:jc w:val="both"/>
      </w:pPr>
      <w:r>
        <w:t xml:space="preserve">Anchors tiene una cobertura de solo 57 celdas calificadas (76.0%), lo que</w:t>
      </w:r>
      <w:r>
        <w:t xml:space="preserve"> </w:t>
      </w:r>
      <w:r>
        <w:t xml:space="preserve">refleja que en los estratos de mayor incertidumbre el algoritmo de búsqueda de</w:t>
      </w:r>
      <w:r>
        <w:t xml:space="preserve"> </w:t>
      </w:r>
      <w:r>
        <w:t xml:space="preserve">reglas no converge a una regla con la precisión mínima exigida. Sobre los bloques</w:t>
      </w:r>
      <w:r>
        <w:t xml:space="preserve"> </w:t>
      </w:r>
      <w:r>
        <w:t xml:space="preserve">calificados, la fidelidad media es 0.388 y la estabilidad 0.052, ambas</w:t>
      </w:r>
      <w:r>
        <w:t xml:space="preserve"> </w:t>
      </w:r>
      <w:r>
        <w:t xml:space="preserve">inferiores a las de SHAP y LIME. El coste es el más elevado del benchmark y muy</w:t>
      </w:r>
      <w:r>
        <w:t xml:space="preserve"> </w:t>
      </w:r>
      <w:r>
        <w:t xml:space="preserve">variable: media global de 38,159 ms, con medias por familia de modelo desde</w:t>
      </w:r>
      <w:r>
        <w:t xml:space="preserve"> </w:t>
      </w:r>
      <w:r>
        <w:t xml:space="preserve">2,918 ms para logreg hasta 48,955 ms para RF y 57,705 ms para XGBoost.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19"/>
    <w:bookmarkStart w:id="120" w:name="dice"/>
    <w:p>
      <w:pPr>
        <w:pStyle w:val="Ttulo3"/>
        <w:spacing w:line="360" w:lineRule="auto"/>
        <w:jc w:val="both"/>
      </w:pP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Su coste medio</w:t>
      </w:r>
      <w:r>
        <w:t xml:space="preserve"> </w:t>
      </w:r>
      <w:r>
        <w:t xml:space="preserve">(28,209 ms; mediana por ejecución 11,880 ms) lo sitúa por debajo de Anchors</w:t>
      </w:r>
      <w:r>
        <w:t xml:space="preserve"> </w:t>
      </w:r>
      <w:r>
        <w:t xml:space="preserve">(38,159 ms) pero muy por encima de SHAP y LIME.</w:t>
      </w:r>
    </w:p>
    <w:bookmarkEnd w:id="120"/>
    <w:bookmarkEnd w:id="121"/>
    <w:bookmarkStart w:id="124" w:name="sec-transversal"/>
    <w:p>
      <w:pPr>
        <w:pStyle w:val="Ttulo2"/>
        <w:spacing w:line="360" w:lineRule="auto"/>
        <w:jc w:val="both"/>
      </w:pPr>
      <w:r>
        <w:t xml:space="preserve">Análisis transversal: efecto del modelo base y del tamaño de muestra</w:t>
      </w:r>
    </w:p>
    <w:bookmarkStart w:id="122" w:name="Xd0dc4cebb30e80d859f681a41b6366a7a2cd5a6"/>
    <w:p>
      <w:pPr>
        <w:pStyle w:val="Ttulo3"/>
        <w:spacing w:line="360" w:lineRule="auto"/>
        <w:jc w:val="both"/>
      </w:pP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Todas las</w:t>
      </w:r>
      <w:r>
        <w:t xml:space="preserve"> </w:t>
      </w:r>
      <w:r>
        <w:t xml:space="preserve">cifras de este apartado son medias por familia de modelo sobre las ejecuciones</w:t>
      </w:r>
      <w:r>
        <w:t xml:space="preserve"> </w:t>
      </w:r>
      <w:r>
        <w:t xml:space="preserve">calificadas (semillas y tamaños de muestra agregados); los valores de celda</w:t>
      </w:r>
      <w:r>
        <w:t xml:space="preserve"> </w:t>
      </w:r>
      <w:r>
        <w:t xml:space="preserve">única correspondientes a los estudios de sensibilidad se reportan por separado</w:t>
      </w:r>
      <w:r>
        <w:t xml:space="preserve"> </w:t>
      </w:r>
      <w:r>
        <w:t xml:space="preserve">en el Apéndice C y no deben leerse como resúmenes por modelo. Las diferencias</w:t>
      </w:r>
      <w:r>
        <w:t xml:space="preserve"> </w:t>
      </w:r>
      <w:r>
        <w:t xml:space="preserve">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con un coste medio de 21 ms (mediana 18 ms). Esto se debe al uso de</w:t>
      </w:r>
      <w:r>
        <w:t xml:space="preserve"> </w:t>
      </w:r>
      <w:r>
        <w:t xml:space="preserve">TreeSHAP</w:t>
      </w:r>
      <w:r>
        <w:t xml:space="preserve"> </w:t>
      </w:r>
      <w:r>
        <w:t xml:space="preserve">(Lundberg 2017)</w:t>
      </w:r>
      <w:r>
        <w:t xml:space="preserve">, que calcula valores exactos de Shapley aprovechando la</w:t>
      </w:r>
      <w:r>
        <w:t xml:space="preserve"> </w:t>
      </w:r>
      <w:r>
        <w:t xml:space="preserve">estructura de árbol y no requiere muestreo ni perturbación. Es la única familia</w:t>
      </w:r>
      <w:r>
        <w:t xml:space="preserve"> </w:t>
      </w:r>
      <w:r>
        <w:t xml:space="preserve">de modelo donde SHAP tiene un coste computacional inferior al de LIME</w:t>
      </w:r>
      <w:r>
        <w:t xml:space="preserve"> </w:t>
      </w:r>
      <w:r>
        <w:t xml:space="preserve">(122 ms de media, mediana 62 ms).</w:t>
      </w:r>
    </w:p>
    <w:p>
      <w:pPr>
        <w:pStyle w:val="Textoindependiente"/>
        <w:spacing w:line="360" w:lineRule="auto"/>
        <w:jc w:val="both"/>
      </w:pPr>
      <w:r>
        <w:rPr>
          <w:b/>
          <w:bCs/>
        </w:rPr>
        <w:t xml:space="preserve">SVM</w:t>
      </w:r>
      <w:r>
        <w:t xml:space="preserve"> </w:t>
      </w:r>
      <w:r>
        <w:t xml:space="preserve">es el modelo con el coste SHAP más elevado (54,231 ms de media).</w:t>
      </w:r>
      <w:r>
        <w:t xml:space="preserve"> </w:t>
      </w:r>
      <w:r>
        <w:t xml:space="preserve">KernelSHAP requiere resolver un problema de optimización cuadrática por</w:t>
      </w:r>
      <w:r>
        <w:t xml:space="preserve"> </w:t>
      </w:r>
      <w:r>
        <w:t xml:space="preserve">instancia, que escala con el número de muestras de referencia; el Apéndice C</w:t>
      </w:r>
      <w:r>
        <w:t xml:space="preserve"> </w:t>
      </w:r>
      <w:r>
        <w:t xml:space="preserve">(</w:t>
      </w:r>
      <w:hyperlink w:anchor="tbl-appendix-shap-sensitivity">
        <w:r>
          <w:rPr>
            <w:rStyle w:val="Hipervnculo"/>
          </w:rPr>
          <w:t xml:space="preserve">Table 7.9</w:t>
        </w:r>
      </w:hyperlink>
      <w:r>
        <w:t xml:space="preserve">) cuantifica ese escalado en una celda concreta</w:t>
      </w:r>
      <w:r>
        <w:t xml:space="preserve"> </w:t>
      </w:r>
      <w:r>
        <w:t xml:space="preserve">(SVM, semilla 42,</w:t>
      </w:r>
      <w:r>
        <w:t xml:space="preserve"> </w:t>
      </w:r>
      <ns1:oMath>
        <ns1:r>
          <ns1:t>N</ns1:t>
        </ns1:r>
        <ns1:r>
          <ns1:rPr>
            <ns1:sty ns1:val="p"/>
          </ns1:rPr>
          <ns1:t>=</ns1:t>
        </ns1:r>
        <ns1:r>
          <ns1:t>100</ns1:t>
        </ns1:r>
      </ns1:oMath>
      <w:r>
        <w:t xml:space="preserve">), donde el coste pasa de 41,233 ms con</w:t>
      </w:r>
      <w:r>
        <w:t xml:space="preserve"> </w:t>
      </w:r>
      <ns1:oMath>
        <ns1:r>
          <ns1:t>k</ns1:t>
        </ns1:r>
        <ns1:r>
          <ns1:rPr>
            <ns1:sty ns1:val="p"/>
          </ns1:rPr>
          <ns1:t>=</ns1:t>
        </ns1:r>
        <ns1:r>
          <ns1:t>25</ns1:t>
        </ns1:r>
      </ns1:oMath>
      <w:r>
        <w:t xml:space="preserve"> </w:t>
      </w:r>
      <w:r>
        <w:t xml:space="preserve">a</w:t>
      </w:r>
      <w:r>
        <w:t xml:space="preserve"> </w:t>
      </w:r>
      <w:r>
        <w:t xml:space="preserve">614,820 ms con</w:t>
      </w:r>
      <w:r>
        <w:t xml:space="preserve"> </w:t>
      </w:r>
      <ns1:oMath>
        <ns1:r>
          <ns1:t>k</ns1:t>
        </ns1:r>
        <ns1:r>
          <ns1:rPr>
            <ns1:sty ns1:val="p"/>
          </ns1:rPr>
          <ns1:t>=</ns1:t>
        </ns1:r>
        <ns1:r>
          <ns1:t>100</ns1:t>
        </ns1:r>
      </ns1:oMath>
      <w:r>
        <w:t xml:space="preserve">. La fidelidad media de SHAP sobre SVM (0.882) es la</w:t>
      </w:r>
      <w:r>
        <w:t xml:space="preserve"> </w:t>
      </w:r>
      <w:r>
        <w:t xml:space="preserve">segunda más alta del benchmark. Para SVM, Anchors también es costoso</w:t>
      </w:r>
      <w:r>
        <w:t xml:space="preserve"> </w:t>
      </w:r>
      <w:r>
        <w:t xml:space="preserve">(37,415 ms de media)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entre los modelos no basados en árboles, un coste SHAP bajo (936 ms de media).</w:t>
      </w:r>
      <w:r>
        <w:t xml:space="preserve"> </w:t>
      </w:r>
      <w:r>
        <w:t xml:space="preserve">La linealidad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SHAP=0.725,</w:t>
      </w:r>
      <w:r>
        <w:t xml:space="preserve"> </w:t>
      </w:r>
      <w:r>
        <w:t xml:space="preserve">LIME=0.541, Anchors=0.299, DiCE=0.026. La complejidad del espacio de gradientes</w:t>
      </w:r>
      <w:r>
        <w:t xml:space="preserve"> </w:t>
      </w:r>
      <w:r>
        <w:t xml:space="preserve">de redes profundas dificulta la aproximación local de cualquier explicador</w:t>
      </w:r>
      <w:r>
        <w:t xml:space="preserve"> </w:t>
      </w:r>
      <w:r>
        <w:t xml:space="preserve">post-hoc. El coste de Anchors sobre MLP (15,564 ms de media) es intermedio</w:t>
      </w:r>
      <w:r>
        <w:t xml:space="preserve"> </w:t>
      </w:r>
      <w:r>
        <w:t xml:space="preserve">dentro de ese método, pero la baja fidelidad restringe su uso como evidencia</w:t>
      </w:r>
      <w:r>
        <w:t xml:space="preserve"> </w:t>
      </w:r>
      <w:r>
        <w:t xml:space="preserve">primaria en auditoría.</w:t>
      </w:r>
    </w:p>
    <w:bookmarkEnd w:id="122"/>
    <w:bookmarkStart w:id="123" w:name="X4b1cce5291d3b83ee4e2fe33ac88be27315f5a8"/>
    <w:p>
      <w:pPr>
        <w:pStyle w:val="Ttulo3"/>
        <w:spacing w:line="360" w:lineRule="auto"/>
        <w:jc w:val="both"/>
      </w:pP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0.809,</w:t>
      </w:r>
      <w:r>
        <w:t xml:space="preserve"> </w:t>
      </w:r>
      <ns1:oMath>
        <ns1:r>
          <ns1:t>N</ns1:t>
        </ns1:r>
        <ns1:r>
          <ns1:rPr>
            <ns1:sty ns1:val="p"/>
          </ns1:rPr>
          <ns1:t>=</ns1:t>
        </ns1:r>
        <ns1:r>
          <ns1:t>100</ns1:t>
        </ns1:r>
      </ns1:oMath>
      <w:r>
        <w:t xml:space="preserve">: 0.809,</w:t>
      </w:r>
      <w:r>
        <w:t xml:space="preserve"> </w:t>
      </w:r>
      <ns1:oMath>
        <ns1:r>
          <ns1:t>N</ns1:t>
        </ns1:r>
        <ns1:r>
          <ns1:rPr>
            <ns1:sty ns1:val="p"/>
          </ns1:rPr>
          <ns1:t>=</ns1:t>
        </ns1:r>
        <ns1:r>
          <ns1:t>200</ns1:t>
        </ns1:r>
      </ns1:oMath>
      <w:r>
        <w:t xml:space="preserve">: 0.807,</w:t>
      </w:r>
      <w:r>
        <w:t xml:space="preserve"> </w:t>
      </w:r>
      <w:r>
        <w:t xml:space="preserve">con diferencias absolutas inferiores a 0.002.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23"/>
    <w:bookmarkEnd w:id="124"/>
    <w:bookmarkStart w:id="126" w:name="sec-trazabilidad-resultados"/>
    <w:p>
      <w:pPr>
        <w:pStyle w:val="Ttulo2"/>
        <w:spacing w:line="360" w:lineRule="auto"/>
        <w:jc w:val="both"/>
      </w:pP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Table 5.7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tblLayout w:type="fixed"/>
        <w:tblLook w:firstRow="0" w:lastRow="0" w:firstColumn="0" w:lastColumn="0" w:noHBand="0" w:noVBand="0" w:val="0000"/>
      </w:tblPr>
      <w:tblGrid>
        <w:gridCol w:w="7920"/>
      </w:tblGrid>
      <w:tr>
        <w:tc>
          <w:tcPr/>
          <w:bookmarkStart w:id="125" w:name="tbl-claim-traceability"/>
          <w:p>
            <w:pPr>
              <w:jc w:val="both"/>
              <w:spacing w:line="360" w:lineRule="auto"/>
            </w:pPr>
            <w:pPr>
              <w:jc w:val="left"/>
              <w:spacing w:before="200"/>
              <w:pStyle w:val="ImageCaption"/>
            </w:pPr>
            <w:r>
              <w:t xml:space="preserve">Table 5.7: Trazabilidad de claims, artefactos y alcance inferencial.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Evidencia en tesis</w:t>
                  </w:r>
                </w:p>
              </w:tc>
              <w:tc>
                <w:tcPr/>
                <w:p>
                  <w:pPr>
                    <w:pStyle w:val="Compact"/>
                    <w:jc w:val="both"/>
                    <w:jc w:val="center"/>
                    <w:spacing w:line="360" w:lineRule="auto"/>
                  </w:pPr>
                  <w:r>
                    <w:t xml:space="preserve">Artefacto fuente</w:t>
                  </w:r>
                </w:p>
              </w:tc>
              <w:tc>
                <w:tcPr/>
                <w:p>
                  <w:pPr>
                    <w:pStyle w:val="Compact"/>
                    <w:jc w:val="both"/>
                    <w:jc w:val="center"/>
                    <w:spacing w:line="360" w:lineRule="auto"/>
                  </w:pPr>
                  <w:r>
                    <w:t xml:space="preserve">Script / proceso</w:t>
                  </w:r>
                </w:p>
              </w:tc>
              <w:tc>
                <w:tcPr/>
                <w:p>
                  <w:pPr>
                    <w:pStyle w:val="Compact"/>
                    <w:jc w:val="both"/>
                    <w:jc w:val="center"/>
                    <w:spacing w:line="360" w:lineRule="auto"/>
                  </w:pPr>
                  <w: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Table 5.2</w:t>
                    </w:r>
                  </w:hyperlink>
                  <w:r>
                    <w:t xml:space="preserve"> </w:t>
                  </w:r>
                  <w:r>
                    <w:t xml:space="preserve">y</w:t>
                  </w:r>
                  <w:r>
                    <w:t xml:space="preserve"> </w:t>
                  </w:r>
                  <w:hyperlink w:anchor="tbl-nemenyi-fidelity">
                    <w:r>
                      <w:rPr>
                        <w:rStyle w:val="Hipervnculo"/>
                      </w:rPr>
                      <w:t xml:space="preserve">Table 5.3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Table 5.4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Table 5.5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Table 5.6</w:t>
                    </w:r>
                  </w:hyperlink>
                </w:p>
              </w:tc>
              <w:tc>
                <w:tcPr/>
                <w:p>
                  <w:pPr>
                    <w:pStyle w:val="Compact"/>
                    <w:jc w:val="both"/>
                    <w:jc w:val="center"/>
                    <w:spacing w:line="360" w:lineRule="auto"/>
                  </w:pPr>
                  <w:r>
                    <w:rPr>
                      <w:rStyle w:val="VerbatimChar"/>
                    </w:rPr>
                    <w:t xml:space="preserve">experiments/exp1_adult/reproducibility/reproducibility_report.csv</w:t>
                  </w:r>
                </w:p>
              </w:tc>
              <w:tc>
                <w:tcPr/>
                <w:p>
                  <w:pPr>
                    <w:pStyle w:val="Compact"/>
                    <w:jc w:val="both"/>
                    <w:jc w:val="center"/>
                    <w:spacing w:line="360" w:lineRule="auto"/>
                  </w:pPr>
                  <w:r>
                    <w:t xml:space="preserve">Ejecuciones EXP1 por semilla</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25"/>
          <w:p>
            <w:pPr>
              <w:spacing w:line="360" w:lineRule="auto"/>
              <w:jc w:val="both"/>
            </w:pPr>
          </w:p>
        </w:tc>
      </w:tr>
    </w:tbl>
    <w:bookmarkEnd w:id="126"/>
    <w:bookmarkStart w:id="155" w:name="sec-visualizaciones-resultados"/>
    <w:p>
      <w:pPr>
        <w:pStyle w:val="Ttulo2"/>
        <w:spacing w:line="360" w:lineRule="auto"/>
        <w:jc w:val="both"/>
      </w:pP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tblLayout w:type="fixed"/>
        <w:tblLook w:firstRow="0" w:lastRow="0" w:firstColumn="0" w:lastColumn="0" w:noHBand="0" w:noVBand="0" w:val="0000"/>
      </w:tblPr>
      <w:tblGrid>
        <w:gridCol w:w="7920"/>
      </w:tblGrid>
      <w:tr>
        <w:tc>
          <w:tcPr/>
          <w:bookmarkStart w:id="130" w:name="fig-estabilidad-coste"/>
          <w:p>
            <w:pPr>
              <w:pStyle w:val="Compact"/>
              <w:jc w:val="both"/>
              <w:spacing w:line="360" w:lineRule="auto"/>
            </w:pPr>
            <w:r>
              <w:drawing>
                <ns2:inline>
                  <ns2:extent cx="5052060" cy="3154709"/>
                  <ns2:effectExtent b="0" l="0" r="0" t="0"/>
                  <ns2:docPr descr="" title="" id="128" name="Picture"/>
                  <ns3:graphic>
                    <ns3:graphicData uri="http://schemas.openxmlformats.org/drawingml/2006/picture">
                      <ns4:pic>
                        <ns4:nvPicPr>
                          <ns4:cNvPr descr="assets/figures/fig_estabilidad_coste_es.png" id="129" name="Picture"/>
                          <ns4:cNvPicPr>
                            <ns3:picLocks noChangeArrowheads="1" noChangeAspect="1"/>
                          </ns4:cNvPicPr>
                        </ns4:nvPicPr>
                        <ns4:blipFill>
                          <ns3:blip ns5:embed="rId127"/>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30"/>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fig-correlacion-metricas"/>
          <w:p>
            <w:pPr>
              <w:pStyle w:val="Compact"/>
              <w:jc w:val="both"/>
              <w:spacing w:line="360" w:lineRule="auto"/>
            </w:pPr>
            <w:r>
              <w:drawing>
                <ns2:inline>
                  <ns2:extent cx="5052060" cy="3860951"/>
                  <ns2:effectExtent b="0" l="0" r="0" t="0"/>
                  <ns2:docPr descr="" title="" id="132" name="Picture"/>
                  <ns3:graphic>
                    <ns3:graphicData uri="http://schemas.openxmlformats.org/drawingml/2006/picture">
                      <ns4:pic>
                        <ns4:nvPicPr>
                          <ns4:cNvPr descr="assets/figures/fig_correlacion_metricas_es.png" id="133" name="Picture"/>
                          <ns4:cNvPicPr>
                            <ns3:picLocks noChangeArrowheads="1" noChangeAspect="1"/>
                          </ns4:cNvPicPr>
                        </ns4:nvPicPr>
                        <ns4:blipFill>
                          <ns3:blip ns5:embed="rId131"/>
                          <ns3:stretch>
                            <ns3:fillRect/>
                          </ns3:stretch>
                        </ns4:blipFill>
                        <ns4:spPr bwMode="auto">
                          <ns3:xfrm>
                            <ns3:off x="0" y="0"/>
                            <ns3:ext cx="5052060" cy="3860951"/>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34"/>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8" w:name="fig-cobertura-exp2"/>
          <w:p>
            <w:pPr>
              <w:pStyle w:val="Compact"/>
              <w:jc w:val="both"/>
              <w:spacing w:line="360" w:lineRule="auto"/>
            </w:pPr>
            <w:r>
              <w:drawing>
                <ns2:inline>
                  <ns2:extent cx="5052060" cy="3412866"/>
                  <ns2:effectExtent b="0" l="0" r="0" t="0"/>
                  <ns2:docPr descr="" title="" id="136" name="Picture"/>
                  <ns3:graphic>
                    <ns3:graphicData uri="http://schemas.openxmlformats.org/drawingml/2006/picture">
                      <ns4:pic>
                        <ns4:nvPicPr>
                          <ns4:cNvPr descr="assets/figures/fig_cobertura_exp2_es.png" id="137" name="Picture"/>
                          <ns4:cNvPicPr>
                            <ns3:picLocks noChangeArrowheads="1" noChangeAspect="1"/>
                          </ns4:cNvPicPr>
                        </ns4:nvPicPr>
                        <ns4:blipFill>
                          <ns3:blip ns5:embed="rId135"/>
                          <ns3:stretch>
                            <ns3:fillRect/>
                          </ns3:stretch>
                        </ns4:blipFill>
                        <ns4:spPr bwMode="auto">
                          <ns3:xfrm>
                            <ns3:off x="0" y="0"/>
                            <ns3:ext cx="5052060" cy="341286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5.3: Cobertura analítica EXP2 por modelo y método. La figura muestra cuántas de</w:t>
            </w:r>
            <w:r>
              <w:t xml:space="preserve"> </w:t>
            </w:r>
            <w:r>
              <w:t xml:space="preserve">las 15 celdas planificadas por combinación superan la auditoría de integridad</w:t>
            </w:r>
            <w:r>
              <w:t xml:space="preserve"> </w:t>
            </w:r>
            <w:r>
              <w:t xml:space="preserve">FOM-7.</w:t>
            </w:r>
          </w:p>
          <w:bookmarkEnd w:id="138"/>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fig-cd-diagram"/>
          <w:p>
            <w:pPr>
              <w:pStyle w:val="Compact"/>
              <w:jc w:val="both"/>
              <w:spacing w:line="360" w:lineRule="auto"/>
            </w:pPr>
            <w:r>
              <w:drawing>
                <ns2:inline>
                  <ns2:extent cx="5646420" cy="1801452"/>
                  <ns2:effectExtent b="0" l="0" r="0" t="0"/>
                  <ns2:docPr descr="" title="" id="140" name="Picture"/>
                  <ns3:graphic>
                    <ns3:graphicData uri="http://schemas.openxmlformats.org/drawingml/2006/picture">
                      <ns4:pic>
                        <ns4:nvPicPr>
                          <ns4:cNvPr descr="assets/figures/fig_cd_diagram_es.png" id="141" name="Picture"/>
                          <ns4:cNvPicPr>
                            <ns3:picLocks noChangeArrowheads="1" noChangeAspect="1"/>
                          </ns4:cNvPicPr>
                        </ns4:nvPicPr>
                        <ns4:blipFill>
                          <ns3:blip ns5:embed="rId139"/>
                          <ns3:stretch>
                            <ns3:fillRect/>
                          </ns3:stretch>
                        </ns4:blipFill>
                        <ns4:spPr bwMode="auto">
                          <ns3:xfrm>
                            <ns3:off x="0" y="0"/>
                            <ns3:ext cx="5646420" cy="1801452"/>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SHAP y LIME forman un grupo</w:t>
            </w:r>
            <w:r>
              <w:t xml:space="preserve"> </w:t>
            </w:r>
            <w:r>
              <w:t xml:space="preserve">indistinguible entre sí, al igual que Anchors y DiCE; ambos grupos son</w:t>
            </w:r>
            <w:r>
              <w:t xml:space="preserve"> </w:t>
            </w:r>
            <w:r>
              <w:t xml:space="preserve">mutuamente distintos. En estabilidad, el reordenamiento es notable: SHAP y DiCE</w:t>
            </w:r>
            <w:r>
              <w:t xml:space="preserve"> </w:t>
            </w:r>
            <w:r>
              <w:t xml:space="preserve">forman el grupo estable, mientras LIME y Anchors son indistinguibles entre sí</w:t>
            </w:r>
            <w:r>
              <w:t xml:space="preserve"> </w:t>
            </w:r>
            <w:r>
              <w:t xml:space="preserve">pero claramente inferiores.</w:t>
            </w:r>
          </w:p>
          <w:bookmarkEnd w:id="142"/>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6" w:name="fig-boxplots-metricas"/>
          <w:p>
            <w:pPr>
              <w:pStyle w:val="Compact"/>
              <w:jc w:val="both"/>
              <w:spacing w:line="360" w:lineRule="auto"/>
            </w:pPr>
            <w:r>
              <w:drawing>
                <ns2:inline>
                  <ns2:extent cx="5646420" cy="2662237"/>
                  <ns2:effectExtent b="0" l="0" r="0" t="0"/>
                  <ns2:docPr descr="" title="" id="144" name="Picture"/>
                  <ns3:graphic>
                    <ns3:graphicData uri="http://schemas.openxmlformats.org/drawingml/2006/picture">
                      <ns4:pic>
                        <ns4:nvPicPr>
                          <ns4:cNvPr descr="assets/figures/fig_boxplots_metricas_es.png" id="145" name="Picture"/>
                          <ns4:cNvPicPr>
                            <ns3:picLocks noChangeArrowheads="1" noChangeAspect="1"/>
                          </ns4:cNvPicPr>
                        </ns4:nvPicPr>
                        <ns4:blipFill>
                          <ns3:blip ns5:embed="rId143"/>
                          <ns3:stretch>
                            <ns3:fillRect/>
                          </ns3:stretch>
                        </ns4:blipFill>
                        <ns4:spPr bwMode="auto">
                          <ns3:xfrm>
                            <ns3:off x="0" y="0"/>
                            <ns3:ext cx="5646420" cy="2662237"/>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(mediana ≈ 0.014),</w:t>
            </w:r>
            <w:r>
              <w:t xml:space="preserve"> </w:t>
            </w:r>
            <w:r>
              <w:t xml:space="preserve">confirmando la inestabilidad estructural del método en todos los bloques del</w:t>
            </w:r>
            <w:r>
              <w:t xml:space="preserve"> </w:t>
            </w:r>
            <w:r>
              <w:t xml:space="preserve">benchmark.</w:t>
            </w:r>
          </w:p>
          <w:bookmarkEnd w:id="146"/>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0" w:name="fig-diferencias-pareadas"/>
          <w:p>
            <w:pPr>
              <w:pStyle w:val="Compact"/>
              <w:jc w:val="both"/>
              <w:spacing w:line="360" w:lineRule="auto"/>
            </w:pPr>
            <w:r>
              <w:drawing>
                <ns2:inline>
                  <ns2:extent cx="5646420" cy="2357586"/>
                  <ns2:effectExtent b="0" l="0" r="0" t="0"/>
                  <ns2:docPr descr="" title="" id="148" name="Picture"/>
                  <ns3:graphic>
                    <ns3:graphicData uri="http://schemas.openxmlformats.org/drawingml/2006/picture">
                      <ns4:pic>
                        <ns4:nvPicPr>
                          <ns4:cNvPr descr="assets/figures/fig_diferencias_pareadas_es.png" id="149" name="Picture"/>
                          <ns4:cNvPicPr>
                            <ns3:picLocks noChangeArrowheads="1" noChangeAspect="1"/>
                          </ns4:cNvPicPr>
                        </ns4:nvPicPr>
                        <ns4:blipFill>
                          <ns3:blip ns5:embed="rId147"/>
                          <ns3:stretch>
                            <ns3:fillRect/>
                          </ns3:stretch>
                        </ns4:blipFill>
                        <ns4:spPr bwMode="auto">
                          <ns3:xfrm>
                            <ns3:off x="0" y="0"/>
                            <ns3:ext cx="5646420" cy="235758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azules indican ventaja de SHAP; las rojas,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rojas confirma que la</w:t>
            </w:r>
            <w:r>
              <w:t xml:space="preserve"> </w:t>
            </w:r>
            <w:r>
              <w:t xml:space="preserve">ventaja de SHAP no es un artefacto de valores</w:t>
            </w:r>
            <w:r>
              <w:t xml:space="preserve"> </w:t>
            </w:r>
            <w:r>
              <w:t xml:space="preserve">atípicos.</w:t>
            </w:r>
          </w:p>
          <w:bookmarkEnd w:id="150"/>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4" w:name="fig-radar-metodos"/>
          <w:p>
            <w:pPr>
              <w:pStyle w:val="Compact"/>
              <w:jc w:val="both"/>
              <w:spacing w:line="360" w:lineRule="auto"/>
            </w:pPr>
            <w:r>
              <w:drawing>
                <ns2:inline>
                  <ns2:extent cx="4160520" cy="3582746"/>
                  <ns2:effectExtent b="0" l="0" r="0" t="0"/>
                  <ns2:docPr descr="" title="" id="152" name="Picture"/>
                  <ns3:graphic>
                    <ns3:graphicData uri="http://schemas.openxmlformats.org/drawingml/2006/picture">
                      <ns4:pic>
                        <ns4:nvPicPr>
                          <ns4:cNvPr descr="assets/figures/fig_radar_metodos_es.png" id="153" name="Picture"/>
                          <ns4:cNvPicPr>
                            <ns3:picLocks noChangeArrowheads="1" noChangeAspect="1"/>
                          </ns4:cNvPicPr>
                        </ns4:nvPicPr>
                        <ns4:blipFill>
                          <ns3:blip ns5:embed="rId151"/>
                          <ns3:stretch>
                            <ns3:fillRect/>
                          </ns3:stretch>
                        </ns4:blipFill>
                        <ns4:spPr bwMode="auto">
                          <ns3:xfrm>
                            <ns3:off x="0" y="0"/>
                            <ns3:ext cx="4160520" cy="358274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LIME en parsimonia y eficiencia de coste; DiCE es intermedio en estabilidad</w:t>
            </w:r>
            <w:r>
              <w:t xml:space="preserve"> </w:t>
            </w:r>
            <w:r>
              <w:t xml:space="preserve">pero muy bajo en fidelidad. Este patrón valida la necesidad del enfoque</w:t>
            </w:r>
            <w:r>
              <w:t xml:space="preserve"> </w:t>
            </w:r>
            <w:r>
              <w:t xml:space="preserve">multi-métrico de FOM-7.</w:t>
            </w:r>
          </w:p>
          <w:bookmarkEnd w:id="154"/>
        </w:tc>
      </w:tr>
    </w:tbl>
    <w:bookmarkEnd w:id="155"/>
    <w:bookmarkStart w:id="159" w:name="sec-discusion"/>
    <w:p>
      <w:pPr>
        <w:pStyle w:val="Ttulo2"/>
        <w:spacing w:line="360" w:lineRule="auto"/>
        <w:jc w:val="both"/>
      </w:pPr>
      <w:r>
        <w:t xml:space="preserve">Discusión</w:t>
      </w:r>
    </w:p>
    <w:bookmarkStart w:id="156" w:name="interpretación-conjunta-de-h1-h2-y-h3"/>
    <w:p>
      <w:pPr>
        <w:pStyle w:val="Ttulo3"/>
        <w:spacing w:line="360" w:lineRule="auto"/>
        <w:jc w:val="both"/>
      </w:pP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56"/>
    <w:bookmarkStart w:id="157" w:name="Xbd024e4a7bd7bf8de011157bde8f5cf667c76a0"/>
    <w:p>
      <w:pPr>
        <w:pStyle w:val="Ttulo3"/>
        <w:spacing w:line="360" w:lineRule="auto"/>
        <w:jc w:val="both"/>
      </w:pP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de fidelidad ≥ 0.80 y estabilidad ≥ 0.70. Para modelos</w:t>
      </w:r>
      <w:r>
        <w:t xml:space="preserve"> </w:t>
      </w:r>
      <w:r>
        <w:t xml:space="preserve">basados en árboles (XGBoost, RF), el coste de TreeSHAP hace esta elección</w:t>
      </w:r>
      <w:r>
        <w:t xml:space="preserve"> </w:t>
      </w:r>
      <w:r>
        <w:t xml:space="preserve">también 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con costes de 3–9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57"/>
    <w:bookmarkStart w:id="158" w:name="X99626a17a471bd5fb48825a2c4d4fcdcb69bcee"/>
    <w:p>
      <w:pPr>
        <w:pStyle w:val="Ttulo3"/>
        <w:spacing w:line="360" w:lineRule="auto"/>
        <w:jc w:val="both"/>
      </w:pP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estructural de LIME, un hallazgo</w:t>
      </w:r>
      <w:r>
        <w:t xml:space="preserve"> </w:t>
      </w:r>
      <w:r>
        <w:t xml:space="preserve">que los estudios basados en fidelidad exclusiva sistemáticamente omiten</w:t>
      </w:r>
      <w:r>
        <w:t xml:space="preserve"> </w:t>
      </w:r>
      <w:r>
        <w:t xml:space="preserve">(Bhattacharya and Verbert 2024)</w:t>
      </w:r>
      <w:r>
        <w:t xml:space="preserve">. En tercer lugar, demuestran que el protocolo FOM-7</w:t>
      </w:r>
      <w:r>
        <w:t xml:space="preserve"> </w:t>
      </w:r>
      <w:r>
        <w:t xml:space="preserve">produce resultados reproducibles (CV &lt; 3% en fidelidad primaria)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construye sobre esta base</w:t>
      </w:r>
      <w:r>
        <w:t xml:space="preserve"> </w:t>
      </w:r>
      <w:r>
        <w:t xml:space="preserve">en dos planos: desarrolla la taxonomía de cuatro ejes que organiza el espacio de</w:t>
      </w:r>
      <w:r>
        <w:t xml:space="preserve"> </w:t>
      </w:r>
      <w:r>
        <w:t xml:space="preserve">métricas de evaluación XAI y hace explícitos los cuadrantes cubiertos y los</w:t>
      </w:r>
      <w:r>
        <w:t xml:space="preserve"> </w:t>
      </w:r>
      <w:r>
        <w:t xml:space="preserve">que quedan como agenda; e incorpora los resultados del Estudio EXP4 como</w:t>
      </w:r>
      <w:r>
        <w:t xml:space="preserve"> </w:t>
      </w:r>
      <w:r>
        <w:t xml:space="preserve">fundamento empírico de la brecha de evaluación semántica que la taxonomía</w:t>
      </w:r>
      <w:r>
        <w:t xml:space="preserve"> </w:t>
      </w:r>
      <w:r>
        <w:t xml:space="preserve">identifica como la más urgente de resolver.</w:t>
      </w:r>
    </w:p>
    <w:bookmarkEnd w:id="158"/>
    <w:bookmarkEnd w:id="159"/>
    <w:bookmarkEnd w:id="160"/>
    <w:bookmarkStart w:id="171" w:name="Xa967782ce714a135dc69dc69099ccfe835ec70b"/>
    <w:p>
      <w:pPr>
        <w:pStyle w:val="Ttulo1"/>
        <w:spacing w:line="360" w:lineRule="auto"/>
        <w:jc w:val="both"/>
      </w:pPr>
      <w:r>
        <w:t xml:space="preserve">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estructural prácticamente nula: similitud coseno media de 0.014 y</w:t>
      </w:r>
      <w:r>
        <w:t xml:space="preserve"> </w:t>
      </w:r>
      <w:r>
        <w:t xml:space="preserve">coeficiente de variación del 86.2% entre explicaciones generadas para la misma</w:t>
      </w:r>
      <w:r>
        <w:t xml:space="preserve"> </w:t>
      </w:r>
      <w:r>
        <w:t xml:space="preserve">instancia con distintas semillas. SHAP, en cambio, mantuvo fidelidad de 0.810</w:t>
      </w:r>
      <w:r>
        <w:t xml:space="preserve"> </w:t>
      </w:r>
      <w:r>
        <w:t xml:space="preserve">y estabilidad de 0.724,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Figure 5.2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(0.085 características activas) y su fidelidad baja (0.412) responden a una</w:t>
      </w:r>
      <w:r>
        <w:t xml:space="preserve"> </w:t>
      </w:r>
      <w:r>
        <w:t xml:space="preserve">lógica distinta a la de SHAP o LIME: DiCE minimiza la perturbación del</w:t>
      </w:r>
      <w:r>
        <w:t xml:space="preserve"> </w:t>
      </w:r>
      <w:r>
        <w:t xml:space="preserve">contrafactual, no la aproximación local al modelo. Que DiCE tenga perfil óptimo</w:t>
      </w:r>
      <w:r>
        <w:t xml:space="preserve"> </w:t>
      </w:r>
      <w:r>
        <w:t xml:space="preserve">en parsimonia y eficiencia, pero deficiente en fidelidad técnica, indica que los</w:t>
      </w:r>
      <w:r>
        <w:t xml:space="preserve"> </w:t>
      </w:r>
      <w:r>
        <w:t xml:space="preserve">ejes de calidad no colapsan sobre un único factor latente. La</w:t>
      </w:r>
      <w:r>
        <w:t xml:space="preserve"> </w:t>
      </w:r>
      <w:hyperlink w:anchor="fig-radar-metodos">
        <w:r>
          <w:rPr>
            <w:rStyle w:val="Hipervnculo"/>
          </w:rPr>
          <w:t xml:space="preserve">Figure 5.7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0.810, LIME: 0.560,</w:t>
      </w:r>
      <w:r>
        <w:t xml:space="preserve"> </w:t>
      </w:r>
      <w:r>
        <w:t xml:space="preserve">Anchors: 0.514, DiCE: 0.412)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C de la tesis: una taxonomía estructurada</w:t>
      </w:r>
      <w:r>
        <w:t xml:space="preserve"> </w:t>
      </w:r>
      <w:r>
        <w:t xml:space="preserve">del espacio de métricas de evaluación XAI. Su función es dar peso conceptual</w:t>
      </w:r>
      <w:r>
        <w:t xml:space="preserve"> </w:t>
      </w:r>
      <w:r>
        <w:t xml:space="preserve">propio a la tercera contribución doctoral. Los capítulos anteriores mostraron</w:t>
      </w:r>
      <w:r>
        <w:t xml:space="preserve"> </w:t>
      </w:r>
      <w:r>
        <w:t xml:space="preserve">que FOM-7 necesita distinguir objetos explicativos, constructos de calidad,</w:t>
      </w:r>
      <w:r>
        <w:t xml:space="preserve"> </w:t>
      </w:r>
      <w:r>
        <w:t xml:space="preserve">fuentes de evidencia y contextos de uso. Este capítulo convierte esa necesidad</w:t>
      </w:r>
      <w:r>
        <w:t xml:space="preserve"> </w:t>
      </w:r>
      <w:r>
        <w:t xml:space="preserve">en una matriz de clasificación que permite interpretar el benchmark y, al mismo</w:t>
      </w:r>
      <w:r>
        <w:t xml:space="preserve"> </w:t>
      </w:r>
      <w:r>
        <w:t xml:space="preserve">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61" w:name="sec-taxonomia-metodo"/>
    <w:p>
      <w:pPr>
        <w:pStyle w:val="Ttulo2"/>
        <w:spacing w:line="360" w:lineRule="auto"/>
        <w:jc w:val="both"/>
      </w:pP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que suman</w:t>
      </w:r>
      <w:r>
        <w:t xml:space="preserve"> </w:t>
      </w:r>
      <w:r>
        <w:rPr>
          <w:b/>
          <w:bCs/>
        </w:rPr>
        <w:t xml:space="preserve">47 referencias</w:t>
      </w:r>
      <w:r>
        <w:rPr>
          <w:b/>
          <w:bCs/>
        </w:rPr>
        <w:t xml:space="preserve"> </w:t>
      </w:r>
      <w:r>
        <w:rPr>
          <w:b/>
          <w:bCs/>
        </w:rPr>
        <w:t xml:space="preserve">directas</w:t>
      </w:r>
      <w:r>
        <w:t xml:space="preserve"> </w:t>
      </w:r>
      <w:r>
        <w:t xml:space="preserve">a la construcción de la taxonomía. Primero, revisiones y</w:t>
      </w:r>
      <w:r>
        <w:t xml:space="preserve"> </w:t>
      </w:r>
      <w:r>
        <w:t xml:space="preserve">taxonomías de interpretabilidad y XAI que establecen el vocabulario conceptual</w:t>
      </w:r>
      <w:r>
        <w:t xml:space="preserve"> </w:t>
      </w:r>
      <w:r>
        <w:t xml:space="preserve">del campo: 11 trabajos, incluyendo las revisiones fundacionales de</w:t>
      </w:r>
      <w:r>
        <w:t xml:space="preserve"> </w:t>
      </w:r>
      <w:r>
        <w:t xml:space="preserve">Arrieta (2019a)</w:t>
      </w:r>
      <w:r>
        <w:t xml:space="preserve">,</w:t>
      </w:r>
      <w:r>
        <w:t xml:space="preserve"> </w:t>
      </w:r>
      <w:r>
        <w:t xml:space="preserve">Lipton (2018)</w:t>
      </w:r>
      <w:r>
        <w:t xml:space="preserve">,</w:t>
      </w:r>
      <w:r>
        <w:t xml:space="preserve"> </w:t>
      </w:r>
      <w:r>
        <w:t xml:space="preserve">Linardatos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9 trabajos, 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 8 trabajos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19 trabajos, 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and Verbert (2024)</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Table 6.1</w:t>
        </w:r>
      </w:hyperlink>
      <w:r>
        <w:t xml:space="preserve"> </w:t>
      </w:r>
      <w:r>
        <w:t xml:space="preserve">son el resultado de consolidar y desambiguar los constructos identificados en el</w:t>
      </w:r>
      <w:r>
        <w:t xml:space="preserve"> </w:t>
      </w:r>
      <w:r>
        <w:t xml:space="preserve">corpus de 47 referencias; se reportan como una selección representativa, no como</w:t>
      </w:r>
      <w:r>
        <w:t xml:space="preserve"> </w:t>
      </w:r>
      <w:r>
        <w:t xml:space="preserve">un catálogo exhaustivo.</w:t>
      </w:r>
    </w:p>
    <w:bookmarkEnd w:id="161"/>
    <w:bookmarkStart w:id="162" w:name="sec-taxonomia-motivacion"/>
    <w:p>
      <w:pPr>
        <w:pStyle w:val="Ttulo2"/>
        <w:spacing w:line="360" w:lineRule="auto"/>
        <w:jc w:val="both"/>
      </w:pP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and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Estudios A y B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62"/>
    <w:bookmarkStart w:id="163" w:name="sec-taxonomia-ejes"/>
    <w:p>
      <w:pPr>
        <w:pStyle w:val="Ttulo2"/>
        <w:spacing w:line="360" w:lineRule="auto"/>
        <w:jc w:val="both"/>
      </w:pP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4"/>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4"/>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4"/>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4"/>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4"/>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5"/>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5"/>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5"/>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5"/>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and Verbert 2024; Arrieta 2019a;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6"/>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6"/>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6"/>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6"/>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6"/>
        </w:numPr>
        <w:spacing w:line="360" w:lineRule="auto"/>
        <w:jc w:val="both"/>
      </w:pPr>
      <w:r>
        <w:rPr>
          <w:i/>
          <w:iCs/>
        </w:rPr>
        <w:t xml:space="preserve">Efficiency</w:t>
      </w:r>
      <w:r>
        <w:t xml:space="preserve">: coste computacional de generar la explicación.</w:t>
      </w:r>
    </w:p>
    <w:p>
      <w:pPr>
        <w:pStyle w:val="Compact"/>
        <w:numPr>
          <w:ilvl w:val="0"/>
          <w:numId w:val="1016"/>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2019a; Bhattacharya and Verbert 2024)</w:t>
      </w:r>
      <w:r>
        <w:t xml:space="preserve">:</w:t>
      </w:r>
    </w:p>
    <w:p>
      <w:pPr>
        <w:pStyle w:val="Compact"/>
        <w:numPr>
          <w:ilvl w:val="0"/>
          <w:numId w:val="1017"/>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7"/>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7"/>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7"/>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63"/>
    <w:bookmarkStart w:id="165" w:name="sec-taxonomia-matriz"/>
    <w:p>
      <w:pPr>
        <w:pStyle w:val="Ttulo2"/>
        <w:spacing w:line="360" w:lineRule="auto"/>
        <w:jc w:val="both"/>
      </w:pP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Table 6.1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tblLayout w:type="fixed"/>
        <w:tblLook w:firstRow="0" w:lastRow="0" w:firstColumn="0" w:lastColumn="0" w:noHBand="0" w:noVBand="0" w:val="0000"/>
      </w:tblPr>
      <w:tblGrid>
        <w:gridCol w:w="7920"/>
      </w:tblGrid>
      <w:tr>
        <w:tc>
          <w:tcPr/>
          <w:bookmarkStart w:id="164" w:name="tbl-taxonomia-ampliada"/>
          <w:p>
            <w:pPr>
              <w:jc w:val="both"/>
              <w:spacing w:line="360" w:lineRule="auto"/>
            </w:pPr>
            <w:pPr>
              <w:jc w:val="left"/>
              <w:spacing w:before="200"/>
              <w:pStyle w:val="ImageCaption"/>
            </w:pPr>
            <w:r>
              <w:t xml:space="preserve">Table 6.1: Taxonomía ampliada de métricas y constructos de evaluación XAI.</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Métrica / constructo</w:t>
                  </w:r>
                </w:p>
              </w:tc>
              <w:tc>
                <w:tcPr/>
                <w:p>
                  <w:pPr>
                    <w:pStyle w:val="Compact"/>
                    <w:jc w:val="both"/>
                    <w:jc w:val="center"/>
                    <w:spacing w:line="360" w:lineRule="auto"/>
                  </w:pPr>
                  <w:r>
                    <w:t xml:space="preserve">Objetivo</w:t>
                  </w:r>
                </w:p>
              </w:tc>
              <w:tc>
                <w:tcPr/>
                <w:p>
                  <w:pPr>
                    <w:pStyle w:val="Compact"/>
                    <w:jc w:val="both"/>
                    <w:jc w:val="center"/>
                    <w:spacing w:line="360" w:lineRule="auto"/>
                  </w:pPr>
                  <w:r>
                    <w:t xml:space="preserve">Fuente de evidencia</w:t>
                  </w:r>
                </w:p>
              </w:tc>
              <w:tc>
                <w:tcPr/>
                <w:p>
                  <w:pPr>
                    <w:pStyle w:val="Compact"/>
                    <w:jc w:val="both"/>
                    <w:jc w:val="center"/>
                    <w:spacing w:line="360" w:lineRule="auto"/>
                  </w:pPr>
                  <w:r>
                    <w:t xml:space="preserve">Propiedad</w:t>
                  </w:r>
                </w:p>
              </w:tc>
              <w:tc>
                <w:tcPr/>
                <w:p>
                  <w:pPr>
                    <w:pStyle w:val="Compact"/>
                    <w:jc w:val="both"/>
                    <w:jc w:val="center"/>
                    <w:spacing w:line="360" w:lineRule="auto"/>
                  </w:pPr>
                  <w:r>
                    <w:t xml:space="preserve">Contexto típico</w:t>
                  </w:r>
                </w:p>
              </w:tc>
              <w:tc>
                <w:tcPr/>
                <w:p>
                  <w:pPr>
                    <w:pStyle w:val="Compact"/>
                    <w:jc w:val="both"/>
                    <w:jc w:val="center"/>
                    <w:spacing w:line="360" w:lineRule="auto"/>
                  </w:pPr>
                  <w: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64"/>
          <w:p>
            <w:pPr>
              <w:spacing w:line="360" w:lineRule="auto"/>
              <w:jc w:val="both"/>
            </w:pPr>
          </w:p>
        </w:tc>
      </w:tr>
    </w:tbl>
    <w:bookmarkEnd w:id="165"/>
    <w:bookmarkStart w:id="167" w:name="sec-taxonomia-benchmark"/>
    <w:p>
      <w:pPr>
        <w:pStyle w:val="Ttulo2"/>
        <w:spacing w:line="360" w:lineRule="auto"/>
        <w:jc w:val="both"/>
      </w:pPr>
      <w:r>
        <w:t xml:space="preserve">Mapeo del benchmark a la taxonomía</w:t>
      </w:r>
    </w:p>
    <w:p>
      <w:pPr>
        <w:pStyle w:val="FirstParagraph"/>
        <w:spacing w:line="360" w:lineRule="auto"/>
        <w:jc w:val="both"/>
      </w:pPr>
      <w:r>
        <w:t xml:space="preserve">Las cinco métricas operacionalizadas en los Estudios A y B se localizan en la</w:t>
      </w:r>
      <w:r>
        <w:t xml:space="preserve"> </w:t>
      </w:r>
      <w:r>
        <w:t xml:space="preserve">taxonomía de la siguiente manera:</w:t>
      </w:r>
    </w:p>
    <w:tbl>
      <w:tblPr>
        <w:tblStyle w:val="Table"/>
        <w:tblW w:type="pct" w:w="5000"/>
        <w:tblLayout w:type="fixed"/>
        <w:tblLook w:firstRow="0" w:lastRow="0" w:firstColumn="0" w:lastColumn="0" w:noHBand="0" w:noVBand="0" w:val="0000"/>
      </w:tblPr>
      <w:tblGrid>
        <w:gridCol w:w="7920"/>
      </w:tblGrid>
      <w:tr>
        <w:tc>
          <w:tcPr/>
          <w:bookmarkStart w:id="166" w:name="tbl-taxonomia-benchmark"/>
          <w:p>
            <w:pPr>
              <w:jc w:val="both"/>
              <w:spacing w:line="360" w:lineRule="auto"/>
            </w:pPr>
            <w:pPr>
              <w:jc w:val="left"/>
              <w:spacing w:before="200"/>
              <w:pStyle w:val="ImageCaption"/>
            </w:pPr>
            <w:r>
              <w:t xml:space="preserve">Table 6.2: Mapeo de las métricas del benchmark a los cuatro ejes de la taxonomía.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Eje 1: objetivo</w:t>
                  </w:r>
                </w:p>
              </w:tc>
              <w:tc>
                <w:tcPr/>
                <w:p>
                  <w:pPr>
                    <w:pStyle w:val="Compact"/>
                    <w:jc w:val="both"/>
                    <w:jc w:val="center"/>
                    <w:spacing w:line="360" w:lineRule="auto"/>
                  </w:pPr>
                  <w:r>
                    <w:t xml:space="preserve">Eje 2: fuente de evidencia</w:t>
                  </w:r>
                </w:p>
              </w:tc>
              <w:tc>
                <w:tcPr/>
                <w:p>
                  <w:pPr>
                    <w:pStyle w:val="Compact"/>
                    <w:jc w:val="both"/>
                    <w:jc w:val="center"/>
                    <w:spacing w:line="360" w:lineRule="auto"/>
                  </w:pPr>
                  <w:r>
                    <w:t xml:space="preserve">Eje 3: propiedad</w:t>
                  </w:r>
                </w:p>
              </w:tc>
              <w:tc>
                <w:tcPr/>
                <w:p>
                  <w:pPr>
                    <w:pStyle w:val="Compact"/>
                    <w:jc w:val="both"/>
                    <w:jc w:val="center"/>
                    <w:spacing w:line="360" w:lineRule="auto"/>
                  </w:pPr>
                  <w: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66"/>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67"/>
    <w:bookmarkStart w:id="168" w:name="sec-taxonomia-contribucion"/>
    <w:p>
      <w:pPr>
        <w:pStyle w:val="Ttulo2"/>
        <w:spacing w:line="360" w:lineRule="auto"/>
        <w:jc w:val="both"/>
      </w:pP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and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68"/>
    <w:bookmarkStart w:id="170" w:name="sec-exp4-fiabilidad"/>
    <w:p>
      <w:pPr>
        <w:pStyle w:val="Ttulo2"/>
        <w:spacing w:line="360" w:lineRule="auto"/>
        <w:jc w:val="both"/>
      </w:pPr>
      <w:r>
        <w:t xml:space="preserve">Estudio de fiabilidad de evaluadores semánticos (EXP4)</w:t>
      </w:r>
    </w:p>
    <w:p>
      <w:pPr>
        <w:pStyle w:val="FirstParagraph"/>
        <w:spacing w:line="360" w:lineRule="auto"/>
        <w:jc w:val="both"/>
      </w:pPr>
      <w:r>
        <w:t xml:space="preserve">La Brecha 3 identifica que la evaluación semántica crece más rápido que su base</w:t>
      </w:r>
      <w:r>
        <w:t xml:space="preserve"> </w:t>
      </w:r>
      <w:r>
        <w:t xml:space="preserve">de validación empírica. EXP4 (diseñado en §sec-exp4-diseno, Capítulo 3)</w:t>
      </w:r>
      <w:r>
        <w:t xml:space="preserve"> </w:t>
      </w:r>
      <w:r>
        <w:t xml:space="preserve">cuantifica directamente esa brecha: mide si los jueces LLM actuales alcanzan la</w:t>
      </w:r>
      <w:r>
        <w:t xml:space="preserve"> </w:t>
      </w:r>
      <w:r>
        <w:t xml:space="preserve">convergencia inter-juez necesaria para operar como evidencia confirmativa.</w:t>
      </w:r>
    </w:p>
    <w:p>
      <w:pPr>
        <w:pStyle w:val="Textoindependiente"/>
        <w:spacing w:line="360" w:lineRule="auto"/>
        <w:jc w:val="both"/>
      </w:pPr>
      <w:r>
        <w:rPr>
          <w:b/>
          <w:bCs/>
        </w:rPr>
        <w:t xml:space="preserve">Resultados.</w:t>
      </w:r>
      <w:r>
        <w:t xml:space="preserve"> </w:t>
      </w:r>
      <w:r>
        <w:t xml:space="preserve">La Tabla</w:t>
      </w:r>
      <w:r>
        <w:t xml:space="preserve"> </w:t>
      </w:r>
      <w:hyperlink w:anchor="tbl-exp4-icc">
        <w:r>
          <w:rPr>
            <w:rStyle w:val="Hipervnculo"/>
          </w:rPr>
          <w:t xml:space="preserve">Table 6.3</w:t>
        </w:r>
      </w:hyperlink>
      <w:r>
        <w:t xml:space="preserve"> </w:t>
      </w:r>
      <w:r>
        <w:t xml:space="preserve">reporta ICC(2,1) y</w:t>
      </w:r>
      <w:r>
        <w:t xml:space="preserve"> </w:t>
      </w:r>
      <ns1:oMath>
        <ns1:r>
          <ns1:t>α</ns1:t>
        </ns1:r>
      </ns1:oMath>
      <w:r>
        <w:t xml:space="preserve"> </w:t>
      </w:r>
      <w:r>
        <w:t xml:space="preserve">de</w:t>
      </w:r>
      <w:r>
        <w:t xml:space="preserve"> </w:t>
      </w:r>
      <w:r>
        <w:t xml:space="preserve">Krippendorff por dimensión para los tres jueces LLM. Los dos estadísticos se</w:t>
      </w:r>
      <w:r>
        <w:t xml:space="preserve"> </w:t>
      </w:r>
      <w:r>
        <w:t xml:space="preserve">calculan sobre conjuntos de casos distintos: ICC(2,1) exige una matriz completa</w:t>
      </w:r>
      <w:r>
        <w:t xml:space="preserve"> </w:t>
      </w:r>
      <w:r>
        <w:t xml:space="preserve">de casos</w:t>
      </w:r>
      <w:r>
        <w:t xml:space="preserve"> </w:t>
      </w:r>
      <ns1:oMath>
        <ns1:r>
          <ns1:rPr>
            <ns1:sty ns1:val="p"/>
          </ns1:rPr>
          <ns1:t>×</ns1:t>
        </ns1:r>
      </ns1:oMath>
      <w:r>
        <w:t xml:space="preserve"> </w:t>
      </w:r>
      <w:r>
        <w:t xml:space="preserve">jueces y se restringe por tanto a los</w:t>
      </w:r>
      <w:r>
        <w:t xml:space="preserve"> </w:t>
      </w:r>
      <ns1:oMath>
        <ns1:r>
          <ns1:t>n</ns1:t>
        </ns1:r>
        <ns1:r>
          <ns1:rPr>
            <ns1:sty ns1:val="p"/>
          </ns1:rPr>
          <ns1:t>=</ns1:t>
        </ns1:r>
        <ns1:r>
          <ns1:t>147</ns1:t>
        </ns1:r>
      </ns1:oMath>
      <w:r>
        <w:t xml:space="preserve"> </w:t>
      </w:r>
      <w:r>
        <w:t xml:space="preserve">casos</w:t>
      </w:r>
      <w:r>
        <w:t xml:space="preserve"> </w:t>
      </w:r>
      <w:r>
        <w:t xml:space="preserve">puntuados por los tres jueces, mientras que</w:t>
      </w:r>
      <w:r>
        <w:t xml:space="preserve"> </w:t>
      </w:r>
      <ns1:oMath>
        <ns1:r>
          <ns1:t>α</ns1:t>
        </ns1:r>
      </ns1:oMath>
      <w:r>
        <w:t xml:space="preserve"> </w:t>
      </w:r>
      <w:r>
        <w:t xml:space="preserve">de Krippendorff tolera</w:t>
      </w:r>
      <w:r>
        <w:t xml:space="preserve"> </w:t>
      </w:r>
      <w:r>
        <w:t xml:space="preserve">puntuaciones ausentes y se calcula sobre el conjunto más amplio de</w:t>
      </w:r>
      <w:r>
        <w:t xml:space="preserve"> </w:t>
      </w:r>
      <ns1:oMath>
        <ns1:r>
          <ns1:t>n</ns1:t>
        </ns1:r>
        <ns1:r>
          <ns1:rPr>
            <ns1:sty ns1:val="p"/>
          </ns1:rPr>
          <ns1:t>=</ns1:t>
        </ns1:r>
        <ns1:r>
          <ns1:t>192</ns1:t>
        </ns1:r>
      </ns1:oMath>
      <w:r>
        <w:t xml:space="preserve"> </w:t>
      </w:r>
      <w:r>
        <w:t xml:space="preserve">casos, que incluye aquellos con al menos una puntuación de juez faltante.</w:t>
      </w:r>
      <w:r>
        <w:t xml:space="preserve"> </w:t>
      </w:r>
      <w:r>
        <w:t xml:space="preserve">Ninguna dimensión alcanza el umbral de fiabilidad aceptable (</w:t>
      </w:r>
      <ns1:oMath>
        <ns1:r>
          <ns1:rPr>
            <ns1:sty ns1:val="p"/>
          </ns1:rPr>
          <ns1:t>≥</ns1:t>
        </ns1:r>
        <ns1:r>
          <ns1:t>0.75</ns1:t>
        </ns1:r>
      </ns1:oMath>
      <w:r>
        <w:t xml:space="preserve">)</w:t>
      </w:r>
      <w:r>
        <w:t xml:space="preserve"> </w:t>
      </w:r>
      <w:r>
        <w:t xml:space="preserve">(Koo and Li 2016)</w:t>
      </w:r>
      <w:r>
        <w:t xml:space="preserve">.</w:t>
      </w:r>
    </w:p>
    <w:tbl>
      <w:tblPr>
        <w:tblStyle w:val="Table"/>
        <w:tblW w:type="pct" w:w="5000"/>
        <w:tblLayout w:type="fixed"/>
        <w:tblLook w:firstRow="0" w:lastRow="0" w:firstColumn="0" w:lastColumn="0" w:noHBand="0" w:noVBand="0" w:val="0000"/>
      </w:tblPr>
      <w:tblGrid>
        <w:gridCol w:w="7920"/>
      </w:tblGrid>
      <w:tr>
        <w:tc>
          <w:tcPr/>
          <w:bookmarkStart w:id="169" w:name="tbl-exp4-icc"/>
          <w:p>
            <w:pPr>
              <w:jc w:val="both"/>
              <w:spacing w:line="360" w:lineRule="auto"/>
            </w:pPr>
            <w:pPr>
              <w:jc w:val="left"/>
              <w:spacing w:before="200"/>
              <w:pStyle w:val="ImageCaption"/>
            </w:pPr>
            <w:r>
              <w:t xml:space="preserve">Table 6.3: Fiabilidad inter-juez LLM en siete dimensiones semánticas (EXP4; ICC sobre</w:t>
            </w:r>
            <w:r>
              <w:t xml:space="preserve"> </w:t>
            </w:r>
            <ns1:oMath>
              <ns1:r>
                <ns1:t>n</ns1:t>
              </ns1:r>
              <ns1:r>
                <ns1:rPr>
                  <ns1:sty ns1:val="p"/>
                </ns1:rPr>
                <ns1:t>=</ns1:t>
              </ns1:r>
              <ns1:r>
                <ns1:t>147</ns1:t>
              </ns1:r>
            </ns1:oMath>
            <w:r>
              <w:t xml:space="preserve"> </w:t>
            </w:r>
            <w:r>
              <w:t xml:space="preserve">casos con puntuación completa,</w:t>
            </w:r>
            <w:r>
              <w:t xml:space="preserve"> </w:t>
            </w:r>
            <ns1:oMath>
              <ns1:r>
                <ns1:t>α</ns1:t>
              </ns1:r>
            </ns1:oMath>
            <w:r>
              <w:t xml:space="preserve"> </w:t>
            </w:r>
            <w:r>
              <w:t xml:space="preserve">de Krippendorff sobre</w:t>
            </w:r>
            <w:r>
              <w:t xml:space="preserve"> </w:t>
            </w:r>
            <ns1:oMath>
              <ns1:r>
                <ns1:t>n</ns1:t>
              </ns1:r>
              <ns1:r>
                <ns1:rPr>
                  <ns1:sty ns1:val="p"/>
                </ns1:rPr>
                <ns1:t>=</ns1:t>
              </ns1:r>
              <ns1:r>
                <ns1:t>192</ns1:t>
              </ns1:r>
            </ns1:oMath>
            <w:r>
              <w:t xml:space="preserve"> </w:t>
            </w:r>
            <w:r>
              <w:t xml:space="preserve">casos —véase el texto—; 3 jueces LLM). ICC(2,1): modelo bidireccional</w:t>
            </w:r>
            <w:r>
              <w:t xml:space="preserve"> </w:t>
            </w:r>
            <w:r>
              <w:t xml:space="preserve">de efectos aleatorios, concordancia absoluta. Ninguna dimensión alcanza el</w:t>
            </w:r>
            <w:r>
              <w:t xml:space="preserve"> </w:t>
            </w:r>
            <w:r>
              <w:t xml:space="preserve">umbral aceptable</w:t>
            </w:r>
            <w:r>
              <w:t xml:space="preserve"> </w:t>
            </w:r>
            <ns1:oMath>
              <ns1:r>
                <ns1:rPr>
                  <ns1:sty ns1:val="p"/>
                </ns1:rPr>
                <ns1:t>≥</ns1:t>
              </ns1:r>
              <ns1:r>
                <ns1:t>0.75</ns1:t>
              </ns1:r>
            </ns1:oMath>
            <w:r>
              <w:t xml:space="preserve"> </w:t>
            </w:r>
            <w:r>
              <w:t xml:space="preserve">(Koo and Li 2016)</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Dimensión</w:t>
                  </w:r>
                </w:p>
              </w:tc>
              <w:tc>
                <w:tcPr/>
                <w:p>
                  <w:pPr>
                    <w:pStyle w:val="Compact"/>
                    <w:jc w:val="both"/>
                    <w:jc w:val="center"/>
                    <w:spacing w:line="360" w:lineRule="auto"/>
                  </w:pPr>
                  <w:r>
                    <w:t xml:space="preserve">ICC(2,1)</w:t>
                  </w:r>
                </w:p>
              </w:tc>
              <w:tc>
                <w:tcPr/>
                <w:p>
                  <w:pPr>
                    <w:pStyle w:val="Compact"/>
                    <w:jc w:val="both"/>
                    <w:jc w:val="center"/>
                    <w:spacing w:line="360" w:lineRule="auto"/>
                  </w:pPr>
                  <w:r>
                    <w:t xml:space="preserve">Krippendorff</w:t>
                  </w:r>
                  <w:r>
                    <w:t xml:space="preserve"> </w:t>
                  </w:r>
                  <ns1:oMath>
                    <ns1:r>
                      <ns1:t>α</ns1:t>
                    </ns1:r>
                  </ns1:oMath>
                </w:p>
              </w:tc>
            </w:tr>
            <w:tr>
              <w:tc>
                <w:tcPr/>
                <w:p>
                  <w:pPr>
                    <w:pStyle w:val="Compact"/>
                    <w:jc w:val="both"/>
                    <w:jc w:val="center"/>
                    <w:spacing w:line="360" w:lineRule="auto"/>
                  </w:pPr>
                  <w:r>
                    <w:t xml:space="preserve">Claridad</w:t>
                  </w:r>
                </w:p>
              </w:tc>
              <w:tc>
                <w:tcPr/>
                <w:p>
                  <w:pPr>
                    <w:pStyle w:val="Compact"/>
                    <w:jc w:val="both"/>
                    <w:jc w:val="center"/>
                    <w:spacing w:line="360" w:lineRule="auto"/>
                  </w:pPr>
                  <w:r>
                    <w:t xml:space="preserve">0.321</w:t>
                  </w:r>
                </w:p>
              </w:tc>
              <w:tc>
                <w:tcPr/>
                <w:p>
                  <w:pPr>
                    <w:pStyle w:val="Compact"/>
                    <w:jc w:val="both"/>
                    <w:jc w:val="center"/>
                    <w:spacing w:line="360" w:lineRule="auto"/>
                  </w:pPr>
                  <w:r>
                    <w:t xml:space="preserve">0.278</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0.453</w:t>
                  </w:r>
                </w:p>
              </w:tc>
              <w:tc>
                <w:tcPr/>
                <w:p>
                  <w:pPr>
                    <w:pStyle w:val="Compact"/>
                    <w:jc w:val="both"/>
                    <w:jc w:val="center"/>
                    <w:spacing w:line="360" w:lineRule="auto"/>
                  </w:pPr>
                  <w:r>
                    <w:t xml:space="preserve">0.409</w:t>
                  </w:r>
                </w:p>
              </w:tc>
            </w:tr>
            <w:tr>
              <w:tc>
                <w:tcPr/>
                <w:p>
                  <w:pPr>
                    <w:pStyle w:val="Compact"/>
                    <w:jc w:val="both"/>
                    <w:jc w:val="center"/>
                    <w:spacing w:line="360" w:lineRule="auto"/>
                  </w:pPr>
                  <w:r>
                    <w:t xml:space="preserve">Accionabilidad</w:t>
                  </w:r>
                </w:p>
              </w:tc>
              <w:tc>
                <w:tcPr/>
                <w:p>
                  <w:pPr>
                    <w:pStyle w:val="Compact"/>
                    <w:jc w:val="both"/>
                    <w:jc w:val="center"/>
                    <w:spacing w:line="360" w:lineRule="auto"/>
                  </w:pPr>
                  <w:r>
                    <w:t xml:space="preserve">0.400</w:t>
                  </w:r>
                </w:p>
              </w:tc>
              <w:tc>
                <w:tcPr/>
                <w:p>
                  <w:pPr>
                    <w:pStyle w:val="Compact"/>
                    <w:jc w:val="both"/>
                    <w:jc w:val="center"/>
                    <w:spacing w:line="360" w:lineRule="auto"/>
                  </w:pPr>
                  <w:r>
                    <w:t xml:space="preserve">0.362</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0.376</w:t>
                  </w:r>
                </w:p>
              </w:tc>
              <w:tc>
                <w:tcPr/>
                <w:p>
                  <w:pPr>
                    <w:pStyle w:val="Compact"/>
                    <w:jc w:val="both"/>
                    <w:jc w:val="center"/>
                    <w:spacing w:line="360" w:lineRule="auto"/>
                  </w:pPr>
                  <w:r>
                    <w:t xml:space="preserve">0.340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0.585</w:t>
                  </w:r>
                </w:p>
              </w:tc>
              <w:tc>
                <w:tcPr/>
                <w:p>
                  <w:pPr>
                    <w:pStyle w:val="Compact"/>
                    <w:jc w:val="both"/>
                    <w:jc w:val="center"/>
                    <w:spacing w:line="360" w:lineRule="auto"/>
                  </w:pPr>
                  <w:r>
                    <w:t xml:space="preserve">0.566</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0.601</w:t>
                  </w:r>
                </w:p>
              </w:tc>
              <w:tc>
                <w:tcPr/>
                <w:p>
                  <w:pPr>
                    <w:pStyle w:val="Compact"/>
                    <w:jc w:val="both"/>
                    <w:jc w:val="center"/>
                    <w:spacing w:line="360" w:lineRule="auto"/>
                  </w:pPr>
                  <w:r>
                    <w:t xml:space="preserve">0.573</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0.431</w:t>
                  </w:r>
                </w:p>
              </w:tc>
              <w:tc>
                <w:tcPr/>
                <w:p>
                  <w:pPr>
                    <w:pStyle w:val="Compact"/>
                    <w:jc w:val="both"/>
                    <w:jc w:val="center"/>
                    <w:spacing w:line="360" w:lineRule="auto"/>
                  </w:pPr>
                  <w:r>
                    <w:t xml:space="preserve">0.394</w:t>
                  </w:r>
                </w:p>
              </w:tc>
            </w:tr>
          </w:tbl>
          <w:bookmarkEnd w:id="169"/>
          <w:p>
            <w:pPr>
              <w:spacing w:line="360" w:lineRule="auto"/>
              <w:jc w:val="both"/>
            </w:pPr>
          </w:p>
        </w:tc>
      </w:tr>
    </w:tbl>
    <w:p>
      <w:pPr>
        <w:pStyle w:val="Textoindependiente"/>
        <w:spacing w:line="360" w:lineRule="auto"/>
        <w:jc w:val="both"/>
      </w:pPr>
      <w:r>
        <w:t xml:space="preserve">Las dimensiones con mayor consistencia relativa son Completitud</w:t>
      </w:r>
      <w:r>
        <w:t xml:space="preserve"> </w:t>
      </w:r>
      <w:r>
        <w:t xml:space="preserve">(</w:t>
      </w:r>
      <ns1:oMath>
        <ns1:r>
          <ns1:t>α</ns1:t>
        </ns1:r>
        <ns1:r>
          <ns1:rPr>
            <ns1:sty ns1:val="p"/>
          </ns1:rPr>
          <ns1:t>=</ns1:t>
        </ns1:r>
        <ns1:r>
          <ns1:t>0.566</ns1:t>
        </ns1:r>
      </ns1:oMath>
      <w:r>
        <w:t xml:space="preserve">) y Plausibilidad Semántica (</w:t>
      </w:r>
      <ns1:oMath>
        <ns1:r>
          <ns1:t>α</ns1:t>
        </ns1:r>
        <ns1:r>
          <ns1:rPr>
            <ns1:sty ns1:val="p"/>
          </ns1:rPr>
          <ns1:t>=</ns1:t>
        </ns1:r>
        <ns1:r>
          <ns1:t>0.573</ns1:t>
        </ns1:r>
      </ns1:oMath>
      <w:r>
        <w:t xml:space="preserve">); las de</w:t>
      </w:r>
      <w:r>
        <w:t xml:space="preserve"> </w:t>
      </w:r>
      <w:r>
        <w:t xml:space="preserve">menor consistencia son Claridad (</w:t>
      </w:r>
      <ns1:oMath>
        <ns1:r>
          <ns1:t>α</ns1:t>
        </ns1:r>
        <ns1:r>
          <ns1:rPr>
            <ns1:sty ns1:val="p"/>
          </ns1:rPr>
          <ns1:t>=</ns1:t>
        </ns1:r>
        <ns1:r>
          <ns1:t>0.278</ns1:t>
        </ns1:r>
      </ns1:oMath>
      <w:r>
        <w:t xml:space="preserve">) y Utilidad para auditoría</w:t>
      </w:r>
      <w:r>
        <w:t xml:space="preserve"> </w:t>
      </w:r>
      <w:r>
        <w:t xml:space="preserve">(</w:t>
      </w:r>
      <ns1:oMath>
        <ns1:r>
          <ns1:t>α</ns1:t>
        </ns1:r>
        <ns1:r>
          <ns1:rPr>
            <ns1:sty ns1:val="p"/>
          </ns1:rPr>
          <ns1:t>=</ns1:t>
        </ns1:r>
        <ns1:r>
          <ns1:t>0.340</ns1:t>
        </ns1:r>
      </ns1:oMath>
      <w:r>
        <w:t xml:space="preserve">). Los valores ICC(2,1) entre 0.321 y 0.601 se clasifican</w:t>
      </w:r>
      <w:r>
        <w:t xml:space="preserve"> </w:t>
      </w:r>
      <w:r>
        <w:t xml:space="preserve">como fiabilidad</w:t>
      </w:r>
      <w:r>
        <w:t xml:space="preserve"> </w:t>
      </w:r>
      <w:r>
        <w:rPr>
          <w:i/>
          <w:iCs/>
        </w:rPr>
        <w:t xml:space="preserve">poor</w:t>
      </w:r>
      <w:r>
        <w:t xml:space="preserve"> </w:t>
      </w:r>
      <w:r>
        <w:t xml:space="preserve">a</w:t>
      </w:r>
      <w:r>
        <w:t xml:space="preserve"> </w:t>
      </w:r>
      <w:r>
        <w:rPr>
          <w:i/>
          <w:iCs/>
        </w:rPr>
        <w:t xml:space="preserve">moderate</w:t>
      </w:r>
      <w:r>
        <w:t xml:space="preserve"> </w:t>
      </w:r>
      <w:r>
        <w:t xml:space="preserve">según</w:t>
      </w:r>
      <w:r>
        <w:t xml:space="preserve"> </w:t>
      </w:r>
      <w:r>
        <w:t xml:space="preserve">Koo and Li (2016)</w:t>
      </w:r>
      <w:r>
        <w:t xml:space="preserve">, situándose en todos los</w:t>
      </w:r>
      <w:r>
        <w:t xml:space="preserve"> </w:t>
      </w:r>
      <w:r>
        <w:t xml:space="preserve">casos por debajo de la categoría</w:t>
      </w:r>
      <w:r>
        <w:t xml:space="preserve"> </w:t>
      </w:r>
      <w:r>
        <w:rPr>
          <w:i/>
          <w:iCs/>
        </w:rPr>
        <w:t xml:space="preserve">good</w:t>
      </w:r>
      <w:r>
        <w:t xml:space="preserve">.</w:t>
      </w:r>
    </w:p>
    <w:p>
      <w:pPr>
        <w:pStyle w:val="Textoindependiente"/>
        <w:spacing w:line="360" w:lineRule="auto"/>
        <w:jc w:val="both"/>
      </w:pPr>
      <w:r>
        <w:rPr>
          <w:b/>
          <w:bCs/>
        </w:rPr>
        <w:t xml:space="preserve">Interpretación.</w:t>
      </w:r>
      <w:r>
        <w:t xml:space="preserve"> </w:t>
      </w:r>
      <w:r>
        <w:t xml:space="preserve">La diferencia entre dimensiones de alta y baja consistencia</w:t>
      </w:r>
      <w:r>
        <w:t xml:space="preserve"> </w:t>
      </w:r>
      <w:r>
        <w:t xml:space="preserve">es interpretable: Completitud y Plausibilidad Semántica tienen referentes</w:t>
      </w:r>
      <w:r>
        <w:t xml:space="preserve"> </w:t>
      </w:r>
      <w:r>
        <w:t xml:space="preserve">relativamente objetivos (¿cubre los factores relevantes?, ¿es coherente con el</w:t>
      </w:r>
      <w:r>
        <w:t xml:space="preserve"> </w:t>
      </w:r>
      <w:r>
        <w:t xml:space="preserve">dominio?), mientras que Claridad y Utilidad para auditoría dependen del perfil</w:t>
      </w:r>
      <w:r>
        <w:t xml:space="preserve"> </w:t>
      </w:r>
      <w:r>
        <w:t xml:space="preserve">del destinatario y el contexto de uso, que la rúbrica no especificó. Esto</w:t>
      </w:r>
      <w:r>
        <w:t xml:space="preserve"> </w:t>
      </w:r>
      <w:r>
        <w:t xml:space="preserve">señala un déficit de formalización: el juez no tiene acceso al stakeholder ni</w:t>
      </w:r>
      <w:r>
        <w:t xml:space="preserve"> </w:t>
      </w:r>
      <w:r>
        <w:t xml:space="preserve">al contexto de tarea al calificar, lo que introduce varianza inter-juez evitable.</w:t>
      </w:r>
    </w:p>
    <w:p>
      <w:pPr>
        <w:pStyle w:val="Textoindependiente"/>
        <w:spacing w:line="360" w:lineRule="auto"/>
        <w:jc w:val="both"/>
      </w:pPr>
      <w:r>
        <w:rPr>
          <w:b/>
          <w:bCs/>
        </w:rPr>
        <w:t xml:space="preserve">Consecuencias para el diseño de evaluación semántica.</w:t>
      </w:r>
      <w:r>
        <w:t xml:space="preserve"> </w:t>
      </w:r>
      <w:r>
        <w:t xml:space="preserve">EXP4 confirma</w:t>
      </w:r>
      <w:r>
        <w:t xml:space="preserve"> </w:t>
      </w:r>
      <w:r>
        <w:t xml:space="preserve">cuantitativamente la Brecha 3: los jueces LLM actuales, bajo rúbricas sin</w:t>
      </w:r>
      <w:r>
        <w:t xml:space="preserve"> </w:t>
      </w:r>
      <w:r>
        <w:t xml:space="preserve">especificación de stakeholder ni criterio de corrección explícito, no alcanzan</w:t>
      </w:r>
      <w:r>
        <w:t xml:space="preserve"> </w:t>
      </w:r>
      <w:r>
        <w:t xml:space="preserve">la convergencia necesaria para afirmaciones confirmativas. Esto no clausura la</w:t>
      </w:r>
      <w:r>
        <w:t xml:space="preserve"> </w:t>
      </w:r>
      <w:r>
        <w:t xml:space="preserve">evaluación semántica; establece los requisitos que las rúbricas deben satisfacer:</w:t>
      </w:r>
      <w:r>
        <w:t xml:space="preserve"> </w:t>
      </w:r>
      <w:r>
        <w:t xml:space="preserve">(i) especificación de la necesidad informativa del stakeholder, (ii) definición</w:t>
      </w:r>
      <w:r>
        <w:t xml:space="preserve"> </w:t>
      </w:r>
      <w:r>
        <w:t xml:space="preserve">de un criterio de corrección o referencia verificable, (iii) separación de</w:t>
      </w:r>
      <w:r>
        <w:t xml:space="preserve"> </w:t>
      </w:r>
      <w:r>
        <w:t xml:space="preserve">desiderata secundarios de la dimensión central, y (iv) calibración contra juicios</w:t>
      </w:r>
      <w:r>
        <w:t xml:space="preserve"> </w:t>
      </w:r>
      <w:r>
        <w:t xml:space="preserve">humanos expertos antes del uso confirmativo. Estos requisitos son la</w:t>
      </w:r>
      <w:r>
        <w:t xml:space="preserve"> </w:t>
      </w:r>
      <w:r>
        <w:t xml:space="preserve">operacionalización doctoral de la Brecha 3 y constituyen la agenda de</w:t>
      </w:r>
      <w:r>
        <w:t xml:space="preserve"> </w:t>
      </w:r>
      <w:r>
        <w:t xml:space="preserve">investigación directamente derivada de esta taxonomía.</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cierra la tesis sintetizando las 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70"/>
    <w:bookmarkEnd w:id="171"/>
    <w:bookmarkStart w:id="187" w:name="conclusiones"/>
    <w:p>
      <w:pPr>
        <w:pStyle w:val="Ttulo1"/>
        <w:spacing w:line="360" w:lineRule="auto"/>
        <w:jc w:val="both"/>
      </w:pP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174" w:name="sec-respuesta"/>
    <w:p>
      <w:pPr>
        <w:pStyle w:val="Ttulo2"/>
        <w:spacing w:line="360" w:lineRule="auto"/>
        <w:jc w:val="both"/>
      </w:pP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tblLayout w:type="fixed"/>
        <w:tblLook w:firstRow="0" w:lastRow="0" w:firstColumn="0" w:lastColumn="0" w:noHBand="0" w:noVBand="0" w:val="0000"/>
      </w:tblPr>
      <w:tblGrid>
        <w:gridCol w:w="7920"/>
      </w:tblGrid>
      <w:tr>
        <w:tc>
          <w:tcPr/>
          <w:bookmarkStart w:id="172" w:name="tbl-hipotesis"/>
          <w:p>
            <w:pPr>
              <w:jc w:val="both"/>
              <w:spacing w:line="360" w:lineRule="auto"/>
            </w:pPr>
            <w:pPr>
              <w:jc w:val="left"/>
              <w:spacing w:before="200"/>
              <w:pStyle w:val="ImageCaption"/>
            </w:pPr>
            <w:r>
              <w:t xml:space="preserve">Table 7.1: Síntesis de hipótesis y proposiciones de trabajo.</w:t>
            </w:r>
          </w:p>
          <w:tbl>
            <w:tblPr>
              <w:tblStyle w:val="Table"/>
              <w:tblW w:type="pct" w:w="5000"/>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t xml:space="preserve">Hipótesis / Proposición</w:t>
                  </w:r>
                </w:p>
              </w:tc>
              <w:tc>
                <w:tcPr/>
                <w:p>
                  <w:pPr>
                    <w:pStyle w:val="Compact"/>
                    <w:jc w:val="both"/>
                    <w:spacing w:line="360" w:lineRule="auto"/>
                  </w:pPr>
                  <w:r>
                    <w:t xml:space="preserve">Resultado</w:t>
                  </w:r>
                </w:p>
              </w:tc>
              <w:tc>
                <w:tcPr/>
                <w:p>
                  <w:pPr>
                    <w:pStyle w:val="Compact"/>
                    <w:jc w:val="both"/>
                    <w:spacing w:line="360" w:lineRule="auto"/>
                  </w:pPr>
                  <w: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42.12</ns1:t>
                    </ns1:r>
                  </ns1:oMath>
                  <w:r>
                    <w:t xml:space="preserve">; margen 439%</w:t>
                  </w:r>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r>
              <w:tc>
                <w:tcPr/>
                <w:p>
                  <w:pPr>
                    <w:pStyle w:val="Compact"/>
                    <w:jc w:val="both"/>
                    <w:spacing w:line="360" w:lineRule="auto"/>
                  </w:pPr>
                  <w:r>
                    <w:t xml:space="preserve">P2: Jueces LLM alcanzan fiabilidad aceptable en evaluación semántica XAI</w:t>
                  </w:r>
                </w:p>
              </w:tc>
              <w:tc>
                <w:tcPr/>
                <w:p>
                  <w:pPr>
                    <w:pStyle w:val="Compact"/>
                    <w:jc w:val="both"/>
                    <w:spacing w:line="360" w:lineRule="auto"/>
                  </w:pPr>
                  <w:r>
                    <w:rPr>
                      <w:b/>
                      <w:bCs/>
                    </w:rPr>
                    <w:t xml:space="preserve">No confirmada (resultado negativo)</w:t>
                  </w:r>
                </w:p>
              </w:tc>
              <w:tc>
                <w:tcPr/>
                <w:p>
                  <w:pPr>
                    <w:pStyle w:val="Compact"/>
                    <w:jc w:val="both"/>
                    <w:spacing w:line="360" w:lineRule="auto"/>
                  </w:pPr>
                  <w:r>
                    <w:t xml:space="preserve">ICC(2,1) entre 0.321 y 0.601; ninguna dimensión alcanza umbral</w:t>
                  </w:r>
                  <w:r>
                    <w:t xml:space="preserve"> </w:t>
                  </w:r>
                  <ns1:oMath>
                    <ns1:r>
                      <ns1:rPr>
                        <ns1:sty ns1:val="p"/>
                      </ns1:rPr>
                      <ns1:t>≥</ns1:t>
                    </ns1:r>
                    <ns1:r>
                      <ns1:t>0.75</ns1:t>
                    </ns1:r>
                  </ns1:oMath>
                  <w:r>
                    <w:t xml:space="preserve"> </w:t>
                  </w:r>
                  <w:r>
                    <w:t xml:space="preserve">(EXP4,</w:t>
                  </w:r>
                  <w:r>
                    <w:t xml:space="preserve"> </w:t>
                  </w:r>
                  <ns1:oMath>
                    <ns1:r>
                      <ns1:t>n</ns1:t>
                    </ns1:r>
                    <ns1:r>
                      <ns1:rPr>
                        <ns1:sty ns1:val="p"/>
                      </ns1:rPr>
                      <ns1:t>=</ns1:t>
                    </ns1:r>
                    <ns1:r>
                      <ns1:t>147</ns1:t>
                    </ns1:r>
                  </ns1:oMath>
                  <w:r>
                    <w:t xml:space="preserve">, 3 jueces)</w:t>
                  </w:r>
                </w:p>
              </w:tc>
            </w:tr>
          </w:tbl>
          <w:bookmarkEnd w:id="172"/>
          <w:p>
            <w:pPr>
              <w:spacing w:line="360" w:lineRule="auto"/>
              <w:jc w:val="both"/>
            </w:pPr>
          </w:p>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73" w:name="tbl-objetivos"/>
          <w:p>
            <w:pPr>
              <w:jc w:val="both"/>
              <w:spacing w:line="360" w:lineRule="auto"/>
            </w:pPr>
            <w:pPr>
              <w:jc w:val="left"/>
              <w:spacing w:before="200"/>
              <w:pStyle w:val="ImageCaption"/>
            </w:pPr>
            <w:r>
              <w:t xml:space="preserve">Table 7.2: Cierre de objetivos específicos.</w:t>
            </w:r>
          </w:p>
          <w:tbl>
            <w:tblPr>
              <w:tblStyle w:val="Table"/>
              <w:tblW w:type="pct" w:w="5000"/>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t xml:space="preserve">Objetivo específico</w:t>
                  </w:r>
                </w:p>
              </w:tc>
              <w:tc>
                <w:tcPr/>
                <w:p>
                  <w:pPr>
                    <w:pStyle w:val="Compact"/>
                    <w:jc w:val="both"/>
                    <w:spacing w:line="360" w:lineRule="auto"/>
                  </w:pPr>
                  <w: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para fidelidad; variabilidad del coste inherente a la heterogeneidad del hardware.</w:t>
                  </w:r>
                </w:p>
              </w:tc>
            </w:tr>
            <w:tr>
              <w:tc>
                <w:tcPr/>
                <w:p>
                  <w:pPr>
                    <w:pStyle w:val="Compact"/>
                    <w:jc w:val="both"/>
                    <w:spacing w:line="360" w:lineRule="auto"/>
                  </w:pPr>
                  <w:r>
                    <w:t xml:space="preserve">OE5 — Construir taxonomía estructurada</w:t>
                  </w:r>
                </w:p>
              </w:tc>
              <w:tc>
                <w:tcPr/>
                <w:p>
                  <w:pPr>
                    <w:pStyle w:val="Compact"/>
                    <w:jc w:val="both"/>
                    <w:spacing w:line="360" w:lineRule="auto"/>
                  </w:pPr>
                  <w:r>
                    <w:t xml:space="preserve">Completado. Véase el Capítulo 5.</w:t>
                  </w:r>
                </w:p>
              </w:tc>
            </w:tr>
            <w:tr>
              <w:tc>
                <w:tcPr/>
                <w:p>
                  <w:pPr>
                    <w:pStyle w:val="Compact"/>
                    <w:jc w:val="both"/>
                    <w:spacing w:line="360" w:lineRule="auto"/>
                  </w:pPr>
                  <w:r>
                    <w:t xml:space="preserve">OE6 — Cuantificar fiabilidad de evaluadores semánticos LLM</w:t>
                  </w:r>
                </w:p>
              </w:tc>
              <w:tc>
                <w:tcPr/>
                <w:p>
                  <w:pPr>
                    <w:pStyle w:val="Compact"/>
                    <w:jc w:val="both"/>
                    <w:spacing w:line="360" w:lineRule="auto"/>
                  </w:pPr>
                  <w:r>
                    <w:t xml:space="preserve">Completado (resultado negativo). EXP4: ICC(2,1) entre 0.321 y 0.601 en 7 dimensiones; ninguna alcanza umbral</w:t>
                  </w:r>
                  <w:r>
                    <w:t xml:space="preserve"> </w:t>
                  </w:r>
                  <ns1:oMath>
                    <ns1:r>
                      <ns1:rPr>
                        <ns1:sty ns1:val="p"/>
                      </ns1:rPr>
                      <ns1:t>≥</ns1:t>
                    </ns1:r>
                    <ns1:r>
                      <ns1:t>0.75</ns1:t>
                    </ns1:r>
                  </ns1:oMath>
                  <w:r>
                    <w:t xml:space="preserve">. Véase §sec-exp4-fiabilidad.</w:t>
                  </w:r>
                </w:p>
              </w:tc>
            </w:tr>
          </w:tbl>
          <w:bookmarkEnd w:id="173"/>
          <w:p>
            <w:pPr>
              <w:spacing w:line="360" w:lineRule="auto"/>
              <w:jc w:val="both"/>
            </w:pPr>
          </w:p>
        </w:tc>
      </w:tr>
    </w:tbl>
    <w:bookmarkEnd w:id="174"/>
    <w:bookmarkStart w:id="178" w:name="sec-contribuciones"/>
    <w:p>
      <w:pPr>
        <w:pStyle w:val="Ttulo2"/>
        <w:spacing w:line="360" w:lineRule="auto"/>
        <w:jc w:val="both"/>
      </w:pPr>
      <w:r>
        <w:t xml:space="preserve">Contribuciones científicas</w:t>
      </w:r>
    </w:p>
    <w:bookmarkStart w:id="175" w:name="X2e7af289f3df14f7e31f2445fc83a79cfc8b431"/>
    <w:p>
      <w:pPr>
        <w:pStyle w:val="Ttulo3"/>
        <w:spacing w:line="360" w:lineRule="auto"/>
        <w:jc w:val="both"/>
      </w:pP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75"/>
    <w:bookmarkStart w:id="176" w:name="X93d1d918ce055ba24ba9e9f0b305f424c9a5ca8"/>
    <w:p>
      <w:pPr>
        <w:pStyle w:val="Ttulo3"/>
        <w:spacing w:line="360" w:lineRule="auto"/>
        <w:jc w:val="both"/>
      </w:pP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&gt;</ns1:t>
        </ns1:r>
        <ns1:r>
          <ns1:t>2.8</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and Verbert 2024; Burger et al. 2023)</w:t>
      </w:r>
      <w:r>
        <w:t xml:space="preserve">. Específicamente, la inestabilidad de LIME no</w:t>
      </w:r>
      <w:r>
        <w:t xml:space="preserve"> </w:t>
      </w:r>
      <w:r>
        <w:t xml:space="preserve">es un artefacto de escenarios extremos sino una propiedad estructural del</w:t>
      </w:r>
      <w:r>
        <w:t xml:space="preserve"> </w:t>
      </w:r>
      <w:r>
        <w:t xml:space="preserve">método bajo condiciones controladas. Esta demostración cuantifica el riesgo</w:t>
      </w:r>
      <w:r>
        <w:t xml:space="preserve"> </w:t>
      </w:r>
      <w:r>
        <w:t xml:space="preserve">de usar LIME en contextos donde se exija consistencia explicativa (auditoría,</w:t>
      </w:r>
      <w:r>
        <w:t xml:space="preserve"> </w:t>
      </w:r>
      <w:r>
        <w:t xml:space="preserve">decisiones de alto riesgo), un riesgo que los trabajos de referencia sobre LIME</w:t>
      </w:r>
      <w:r>
        <w:t xml:space="preserve"> </w:t>
      </w:r>
      <w:r>
        <w:t xml:space="preserve">(Ribeiro 2016)</w:t>
      </w:r>
      <w:r>
        <w:t xml:space="preserve"> </w:t>
      </w:r>
      <w:r>
        <w:t xml:space="preserve">no cuantifican 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and Verbert 2024; Arrieta 2019a)</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76"/>
    <w:bookmarkStart w:id="177" w:name="X6583905c1b1630bf3acfdae91528ca52ef61481"/>
    <w:p>
      <w:pPr>
        <w:pStyle w:val="Ttulo3"/>
        <w:spacing w:line="360" w:lineRule="auto"/>
        <w:jc w:val="both"/>
      </w:pP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verificable (</w:t>
      </w:r>
      <ns1:oMath>
        <ns1:acc>
          <ns1:accPr>
            <ns1:chr ns1:val="‾"/>
          </ns1:accPr>
          <ns1:e>
            <ns1:r>
              <ns1:t>F</ns1:t>
            </ns1:r>
          </ns1:e>
        </ns1:acc>
        <ns1:r>
          <ns1:rPr>
            <ns1:sty ns1:val="p"/>
          </ns1:rPr>
          <ns1:t>≥</ns1:t>
        </ns1:r>
        <ns1:r>
          <ns1:t>0.80</ns1:t>
        </ns1:r>
      </ns1:oMath>
      <w:r>
        <w:t xml:space="preserve">) o consistencia</w:t>
      </w:r>
      <w:r>
        <w:t xml:space="preserve"> </w:t>
      </w:r>
      <w:r>
        <w:t xml:space="preserve">explicativa (</w:t>
      </w:r>
      <ns1:oMath>
        <ns1:acc>
          <ns1:accPr>
            <ns1:chr ns1:val="‾"/>
          </ns1:accPr>
          <ns1:e>
            <ns1:r>
              <ns1:t>S</ns1:t>
            </ns1:r>
          </ns1:e>
        </ns1:acc>
        <ns1:r>
          <ns1:rPr>
            <ns1:sty ns1:val="p"/>
          </ns1:rPr>
          <ns1:t>≥</ns1:t>
        </ns1:r>
        <ns1:r>
          <ns1:t>0.70</ns1:t>
        </ns1:r>
      </ns1:oMath>
      <w:r>
        <w:t xml:space="preserve">). Para modelos basados en árboles (XGBoost,</w:t>
      </w:r>
      <w:r>
        <w:t xml:space="preserve"> </w:t>
      </w:r>
      <w:r>
        <w:t xml:space="preserve">Random Forest), TreeSHAP produce estas garantías con un coste de 1–322 ms/</w:t>
      </w:r>
      <w:r>
        <w:t xml:space="preserve"> </w:t>
      </w:r>
      <w:r>
        <w:t xml:space="preserve">instancia, lo que hace esta elección también la más eficiente.</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Los 3–9 ms de LIME en</w:t>
      </w:r>
      <w:r>
        <w:t xml:space="preserve"> </w:t>
      </w:r>
      <w:r>
        <w:t xml:space="preserve">logreg/xgb/mlp hacen posible la explicación en tiempo real, con la condición</w:t>
      </w:r>
      <w:r>
        <w:t xml:space="preserve"> </w:t>
      </w:r>
      <w:r>
        <w:t xml:space="preserve">explícita de que las explicaciones no sean comparadas entre ejecuciones.</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costes de 10,000–70,000 ms/instancia</w:t>
      </w:r>
      <w:r>
        <w:t xml:space="preserve"> </w:t>
      </w:r>
      <w:r>
        <w:t xml:space="preserve">son inviables en producción. Su uso es justificable exclusivamente cuando la</w:t>
      </w:r>
      <w:r>
        <w:t xml:space="preserve"> </w:t>
      </w:r>
      <w:r>
        <w:t xml:space="preserve">forma semántica IF-THEN es un requisito regulatorio o de usuario y el modelo</w:t>
      </w:r>
      <w:r>
        <w:t xml:space="preserve"> </w:t>
      </w:r>
      <w:r>
        <w:t xml:space="preserve">es de complejidad baja (logreg).</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sus costes moderados (770–4,500 ms)</w:t>
      </w:r>
      <w:r>
        <w:t xml:space="preserve"> </w:t>
      </w:r>
      <w:r>
        <w:t xml:space="preserve">son aceptables en la mayoría de los contextos.</w:t>
      </w:r>
    </w:p>
    <w:bookmarkEnd w:id="177"/>
    <w:bookmarkEnd w:id="178"/>
    <w:bookmarkStart w:id="180" w:name="sec-posicionamiento"/>
    <w:p>
      <w:pPr>
        <w:pStyle w:val="Ttulo2"/>
        <w:spacing w:line="360" w:lineRule="auto"/>
        <w:jc w:val="both"/>
      </w:pP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Table 7.3</w:t>
        </w:r>
      </w:hyperlink>
      <w:r>
        <w:t xml:space="preserve"> </w:t>
      </w:r>
      <w:r>
        <w:t xml:space="preserve">realiza esta separación de forma explícita.</w:t>
      </w:r>
    </w:p>
    <w:tbl>
      <w:tblPr>
        <w:tblStyle w:val="Table"/>
        <w:tblW w:type="pct" w:w="5000"/>
        <w:tblLayout w:type="fixed"/>
        <w:tblLook w:firstRow="0" w:lastRow="0" w:firstColumn="0" w:lastColumn="0" w:noHBand="0" w:noVBand="0" w:val="0000"/>
      </w:tblPr>
      <w:tblGrid>
        <w:gridCol w:w="7920"/>
      </w:tblGrid>
      <w:tr>
        <w:tc>
          <w:tcPr/>
          <w:bookmarkStart w:id="179" w:name="tbl-contribucion-separacion"/>
          <w:p>
            <w:pPr>
              <w:jc w:val="both"/>
              <w:spacing w:line="360" w:lineRule="auto"/>
            </w:pPr>
            <w:pPr>
              <w:jc w:val="left"/>
              <w:spacing w:before="200"/>
              <w:pStyle w:val="ImageCaption"/>
            </w:pPr>
            <w:r>
              <w:t xml:space="preserve">Table 7.3: Separación de contribuciones respecto a los trabajos más cercanos.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Contribución</w:t>
                  </w:r>
                </w:p>
              </w:tc>
              <w:tc>
                <w:tcPr/>
                <w:p>
                  <w:pPr>
                    <w:pStyle w:val="Compact"/>
                    <w:jc w:val="both"/>
                    <w:jc w:val="center"/>
                    <w:spacing w:line="360" w:lineRule="auto"/>
                  </w:pPr>
                  <w:r>
                    <w:t xml:space="preserve">Trabajos más cercanos</w:t>
                  </w:r>
                </w:p>
              </w:tc>
              <w:tc>
                <w:tcPr/>
                <w:p>
                  <w:pPr>
                    <w:pStyle w:val="Compact"/>
                    <w:jc w:val="both"/>
                    <w:jc w:val="center"/>
                    <w:spacing w:line="360" w:lineRule="auto"/>
                  </w:pPr>
                  <w:r>
                    <w:t xml:space="preserve">En qué se solapa</w:t>
                  </w:r>
                </w:p>
              </w:tc>
              <w:tc>
                <w:tcPr/>
                <w:p>
                  <w:pPr>
                    <w:pStyle w:val="Compact"/>
                    <w:jc w:val="both"/>
                    <w:jc w:val="center"/>
                    <w:spacing w:line="360" w:lineRule="auto"/>
                  </w:pPr>
                  <w: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179"/>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180"/>
    <w:bookmarkStart w:id="181" w:name="sec-limitaciones"/>
    <w:p>
      <w:pPr>
        <w:pStyle w:val="Ttulo2"/>
        <w:spacing w:line="360" w:lineRule="auto"/>
        <w:jc w:val="both"/>
      </w:pP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and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 y artefactos de diseño.</w:t>
      </w:r>
      <w:r>
        <w:t xml:space="preserve"> </w:t>
      </w:r>
      <w:r>
        <w:t xml:space="preserve">Los resultados son válidos bajo las configuraciones de referencia de cada método. Tres caveats específicos deben tenerse en cuenta al interpretar las métricas de LIME.</w:t>
      </w:r>
    </w:p>
    <w:p>
      <w:pPr>
        <w:pStyle w:val="Textoindependiente"/>
        <w:spacing w:line="360" w:lineRule="auto"/>
        <w:jc w:val="both"/>
      </w:pPr>
      <w:r>
        <w:rPr>
          <w:i/>
          <w:iCs/>
        </w:rPr>
        <w:t xml:space="preserve">Artefacto de parsimonia.</w:t>
      </w:r>
      <w:r>
        <w:t xml:space="preserve"> </w:t>
      </w:r>
      <w:r>
        <w:t xml:space="preserve">El parámetro</w:t>
      </w:r>
      <w:r>
        <w:t xml:space="preserve"> </w:t>
      </w:r>
      <w:r>
        <w:rPr>
          <w:rStyle w:val="VerbatimChar"/>
        </w:rPr>
        <w:t xml:space="preserve">num_features = 10</w:t>
      </w:r>
      <w:r>
        <w:t xml:space="preserve"> </w:t>
      </w:r>
      <w:r>
        <w:t xml:space="preserve">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pPr>
        <w:pStyle w:val="Textoindependiente"/>
        <w:spacing w:line="360" w:lineRule="auto"/>
        <w:jc w:val="both"/>
      </w:pPr>
      <w:r>
        <w:rPr>
          <w:i/>
          <w:iCs/>
        </w:rPr>
        <w:t xml:space="preserve">Inestabilidad estructural de LIME.</w:t>
      </w:r>
      <w:r>
        <w:t xml:space="preserve"> </w:t>
      </w:r>
      <w:r>
        <w:t xml:space="preserve">La inestabilidad de LIME (CV = 86.2%, similitud coseno media ≈ 0.014) fue examinada sistemáticamente variando</w:t>
      </w:r>
      <w:r>
        <w:t xml:space="preserve"> </w:t>
      </w:r>
      <w:r>
        <w:rPr>
          <w:rStyle w:val="VerbatimChar"/>
        </w:rPr>
        <w:t xml:space="preserve">num_samples</w:t>
      </w:r>
      <w:r>
        <w:t xml:space="preserve"> </w:t>
      </w:r>
      <w:r>
        <w:t xml:space="preserve">∈ {500, 1000, 2000}: la estabilidad permanece cercana a cero en todos los niveles, descartando que el resultado sea un artefacto de convergencia. Un análisis adicional de sensibilidad a</w:t>
      </w:r>
      <w:r>
        <w:t xml:space="preserve"> </w:t>
      </w:r>
      <w:r>
        <w:rPr>
          <w:rStyle w:val="VerbatimChar"/>
        </w:rPr>
        <w:t xml:space="preserve">kernel_width</w:t>
      </w:r>
      <w:r>
        <w:t xml:space="preserve"> </w:t>
      </w:r>
      <w:r>
        <w:t xml:space="preserve">∈ {0.25, 0.75, 3.0, 10.0} muestra que los valores inferiores a 3.0 producen pesos degenerados (cero) en el espacio de características preprocesado de 103 dimensiones, confirmando que la referencia es el mínimo viable y que la inestabilidad es estructural, no dependiente de la configuración del kernel (Apéndice C).</w:t>
      </w:r>
    </w:p>
    <w:p>
      <w:pPr>
        <w:pStyle w:val="Textoindependiente"/>
        <w:spacing w:line="360" w:lineRule="auto"/>
        <w:jc w:val="both"/>
      </w:pPr>
      <w:r>
        <w:rPr>
          <w:i/>
          <w:iCs/>
        </w:rPr>
        <w:t xml:space="preserve">Sesgo de enmascaramiento y correlaciones de características.</w:t>
      </w:r>
      <w:r>
        <w:t xml:space="preserve"> </w:t>
      </w:r>
      <w:r>
        <w:t xml:space="preserve">La métrica de fidelidad enmascara características individualmente sustituyéndolas por valores de referencia medios. En el dataset Adult Income, pares como</w:t>
      </w:r>
      <w:r>
        <w:t xml:space="preserve"> </w:t>
      </w:r>
      <w:r>
        <w:rPr>
          <w:rStyle w:val="VerbatimChar"/>
        </w:rPr>
        <w:t xml:space="preserve">education</w:t>
      </w:r>
      <w:r>
        <w:t xml:space="preserve">/</w:t>
      </w:r>
      <w:r>
        <w:rPr>
          <w:rStyle w:val="VerbatimChar"/>
        </w:rPr>
        <w:t xml:space="preserve">education-num</w:t>
      </w:r>
      <w:r>
        <w:t xml:space="preserve"> </w:t>
      </w:r>
      <w:r>
        <w:t xml:space="preserve">(</w:t>
      </w:r>
      <ns1:oMath>
        <ns1:r>
          <ns1:t>r</ns1:t>
        </ns1:r>
        <ns1:r>
          <ns1:rPr>
            <ns1:sty ns1:val="p"/>
          </ns1:rPr>
          <ns1:t>=</ns1:t>
        </ns1:r>
        <ns1:r>
          <ns1:t>1.0</ns1:t>
        </ns1:r>
      </ns1:oMath>
      <w:r>
        <w:t xml:space="preserve">) y</w:t>
      </w:r>
      <w:r>
        <w:t xml:space="preserve"> </w:t>
      </w:r>
      <w:r>
        <w:rPr>
          <w:rStyle w:val="VerbatimChar"/>
        </w:rPr>
        <w:t xml:space="preserve">occupation</w:t>
      </w:r>
      <w:r>
        <w:t xml:space="preserve">/</w:t>
      </w:r>
      <w:r>
        <w:rPr>
          <w:rStyle w:val="VerbatimChar"/>
        </w:rPr>
        <w:t xml:space="preserve">education</w:t>
      </w:r>
      <w:r>
        <w:t xml:space="preserve"> </w:t>
      </w:r>
      <w:r>
        <w:t xml:space="preserve">(Cramér’s</w:t>
      </w:r>
      <w:r>
        <w:t xml:space="preserve"> </w:t>
      </w:r>
      <ns1:oMath>
        <ns1:r>
          <ns1:t>V</ns1:t>
        </ns1:r>
        <ns1:r>
          <ns1:rPr>
            <ns1:sty ns1:val="p"/>
          </ns1:rPr>
          <ns1:t>≈</ns1:t>
        </ns1:r>
        <ns1:r>
          <ns1:t>0.34</ns1:t>
        </ns1:r>
      </ns1: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 No puede descartarse que parte de la brecha de fidelidad SHAP-LIME refleje sensibilidad diferencial a este sesgo en lugar de diferencias puras de calidad de atribución.</w:t>
      </w:r>
    </w:p>
    <w:bookmarkEnd w:id="181"/>
    <w:bookmarkStart w:id="184" w:name="sec-fronteras"/>
    <w:p>
      <w:pPr>
        <w:pStyle w:val="Ttulo2"/>
        <w:spacing w:line="360" w:lineRule="auto"/>
        <w:jc w:val="both"/>
      </w:pP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Table 7.4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tblLayout w:type="fixed"/>
        <w:tblLook w:firstRow="0" w:lastRow="0" w:firstColumn="0" w:lastColumn="0" w:noHBand="0" w:noVBand="0" w:val="0000"/>
      </w:tblPr>
      <w:tblGrid>
        <w:gridCol w:w="7920"/>
      </w:tblGrid>
      <w:tr>
        <w:tc>
          <w:tcPr/>
          <w:bookmarkStart w:id="182" w:name="tbl-fronteras-generalizacion"/>
          <w:p>
            <w:pPr>
              <w:jc w:val="both"/>
              <w:spacing w:line="360" w:lineRule="auto"/>
            </w:pPr>
            <w:pPr>
              <w:jc w:val="left"/>
              <w:spacing w:before="200"/>
              <w:pStyle w:val="ImageCaption"/>
            </w:pPr>
            <w:r>
              <w:t xml:space="preserve">Table 7.4: Fronteras de generalización de los hallazgos principales.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Afirmación</w:t>
                  </w:r>
                </w:p>
              </w:tc>
              <w:tc>
                <w:tcPr/>
                <w:p>
                  <w:pPr>
                    <w:pStyle w:val="Compact"/>
                    <w:jc w:val="both"/>
                    <w:jc w:val="center"/>
                    <w:spacing w:line="360" w:lineRule="auto"/>
                  </w:pPr>
                  <w:r>
                    <w:t xml:space="preserve">Soportada para</w:t>
                  </w:r>
                </w:p>
              </w:tc>
              <w:tc>
                <w:tcPr/>
                <w:p>
                  <w:pPr>
                    <w:pStyle w:val="Compact"/>
                    <w:jc w:val="both"/>
                    <w:jc w:val="center"/>
                    <w:spacing w:line="360" w:lineRule="auto"/>
                  </w:pPr>
                  <w:r>
                    <w:t xml:space="preserve">No soportada para</w:t>
                  </w:r>
                </w:p>
              </w:tc>
              <w:tc>
                <w:tcPr/>
                <w:p>
                  <w:pPr>
                    <w:pStyle w:val="Compact"/>
                    <w:jc w:val="both"/>
                    <w:jc w:val="center"/>
                    <w:spacing w:line="360" w:lineRule="auto"/>
                  </w:pPr>
                  <w: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datasets tabulares adicionales para la comparación específica SHAP-LIME; otras operacionalizaciones de fidelidad (ROAR, pixel-flipping)</w:t>
                  </w:r>
                </w:p>
              </w:tc>
              <w:tc>
                <w:tcPr/>
                <w:p>
                  <w:pPr>
                    <w:pStyle w:val="Compact"/>
                    <w:jc w:val="both"/>
                    <w:jc w:val="center"/>
                    <w:spacing w:line="360" w:lineRule="auto"/>
                  </w:pPr>
                  <w:r>
                    <w:rPr>
                      <w:b/>
                      <w:bCs/>
                    </w:rPr>
                    <w:t xml:space="preserve">Validación parcial completada (EXP3):</w:t>
                  </w:r>
                  <w:r>
                    <w:t xml:space="preserve"> </w:t>
                  </w:r>
                  <w:r>
                    <w:t xml:space="preserve">el ordenamiento SHAP</w:t>
                  </w:r>
                  <w:r>
                    <w:t xml:space="preserve"> </w:t>
                  </w:r>
                  <ns1:oMath>
                    <ns1:r>
                      <ns1:rPr>
                        <ns1:sty ns1:val="p"/>
                      </ns1:rPr>
                      <ns1:t>&gt;</ns1:t>
                    </ns1:r>
                  </ns1:oMath>
                  <w:r>
                    <w:t xml:space="preserve"> </w:t>
                  </w:r>
                  <w:r>
                    <w:t xml:space="preserve">Anchors en fidelidad fue replicado en Breast Cancer Wisconsin y German Credit (12/12 combinaciones pareadas; véase §sec-exp3-nota). La extensión posterior incorporó LIME en esos dos datasets, pero no instrumentó estabilidad de SHAP; por tanto, el contraste pareado SHAP-LIME completo fuera de Adult permanece pendiente.</w:t>
                  </w:r>
                </w:p>
              </w:tc>
            </w:tr>
            <w:tr>
              <w:tc>
                <w:tcPr/>
                <w:p>
                  <w:pPr>
                    <w:pStyle w:val="Compact"/>
                    <w:jc w:val="both"/>
                    <w:jc w:val="center"/>
                    <w:spacing w:line="360" w:lineRule="auto"/>
                  </w:pPr>
                  <w:r>
                    <w:t xml:space="preserve">La inestabilidad de LIME es estructural (CV=86%, media≈0.014)</w:t>
                  </w:r>
                </w:p>
              </w:tc>
              <w:tc>
                <w:tcPr/>
                <w:p>
                  <w:pPr>
                    <w:pStyle w:val="Compact"/>
                    <w:jc w:val="both"/>
                    <w:jc w:val="center"/>
                    <w:spacing w:line="360" w:lineRule="auto"/>
                  </w:pPr>
                  <w:r>
                    <w:t xml:space="preserve">UCI Adult Income;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Otras configuraciones de LIME; otras definiciones de estabilidad (distancia Lipschitz local, varianza de pesos)</w:t>
                  </w:r>
                </w:p>
              </w:tc>
              <w:tc>
                <w:tcPr/>
                <w:p>
                  <w:pPr>
                    <w:pStyle w:val="Compact"/>
                    <w:jc w:val="both"/>
                    <w:jc w:val="center"/>
                    <w:spacing w:line="360" w:lineRule="auto"/>
                  </w:pPr>
                  <w:r>
                    <w:t xml:space="preserve">Análisis de sensibilidad de hiperparámetros con variación sistemática de</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 estrategia de perturbación</w:t>
                  </w:r>
                </w:p>
              </w:tc>
            </w:tr>
            <w:tr>
              <w:tc>
                <w:tcPr/>
                <w:p>
                  <w:pPr>
                    <w:pStyle w:val="Compact"/>
                    <w:jc w:val="both"/>
                    <w:jc w:val="center"/>
                    <w:spacing w:line="360" w:lineRule="auto"/>
                  </w:pPr>
                  <w:r>
                    <w:t xml:space="preserve">FOM-7 produce resultados reproducibles (CV&lt;3% en fidelidad primaria)</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182"/>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Start w:id="183" w:name="sec-exp3-nota"/>
    <w:p>
      <w:pPr>
        <w:pStyle w:val="Ttulo3"/>
        <w:spacing w:line="360" w:lineRule="auto"/>
        <w:jc w:val="both"/>
      </w:pPr>
      <w:r>
        <w:t xml:space="preserve">Nota sobre la validación externa parcial: EXP3</w:t>
      </w:r>
    </w:p>
    <w:p>
      <w:pPr>
        <w:pStyle w:val="FirstParagraph"/>
        <w:spacing w:line="360" w:lineRule="auto"/>
        <w:jc w:val="both"/>
      </w:pPr>
      <w:r>
        <w:t xml:space="preserve">Durante el desarrollo de esta línea de investigación se completó una validación</w:t>
      </w:r>
      <w:r>
        <w:t xml:space="preserve"> </w:t>
      </w:r>
      <w:r>
        <w:t xml:space="preserve">externa parcial del ordenamiento de fidelidad (EXP3). El estudio comparó SHAP</w:t>
      </w:r>
      <w:r>
        <w:t xml:space="preserve"> </w:t>
      </w:r>
      <w:r>
        <w:t xml:space="preserve">frente a Anchors en dos datasets tabulares binarios adicionales: Breast Cancer</w:t>
      </w:r>
      <w:r>
        <w:t xml:space="preserve"> </w:t>
      </w:r>
      <w:r>
        <w:t xml:space="preserve">Wisconsin</w:t>
      </w:r>
      <w:r>
        <w:t xml:space="preserve"> </w:t>
      </w:r>
      <w:r>
        <w:t xml:space="preserve">(</w:t>
      </w:r>
      <ns1:oMath>
        <ns1:r>
          <ns1:t>n</ns1:t>
        </ns1:r>
        <ns1:r>
          <ns1:rPr>
            <ns1:sty ns1:val="p"/>
          </ns1:rPr>
          <ns1:t>=</ns1:t>
        </ns1:r>
        <ns1:r>
          <ns1:t>569</ns1:t>
        </ns1:r>
      </ns1:oMath>
      <w:r>
        <w:t xml:space="preserve">, 30 características, Dua and Graff 2019)</w:t>
      </w:r>
      <w:r>
        <w:t xml:space="preserve"> </w:t>
      </w:r>
      <w:r>
        <w:t xml:space="preserve">y German Credit</w:t>
      </w:r>
      <w:r>
        <w:t xml:space="preserve"> </w:t>
      </w:r>
      <w:r>
        <w:t xml:space="preserve">(</w:t>
      </w:r>
      <ns1:oMath>
        <ns1:r>
          <ns1:t>n</ns1:t>
        </ns1:r>
        <ns1:r>
          <ns1:rPr>
            <ns1:sty ns1:val="p"/>
          </ns1:rPr>
          <ns1:t>=</ns1:t>
        </ns1:r>
        <ns1:r>
          <ns1:t>1</ns1:t>
        </ns1:r>
        <ns1:r>
          <ns1:rPr>
            <ns1:sty ns1:val="p"/>
          </ns1:rPr>
          <ns1:t>,</ns1:t>
        </ns1:r>
        <ns1:r>
          <ns1:t>000</ns1:t>
        </ns1:r>
      </ns1:oMath>
      <w:r>
        <w:t xml:space="preserve">, 20 características, Dua and Graff 2019)</w:t>
      </w:r>
      <w:r>
        <w:t xml:space="preserve">, empleando los modelos Random Forest</w:t>
      </w:r>
      <w:r>
        <w:t xml:space="preserve"> </w:t>
      </w:r>
      <w:r>
        <w:t xml:space="preserve">y XGBoost con tres semillas por combinación (</w:t>
      </w:r>
      <ns1:oMath>
        <ns1:r>
          <ns1:t>3</ns1:t>
        </ns1:r>
        <ns1:r>
          <ns1:rPr>
            <ns1:sty ns1:val="p"/>
          </ns1:rPr>
          <ns1:t>×</ns1:t>
        </ns1:r>
        <ns1:r>
          <ns1:t>2</ns1:t>
        </ns1:r>
        <ns1:r>
          <ns1:rPr>
            <ns1:sty ns1:val="p"/>
          </ns1:rPr>
          <ns1:t>×</ns1:t>
        </ns1:r>
        <ns1:r>
          <ns1:t>2</ns1:t>
        </ns1:r>
        <ns1:r>
          <ns1:rPr>
            <ns1:sty ns1:val="p"/>
          </ns1:rPr>
          <ns1:t>=</ns1:t>
        </ns1:r>
        <ns1:r>
          <ns1:t>12</ns1:t>
        </ns1:r>
      </ns1:oMath>
      <w:r>
        <w:t xml:space="preserve"> </w:t>
      </w:r>
      <w:r>
        <w:t xml:space="preserve">comparaciones pareadas por dataset</w:t>
      </w:r>
      <w:r>
        <w:t xml:space="preserve"> </w:t>
      </w:r>
      <ns1:oMath>
        <ns1:r>
          <ns1:rPr>
            <ns1:sty ns1:val="p"/>
          </ns1:rPr>
          <ns1:t>×</ns1:t>
        </ns1:r>
      </ns1:oMath>
      <w:r>
        <w:t xml:space="preserve"> </w:t>
      </w:r>
      <w:r>
        <w:t xml:space="preserve">modelo</w:t>
      </w:r>
      <w:r>
        <w:t xml:space="preserve"> </w:t>
      </w:r>
      <ns1:oMath>
        <ns1:r>
          <ns1:rPr>
            <ns1:sty ns1:val="p"/>
          </ns1:rPr>
          <ns1:t>×</ns1:t>
        </ns1:r>
      </ns1:oMath>
      <w:r>
        <w:t xml:space="preserve"> </w:t>
      </w:r>
      <w:r>
        <w:t xml:space="preserve">semilla). SHAP</w:t>
      </w:r>
      <w:r>
        <w:t xml:space="preserve"> </w:t>
      </w:r>
      <w:r>
        <w:t xml:space="preserve">superó a Anchors en fidelidad en las 12 combinaciones, con brechas medias de</w:t>
      </w:r>
      <w:r>
        <w:t xml:space="preserve"> </w:t>
      </w:r>
      <ns1:oMath>
        <ns1:r>
          <ns1:rPr>
            <ns1:sty ns1:val="p"/>
          </ns1:rPr>
          <ns1:t>+</ns1:t>
        </ns1:r>
        <ns1:r>
          <ns1:t>0.26</ns1:t>
        </ns1:r>
      </ns1:oMath>
      <w:r>
        <w:t xml:space="preserve"> </w:t>
      </w:r>
      <w:r>
        <w:t xml:space="preserve">(German Credit, XGB) a</w:t>
      </w:r>
      <w:r>
        <w:t xml:space="preserve"> </w:t>
      </w:r>
      <ns1:oMath>
        <ns1:r>
          <ns1:rPr>
            <ns1:sty ns1:val="p"/>
          </ns1:rPr>
          <ns1:t>+</ns1:t>
        </ns1:r>
        <ns1:r>
          <ns1:t>0.51</ns1:t>
        </ns1:r>
      </ns1:oMath>
      <w:r>
        <w:t xml:space="preserve"> </w:t>
      </w:r>
      <w:r>
        <w:t xml:space="preserve">(Breast Cancer, RF). Estos resultados</w:t>
      </w:r>
      <w:r>
        <w:t xml:space="preserve"> </w:t>
      </w:r>
      <w:r>
        <w:t xml:space="preserve">replican el ordenamiento observado en EXP2 en espacios de características con</w:t>
      </w:r>
      <w:r>
        <w:t xml:space="preserve"> </w:t>
      </w:r>
      <w:r>
        <w:t xml:space="preserve">dimensionalidad y distribución distintas al dataset primario.</w:t>
      </w:r>
    </w:p>
    <w:p>
      <w:pPr>
        <w:pStyle w:val="Textoindependiente"/>
        <w:spacing w:line="360" w:lineRule="auto"/>
        <w:jc w:val="both"/>
      </w:pPr>
      <w:r>
        <w:t xml:space="preserve">Adicionalmente, se completó una extensión de EXP3 que incluye LIME en los</w:t>
      </w:r>
      <w:r>
        <w:t xml:space="preserve"> </w:t>
      </w:r>
      <w:r>
        <w:t xml:space="preserve">mismos dos datasets, utilizando el protocolo de fidelidad y estabilidad del</w:t>
      </w:r>
      <w:r>
        <w:t xml:space="preserve"> </w:t>
      </w:r>
      <w:r>
        <w:t xml:space="preserve">diseño EXP2 (</w:t>
      </w:r>
      <ns1:oMath>
        <ns1:r>
          <ns1:t>N</ns1:t>
        </ns1:r>
        <ns1:r>
          <ns1:rPr>
            <ns1:sty ns1:val="p"/>
          </ns1:rPr>
          <ns1:t>=</ns1:t>
        </ns1:r>
        <ns1:r>
          <ns1:t>100</ns1:t>
        </ns1:r>
      </ns1:oMath>
      <w:r>
        <w:t xml:space="preserve">, 50 por clase; estabilidad:</w:t>
      </w:r>
      <w:r>
        <w:t xml:space="preserve"> </w:t>
      </w:r>
      <ns1:oMath>
        <ns1:r>
          <ns1:t>T</ns1:t>
        </ns1:r>
        <ns1:r>
          <ns1:rPr>
            <ns1:sty ns1:val="p"/>
          </ns1:rPr>
          <ns1:t>=</ns1:t>
        </ns1:r>
        <ns1:r>
          <ns1:t>15</ns1:t>
        </ns1:r>
      </ns1:oMath>
      <w:r>
        <w:t xml:space="preserve"> </w:t>
      </w:r>
      <w:r>
        <w:t xml:space="preserve">perturbaciones</w:t>
      </w:r>
      <w:r>
        <w:t xml:space="preserve"> </w:t>
      </w:r>
      <w:r>
        <w:t xml:space="preserve">gaussianas,</w:t>
      </w:r>
      <w:r>
        <w:t xml:space="preserve"> </w:t>
      </w:r>
      <ns1:oMath>
        <ns1:r>
          <ns1:t>σ</ns1:t>
        </ns1:r>
        <ns1:r>
          <ns1:rPr>
            <ns1:sty ns1:val="p"/>
          </ns1:rPr>
          <ns1:t>=</ns1:t>
        </ns1:r>
        <ns1:r>
          <ns1:t>0.1</ns1:t>
        </ns1:r>
      </ns1:oMath>
      <w:r>
        <w:t xml:space="preserve">). Los resultados principales son los siguientes.</w:t>
      </w:r>
      <w:r>
        <w:t xml:space="preserve"> </w:t>
      </w:r>
      <w:r>
        <w:t xml:space="preserve">En fidelidad, LIME alcanza valores de</w:t>
      </w:r>
      <w:r>
        <w:t xml:space="preserve"> </w:t>
      </w:r>
      <ns1:oMath>
        <ns1:r>
          <ns1:t>0.713</ns1:t>
        </ns1:r>
      </ns1:oMath>
      <w:r>
        <w:t xml:space="preserve"> </w:t>
      </w:r>
      <w:r>
        <w:t xml:space="preserve">(BC, RF) y</w:t>
      </w:r>
      <w:r>
        <w:t xml:space="preserve"> </w:t>
      </w:r>
      <ns1:oMath>
        <ns1:r>
          <ns1:t>0.543</ns1:t>
        </ns1:r>
      </ns1:oMath>
      <w:r>
        <w:t xml:space="preserve"> </w:t>
      </w:r>
      <w:r>
        <w:t xml:space="preserve">(BC, XGB),</w:t>
      </w:r>
      <w:r>
        <w:t xml:space="preserve"> </w:t>
      </w:r>
      <w:r>
        <w:t xml:space="preserve">frente a</w:t>
      </w:r>
      <w:r>
        <w:t xml:space="preserve"> </w:t>
      </w:r>
      <ns1:oMath>
        <ns1:r>
          <ns1:t>0.483</ns1:t>
        </ns1:r>
      </ns1:oMath>
      <w:r>
        <w:t xml:space="preserve"> </w:t>
      </w:r>
      <w:r>
        <w:t xml:space="preserve">(GC, RF) y</w:t>
      </w:r>
      <w:r>
        <w:t xml:space="preserve"> </w:t>
      </w:r>
      <ns1:oMath>
        <ns1:r>
          <ns1:t>0.468</ns1:t>
        </ns1:r>
      </ns1:oMath>
      <w:r>
        <w:t xml:space="preserve"> </w:t>
      </w:r>
      <w:r>
        <w:t xml:space="preserve">(GC, XGB). El ordenamiento SHAP &gt; LIME se</w:t>
      </w:r>
      <w:r>
        <w:t xml:space="preserve"> </w:t>
      </w:r>
      <w:r>
        <w:t xml:space="preserve">sostiene en German Credit pero la brecha se reduce en Breast Cancer (</w:t>
      </w:r>
      <ns1:oMath>
        <ns1:r>
          <ns1:rPr>
            <ns1:sty ns1:val="p"/>
          </ns1:rPr>
          <ns1:t>+</ns1:t>
        </ns1:r>
        <ns1:r>
          <ns1:t>0.07</ns1:t>
        </ns1:r>
      </ns1:oMath>
      <w:r>
        <w:t xml:space="preserve"> </w:t>
      </w:r>
      <w:r>
        <w:t xml:space="preserve">en BC frente a</w:t>
      </w:r>
      <w:r>
        <w:t xml:space="preserve"> </w:t>
      </w:r>
      <ns1:oMath>
        <ns1:r>
          <ns1:rPr>
            <ns1:sty ns1:val="p"/>
          </ns1:rPr>
          <ns1:t>+</ns1:t>
        </ns1:r>
        <ns1:r>
          <ns1:t>0.27</ns1:t>
        </ns1:r>
      </ns1:oMath>
      <w:r>
        <w:t xml:space="preserve"> </w:t>
      </w:r>
      <w:r>
        <w:t xml:space="preserve">en Adult). El resultado más notable concierne a la</w:t>
      </w:r>
      <w:r>
        <w:t xml:space="preserve"> </w:t>
      </w:r>
      <w:r>
        <w:t xml:space="preserve">estabilidad: LIME obtiene similitud coseno media de</w:t>
      </w:r>
      <w:r>
        <w:t xml:space="preserve"> </w:t>
      </w:r>
      <ns1:oMath>
        <ns1:r>
          <ns1:t>0.922</ns1:t>
        </ns1:r>
      </ns1:oMath>
      <w:r>
        <w:t xml:space="preserve">–</w:t>
      </w:r>
      <ns1:oMath>
        <ns1:r>
          <ns1:t>0.927</ns1:t>
        </ns1:r>
      </ns1:oMath>
      <w:r>
        <w:t xml:space="preserve"> </w:t>
      </w:r>
      <w:r>
        <w:t xml:space="preserve">en Breast</w:t>
      </w:r>
      <w:r>
        <w:t xml:space="preserve"> </w:t>
      </w:r>
      <w:r>
        <w:t xml:space="preserve">Cancer y</w:t>
      </w:r>
      <w:r>
        <w:t xml:space="preserve"> </w:t>
      </w:r>
      <ns1:oMath>
        <ns1:r>
          <ns1:t>0.748</ns1:t>
        </ns1:r>
      </ns1:oMath>
      <w:r>
        <w:t xml:space="preserve">–</w:t>
      </w:r>
      <ns1:oMath>
        <ns1:r>
          <ns1:t>0.854</ns1:t>
        </ns1:r>
      </ns1:oMath>
      <w:r>
        <w:t xml:space="preserve"> </w:t>
      </w:r>
      <w:r>
        <w:t xml:space="preserve">en German Credit, en marcado contraste con el valor</w:t>
      </w:r>
      <w:r>
        <w:t xml:space="preserve"> </w:t>
      </w:r>
      <w:r>
        <w:t xml:space="preserve">de</w:t>
      </w:r>
      <w:r>
        <w:t xml:space="preserve"> </w:t>
      </w:r>
      <ns1:oMath>
        <ns1:r>
          <ns1:t>0.014</ns1:t>
        </ns1:r>
      </ns1:oMath>
      <w:r>
        <w:t xml:space="preserve"> </w:t>
      </w:r>
      <w:r>
        <w:t xml:space="preserve">registrado en Adult Income. Esta disparidad apunta al espacio de</w:t>
      </w:r>
      <w:r>
        <w:t xml:space="preserve"> </w:t>
      </w:r>
      <w:r>
        <w:t xml:space="preserve">características como factor mediador: Adult Income fue preprocesado mediante</w:t>
      </w:r>
      <w:r>
        <w:t xml:space="preserve"> </w:t>
      </w:r>
      <w:r>
        <w:t xml:space="preserve">codificación one-hot de 13 variables categóricas, produciendo un espacio de</w:t>
      </w:r>
      <w:r>
        <w:t xml:space="preserve"> </w:t>
      </w:r>
      <w:r>
        <w:t xml:space="preserve">103 dimensiones predominantemente binario; Breast Cancer (30 características</w:t>
      </w:r>
      <w:r>
        <w:t xml:space="preserve"> </w:t>
      </w:r>
      <w:r>
        <w:t xml:space="preserve">continuas) y German Credit (61 dimensiones tras preprocesamiento, mezcla de</w:t>
      </w:r>
      <w:r>
        <w:t xml:space="preserve"> </w:t>
      </w:r>
      <w:r>
        <w:t xml:space="preserve">continuas y binarias) presentan estructuras de vecindad más densas y regulares</w:t>
      </w:r>
      <w:r>
        <w:t xml:space="preserve"> </w:t>
      </w:r>
      <w:r>
        <w:t xml:space="preserve">para el kernel de LIME. La inestabilidad estructural de LIME documentada en</w:t>
      </w:r>
      <w:r>
        <w:t xml:space="preserve"> </w:t>
      </w:r>
      <w:r>
        <w:t xml:space="preserve">EXP2 es, por tanto, dependiente del espacio de características, no una</w:t>
      </w:r>
      <w:r>
        <w:t xml:space="preserve"> </w:t>
      </w:r>
      <w:r>
        <w:t xml:space="preserve">propiedad universal del método.</w:t>
      </w:r>
    </w:p>
    <w:p>
      <w:pPr>
        <w:pStyle w:val="Textoindependiente"/>
        <w:spacing w:line="360" w:lineRule="auto"/>
        <w:jc w:val="both"/>
      </w:pPr>
      <w:r>
        <w:t xml:space="preserve">El alcance de EXP3 permanece acotado en dos sentidos relevantes. Primero, la</w:t>
      </w:r>
      <w:r>
        <w:t xml:space="preserve"> </w:t>
      </w:r>
      <w:r>
        <w:t xml:space="preserve">estabilidad de SHAP no fue instrumentada en los datasets adicionales (la sonda</w:t>
      </w:r>
      <w:r>
        <w:t xml:space="preserve"> </w:t>
      </w:r>
      <w:r>
        <w:t xml:space="preserve">se diseñó para LIME), por lo que no es posible calcular diferencias pareadas</w:t>
      </w:r>
      <w:r>
        <w:t xml:space="preserve"> </w:t>
      </w:r>
      <w:r>
        <w:t xml:space="preserve">SHAP-LIME de estabilidad en BC ni GC. Segundo, los modelos SVM y MLP no están</w:t>
      </w:r>
      <w:r>
        <w:t xml:space="preserve"> </w:t>
      </w:r>
      <w:r>
        <w:t xml:space="preserve">cubiertos. En consecuencia, la afirmación principal de esta tesis —SHAP supera</w:t>
      </w:r>
      <w:r>
        <w:t xml:space="preserve"> </w:t>
      </w:r>
      <w:r>
        <w:t xml:space="preserve">a LIME en fidelidad (</w:t>
      </w:r>
      <ns1:oMath>
        <ns1:sSub>
          <ns1:e>
            <ns1:r>
              <ns1:t>d</ns1:t>
            </ns1:r>
          </ns1:e>
          <ns1:sub>
            <ns1:r>
              <ns1:t>z</ns1:t>
            </ns1:r>
          </ns1:sub>
        </ns1:sSub>
        <ns1:r>
          <ns1:rPr>
            <ns1:sty ns1:val="p"/>
          </ns1:rPr>
          <ns1:t>=</ns1:t>
        </ns1:r>
        <ns1:r>
          <ns1:t>4.82</ns1:t>
        </ns1:r>
      </ns1:oMath>
      <w:r>
        <w:t xml:space="preserve">) y en estabilidad (</w:t>
      </w:r>
      <ns1:oMath>
        <ns1:sSub>
          <ns1:e>
            <ns1:r>
              <ns1:t>d</ns1:t>
            </ns1:r>
          </ns1:e>
          <ns1:sub>
            <ns1:r>
              <ns1:t>z</ns1:t>
            </ns1:r>
          </ns1:sub>
        </ns1:sSub>
        <ns1:r>
          <ns1:rPr>
            <ns1:sty ns1:val="p"/>
          </ns1:rPr>
          <ns1:t>=</ns1:t>
        </ns1:r>
        <ns1:r>
          <ns1:t>3.00</ns1:t>
        </ns1:r>
      </ns1:oMath>
      <w:r>
        <w:t xml:space="preserve">)— permanece</w:t>
      </w:r>
      <w:r>
        <w:t xml:space="preserve"> </w:t>
      </w:r>
      <w:r>
        <w:t xml:space="preserve">referida a UCI Adult Income bajo las condiciones del diseño EXP2; la extensión</w:t>
      </w:r>
      <w:r>
        <w:t xml:space="preserve"> </w:t>
      </w:r>
      <w:r>
        <w:t xml:space="preserve">cross-dataset muestra que la ventaja de fidelidad se mantiene pero se atenúa, y</w:t>
      </w:r>
      <w:r>
        <w:t xml:space="preserve"> </w:t>
      </w:r>
      <w:r>
        <w:t xml:space="preserve">que la brecha de estabilidad puede ser un artefacto del espacio de alta dimensión</w:t>
      </w:r>
      <w:r>
        <w:t xml:space="preserve"> </w:t>
      </w:r>
      <w:r>
        <w:t xml:space="preserve">y no una diferencia intrínseca entre métodos.</w:t>
      </w:r>
    </w:p>
    <w:bookmarkEnd w:id="183"/>
    <w:bookmarkEnd w:id="184"/>
    <w:bookmarkStart w:id="185" w:name="sec-futuro"/>
    <w:p>
      <w:pPr>
        <w:pStyle w:val="Ttulo2"/>
        <w:spacing w:line="360" w:lineRule="auto"/>
        <w:jc w:val="both"/>
      </w:pP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Validación de evaluadores semánticos e incorporación de evaluación</w:t>
      </w:r>
      <w:r>
        <w:rPr>
          <w:b/>
          <w:bCs/>
        </w:rPr>
        <w:t xml:space="preserve"> </w:t>
      </w:r>
      <w:r>
        <w:rPr>
          <w:b/>
          <w:bCs/>
        </w:rPr>
        <w:t xml:space="preserve">human-centered.</w:t>
      </w:r>
      <w:r>
        <w:t xml:space="preserve"> </w:t>
      </w:r>
      <w:r>
        <w:t xml:space="preserve">EXP4 (§sec-exp4-fiabilidad) estableció que los jueces LLM</w:t>
      </w:r>
      <w:r>
        <w:t xml:space="preserve"> </w:t>
      </w:r>
      <w:r>
        <w:t xml:space="preserve">actuales no alcanzan la convergencia inter-juez necesaria bajo rúbricas sin</w:t>
      </w:r>
      <w:r>
        <w:t xml:space="preserve"> </w:t>
      </w:r>
      <w:r>
        <w:t xml:space="preserve">especificación de stakeholder. La continuación directa de este resultado son dos</w:t>
      </w:r>
      <w:r>
        <w:t xml:space="preserve"> </w:t>
      </w:r>
      <w:r>
        <w:t xml:space="preserve">líneas: primera, rediseñar las rúbricas con los cuatro criterios de formalización</w:t>
      </w:r>
      <w:r>
        <w:t xml:space="preserve"> </w:t>
      </w:r>
      <w:r>
        <w:t xml:space="preserve">identificados en §sec-exp4-fiabilidad (especificación de stakeholder, criterio</w:t>
      </w:r>
      <w:r>
        <w:t xml:space="preserve"> </w:t>
      </w:r>
      <w:r>
        <w:t xml:space="preserve">de corrección verificable, separación de desiderata secundarios, calibración</w:t>
      </w:r>
      <w:r>
        <w:t xml:space="preserve"> </w:t>
      </w:r>
      <w:r>
        <w:t xml:space="preserve">contra expertos humanos) y replicar EXP4 con las rúbricas revisadas para</w:t>
      </w:r>
      <w:r>
        <w:t xml:space="preserve"> </w:t>
      </w:r>
      <w:r>
        <w:t xml:space="preserve">determinar si la brecha de fiabilidad se cierra con mayor formalización o</w:t>
      </w:r>
      <w:r>
        <w:t xml:space="preserve"> </w:t>
      </w:r>
      <w:r>
        <w:t xml:space="preserve">refleja límites del paradigma LLM-as-a-judge. Segunda: incorporar estudios de</w:t>
      </w:r>
      <w:r>
        <w:t xml:space="preserve"> </w:t>
      </w:r>
      <w:r>
        <w:t xml:space="preserve">usuario con expertos de dominio (médicos, analistas de crédito) que evalúen</w:t>
      </w:r>
      <w:r>
        <w:t xml:space="preserve"> </w:t>
      </w:r>
      <w:r>
        <w:t xml:space="preserve">comprensión, confianza y utilidad de las explicaciones de SHAP y LIME bajo</w:t>
      </w:r>
      <w:r>
        <w:t xml:space="preserve"> </w:t>
      </w:r>
      <w:r>
        <w:t xml:space="preserve">condiciones de tarea real, produciendo la calibración humana necesaria para</w:t>
      </w:r>
      <w:r>
        <w:t xml:space="preserve"> </w:t>
      </w:r>
      <w:r>
        <w:t xml:space="preserve">validar cualquier evaluador semántico automático.</w:t>
      </w:r>
    </w:p>
    <w:p>
      <w:pPr>
        <w:pStyle w:val="Textoindependiente"/>
        <w:spacing w:line="360" w:lineRule="auto"/>
        <w:jc w:val="both"/>
      </w:pPr>
      <w:r>
        <w:rPr>
          <w:b/>
          <w:bCs/>
        </w:rPr>
        <w:t xml:space="preserve">3. Extensión del análisis de sensibilidad a hiperparámetros.</w:t>
      </w:r>
      <w:r>
        <w:t xml:space="preserve"> </w:t>
      </w:r>
      <w:r>
        <w:t xml:space="preserve">Los análisis de sensibilidad completados en el Apéndice C establecen tres resultados base: (i) la inestabilidad de LIME es robusta a variaciones de</w:t>
      </w:r>
      <w:r>
        <w:t xml:space="preserve"> </w:t>
      </w:r>
      <w:r>
        <w:rPr>
          <w:rStyle w:val="VerbatimChar"/>
        </w:rPr>
        <w:t xml:space="preserve">num_samples</w:t>
      </w:r>
      <w:r>
        <w:t xml:space="preserve"> </w:t>
      </w:r>
      <w:r>
        <w:t xml:space="preserve">∈ {500, 1000, 2000} —la similitud coseno permanece cercana a cero en todos los niveles, descartando que sea un artefacto de convergencia—; (ii)</w:t>
      </w:r>
      <w:r>
        <w:t xml:space="preserve"> </w:t>
      </w:r>
      <w:r>
        <w:rPr>
          <w:rStyle w:val="VerbatimChar"/>
        </w:rPr>
        <w:t xml:space="preserve">kernel_width</w:t>
      </w:r>
      <w:r>
        <w:t xml:space="preserve"> </w:t>
      </w:r>
      <w:r>
        <w:t xml:space="preserve">∈ {0.25, 0.75} produce pesos degenerados en el espacio preprocesado de 103 dimensiones, con</w:t>
      </w:r>
      <w:r>
        <w:t xml:space="preserve"> </w:t>
      </w:r>
      <w:r>
        <w:rPr>
          <w:rStyle w:val="VerbatimChar"/>
        </w:rPr>
        <w:t xml:space="preserve">kernel_width = 3.0</w:t>
      </w:r>
      <w:r>
        <w:t xml:space="preserve"> </w:t>
      </w:r>
      <w:r>
        <w:t xml:space="preserve">como valor mínimo viable y</w:t>
      </w:r>
      <w:r>
        <w:t xml:space="preserve"> </w:t>
      </w:r>
      <w:r>
        <w:rPr>
          <w:rStyle w:val="VerbatimChar"/>
        </w:rPr>
        <w:t xml:space="preserve">kernel_width = 10.0</w:t>
      </w:r>
      <w:r>
        <w:t xml:space="preserve"> </w:t>
      </w:r>
      <w:r>
        <w:t xml:space="preserve">como alternativa más estable a costa de localidad; y (iii) la cobertura de Anchors es extremadamente sensible al umbral de precisión</w:t>
      </w:r>
      <w:r>
        <w:t xml:space="preserve"> </w:t>
      </w:r>
      <ns1:oMath>
        <ns1:r>
          <ns1:t>τ</ns1:t>
        </ns1:r>
      </ns1:oMath>
      <w:r>
        <w:t xml:space="preserve">. Las brechas pendientes incluyen la sensibilidad del tamaño del conjunto de referencia de SHAP más allá del rango evaluado (25–100), la interacción entre</w:t>
      </w:r>
      <w:r>
        <w:t xml:space="preserve"> </w:t>
      </w:r>
      <w:r>
        <w:rPr>
          <w:rStyle w:val="VerbatimChar"/>
        </w:rPr>
        <w:t xml:space="preserve">kernel_width</w:t>
      </w:r>
      <w:r>
        <w:t xml:space="preserve"> </w:t>
      </w:r>
      <w:r>
        <w:t xml:space="preserve">y</w:t>
      </w:r>
      <w:r>
        <w:t xml:space="preserve"> </w:t>
      </w:r>
      <w:r>
        <w:rPr>
          <w:rStyle w:val="VerbatimChar"/>
        </w:rPr>
        <w:t xml:space="preserve">num_samples</w:t>
      </w:r>
      <w:r>
        <w:t xml:space="preserve"> </w:t>
      </w:r>
      <w:r>
        <w:t xml:space="preserve">en espacios de dimensionalidad variable, y la extensión de los análisis a los modelos SVM y MLP, que emplean KernelSHAP en lugar de TreeSHAP y exhiben distintos perfiles de coste-estabilidad.</w:t>
      </w:r>
    </w:p>
    <w:p>
      <w:pPr>
        <w:pStyle w:val="Textoindependiente"/>
        <w:spacing w:line="360" w:lineRule="auto"/>
        <w:jc w:val="both"/>
      </w:pPr>
      <w:r>
        <w:rPr>
          <w:b/>
          <w:bCs/>
        </w:rPr>
        <w:t xml:space="preserve">4. Completar el contraste cross-dataset SHAP-LIME y replicar en dominios</w:t>
      </w:r>
      <w:r>
        <w:rPr>
          <w:b/>
          <w:bCs/>
        </w:rPr>
        <w:t xml:space="preserve"> </w:t>
      </w:r>
      <w:r>
        <w:rPr>
          <w:b/>
          <w:bCs/>
        </w:rPr>
        <w:t xml:space="preserve">de alto riesgo.</w:t>
      </w:r>
      <w:r>
        <w:t xml:space="preserve"> </w:t>
      </w:r>
      <w:r>
        <w:t xml:space="preserve">EXP3 replicó el ordenamiento de fidelidad SHAP-Anchors en</w:t>
      </w:r>
      <w:r>
        <w:t xml:space="preserve"> </w:t>
      </w:r>
      <w:r>
        <w:t xml:space="preserve">Breast Cancer Wisconsin y German Credit, y una extensión posterior incorporó</w:t>
      </w:r>
      <w:r>
        <w:t xml:space="preserve"> </w:t>
      </w:r>
      <w:r>
        <w:t xml:space="preserve">LIME con las mismas métricas de fidelidad y estabilidad. Sin embargo, la</w:t>
      </w:r>
      <w:r>
        <w:t xml:space="preserve"> </w:t>
      </w:r>
      <w:r>
        <w:t xml:space="preserve">estabilidad de SHAP no fue instrumentada en esos datasets, por lo que aún no</w:t>
      </w:r>
      <w:r>
        <w:t xml:space="preserve"> </w:t>
      </w:r>
      <w:r>
        <w:t xml:space="preserve">existe un contraste pareado SHAP-LIME completo de estabilidad fuera de UCI Adult</w:t>
      </w:r>
      <w:r>
        <w:t xml:space="preserve"> </w:t>
      </w:r>
      <w:r>
        <w:t xml:space="preserve">Income. La extensión prioritaria es completar esa instrumentación y ampliar el</w:t>
      </w:r>
      <w:r>
        <w:t xml:space="preserve"> </w:t>
      </w:r>
      <w:r>
        <w:t xml:space="preserve">diseño a más modelos y datasets, de modo que los hallazgos centrales de esta</w:t>
      </w:r>
      <w:r>
        <w:t xml:space="preserve"> </w:t>
      </w:r>
      <w:r>
        <w:t xml:space="preserve">tesis —</w:t>
      </w:r>
      <ns1:oMath>
        <ns1:sSub>
          <ns1:e>
            <ns1:r>
              <ns1:t>d</ns1:t>
            </ns1:r>
          </ns1:e>
          <ns1:sub>
            <ns1:r>
              <ns1:t>z</ns1:t>
            </ns1:r>
          </ns1:sub>
        </ns1:sSub>
        <ns1:r>
          <ns1:rPr>
            <ns1:sty ns1:val="p"/>
          </ns1:rPr>
          <ns1:t>=</ns1:t>
        </ns1:r>
        <ns1:r>
          <ns1:t>4.82</ns1:t>
        </ns1:r>
      </ns1:oMath>
      <w:r>
        <w:t xml:space="preserve"> </w:t>
      </w:r>
      <w:r>
        <w:t xml:space="preserve">en fidelidad y</w:t>
      </w:r>
      <w:r>
        <w:t xml:space="preserve"> </w:t>
      </w:r>
      <ns1:oMath>
        <ns1:sSub>
          <ns1:e>
            <ns1:r>
              <ns1:t>d</ns1:t>
            </ns1:r>
          </ns1:e>
          <ns1:sub>
            <ns1:r>
              <ns1:t>z</ns1:t>
            </ns1:r>
          </ns1:sub>
        </ns1:sSub>
        <ns1:r>
          <ns1:rPr>
            <ns1:sty ns1:val="p"/>
          </ns1:rPr>
          <ns1:t>=</ns1:t>
        </ns1:r>
        <ns1:r>
          <ns1:t>3.00</ns1:t>
        </ns1:r>
      </ns1:oMath>
      <w:r>
        <w:t xml:space="preserve"> </w:t>
      </w:r>
      <w:r>
        <w:t xml:space="preserve">en estabilidad— sean verificables</w:t>
      </w:r>
      <w:r>
        <w:t xml:space="preserve"> </w:t>
      </w:r>
      <w:r>
        <w:t xml:space="preserve">fuera del contexto Adult. Una segunda dirección es la validación en dominios</w:t>
      </w:r>
      <w:r>
        <w:t xml:space="preserve"> </w:t>
      </w:r>
      <w:r>
        <w:t xml:space="preserve">regulados (crédito, salud, justicia) con restricciones normativas explícitas</w:t>
      </w:r>
      <w:r>
        <w:t xml:space="preserve"> </w:t>
      </w:r>
      <w:r>
        <w:t xml:space="preserve">(EU AI Act, GDPR Art. 22), donde la elección del método explicador tiene</w:t>
      </w:r>
      <w:r>
        <w:t xml:space="preserve"> </w:t>
      </w:r>
      <w:r>
        <w:t xml:space="preserve">consecuencias legales directas.</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85"/>
    <w:bookmarkStart w:id="186" w:name="sec-sintesis"/>
    <w:p>
      <w:pPr>
        <w:pStyle w:val="Ttulo2"/>
        <w:spacing w:line="360" w:lineRule="auto"/>
        <w:jc w:val="both"/>
      </w:pP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estructural documentada;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and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exhibe inestabilidad estructural —no marginal, sino</w:t>
      </w:r>
      <w:r>
        <w:t xml:space="preserve"> </w:t>
      </w:r>
      <w:r>
        <w:t xml:space="preserve">sistemática, con CV=86.2% y similitud coseno media de 0.014— es relevante para</w:t>
      </w:r>
      <w:r>
        <w:t xml:space="preserve"> </w:t>
      </w:r>
      <w:r>
        <w:t xml:space="preserve">cualquier sistema de apoyo a la decisión que emplee LIME en entornos de</w:t>
      </w:r>
      <w:r>
        <w:t xml:space="preserve"> </w:t>
      </w:r>
      <w:r>
        <w:t xml:space="preserve">auditoría, regulación o alto riesgo. El contexto normativo actual (EU AI Act,</w:t>
      </w:r>
      <w:r>
        <w:t xml:space="preserve"> </w:t>
      </w:r>
      <w:r>
        <w:t xml:space="preserve">GDPR Art. 22) demanda explicaciones verificables y consistentes; un método que</w:t>
      </w:r>
      <w:r>
        <w:t xml:space="preserve"> </w:t>
      </w:r>
      <w:r>
        <w:t xml:space="preserve">produce explicaciones casi ortogonales entre dos ejecuciones de la misma</w:t>
      </w:r>
      <w:r>
        <w:t xml:space="preserve"> </w:t>
      </w:r>
      <w:r>
        <w:t xml:space="preserve">instancia no satisface ese requisito. Esta conclusión,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es la afirmación de mayor impacto</w:t>
      </w:r>
      <w:r>
        <w:t xml:space="preserve"> </w:t>
      </w:r>
      <w:r>
        <w:t xml:space="preserve">práctico de la tesis: no es un argumento teórico contra LIME, sino una</w:t>
      </w:r>
      <w:r>
        <w:t xml:space="preserve"> </w:t>
      </w:r>
      <w:r>
        <w:t xml:space="preserve">cuantificación empírica de su riesgo en el tipo de despliegue que la regulación</w:t>
      </w:r>
      <w:r>
        <w:t xml:space="preserve"> </w:t>
      </w:r>
      <w:r>
        <w:t xml:space="preserve">exige evaluar.</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Section 7.6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186"/>
    <w:bookmarkEnd w:id="187"/>
    <w:bookmarkStart w:id="322" w:name="referencias"/>
    <w:p>
      <w:pPr>
        <w:pStyle w:val="Ttulo1"/>
        <w:spacing w:line="360" w:lineRule="auto"/>
        <w:jc w:val="both"/>
      </w:pPr>
      <w:r>
        <w:t xml:space="preserve">Referencias</w:t>
      </w:r>
    </w:p>
    <w:bookmarkStart w:id="321" w:name="refs"/>
    <w:bookmarkStart w:id="189" w:name="ref-abdul2018"/>
    <w:p>
      <w:pPr>
        <w:pStyle w:val="Bibliography"/>
        <w:spacing w:line="360" w:lineRule="auto"/>
        <w:jc w:val="both"/>
      </w:pPr>
      <w:r>
        <w:t xml:space="preserve">Abdul, Ashraf, Jo Vermeulen, Danding Wang, Brian Y. Lim, and Mohan Kankanhalli. 2018.</w:t>
      </w:r>
      <w:r>
        <w:t xml:space="preserve"> </w:t>
      </w:r>
      <w:r>
        <w:t xml:space="preserve">“Trends and Trajectories for Explainable, Accountable and Intelligible Systems: An HCI Research Agenda.”</w:t>
      </w:r>
      <w:r>
        <w:t xml:space="preserve"> </w:t>
      </w:r>
      <w:r>
        <w:rPr>
          <w:i/>
          <w:iCs/>
        </w:rPr>
        <w:t xml:space="preserve">Proceedings of the 2018 CHI Conference on Human Factors in Computing Systems</w:t>
      </w:r>
      <w:r>
        <w:t xml:space="preserve">, 1–18.</w:t>
      </w:r>
      <w:r>
        <w:t xml:space="preserve"> </w:t>
      </w:r>
      <w:hyperlink ns5:id="rId188">
        <w:r>
          <w:rPr>
            <w:rStyle w:val="Hipervnculo"/>
          </w:rPr>
          <w:t xml:space="preserve">https://doi.org/10.1145/3173574.3174156</w:t>
        </w:r>
      </w:hyperlink>
      <w:r>
        <w:t xml:space="preserve">.</w:t>
      </w:r>
    </w:p>
    <w:bookmarkEnd w:id="189"/>
    <w:bookmarkStart w:id="191" w:name="ref-abdulkadir2023"/>
    <w:p>
      <w:pPr>
        <w:pStyle w:val="Bibliography"/>
        <w:spacing w:line="360" w:lineRule="auto"/>
        <w:jc w:val="both"/>
      </w:pPr>
      <w:r>
        <w:t xml:space="preserve">Abdul Kadir, M., A. Mosavi, and D. Sonntag. 2023.</w:t>
      </w:r>
      <w:r>
        <w:t xml:space="preserve"> </w:t>
      </w:r>
      <w:r>
        <w:t xml:space="preserve">“Evaluation Metrics for XAI: A Review, Taxonomy, and Practical Applications.”</w:t>
      </w:r>
      <w:r>
        <w:t xml:space="preserve"> </w:t>
      </w:r>
      <w:r>
        <w:rPr>
          <w:i/>
          <w:iCs/>
        </w:rPr>
        <w:t xml:space="preserve">INES 2023 Proceedings</w:t>
      </w:r>
      <w:r>
        <w:t xml:space="preserve">, ahead of print.</w:t>
      </w:r>
      <w:r>
        <w:t xml:space="preserve"> </w:t>
      </w:r>
      <w:hyperlink ns5:id="rId190">
        <w:r>
          <w:rPr>
            <w:rStyle w:val="Hipervnculo"/>
          </w:rPr>
          <w:t xml:space="preserve">https://doi.org/10.1109/INES59045.2023.1030000</w:t>
        </w:r>
      </w:hyperlink>
      <w:r>
        <w:t xml:space="preserve">.</w:t>
      </w:r>
    </w:p>
    <w:bookmarkEnd w:id="191"/>
    <w:bookmarkStart w:id="193"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 </w:t>
      </w:r>
      <w:r>
        <w:rPr>
          <w:i/>
          <w:iCs/>
        </w:rPr>
        <w:t xml:space="preserve">IEEE Access, 6, 52138–52160</w:t>
      </w:r>
      <w:r>
        <w:t xml:space="preserve">, ahead of print.</w:t>
      </w:r>
      <w:r>
        <w:t xml:space="preserve"> </w:t>
      </w:r>
      <w:hyperlink ns5:id="rId192">
        <w:r>
          <w:rPr>
            <w:rStyle w:val="Hipervnculo"/>
          </w:rPr>
          <w:t xml:space="preserve">https://doi.org/10.1109/access.2018.2870052</w:t>
        </w:r>
      </w:hyperlink>
      <w:r>
        <w:t xml:space="preserve">.</w:t>
      </w:r>
    </w:p>
    <w:bookmarkEnd w:id="193"/>
    <w:bookmarkStart w:id="194"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 </w:t>
      </w:r>
      <w:r>
        <w:rPr>
          <w:i/>
          <w:iCs/>
        </w:rPr>
        <w:t xml:space="preserve">Advances in Neural Information Processing Systems (NeurIPS)</w:t>
      </w:r>
      <w:r>
        <w:t xml:space="preserve">.</w:t>
      </w:r>
    </w:p>
    <w:bookmarkEnd w:id="194"/>
    <w:bookmarkStart w:id="196"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 </w:t>
      </w:r>
      <w:r>
        <w:rPr>
          <w:i/>
          <w:iCs/>
        </w:rPr>
        <w:t xml:space="preserve">Information Fusion, 99, 101805</w:t>
      </w:r>
      <w:r>
        <w:t xml:space="preserve">, ahead of print.</w:t>
      </w:r>
      <w:r>
        <w:t xml:space="preserve"> </w:t>
      </w:r>
      <w:hyperlink ns5:id="rId195">
        <w:r>
          <w:rPr>
            <w:rStyle w:val="Hipervnculo"/>
          </w:rPr>
          <w:t xml:space="preserve">https://doi.org/10.1016/j.inffus.2023.101805</w:t>
        </w:r>
      </w:hyperlink>
      <w:r>
        <w:t xml:space="preserve">.</w:t>
      </w:r>
    </w:p>
    <w:bookmarkEnd w:id="196"/>
    <w:bookmarkStart w:id="198"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 </w:t>
      </w:r>
      <w:r>
        <w:rPr>
          <w:i/>
          <w:iCs/>
        </w:rPr>
        <w:t xml:space="preserve">Annual Review of Statistics and Its Application, 11(1), 97–121</w:t>
      </w:r>
      <w:r>
        <w:t xml:space="preserve">, ahead of print.</w:t>
      </w:r>
      <w:r>
        <w:t xml:space="preserve"> </w:t>
      </w:r>
      <w:hyperlink ns5:id="rId197">
        <w:r>
          <w:rPr>
            <w:rStyle w:val="Hipervnculo"/>
          </w:rPr>
          <w:t xml:space="preserve">https://doi.org/10.1146/annurev-statistics-040120-030919</w:t>
        </w:r>
      </w:hyperlink>
      <w:r>
        <w:t xml:space="preserve">.</w:t>
      </w:r>
    </w:p>
    <w:bookmarkEnd w:id="198"/>
    <w:bookmarkStart w:id="200"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 </w:t>
      </w:r>
      <w:r>
        <w:rPr>
          <w:i/>
          <w:iCs/>
        </w:rPr>
        <w:t xml:space="preserve">Technologies, 13(3), 93</w:t>
      </w:r>
      <w:r>
        <w:t xml:space="preserve">, ahead of print.</w:t>
      </w:r>
      <w:r>
        <w:t xml:space="preserve"> </w:t>
      </w:r>
      <w:hyperlink ns5:id="rId199">
        <w:r>
          <w:rPr>
            <w:rStyle w:val="Hipervnculo"/>
          </w:rPr>
          <w:t xml:space="preserve">https://doi.org/10.3390/technologies13030093</w:t>
        </w:r>
      </w:hyperlink>
      <w:r>
        <w:t xml:space="preserve">.</w:t>
      </w:r>
    </w:p>
    <w:bookmarkEnd w:id="200"/>
    <w:bookmarkStart w:id="202" w:name="ref-alvarezmelis2018"/>
    <w:p>
      <w:pPr>
        <w:pStyle w:val="Bibliography"/>
        <w:spacing w:line="360" w:lineRule="auto"/>
        <w:jc w:val="both"/>
      </w:pPr>
      <w:r>
        <w:t xml:space="preserve">Alvarez-Melis, David, and Tommi S. Jaakkola. 2018.</w:t>
      </w:r>
      <w:r>
        <w:t xml:space="preserve"> </w:t>
      </w:r>
      <w:r>
        <w:rPr>
          <w:i/>
          <w:iCs/>
        </w:rPr>
        <w:t xml:space="preserve">On the Robustness of Interpretability Methods</w:t>
      </w:r>
      <w:r>
        <w:t xml:space="preserve">.</w:t>
      </w:r>
      <w:r>
        <w:t xml:space="preserve"> </w:t>
      </w:r>
      <w:hyperlink ns5:id="rId201">
        <w:r>
          <w:rPr>
            <w:rStyle w:val="Hipervnculo"/>
          </w:rPr>
          <w:t xml:space="preserve">https://arxiv.org/abs/1806.08049</w:t>
        </w:r>
      </w:hyperlink>
      <w:r>
        <w:t xml:space="preserve">.</w:t>
      </w:r>
    </w:p>
    <w:bookmarkEnd w:id="202"/>
    <w:bookmarkStart w:id="204"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 </w:t>
      </w:r>
      <w:r>
        <w:rPr>
          <w:i/>
          <w:iCs/>
        </w:rPr>
        <w:t xml:space="preserve">Wiley Interdisciplinary Reviews Data Mining and Knowledge Discovery, 11(5)</w:t>
      </w:r>
      <w:r>
        <w:t xml:space="preserve">, ahead of print.</w:t>
      </w:r>
      <w:r>
        <w:t xml:space="preserve"> </w:t>
      </w:r>
      <w:hyperlink ns5:id="rId203">
        <w:r>
          <w:rPr>
            <w:rStyle w:val="Hipervnculo"/>
          </w:rPr>
          <w:t xml:space="preserve">https://doi.org/10.1002/widm.1424</w:t>
        </w:r>
      </w:hyperlink>
      <w:r>
        <w:t xml:space="preserve">.</w:t>
      </w:r>
    </w:p>
    <w:bookmarkEnd w:id="204"/>
    <w:bookmarkStart w:id="206" w:name="ref-arrieta2019a"/>
    <w:p>
      <w:pPr>
        <w:pStyle w:val="Bibliography"/>
        <w:spacing w:line="360" w:lineRule="auto"/>
        <w:jc w:val="both"/>
      </w:pPr>
      <w:r>
        <w:t xml:space="preserve">Arrieta, Díaz-Rodríguez, A. B. 2019a.</w:t>
      </w:r>
      <w:r>
        <w:t xml:space="preserve"> </w:t>
      </w:r>
      <w:r>
        <w:t xml:space="preserve">“Explainable Artificial Intelligence (XAI): Concepts, Taxonomies, Opportunities and Challenges Toward Responsible AI.”</w:t>
      </w:r>
      <w:r>
        <w:t xml:space="preserve"> </w:t>
      </w:r>
      <w:r>
        <w:rPr>
          <w:i/>
          <w:iCs/>
        </w:rPr>
        <w:t xml:space="preserve">Information Fusion, 58, 82–115</w:t>
      </w:r>
      <w:r>
        <w:t xml:space="preserve">, ahead of print, 2019a.</w:t>
      </w:r>
      <w:r>
        <w:t xml:space="preserve"> </w:t>
      </w:r>
      <w:hyperlink ns5:id="rId205">
        <w:r>
          <w:rPr>
            <w:rStyle w:val="Hipervnculo"/>
          </w:rPr>
          <w:t xml:space="preserve">https://doi.org/10.1016/j.inffus.2019.12.012</w:t>
        </w:r>
      </w:hyperlink>
      <w:r>
        <w:t xml:space="preserve">.</w:t>
      </w:r>
    </w:p>
    <w:bookmarkEnd w:id="206"/>
    <w:bookmarkStart w:id="208"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 </w:t>
      </w:r>
      <w:r>
        <w:rPr>
          <w:i/>
          <w:iCs/>
        </w:rPr>
        <w:t xml:space="preserve">Frontiers in Big Data, 4</w:t>
      </w:r>
      <w:r>
        <w:t xml:space="preserve">, ahead of print.</w:t>
      </w:r>
      <w:r>
        <w:t xml:space="preserve"> </w:t>
      </w:r>
      <w:hyperlink ns5:id="rId207">
        <w:r>
          <w:rPr>
            <w:rStyle w:val="Hipervnculo"/>
          </w:rPr>
          <w:t xml:space="preserve">https://doi.org/10.3389/fdata.2021.688969</w:t>
        </w:r>
      </w:hyperlink>
      <w:r>
        <w:t xml:space="preserve">.</w:t>
      </w:r>
    </w:p>
    <w:bookmarkEnd w:id="208"/>
    <w:bookmarkStart w:id="210" w:name="ref-bhattacharya2024"/>
    <w:p>
      <w:pPr>
        <w:pStyle w:val="Bibliography"/>
        <w:spacing w:line="360" w:lineRule="auto"/>
        <w:jc w:val="both"/>
      </w:pPr>
      <w:r>
        <w:t xml:space="preserve">Bhattacharya, A., and K. Verbert. 2024.</w:t>
      </w:r>
      <w:r>
        <w:t xml:space="preserve"> </w:t>
      </w:r>
      <w:r>
        <w:t xml:space="preserve">“How Good Is Your Explanation?: Towards a Standardised Evaluation Approach for Diverse XAI Methods on Multiple Dimensions of Explainability.”</w:t>
      </w:r>
      <w:r>
        <w:t xml:space="preserve"> </w:t>
      </w:r>
      <w:r>
        <w:rPr>
          <w:i/>
          <w:iCs/>
        </w:rPr>
        <w:t xml:space="preserve">Proceedings of the 32nd ACM Conference on User Modeling, Adaptation and Personalization (UMAP Adjunct ’24)</w:t>
      </w:r>
      <w:r>
        <w:t xml:space="preserve">.</w:t>
      </w:r>
      <w:r>
        <w:t xml:space="preserve"> </w:t>
      </w:r>
      <w:hyperlink ns5:id="rId209">
        <w:r>
          <w:rPr>
            <w:rStyle w:val="Hipervnculo"/>
          </w:rPr>
          <w:t xml:space="preserve">https://doi.org/10.1145/3631700.3664911</w:t>
        </w:r>
      </w:hyperlink>
      <w:r>
        <w:t xml:space="preserve">.</w:t>
      </w:r>
    </w:p>
    <w:bookmarkEnd w:id="210"/>
    <w:bookmarkStart w:id="212" w:name="ref-breiman2001"/>
    <w:p>
      <w:pPr>
        <w:pStyle w:val="Bibliography"/>
        <w:spacing w:line="360" w:lineRule="auto"/>
        <w:jc w:val="both"/>
      </w:pPr>
      <w:r>
        <w:t xml:space="preserve">Breiman, L. 2001.</w:t>
      </w:r>
      <w:r>
        <w:t xml:space="preserve"> </w:t>
      </w:r>
      <w:r>
        <w:t xml:space="preserve">“Random Forests.”</w:t>
      </w:r>
      <w:r>
        <w:t xml:space="preserve"> </w:t>
      </w:r>
      <w:r>
        <w:rPr>
          <w:i/>
          <w:iCs/>
        </w:rPr>
        <w:t xml:space="preserve">Machine Learning, 45(1), 5–32</w:t>
      </w:r>
      <w:r>
        <w:t xml:space="preserve">, ahead of print.</w:t>
      </w:r>
      <w:r>
        <w:t xml:space="preserve"> </w:t>
      </w:r>
      <w:hyperlink ns5:id="rId211">
        <w:r>
          <w:rPr>
            <w:rStyle w:val="Hipervnculo"/>
          </w:rPr>
          <w:t xml:space="preserve">https://doi.org/10.1023/a:1010933404324</w:t>
        </w:r>
      </w:hyperlink>
      <w:r>
        <w:t xml:space="preserve">.</w:t>
      </w:r>
    </w:p>
    <w:bookmarkEnd w:id="212"/>
    <w:bookmarkStart w:id="214" w:name="ref-burger2023"/>
    <w:p>
      <w:pPr>
        <w:pStyle w:val="Bibliography"/>
        <w:spacing w:line="360" w:lineRule="auto"/>
        <w:jc w:val="both"/>
      </w:pPr>
      <w:r>
        <w:t xml:space="preserve">Burger, Christopher, Lingwei Chen, and Thai Le. 2023.</w:t>
      </w:r>
      <w:r>
        <w:t xml:space="preserve"> </w:t>
      </w:r>
      <w:r>
        <w:t xml:space="preserve">“Are Your Explanations Reliable? Investigating the Stability of LIME in Explaining Text Classifiers by Marrying XAI and Adversarial Attack.”</w:t>
      </w:r>
      <w:r>
        <w:t xml:space="preserve"> </w:t>
      </w:r>
      <w:r>
        <w:rPr>
          <w:i/>
          <w:iCs/>
        </w:rPr>
        <w:t xml:space="preserve">Proceedings of the 2023 Conference on Empirical Methods in Natural Language Processing</w:t>
      </w:r>
      <w:r>
        <w:t xml:space="preserve">, 12931–44.</w:t>
      </w:r>
      <w:r>
        <w:t xml:space="preserve"> </w:t>
      </w:r>
      <w:hyperlink ns5:id="rId213">
        <w:r>
          <w:rPr>
            <w:rStyle w:val="Hipervnculo"/>
          </w:rPr>
          <w:t xml:space="preserve">https://doi.org/10.18653/v1/2023.emnlp-main.792</w:t>
        </w:r>
      </w:hyperlink>
      <w:r>
        <w:t xml:space="preserve">.</w:t>
      </w:r>
    </w:p>
    <w:bookmarkEnd w:id="214"/>
    <w:bookmarkStart w:id="216" w:name="ref-canha2025"/>
    <w:p>
      <w:pPr>
        <w:pStyle w:val="Bibliography"/>
        <w:spacing w:line="360" w:lineRule="auto"/>
        <w:jc w:val="both"/>
      </w:pPr>
      <w:r>
        <w:t xml:space="preserve">Canha, D., S. Kubler, K. Främling, and G. Fagherazzi. 2025.</w:t>
      </w:r>
      <w:r>
        <w:t xml:space="preserve"> </w:t>
      </w:r>
      <w:r>
        <w:t xml:space="preserve">“A Functionally-Grounded Benchmark Framework for XAI Methods: Insights and Foundations from a Systematic Literature Review.”</w:t>
      </w:r>
      <w:r>
        <w:t xml:space="preserve"> </w:t>
      </w:r>
      <w:r>
        <w:rPr>
          <w:i/>
          <w:iCs/>
        </w:rPr>
        <w:t xml:space="preserve">ACM Computing Surveys</w:t>
      </w:r>
      <w:r>
        <w:t xml:space="preserve"> </w:t>
      </w:r>
      <w:r>
        <w:t xml:space="preserve">57 (12).</w:t>
      </w:r>
      <w:r>
        <w:t xml:space="preserve"> </w:t>
      </w:r>
      <w:hyperlink ns5:id="rId215">
        <w:r>
          <w:rPr>
            <w:rStyle w:val="Hipervnculo"/>
          </w:rPr>
          <w:t xml:space="preserve">https://doi.org/10.1145/3737445</w:t>
        </w:r>
      </w:hyperlink>
      <w:r>
        <w:t xml:space="preserve">.</w:t>
      </w:r>
    </w:p>
    <w:bookmarkEnd w:id="216"/>
    <w:bookmarkStart w:id="218" w:name="ref-carvalho2019"/>
    <w:p>
      <w:pPr>
        <w:pStyle w:val="Bibliography"/>
        <w:spacing w:line="360" w:lineRule="auto"/>
        <w:jc w:val="both"/>
      </w:pPr>
      <w:r>
        <w:t xml:space="preserve">Carvalho, Diogo V., Eduardo M. Pereira, and Jaime S. Cardoso. 2019.</w:t>
      </w:r>
      <w:r>
        <w:t xml:space="preserve"> </w:t>
      </w:r>
      <w:r>
        <w:t xml:space="preserve">“Machine Learning Interpretability: A Survey on Methods and Metrics.”</w:t>
      </w:r>
      <w:r>
        <w:t xml:space="preserve"> </w:t>
      </w:r>
      <w:r>
        <w:rPr>
          <w:i/>
          <w:iCs/>
        </w:rPr>
        <w:t xml:space="preserve">Electronics</w:t>
      </w:r>
      <w:r>
        <w:t xml:space="preserve"> </w:t>
      </w:r>
      <w:r>
        <w:t xml:space="preserve">8 (8): 832.</w:t>
      </w:r>
      <w:r>
        <w:t xml:space="preserve"> </w:t>
      </w:r>
      <w:hyperlink ns5:id="rId217">
        <w:r>
          <w:rPr>
            <w:rStyle w:val="Hipervnculo"/>
          </w:rPr>
          <w:t xml:space="preserve">https://doi.org/10.3390/electronics8080832</w:t>
        </w:r>
      </w:hyperlink>
      <w:r>
        <w:t xml:space="preserve">.</w:t>
      </w:r>
    </w:p>
    <w:bookmarkEnd w:id="218"/>
    <w:bookmarkStart w:id="220"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 </w:t>
      </w:r>
      <w:r>
        <w:rPr>
          <w:i/>
          <w:iCs/>
        </w:rPr>
        <w:t xml:space="preserve">Journal of Machine Learning Research</w:t>
      </w:r>
      <w:r>
        <w:t xml:space="preserve"> </w:t>
      </w:r>
      <w:r>
        <w:t xml:space="preserve">7: 1–30.</w:t>
      </w:r>
      <w:r>
        <w:t xml:space="preserve"> </w:t>
      </w:r>
      <w:hyperlink ns5:id="rId219">
        <w:r>
          <w:rPr>
            <w:rStyle w:val="Hipervnculo"/>
          </w:rPr>
          <w:t xml:space="preserve">https://www.jmlr.org/papers/v7/demsar06a.html</w:t>
        </w:r>
      </w:hyperlink>
      <w:r>
        <w:t xml:space="preserve">.</w:t>
      </w:r>
    </w:p>
    <w:bookmarkEnd w:id="220"/>
    <w:bookmarkStart w:id="222"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 </w:t>
      </w:r>
      <w:r>
        <w:rPr>
          <w:i/>
          <w:iCs/>
        </w:rPr>
        <w:t xml:space="preserve">arXiv (Cornell University)</w:t>
      </w:r>
      <w:r>
        <w:t xml:space="preserve">, ahead of print.</w:t>
      </w:r>
      <w:r>
        <w:t xml:space="preserve"> </w:t>
      </w:r>
      <w:hyperlink ns5:id="rId221">
        <w:r>
          <w:rPr>
            <w:rStyle w:val="Hipervnculo"/>
          </w:rPr>
          <w:t xml:space="preserve">https://doi.org/10.48550/arxiv.1702.08608</w:t>
        </w:r>
      </w:hyperlink>
      <w:r>
        <w:t xml:space="preserve">.</w:t>
      </w:r>
    </w:p>
    <w:bookmarkEnd w:id="222"/>
    <w:bookmarkStart w:id="224" w:name="ref-dua2019uci"/>
    <w:p>
      <w:pPr>
        <w:pStyle w:val="Bibliography"/>
        <w:spacing w:line="360" w:lineRule="auto"/>
        <w:jc w:val="both"/>
      </w:pPr>
      <w:r>
        <w:t xml:space="preserve">Dua, Dheeru, and Casey Graff. 2019.</w:t>
      </w:r>
      <w:r>
        <w:t xml:space="preserve"> </w:t>
      </w:r>
      <w:r>
        <w:rPr>
          <w:i/>
          <w:iCs/>
        </w:rPr>
        <w:t xml:space="preserve">UCI</w:t>
      </w:r>
      <w:r>
        <w:rPr>
          <w:i/>
          <w:iCs/>
        </w:rPr>
        <w:t xml:space="preserve"> </w:t>
      </w:r>
      <w:r>
        <w:rPr>
          <w:i/>
          <w:iCs/>
        </w:rPr>
        <w:t xml:space="preserve">Machine Learning Repository</w:t>
      </w:r>
      <w:r>
        <w:t xml:space="preserve">. University of California, Irvine, School of Information and Computer Sciences.</w:t>
      </w:r>
      <w:r>
        <w:t xml:space="preserve"> </w:t>
      </w:r>
      <w:hyperlink ns5:id="rId223">
        <w:r>
          <w:rPr>
            <w:rStyle w:val="Hipervnculo"/>
          </w:rPr>
          <w:t xml:space="preserve">http://archive.ics.uci.edu/ml</w:t>
        </w:r>
      </w:hyperlink>
      <w:r>
        <w:t xml:space="preserve">.</w:t>
      </w:r>
    </w:p>
    <w:bookmarkEnd w:id="224"/>
    <w:bookmarkStart w:id="226"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 </w:t>
      </w:r>
      <w:r>
        <w:rPr>
          <w:i/>
          <w:iCs/>
        </w:rPr>
        <w:t xml:space="preserve">Minds and Machines, 28(4), 689–707</w:t>
      </w:r>
      <w:r>
        <w:t xml:space="preserve">, ahead of print.</w:t>
      </w:r>
      <w:r>
        <w:t xml:space="preserve"> </w:t>
      </w:r>
      <w:hyperlink ns5:id="rId225">
        <w:r>
          <w:rPr>
            <w:rStyle w:val="Hipervnculo"/>
          </w:rPr>
          <w:t xml:space="preserve">https://doi.org/10.1007/s11023-018-9482-5</w:t>
        </w:r>
      </w:hyperlink>
      <w:r>
        <w:t xml:space="preserve">.</w:t>
      </w:r>
    </w:p>
    <w:bookmarkEnd w:id="226"/>
    <w:bookmarkStart w:id="228"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 </w:t>
      </w:r>
      <w:r>
        <w:rPr>
          <w:i/>
          <w:iCs/>
        </w:rPr>
        <w:t xml:space="preserve">Journal of the American Statistical Association</w:t>
      </w:r>
      <w:r>
        <w:t xml:space="preserve"> </w:t>
      </w:r>
      <w:r>
        <w:t xml:space="preserve">32 (200): 675–701.</w:t>
      </w:r>
      <w:r>
        <w:t xml:space="preserve"> </w:t>
      </w:r>
      <w:hyperlink ns5:id="rId227">
        <w:r>
          <w:rPr>
            <w:rStyle w:val="Hipervnculo"/>
          </w:rPr>
          <w:t xml:space="preserve">https://doi.org/10.1080/01621459.1937.10503522</w:t>
        </w:r>
      </w:hyperlink>
      <w:r>
        <w:t xml:space="preserve">.</w:t>
      </w:r>
    </w:p>
    <w:bookmarkEnd w:id="228"/>
    <w:bookmarkStart w:id="230"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 </w:t>
      </w:r>
      <w:r>
        <w:rPr>
          <w:i/>
          <w:iCs/>
        </w:rPr>
        <w:t xml:space="preserve">2022 IEEE 9th International Conference on Data Science and Advanced Analytics (DSAA), 80–89</w:t>
      </w:r>
      <w:r>
        <w:t xml:space="preserve">, ahead of print.</w:t>
      </w:r>
      <w:r>
        <w:t xml:space="preserve"> </w:t>
      </w:r>
      <w:hyperlink ns5:id="rId229">
        <w:r>
          <w:rPr>
            <w:rStyle w:val="Hipervnculo"/>
          </w:rPr>
          <w:t xml:space="preserve">https://doi.org/10.1109/dsaa.2018.00018</w:t>
        </w:r>
      </w:hyperlink>
      <w:r>
        <w:t xml:space="preserve">.</w:t>
      </w:r>
    </w:p>
    <w:bookmarkEnd w:id="230"/>
    <w:bookmarkStart w:id="232" w:name="ref-guidotti2018"/>
    <w:p>
      <w:pPr>
        <w:pStyle w:val="Bibliography"/>
        <w:spacing w:line="360" w:lineRule="auto"/>
        <w:jc w:val="both"/>
      </w:pPr>
      <w:r>
        <w:t xml:space="preserve">Guidotti, Riccardo, Anna Monreale, Salvatore Ruggieri, Franco Turini, Fosca Giannotti, and Dino Pedreschi. 2018.</w:t>
      </w:r>
      <w:r>
        <w:t xml:space="preserve"> </w:t>
      </w:r>
      <w:r>
        <w:t xml:space="preserve">“A Survey of Methods for Explaining Black Box Models.”</w:t>
      </w:r>
      <w:r>
        <w:t xml:space="preserve"> </w:t>
      </w:r>
      <w:r>
        <w:rPr>
          <w:i/>
          <w:iCs/>
        </w:rPr>
        <w:t xml:space="preserve">ACM Computing Surveys</w:t>
      </w:r>
      <w:r>
        <w:t xml:space="preserve"> </w:t>
      </w:r>
      <w:r>
        <w:t xml:space="preserve">51 (5): 1–42.</w:t>
      </w:r>
      <w:r>
        <w:t xml:space="preserve"> </w:t>
      </w:r>
      <w:hyperlink ns5:id="rId231">
        <w:r>
          <w:rPr>
            <w:rStyle w:val="Hipervnculo"/>
          </w:rPr>
          <w:t xml:space="preserve">https://doi.org/10.1145/3236009</w:t>
        </w:r>
      </w:hyperlink>
      <w:r>
        <w:t xml:space="preserve">.</w:t>
      </w:r>
    </w:p>
    <w:bookmarkEnd w:id="232"/>
    <w:bookmarkStart w:id="234" w:name="ref-hase2020"/>
    <w:p>
      <w:pPr>
        <w:pStyle w:val="Bibliography"/>
        <w:spacing w:line="360" w:lineRule="auto"/>
        <w:jc w:val="both"/>
      </w:pPr>
      <w:r>
        <w:t xml:space="preserve">Hase, Peter, and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233">
        <w:r>
          <w:rPr>
            <w:rStyle w:val="Hipervnculo"/>
          </w:rPr>
          <w:t xml:space="preserve">https://doi.org/10.18653/v1/2020.acl-main.491</w:t>
        </w:r>
      </w:hyperlink>
      <w:r>
        <w:t xml:space="preserve">.</w:t>
      </w:r>
    </w:p>
    <w:bookmarkEnd w:id="234"/>
    <w:bookmarkStart w:id="236"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 </w:t>
      </w:r>
      <w:r>
        <w:rPr>
          <w:i/>
          <w:iCs/>
        </w:rPr>
        <w:t xml:space="preserve">Cognitive Computation, 16(1), 45–74</w:t>
      </w:r>
      <w:r>
        <w:t xml:space="preserve">, ahead of print.</w:t>
      </w:r>
      <w:r>
        <w:t xml:space="preserve"> </w:t>
      </w:r>
      <w:hyperlink ns5:id="rId235">
        <w:r>
          <w:rPr>
            <w:rStyle w:val="Hipervnculo"/>
          </w:rPr>
          <w:t xml:space="preserve">https://doi.org/10.1007/s12559-023-10179-8</w:t>
        </w:r>
      </w:hyperlink>
      <w:r>
        <w:t xml:space="preserve">.</w:t>
      </w:r>
    </w:p>
    <w:bookmarkEnd w:id="236"/>
    <w:bookmarkStart w:id="237"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 </w:t>
      </w:r>
      <w:r>
        <w:rPr>
          <w:i/>
          <w:iCs/>
        </w:rPr>
        <w:t xml:space="preserve">Journal of Machine Learning Research</w:t>
      </w:r>
      <w:r>
        <w:t xml:space="preserve"> </w:t>
      </w:r>
      <w:r>
        <w:t xml:space="preserve">24 (34): 1–11.</w:t>
      </w:r>
    </w:p>
    <w:bookmarkEnd w:id="237"/>
    <w:bookmarkStart w:id="239" w:name="ref-hoffman2023"/>
    <w:p>
      <w:pPr>
        <w:pStyle w:val="Bibliography"/>
        <w:spacing w:line="360" w:lineRule="auto"/>
        <w:jc w:val="both"/>
      </w:pPr>
      <w:r>
        <w:t xml:space="preserve">Hoffman, Robert R., Timothy Miller, Gary Klein, Shane T. Mueller, and William J. Clancey. 2023.</w:t>
      </w:r>
      <w:r>
        <w:t xml:space="preserve"> </w:t>
      </w:r>
      <w:r>
        <w:t xml:space="preserve">“Increasing the Value of XAI for Users: A Psychological Perspective.”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238">
        <w:r>
          <w:rPr>
            <w:rStyle w:val="Hipervnculo"/>
          </w:rPr>
          <w:t xml:space="preserve">https://doi.org/10.1007/s13218-023-00806-9</w:t>
        </w:r>
      </w:hyperlink>
      <w:r>
        <w:t xml:space="preserve">.</w:t>
      </w:r>
    </w:p>
    <w:bookmarkEnd w:id="239"/>
    <w:bookmarkStart w:id="241"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 </w:t>
      </w:r>
      <w:r>
        <w:rPr>
          <w:i/>
          <w:iCs/>
        </w:rPr>
        <w:t xml:space="preserve">Science</w:t>
      </w:r>
      <w:r>
        <w:t xml:space="preserve"> </w:t>
      </w:r>
      <w:r>
        <w:t xml:space="preserve">359 (6377): 725–26.</w:t>
      </w:r>
      <w:r>
        <w:t xml:space="preserve"> </w:t>
      </w:r>
      <w:hyperlink ns5:id="rId240">
        <w:r>
          <w:rPr>
            <w:rStyle w:val="Hipervnculo"/>
          </w:rPr>
          <w:t xml:space="preserve">https://doi.org/10.1126/science.359.6377.725</w:t>
        </w:r>
      </w:hyperlink>
      <w:r>
        <w:t xml:space="preserve">.</w:t>
      </w:r>
    </w:p>
    <w:bookmarkEnd w:id="241"/>
    <w:bookmarkStart w:id="243" w:name="ref-karimi2022"/>
    <w:p>
      <w:pPr>
        <w:pStyle w:val="Bibliography"/>
        <w:spacing w:line="360" w:lineRule="auto"/>
        <w:jc w:val="both"/>
      </w:pPr>
      <w:r>
        <w:t xml:space="preserve">Karimi, Amir-Hossein, Gilles Barthe, Bernhard Schölkopf, and Isabel Valera. 2022.</w:t>
      </w:r>
      <w:r>
        <w:t xml:space="preserve"> </w:t>
      </w:r>
      <w:r>
        <w:t xml:space="preserve">“A Survey of Algorithmic Recourse: Contrastive Explanations and Consequential Recommendations.”</w:t>
      </w:r>
      <w:r>
        <w:t xml:space="preserve"> </w:t>
      </w:r>
      <w:r>
        <w:rPr>
          <w:i/>
          <w:iCs/>
        </w:rPr>
        <w:t xml:space="preserve">ACM Computing Surveys</w:t>
      </w:r>
      <w:r>
        <w:t xml:space="preserve"> </w:t>
      </w:r>
      <w:r>
        <w:t xml:space="preserve">55 (5): 1–29.</w:t>
      </w:r>
      <w:r>
        <w:t xml:space="preserve"> </w:t>
      </w:r>
      <w:hyperlink ns5:id="rId242">
        <w:r>
          <w:rPr>
            <w:rStyle w:val="Hipervnculo"/>
          </w:rPr>
          <w:t xml:space="preserve">https://doi.org/10.1145/3527848</w:t>
        </w:r>
      </w:hyperlink>
      <w:r>
        <w:t xml:space="preserve">.</w:t>
      </w:r>
    </w:p>
    <w:bookmarkEnd w:id="243"/>
    <w:bookmarkStart w:id="245" w:name="ref-kaur2020"/>
    <w:p>
      <w:pPr>
        <w:pStyle w:val="Bibliography"/>
        <w:spacing w:line="360" w:lineRule="auto"/>
        <w:jc w:val="both"/>
      </w:pPr>
      <w:r>
        <w:t xml:space="preserve">Kaur, Harmanpreet, Harsha Nori, Samuel Jenkins, Rich Caruana, Hanna Wallach, and Jennifer Wortman Vaughan. 2020.</w:t>
      </w:r>
      <w:r>
        <w:t xml:space="preserve"> </w:t>
      </w:r>
      <w:r>
        <w:t xml:space="preserve">“Interpreting Interpretability: Understanding Data Scientists’ Use of Interpretability Tools for Machine Learning.”</w:t>
      </w:r>
      <w:r>
        <w:t xml:space="preserve"> </w:t>
      </w:r>
      <w:r>
        <w:rPr>
          <w:i/>
          <w:iCs/>
        </w:rPr>
        <w:t xml:space="preserve">Proceedings of the 2020 CHI Conference on Human Factors in Computing Systems</w:t>
      </w:r>
      <w:r>
        <w:t xml:space="preserve">, 1–14.</w:t>
      </w:r>
      <w:r>
        <w:t xml:space="preserve"> </w:t>
      </w:r>
      <w:hyperlink ns5:id="rId244">
        <w:r>
          <w:rPr>
            <w:rStyle w:val="Hipervnculo"/>
          </w:rPr>
          <w:t xml:space="preserve">https://doi.org/10.1145/3313831.3376219</w:t>
        </w:r>
      </w:hyperlink>
      <w:r>
        <w:t xml:space="preserve">.</w:t>
      </w:r>
    </w:p>
    <w:bookmarkEnd w:id="245"/>
    <w:bookmarkStart w:id="247" w:name="ref-kohavi1996"/>
    <w:p>
      <w:pPr>
        <w:pStyle w:val="Bibliography"/>
        <w:spacing w:line="360" w:lineRule="auto"/>
        <w:jc w:val="both"/>
      </w:pPr>
      <w:r>
        <w:t xml:space="preserve">Kohavi, Ron, and Barry Becker. 1996.</w:t>
      </w:r>
      <w:r>
        <w:t xml:space="preserve"> </w:t>
      </w:r>
      <w:r>
        <w:rPr>
          <w:i/>
          <w:iCs/>
        </w:rPr>
        <w:t xml:space="preserve">Adult Data Set</w:t>
      </w:r>
      <w:r>
        <w:t xml:space="preserve">. UCI Machine Learning Repository.</w:t>
      </w:r>
      <w:r>
        <w:t xml:space="preserve"> </w:t>
      </w:r>
      <w:hyperlink ns5:id="rId246">
        <w:r>
          <w:rPr>
            <w:rStyle w:val="Hipervnculo"/>
          </w:rPr>
          <w:t xml:space="preserve">https://archive.ics.uci.edu/dataset/2/adult</w:t>
        </w:r>
      </w:hyperlink>
      <w:r>
        <w:t xml:space="preserve">.</w:t>
      </w:r>
    </w:p>
    <w:bookmarkEnd w:id="247"/>
    <w:bookmarkStart w:id="249" w:name="ref-koo2016"/>
    <w:p>
      <w:pPr>
        <w:pStyle w:val="Bibliography"/>
        <w:spacing w:line="360" w:lineRule="auto"/>
        <w:jc w:val="both"/>
      </w:pPr>
      <w:r>
        <w:t xml:space="preserve">Koo, Terry K., and Mae Y. Li. 2016.</w:t>
      </w:r>
      <w:r>
        <w:t xml:space="preserve"> </w:t>
      </w:r>
      <w:r>
        <w:t xml:space="preserve">“A Guideline of Selecting and Reporting Intraclass Correlation Coefficients for Reliability Research.”</w:t>
      </w:r>
      <w:r>
        <w:t xml:space="preserve"> </w:t>
      </w:r>
      <w:r>
        <w:rPr>
          <w:i/>
          <w:iCs/>
        </w:rPr>
        <w:t xml:space="preserve">Journal of Chiropractic Medicine</w:t>
      </w:r>
      <w:r>
        <w:t xml:space="preserve"> </w:t>
      </w:r>
      <w:r>
        <w:t xml:space="preserve">15 (2): 155–63.</w:t>
      </w:r>
      <w:r>
        <w:t xml:space="preserve"> </w:t>
      </w:r>
      <w:hyperlink ns5:id="rId248">
        <w:r>
          <w:rPr>
            <w:rStyle w:val="Hipervnculo"/>
          </w:rPr>
          <w:t xml:space="preserve">https://doi.org/10.1016/j.jcm.2016.02.012</w:t>
        </w:r>
      </w:hyperlink>
      <w:r>
        <w:t xml:space="preserve">.</w:t>
      </w:r>
    </w:p>
    <w:bookmarkEnd w:id="249"/>
    <w:bookmarkStart w:id="251"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 </w:t>
      </w:r>
      <w:r>
        <w:rPr>
          <w:i/>
          <w:iCs/>
        </w:rPr>
        <w:t xml:space="preserve">Frontiers in Psychology</w:t>
      </w:r>
      <w:r>
        <w:t xml:space="preserve"> </w:t>
      </w:r>
      <w:r>
        <w:t xml:space="preserve">4: 863.</w:t>
      </w:r>
      <w:r>
        <w:t xml:space="preserve"> </w:t>
      </w:r>
      <w:hyperlink ns5:id="rId250">
        <w:r>
          <w:rPr>
            <w:rStyle w:val="Hipervnculo"/>
          </w:rPr>
          <w:t xml:space="preserve">https://doi.org/10.3389/fpsyg.2013.00863</w:t>
        </w:r>
      </w:hyperlink>
      <w:r>
        <w:t xml:space="preserve">.</w:t>
      </w:r>
    </w:p>
    <w:bookmarkEnd w:id="251"/>
    <w:bookmarkStart w:id="253"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 </w:t>
      </w:r>
      <w:r>
        <w:rPr>
          <w:i/>
          <w:iCs/>
        </w:rPr>
        <w:t xml:space="preserve">Artificial Intelligence</w:t>
      </w:r>
      <w:r>
        <w:t xml:space="preserve"> </w:t>
      </w:r>
      <w:r>
        <w:t xml:space="preserve">296: 103473.</w:t>
      </w:r>
      <w:r>
        <w:t xml:space="preserve"> </w:t>
      </w:r>
      <w:hyperlink ns5:id="rId252">
        <w:r>
          <w:rPr>
            <w:rStyle w:val="Hipervnculo"/>
          </w:rPr>
          <w:t xml:space="preserve">https://doi.org/10.1016/j.artint.2021.103473</w:t>
        </w:r>
      </w:hyperlink>
      <w:r>
        <w:t xml:space="preserve">.</w:t>
      </w:r>
    </w:p>
    <w:bookmarkEnd w:id="253"/>
    <w:bookmarkStart w:id="255" w:name="ref-laugel2019"/>
    <w:p>
      <w:pPr>
        <w:pStyle w:val="Bibliography"/>
        <w:spacing w:line="360" w:lineRule="auto"/>
        <w:jc w:val="both"/>
      </w:pPr>
      <w:r>
        <w:t xml:space="preserve">Laugel, Thibault, Marie-Jeanne Lesot, Christophe Marsala, Xavier Renard, and Marcin Detyniecki. 2019.</w:t>
      </w:r>
      <w:r>
        <w:t xml:space="preserve"> </w:t>
      </w:r>
      <w:r>
        <w:t xml:space="preserve">“The Dangers of Post-Hoc Interpretability: Unjustified Counterfactual Explanations.”</w:t>
      </w:r>
      <w:r>
        <w:t xml:space="preserve"> </w:t>
      </w:r>
      <w:r>
        <w:rPr>
          <w:i/>
          <w:iCs/>
        </w:rPr>
        <w:t xml:space="preserve">Proceedings of the Twenty-Eighth International Joint Conference on Artificial Intelligence</w:t>
      </w:r>
      <w:r>
        <w:t xml:space="preserve">, 2801–7.</w:t>
      </w:r>
      <w:r>
        <w:t xml:space="preserve"> </w:t>
      </w:r>
      <w:hyperlink ns5:id="rId254">
        <w:r>
          <w:rPr>
            <w:rStyle w:val="Hipervnculo"/>
          </w:rPr>
          <w:t xml:space="preserve">https://doi.org/10.24963/ijcai.2019/388</w:t>
        </w:r>
      </w:hyperlink>
      <w:r>
        <w:t xml:space="preserve">.</w:t>
      </w:r>
    </w:p>
    <w:bookmarkEnd w:id="255"/>
    <w:bookmarkStart w:id="257"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 </w:t>
      </w:r>
      <w:r>
        <w:rPr>
          <w:i/>
          <w:iCs/>
        </w:rPr>
        <w:t xml:space="preserve">Entropy, 23(1), 18</w:t>
      </w:r>
      <w:r>
        <w:t xml:space="preserve">, ahead of print.</w:t>
      </w:r>
      <w:r>
        <w:t xml:space="preserve"> </w:t>
      </w:r>
      <w:hyperlink ns5:id="rId256">
        <w:r>
          <w:rPr>
            <w:rStyle w:val="Hipervnculo"/>
          </w:rPr>
          <w:t xml:space="preserve">https://doi.org/10.3390/e23010018</w:t>
        </w:r>
      </w:hyperlink>
      <w:r>
        <w:t xml:space="preserve">.</w:t>
      </w:r>
    </w:p>
    <w:bookmarkEnd w:id="257"/>
    <w:bookmarkStart w:id="259" w:name="ref-lipton2018"/>
    <w:p>
      <w:pPr>
        <w:pStyle w:val="Bibliography"/>
        <w:spacing w:line="360" w:lineRule="auto"/>
        <w:jc w:val="both"/>
      </w:pPr>
      <w:r>
        <w:t xml:space="preserve">Lipton, Z. C. 2018.</w:t>
      </w:r>
      <w:r>
        <w:t xml:space="preserve"> </w:t>
      </w:r>
      <w:r>
        <w:t xml:space="preserve">“The Mythos of Model Interpretability.”</w:t>
      </w:r>
      <w:r>
        <w:t xml:space="preserve"> </w:t>
      </w:r>
      <w:r>
        <w:rPr>
          <w:i/>
          <w:iCs/>
        </w:rPr>
        <w:t xml:space="preserve">Queue, 16(3), 31–57</w:t>
      </w:r>
      <w:r>
        <w:t xml:space="preserve">, ahead of print.</w:t>
      </w:r>
      <w:r>
        <w:t xml:space="preserve"> </w:t>
      </w:r>
      <w:hyperlink ns5:id="rId258">
        <w:r>
          <w:rPr>
            <w:rStyle w:val="Hipervnculo"/>
          </w:rPr>
          <w:t xml:space="preserve">https://doi.org/10.1145/3236386.3241340</w:t>
        </w:r>
      </w:hyperlink>
      <w:r>
        <w:t xml:space="preserve">.</w:t>
      </w:r>
    </w:p>
    <w:bookmarkEnd w:id="259"/>
    <w:bookmarkStart w:id="261"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 </w:t>
      </w:r>
      <w:r>
        <w:rPr>
          <w:i/>
          <w:iCs/>
        </w:rPr>
        <w:t xml:space="preserve">arXiv (Cornell University)</w:t>
      </w:r>
      <w:r>
        <w:t xml:space="preserve">, ahead of print.</w:t>
      </w:r>
      <w:r>
        <w:t xml:space="preserve"> </w:t>
      </w:r>
      <w:hyperlink ns5:id="rId260">
        <w:r>
          <w:rPr>
            <w:rStyle w:val="Hipervnculo"/>
          </w:rPr>
          <w:t xml:space="preserve">https://doi.org/10.48550/arxiv.1705.07874</w:t>
        </w:r>
      </w:hyperlink>
      <w:r>
        <w:t xml:space="preserve">.</w:t>
      </w:r>
    </w:p>
    <w:bookmarkEnd w:id="261"/>
    <w:bookmarkStart w:id="263"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 </w:t>
      </w:r>
      <w:r>
        <w:rPr>
          <w:i/>
          <w:iCs/>
        </w:rPr>
        <w:t xml:space="preserve">ICIMMI ’23: Proceedings of the 5th International Conference on Information Management &amp; Machine Intelligence Article No.: 85, 1–9</w:t>
      </w:r>
      <w:r>
        <w:t xml:space="preserve">, ahead of print.</w:t>
      </w:r>
      <w:r>
        <w:t xml:space="preserve"> </w:t>
      </w:r>
      <w:hyperlink ns5:id="rId262">
        <w:r>
          <w:rPr>
            <w:rStyle w:val="Hipervnculo"/>
          </w:rPr>
          <w:t xml:space="preserve">https://doi.org/10.1145/3647444.3647912</w:t>
        </w:r>
      </w:hyperlink>
      <w:r>
        <w:t xml:space="preserve">.</w:t>
      </w:r>
    </w:p>
    <w:bookmarkEnd w:id="263"/>
    <w:bookmarkStart w:id="265"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 </w:t>
      </w:r>
      <w:r>
        <w:rPr>
          <w:i/>
          <w:iCs/>
        </w:rPr>
        <w:t xml:space="preserve">Wiley Interdisciplinary Reviews Data Mining and Knowledge Discovery, 13(3)</w:t>
      </w:r>
      <w:r>
        <w:t xml:space="preserve">, ahead of print.</w:t>
      </w:r>
      <w:r>
        <w:t xml:space="preserve"> </w:t>
      </w:r>
      <w:hyperlink ns5:id="rId264">
        <w:r>
          <w:rPr>
            <w:rStyle w:val="Hipervnculo"/>
          </w:rPr>
          <w:t xml:space="preserve">https://doi.org/10.1002/widm.1493</w:t>
        </w:r>
      </w:hyperlink>
      <w:r>
        <w:t xml:space="preserve">.</w:t>
      </w:r>
    </w:p>
    <w:bookmarkEnd w:id="265"/>
    <w:bookmarkStart w:id="267"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 </w:t>
      </w:r>
      <w:r>
        <w:rPr>
          <w:i/>
          <w:iCs/>
        </w:rPr>
        <w:t xml:space="preserve">Artificial Intelligence</w:t>
      </w:r>
      <w:r>
        <w:t xml:space="preserve"> </w:t>
      </w:r>
      <w:r>
        <w:t xml:space="preserve">267: 1–38.</w:t>
      </w:r>
      <w:r>
        <w:t xml:space="preserve"> </w:t>
      </w:r>
      <w:hyperlink ns5:id="rId266">
        <w:r>
          <w:rPr>
            <w:rStyle w:val="Hipervnculo"/>
          </w:rPr>
          <w:t xml:space="preserve">https://doi.org/10.1016/j.artint.2018.07.007</w:t>
        </w:r>
      </w:hyperlink>
      <w:r>
        <w:t xml:space="preserve">.</w:t>
      </w:r>
    </w:p>
    <w:bookmarkEnd w:id="267"/>
    <w:bookmarkStart w:id="269" w:name="ref-mittelstadt2019"/>
    <w:p>
      <w:pPr>
        <w:pStyle w:val="Bibliography"/>
        <w:spacing w:line="360" w:lineRule="auto"/>
        <w:jc w:val="both"/>
      </w:pPr>
      <w:r>
        <w:t xml:space="preserve">Mittelstadt, Russell, B. 2019.</w:t>
      </w:r>
      <w:r>
        <w:t xml:space="preserve"> </w:t>
      </w:r>
      <w:r>
        <w:t xml:space="preserve">“Explaining Explanations in AI.”</w:t>
      </w:r>
      <w:r>
        <w:t xml:space="preserve"> </w:t>
      </w:r>
      <w:r>
        <w:rPr>
          <w:i/>
          <w:iCs/>
        </w:rPr>
        <w:t xml:space="preserve">FAT* ’19: Proceedings of the Conference on Fairness, Accountability, and Transparency, 279–288</w:t>
      </w:r>
      <w:r>
        <w:t xml:space="preserve">, ahead of print.</w:t>
      </w:r>
      <w:r>
        <w:t xml:space="preserve"> </w:t>
      </w:r>
      <w:hyperlink ns5:id="rId268">
        <w:r>
          <w:rPr>
            <w:rStyle w:val="Hipervnculo"/>
          </w:rPr>
          <w:t xml:space="preserve">https://doi.org/10.1145/3287560.3287574</w:t>
        </w:r>
      </w:hyperlink>
      <w:r>
        <w:t xml:space="preserve">.</w:t>
      </w:r>
    </w:p>
    <w:bookmarkEnd w:id="269"/>
    <w:bookmarkStart w:id="271" w:name="ref-mohseni2021"/>
    <w:p>
      <w:pPr>
        <w:pStyle w:val="Bibliography"/>
        <w:spacing w:line="360" w:lineRule="auto"/>
        <w:jc w:val="both"/>
      </w:pPr>
      <w:r>
        <w:t xml:space="preserve">Mohseni, Sina, Niloofar Zarei, and Eric D. Ragan. 2021.</w:t>
      </w:r>
      <w:r>
        <w:t xml:space="preserve"> </w:t>
      </w:r>
      <w:r>
        <w:t xml:space="preserve">“A Multidisciplinary Survey and Framework for Design and Evaluation of Explainable AI Systems.”</w:t>
      </w:r>
      <w:r>
        <w:t xml:space="preserve"> </w:t>
      </w:r>
      <w:r>
        <w:rPr>
          <w:i/>
          <w:iCs/>
        </w:rPr>
        <w:t xml:space="preserve">ACM Transactions on Interactive Intelligent Systems</w:t>
      </w:r>
      <w:r>
        <w:t xml:space="preserve"> </w:t>
      </w:r>
      <w:r>
        <w:t xml:space="preserve">11 (3-4): 1–45.</w:t>
      </w:r>
      <w:r>
        <w:t xml:space="preserve"> </w:t>
      </w:r>
      <w:hyperlink ns5:id="rId270">
        <w:r>
          <w:rPr>
            <w:rStyle w:val="Hipervnculo"/>
          </w:rPr>
          <w:t xml:space="preserve">https://doi.org/10.1145/3387166</w:t>
        </w:r>
      </w:hyperlink>
      <w:r>
        <w:t xml:space="preserve">.</w:t>
      </w:r>
    </w:p>
    <w:bookmarkEnd w:id="271"/>
    <w:bookmarkStart w:id="273"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 </w:t>
      </w:r>
      <w:r>
        <w:rPr>
          <w:i/>
          <w:iCs/>
        </w:rPr>
        <w:t xml:space="preserve">FAT* ’20: Proceedings of the 2020 Conference on Fairness, Accountability, and Transparency</w:t>
      </w:r>
      <w:r>
        <w:t xml:space="preserve">, ahead of print.</w:t>
      </w:r>
      <w:r>
        <w:t xml:space="preserve"> </w:t>
      </w:r>
      <w:hyperlink ns5:id="rId272">
        <w:r>
          <w:rPr>
            <w:rStyle w:val="Hipervnculo"/>
          </w:rPr>
          <w:t xml:space="preserve">https://doi.org/10.1145/3351095.3372850</w:t>
        </w:r>
      </w:hyperlink>
      <w:r>
        <w:t xml:space="preserve">.</w:t>
      </w:r>
    </w:p>
    <w:bookmarkEnd w:id="273"/>
    <w:bookmarkStart w:id="275"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 </w:t>
      </w:r>
      <w:r>
        <w:rPr>
          <w:i/>
          <w:iCs/>
        </w:rPr>
        <w:t xml:space="preserve">Proceedings of the National Academy of Sciences, 116(44), 22071–22080</w:t>
      </w:r>
      <w:r>
        <w:t xml:space="preserve">, ahead of print.</w:t>
      </w:r>
      <w:r>
        <w:t xml:space="preserve"> </w:t>
      </w:r>
      <w:hyperlink ns5:id="rId274">
        <w:r>
          <w:rPr>
            <w:rStyle w:val="Hipervnculo"/>
          </w:rPr>
          <w:t xml:space="preserve">https://doi.org/10.1073/pnas.1900654116</w:t>
        </w:r>
      </w:hyperlink>
      <w:r>
        <w:t xml:space="preserve">.</w:t>
      </w:r>
    </w:p>
    <w:bookmarkEnd w:id="275"/>
    <w:bookmarkStart w:id="277"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 </w:t>
      </w:r>
      <w:r>
        <w:rPr>
          <w:i/>
          <w:iCs/>
        </w:rPr>
        <w:t xml:space="preserve">ACM Computing Surveys</w:t>
      </w:r>
      <w:r>
        <w:t xml:space="preserve"> </w:t>
      </w:r>
      <w:r>
        <w:t xml:space="preserve">55 (13s): 1–42.</w:t>
      </w:r>
      <w:r>
        <w:t xml:space="preserve"> </w:t>
      </w:r>
      <w:hyperlink ns5:id="rId276">
        <w:r>
          <w:rPr>
            <w:rStyle w:val="Hipervnculo"/>
          </w:rPr>
          <w:t xml:space="preserve">https://doi.org/10.1145/3583558</w:t>
        </w:r>
      </w:hyperlink>
      <w:r>
        <w:t xml:space="preserve">.</w:t>
      </w:r>
    </w:p>
    <w:bookmarkEnd w:id="277"/>
    <w:bookmarkStart w:id="279" w:name="ref-nemenyi1963"/>
    <w:p>
      <w:pPr>
        <w:pStyle w:val="Bibliography"/>
        <w:spacing w:line="360" w:lineRule="auto"/>
        <w:jc w:val="both"/>
      </w:pPr>
      <w:r>
        <w:t xml:space="preserve">Nemenyi, Peter Bjorn. 1963.</w:t>
      </w:r>
      <w:r>
        <w:t xml:space="preserve"> </w:t>
      </w:r>
      <w:r>
        <w:t xml:space="preserve">“Distribution-Free Multiple Comparisons.”</w:t>
      </w:r>
      <w:r>
        <w:t xml:space="preserve"> </w:t>
      </w:r>
      <w:r>
        <w:t xml:space="preserve">PhD thesis, Princeton University.</w:t>
      </w:r>
      <w:r>
        <w:t xml:space="preserve"> </w:t>
      </w:r>
      <w:hyperlink ns5:id="rId278">
        <w:r>
          <w:rPr>
            <w:rStyle w:val="Hipervnculo"/>
          </w:rPr>
          <w:t xml:space="preserve">https://catalog.princeton.edu/catalog/2081365</w:t>
        </w:r>
      </w:hyperlink>
      <w:r>
        <w:t xml:space="preserve">.</w:t>
      </w:r>
    </w:p>
    <w:bookmarkEnd w:id="279"/>
    <w:bookmarkStart w:id="280" w:name="ref-nizam2023"/>
    <w:p>
      <w:pPr>
        <w:pStyle w:val="Bibliography"/>
        <w:spacing w:line="360" w:lineRule="auto"/>
        <w:jc w:val="both"/>
      </w:pPr>
      <w:r>
        <w:t xml:space="preserve">Nizam, T., and S. Zafar. 2023.</w:t>
      </w:r>
      <w:r>
        <w:t xml:space="preserve"> </w:t>
      </w:r>
      <w:r>
        <w:t xml:space="preserve">“Towards a Standardised Evaluation Approach for Diverse XAI Methods.”</w:t>
      </w:r>
      <w:r>
        <w:t xml:space="preserve"> </w:t>
      </w:r>
      <w:r>
        <w:rPr>
          <w:i/>
          <w:iCs/>
        </w:rPr>
        <w:t xml:space="preserve">Explainable Artificial Intelligence (XAI): Conception, Visualization and Assessment</w:t>
      </w:r>
      <w:r>
        <w:t xml:space="preserve">.</w:t>
      </w:r>
    </w:p>
    <w:bookmarkEnd w:id="280"/>
    <w:bookmarkStart w:id="282"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 </w:t>
      </w:r>
      <w:r>
        <w:rPr>
          <w:i/>
          <w:iCs/>
        </w:rPr>
        <w:t xml:space="preserve">Nature Communications, 13(1)</w:t>
      </w:r>
      <w:r>
        <w:t xml:space="preserve">, ahead of print.</w:t>
      </w:r>
      <w:r>
        <w:t xml:space="preserve"> </w:t>
      </w:r>
      <w:hyperlink ns5:id="rId281">
        <w:r>
          <w:rPr>
            <w:rStyle w:val="Hipervnculo"/>
          </w:rPr>
          <w:t xml:space="preserve">https://doi.org/10.1038/s41467-022-33417-3</w:t>
        </w:r>
      </w:hyperlink>
      <w:r>
        <w:t xml:space="preserve">.</w:t>
      </w:r>
    </w:p>
    <w:bookmarkEnd w:id="282"/>
    <w:bookmarkStart w:id="284"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 </w:t>
      </w:r>
      <w:r>
        <w:rPr>
          <w:i/>
          <w:iCs/>
        </w:rPr>
        <w:t xml:space="preserve">Neurocomputing</w:t>
      </w:r>
      <w:r>
        <w:t xml:space="preserve"> </w:t>
      </w:r>
      <w:r>
        <w:t xml:space="preserve">602 (128282).</w:t>
      </w:r>
      <w:r>
        <w:t xml:space="preserve"> </w:t>
      </w:r>
      <w:hyperlink ns5:id="rId283">
        <w:r>
          <w:rPr>
            <w:rStyle w:val="Hipervnculo"/>
          </w:rPr>
          <w:t xml:space="preserve">https://doi.org/10.1016/j.neucom.2024.128282</w:t>
        </w:r>
      </w:hyperlink>
      <w:r>
        <w:t xml:space="preserve">.</w:t>
      </w:r>
    </w:p>
    <w:bookmarkEnd w:id="284"/>
    <w:bookmarkStart w:id="286" w:name="ref-poyiadzi2020"/>
    <w:p>
      <w:pPr>
        <w:pStyle w:val="Bibliography"/>
        <w:spacing w:line="360" w:lineRule="auto"/>
        <w:jc w:val="both"/>
      </w:pPr>
      <w:r>
        <w:t xml:space="preserve">Poyiadzi, Rafael, Kacper Sokol, Raul Santos-Rodriguez, Tijl De Bie, and Peter Flach. 2020.</w:t>
      </w:r>
      <w:r>
        <w:t xml:space="preserve"> </w:t>
      </w:r>
      <w:r>
        <w:t xml:space="preserve">“FACE: Feasible and Actionable Counterfactual Explanations.”</w:t>
      </w:r>
      <w:r>
        <w:t xml:space="preserve"> </w:t>
      </w:r>
      <w:r>
        <w:rPr>
          <w:i/>
          <w:iCs/>
        </w:rPr>
        <w:t xml:space="preserve">Proceedings of the AAAI/ACM Conference on AI, Ethics, and Society</w:t>
      </w:r>
      <w:r>
        <w:t xml:space="preserve">, 344–50.</w:t>
      </w:r>
      <w:r>
        <w:t xml:space="preserve"> </w:t>
      </w:r>
      <w:hyperlink ns5:id="rId285">
        <w:r>
          <w:rPr>
            <w:rStyle w:val="Hipervnculo"/>
          </w:rPr>
          <w:t xml:space="preserve">https://doi.org/10.1145/3375627.3375850</w:t>
        </w:r>
      </w:hyperlink>
      <w:r>
        <w:t xml:space="preserve">.</w:t>
      </w:r>
    </w:p>
    <w:bookmarkEnd w:id="286"/>
    <w:bookmarkStart w:id="288"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 </w:t>
      </w:r>
      <w:r>
        <w:rPr>
          <w:i/>
          <w:iCs/>
        </w:rPr>
        <w:t xml:space="preserve">arXiv Preprint arXiv:1602.04938</w:t>
      </w:r>
      <w:r>
        <w:t xml:space="preserve">, ahead of print.</w:t>
      </w:r>
      <w:r>
        <w:t xml:space="preserve"> </w:t>
      </w:r>
      <w:hyperlink ns5:id="rId287">
        <w:r>
          <w:rPr>
            <w:rStyle w:val="Hipervnculo"/>
          </w:rPr>
          <w:t xml:space="preserve">https://doi.org/10.1145/2939672.2939778</w:t>
        </w:r>
      </w:hyperlink>
      <w:r>
        <w:t xml:space="preserve">.</w:t>
      </w:r>
    </w:p>
    <w:bookmarkEnd w:id="288"/>
    <w:bookmarkStart w:id="290"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 </w:t>
      </w:r>
      <w:r>
        <w:rPr>
          <w:i/>
          <w:iCs/>
        </w:rPr>
        <w:t xml:space="preserve">Proceedings of the AAAI Conference on Artificial Intelligence, 32(1)</w:t>
      </w:r>
      <w:r>
        <w:t xml:space="preserve">, ahead of print.</w:t>
      </w:r>
      <w:r>
        <w:t xml:space="preserve"> </w:t>
      </w:r>
      <w:hyperlink ns5:id="rId289">
        <w:r>
          <w:rPr>
            <w:rStyle w:val="Hipervnculo"/>
          </w:rPr>
          <w:t xml:space="preserve">https://doi.org/10.1609/aaai.v32i1.11491</w:t>
        </w:r>
      </w:hyperlink>
      <w:r>
        <w:t xml:space="preserve">.</w:t>
      </w:r>
    </w:p>
    <w:bookmarkEnd w:id="290"/>
    <w:bookmarkStart w:id="292"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 </w:t>
      </w:r>
      <w:r>
        <w:rPr>
          <w:i/>
          <w:iCs/>
        </w:rPr>
        <w:t xml:space="preserve">IEEE Transactions on Pattern Analysis and Machine Intelligence</w:t>
      </w:r>
      <w:r>
        <w:t xml:space="preserve"> </w:t>
      </w:r>
      <w:r>
        <w:t xml:space="preserve">46 (4): 2104–22.</w:t>
      </w:r>
      <w:r>
        <w:t xml:space="preserve"> </w:t>
      </w:r>
      <w:hyperlink ns5:id="rId291">
        <w:r>
          <w:rPr>
            <w:rStyle w:val="Hipervnculo"/>
          </w:rPr>
          <w:t xml:space="preserve">https://doi.org/10.1109/TPAMI.2023.3331846</w:t>
        </w:r>
      </w:hyperlink>
      <w:r>
        <w:t xml:space="preserve">.</w:t>
      </w:r>
    </w:p>
    <w:bookmarkEnd w:id="292"/>
    <w:bookmarkStart w:id="294"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 </w:t>
      </w:r>
      <w:r>
        <w:rPr>
          <w:i/>
          <w:iCs/>
        </w:rPr>
        <w:t xml:space="preserve">Statistics Surveys, 16(none)</w:t>
      </w:r>
      <w:r>
        <w:t xml:space="preserve">, ahead of print.</w:t>
      </w:r>
      <w:r>
        <w:t xml:space="preserve"> </w:t>
      </w:r>
      <w:hyperlink ns5:id="rId293">
        <w:r>
          <w:rPr>
            <w:rStyle w:val="Hipervnculo"/>
          </w:rPr>
          <w:t xml:space="preserve">https://doi.org/10.1214/21-ss133</w:t>
        </w:r>
      </w:hyperlink>
      <w:r>
        <w:t xml:space="preserve">.</w:t>
      </w:r>
    </w:p>
    <w:bookmarkEnd w:id="294"/>
    <w:bookmarkStart w:id="296"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 </w:t>
      </w:r>
      <w:r>
        <w:rPr>
          <w:i/>
          <w:iCs/>
        </w:rPr>
        <w:t xml:space="preserve">Applied Sciences, 14(19), 8884</w:t>
      </w:r>
      <w:r>
        <w:t xml:space="preserve">, ahead of print.</w:t>
      </w:r>
      <w:r>
        <w:t xml:space="preserve"> </w:t>
      </w:r>
      <w:hyperlink ns5:id="rId295">
        <w:r>
          <w:rPr>
            <w:rStyle w:val="Hipervnculo"/>
          </w:rPr>
          <w:t xml:space="preserve">https://doi.org/10.3390/app14198884</w:t>
        </w:r>
      </w:hyperlink>
      <w:r>
        <w:t xml:space="preserve">.</w:t>
      </w:r>
    </w:p>
    <w:bookmarkEnd w:id="296"/>
    <w:bookmarkStart w:id="298"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 </w:t>
      </w:r>
      <w:r>
        <w:rPr>
          <w:i/>
          <w:iCs/>
        </w:rPr>
        <w:t xml:space="preserve">In Lecture Notes in Computer Science</w:t>
      </w:r>
      <w:r>
        <w:t xml:space="preserve">, ahead of print.</w:t>
      </w:r>
      <w:r>
        <w:t xml:space="preserve"> </w:t>
      </w:r>
      <w:hyperlink ns5:id="rId297">
        <w:r>
          <w:rPr>
            <w:rStyle w:val="Hipervnculo"/>
          </w:rPr>
          <w:t xml:space="preserve">https://doi.org/10.1007/978-3-030-28954-6</w:t>
        </w:r>
      </w:hyperlink>
      <w:r>
        <w:t xml:space="preserve">.</w:t>
      </w:r>
    </w:p>
    <w:bookmarkEnd w:id="298"/>
    <w:bookmarkStart w:id="300"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 </w:t>
      </w:r>
      <w:r>
        <w:rPr>
          <w:i/>
          <w:iCs/>
        </w:rPr>
        <w:t xml:space="preserve">Data Mining and Knowledge Discovery, 38(5), 3043–3101</w:t>
      </w:r>
      <w:r>
        <w:t xml:space="preserve">, ahead of print.</w:t>
      </w:r>
      <w:r>
        <w:t xml:space="preserve"> </w:t>
      </w:r>
      <w:hyperlink ns5:id="rId299">
        <w:r>
          <w:rPr>
            <w:rStyle w:val="Hipervnculo"/>
          </w:rPr>
          <w:t xml:space="preserve">https://doi.org/10.1007/s10618-022-00867-8</w:t>
        </w:r>
      </w:hyperlink>
      <w:r>
        <w:t xml:space="preserve">.</w:t>
      </w:r>
    </w:p>
    <w:bookmarkEnd w:id="300"/>
    <w:bookmarkStart w:id="302" w:name="ref-slack2020"/>
    <w:p>
      <w:pPr>
        <w:pStyle w:val="Bibliography"/>
        <w:spacing w:line="360" w:lineRule="auto"/>
        <w:jc w:val="both"/>
      </w:pPr>
      <w:r>
        <w:t xml:space="preserve">Slack, Dylan, Sophie Hilgard, Emily Jia, Sameer Singh, and Himabindu Lakkaraju. 2020.</w:t>
      </w:r>
      <w:r>
        <w:t xml:space="preserve"> </w:t>
      </w:r>
      <w:r>
        <w:t xml:space="preserve">“Fooling LIME and SHAP: Adversarial Attacks on Post Hoc Explanation Methods.”</w:t>
      </w:r>
      <w:r>
        <w:t xml:space="preserve"> </w:t>
      </w:r>
      <w:r>
        <w:rPr>
          <w:i/>
          <w:iCs/>
        </w:rPr>
        <w:t xml:space="preserve">Proceedings of the AAAI/ACM Conference on AI, Ethics, and Society</w:t>
      </w:r>
      <w:r>
        <w:t xml:space="preserve">, 180–86.</w:t>
      </w:r>
      <w:r>
        <w:t xml:space="preserve"> </w:t>
      </w:r>
      <w:hyperlink ns5:id="rId301">
        <w:r>
          <w:rPr>
            <w:rStyle w:val="Hipervnculo"/>
          </w:rPr>
          <w:t xml:space="preserve">https://doi.org/10.1145/3375627.3375830</w:t>
        </w:r>
      </w:hyperlink>
      <w:r>
        <w:t xml:space="preserve">.</w:t>
      </w:r>
    </w:p>
    <w:bookmarkEnd w:id="302"/>
    <w:bookmarkStart w:id="304" w:name="ref-sokol2020"/>
    <w:p>
      <w:pPr>
        <w:pStyle w:val="Bibliography"/>
        <w:spacing w:line="360" w:lineRule="auto"/>
        <w:jc w:val="both"/>
      </w:pPr>
      <w:r>
        <w:t xml:space="preserve">Sokol, Kacper, and Peter Flach. 2020.</w:t>
      </w:r>
      <w:r>
        <w:t xml:space="preserve"> </w:t>
      </w:r>
      <w:r>
        <w:t xml:space="preserve">“One Explanation Does Not Fit All: The Promise of Interactive Explanations for Machine Learning Transparency.”</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303">
        <w:r>
          <w:rPr>
            <w:rStyle w:val="Hipervnculo"/>
          </w:rPr>
          <w:t xml:space="preserve">https://doi.org/10.1007/s13218-020-00637-y</w:t>
        </w:r>
      </w:hyperlink>
      <w:r>
        <w:t xml:space="preserve">.</w:t>
      </w:r>
    </w:p>
    <w:bookmarkEnd w:id="304"/>
    <w:bookmarkStart w:id="306" w:name="ref-tjoa2020"/>
    <w:p>
      <w:pPr>
        <w:pStyle w:val="Bibliography"/>
        <w:spacing w:line="360" w:lineRule="auto"/>
        <w:jc w:val="both"/>
      </w:pPr>
      <w:r>
        <w:t xml:space="preserve">Tjoa, Erico, and Cuntai Guan. 2021.</w:t>
      </w:r>
      <w:r>
        <w:t xml:space="preserve"> </w:t>
      </w:r>
      <w:r>
        <w:t xml:space="preserve">“A Survey on Explainable Artificial Intelligence (XAI): Toward Medical XAI.”</w:t>
      </w:r>
      <w:r>
        <w:t xml:space="preserve"> </w:t>
      </w:r>
      <w:r>
        <w:rPr>
          <w:i/>
          <w:iCs/>
        </w:rPr>
        <w:t xml:space="preserve">IEEE Transactions on Neural Networks and Learning Systems</w:t>
      </w:r>
      <w:r>
        <w:t xml:space="preserve"> </w:t>
      </w:r>
      <w:r>
        <w:t xml:space="preserve">32 (11): 4793–813.</w:t>
      </w:r>
      <w:r>
        <w:t xml:space="preserve"> </w:t>
      </w:r>
      <w:hyperlink ns5:id="rId305">
        <w:r>
          <w:rPr>
            <w:rStyle w:val="Hipervnculo"/>
          </w:rPr>
          <w:t xml:space="preserve">https://doi.org/10.1109/TNNLS.2020.3027314</w:t>
        </w:r>
      </w:hyperlink>
      <w:r>
        <w:t xml:space="preserve">.</w:t>
      </w:r>
    </w:p>
    <w:bookmarkEnd w:id="306"/>
    <w:bookmarkStart w:id="308" w:name="ref-tomsett2020"/>
    <w:p>
      <w:pPr>
        <w:pStyle w:val="Bibliography"/>
        <w:spacing w:line="360" w:lineRule="auto"/>
        <w:jc w:val="both"/>
      </w:pPr>
      <w:r>
        <w:t xml:space="preserve">Tomsett, Richard, Dan Harborne, Supriyo Chakraborty, Prudhvi Gurram, and Alun Preece. 2020.</w:t>
      </w:r>
      <w:r>
        <w:t xml:space="preserve"> </w:t>
      </w:r>
      <w:r>
        <w:t xml:space="preserve">“Sanity Checks for Saliency Metrics.”</w:t>
      </w:r>
      <w:r>
        <w:t xml:space="preserve"> </w:t>
      </w:r>
      <w:r>
        <w:rPr>
          <w:i/>
          <w:iCs/>
        </w:rPr>
        <w:t xml:space="preserve">Proceedings of the AAAI Conference on Artificial Intelligence</w:t>
      </w:r>
      <w:r>
        <w:t xml:space="preserve"> </w:t>
      </w:r>
      <w:r>
        <w:t xml:space="preserve">34 (04): 6021–29.</w:t>
      </w:r>
      <w:r>
        <w:t xml:space="preserve"> </w:t>
      </w:r>
      <w:hyperlink ns5:id="rId307">
        <w:r>
          <w:rPr>
            <w:rStyle w:val="Hipervnculo"/>
          </w:rPr>
          <w:t xml:space="preserve">https://doi.org/10.1609/aaai.v34i04.6064</w:t>
        </w:r>
      </w:hyperlink>
      <w:r>
        <w:t xml:space="preserve">.</w:t>
      </w:r>
    </w:p>
    <w:bookmarkEnd w:id="308"/>
    <w:bookmarkStart w:id="310"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 </w:t>
      </w:r>
      <w:r>
        <w:rPr>
          <w:i/>
          <w:iCs/>
        </w:rPr>
        <w:t xml:space="preserve">In CRC Press eBooks</w:t>
      </w:r>
      <w:r>
        <w:t xml:space="preserve">, ahead of print.</w:t>
      </w:r>
      <w:r>
        <w:t xml:space="preserve"> </w:t>
      </w:r>
      <w:hyperlink ns5:id="rId309">
        <w:r>
          <w:rPr>
            <w:rStyle w:val="Hipervnculo"/>
          </w:rPr>
          <w:t xml:space="preserve">https://doi.org/10.1201/9781003442509</w:t>
        </w:r>
      </w:hyperlink>
      <w:r>
        <w:t xml:space="preserve">.</w:t>
      </w:r>
    </w:p>
    <w:bookmarkEnd w:id="310"/>
    <w:bookmarkStart w:id="312" w:name="ref-vandenbroeck2022"/>
    <w:p>
      <w:pPr>
        <w:pStyle w:val="Bibliography"/>
        <w:spacing w:line="360" w:lineRule="auto"/>
        <w:jc w:val="both"/>
      </w:pPr>
      <w:r>
        <w:t xml:space="preserve">Van den Broeck, Guy, Anton Lykov, Maximilian Schleich, and Dan Suciu. 2022.</w:t>
      </w:r>
      <w:r>
        <w:t xml:space="preserve"> </w:t>
      </w:r>
      <w:r>
        <w:t xml:space="preserve">“On the Tractability of SHAP Explanations.”</w:t>
      </w:r>
      <w:r>
        <w:t xml:space="preserve"> </w:t>
      </w:r>
      <w:r>
        <w:rPr>
          <w:i/>
          <w:iCs/>
        </w:rPr>
        <w:t xml:space="preserve">Journal of Artificial Intelligence Research</w:t>
      </w:r>
      <w:r>
        <w:t xml:space="preserve"> </w:t>
      </w:r>
      <w:r>
        <w:t xml:space="preserve">74: 851–86.</w:t>
      </w:r>
      <w:r>
        <w:t xml:space="preserve"> </w:t>
      </w:r>
      <w:hyperlink ns5:id="rId311">
        <w:r>
          <w:rPr>
            <w:rStyle w:val="Hipervnculo"/>
          </w:rPr>
          <w:t xml:space="preserve">https://doi.org/10.1613/jair.1.13283</w:t>
        </w:r>
      </w:hyperlink>
      <w:r>
        <w:t xml:space="preserve">.</w:t>
      </w:r>
    </w:p>
    <w:bookmarkEnd w:id="312"/>
    <w:bookmarkStart w:id="314" w:name="ref-voigt2017"/>
    <w:p>
      <w:pPr>
        <w:pStyle w:val="Bibliography"/>
        <w:spacing w:line="360" w:lineRule="auto"/>
        <w:jc w:val="both"/>
      </w:pPr>
      <w:r>
        <w:t xml:space="preserve">Voigt, Paul, and Axel von dem Bussche. 2017.</w:t>
      </w:r>
      <w:r>
        <w:t xml:space="preserve"> </w:t>
      </w:r>
      <w:r>
        <w:rPr>
          <w:i/>
          <w:iCs/>
        </w:rPr>
        <w:t xml:space="preserve">The EU General Data Protection Regulation (GDPR): A Practical Guide</w:t>
      </w:r>
      <w:r>
        <w:t xml:space="preserve">. Springer.</w:t>
      </w:r>
      <w:r>
        <w:t xml:space="preserve"> </w:t>
      </w:r>
      <w:hyperlink ns5:id="rId313">
        <w:r>
          <w:rPr>
            <w:rStyle w:val="Hipervnculo"/>
          </w:rPr>
          <w:t xml:space="preserve">https://doi.org/10.1007/978-3-319-57959-7</w:t>
        </w:r>
      </w:hyperlink>
      <w:r>
        <w:t xml:space="preserve">.</w:t>
      </w:r>
    </w:p>
    <w:bookmarkEnd w:id="314"/>
    <w:bookmarkStart w:id="316"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 </w:t>
      </w:r>
      <w:r>
        <w:rPr>
          <w:i/>
          <w:iCs/>
        </w:rPr>
        <w:t xml:space="preserve">SSRN Electronic Journal</w:t>
      </w:r>
      <w:r>
        <w:t xml:space="preserve">, ahead of print.</w:t>
      </w:r>
      <w:r>
        <w:t xml:space="preserve"> </w:t>
      </w:r>
      <w:hyperlink ns5:id="rId315">
        <w:r>
          <w:rPr>
            <w:rStyle w:val="Hipervnculo"/>
          </w:rPr>
          <w:t xml:space="preserve">https://doi.org/10.2139/ssrn.3063289</w:t>
        </w:r>
      </w:hyperlink>
      <w:r>
        <w:t xml:space="preserve">.</w:t>
      </w:r>
    </w:p>
    <w:bookmarkEnd w:id="316"/>
    <w:bookmarkStart w:id="318" w:name="ref-wilcoxon1945"/>
    <w:p>
      <w:pPr>
        <w:pStyle w:val="Bibliography"/>
        <w:spacing w:line="360" w:lineRule="auto"/>
        <w:jc w:val="both"/>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ns5:id="rId317">
        <w:r>
          <w:rPr>
            <w:rStyle w:val="Hipervnculo"/>
          </w:rPr>
          <w:t xml:space="preserve">https://doi.org/10.2307/3001968</w:t>
        </w:r>
      </w:hyperlink>
      <w:r>
        <w:t xml:space="preserve">.</w:t>
      </w:r>
    </w:p>
    <w:bookmarkEnd w:id="318"/>
    <w:bookmarkStart w:id="320"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 </w:t>
      </w:r>
      <w:r>
        <w:rPr>
          <w:i/>
          <w:iCs/>
        </w:rPr>
        <w:t xml:space="preserve">ICLR 2025 Proceedings</w:t>
      </w:r>
      <w:r>
        <w:t xml:space="preserve">.</w:t>
      </w:r>
      <w:r>
        <w:t xml:space="preserve"> </w:t>
      </w:r>
      <w:hyperlink ns5:id="rId319">
        <w:r>
          <w:rPr>
            <w:rStyle w:val="Hipervnculo"/>
          </w:rPr>
          <w:t xml:space="preserve">https://trustai4s-lab.github.io/ffidelity</w:t>
        </w:r>
      </w:hyperlink>
      <w:r>
        <w:t xml:space="preserve">.</w:t>
      </w:r>
    </w:p>
    <w:bookmarkEnd w:id="320"/>
    <w:bookmarkEnd w:id="321"/>
    <w:bookmarkEnd w:id="322"/>
    <w:bookmarkStart w:id="346" w:name="apéndices"/>
    <w:p>
      <w:pPr>
        <w:pStyle w:val="Ttulo1"/>
        <w:spacing w:line="360" w:lineRule="auto"/>
        <w:jc w:val="both"/>
      </w:pPr>
      <w:r>
        <w:t xml:space="preserve">Apéndices</w:t>
      </w:r>
    </w:p>
    <w:bookmarkStart w:id="324"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tblLayout w:type="fixed"/>
        <w:tblLook w:firstRow="0" w:lastRow="0" w:firstColumn="0" w:lastColumn="0" w:noHBand="0" w:noVBand="0" w:val="0000"/>
      </w:tblPr>
      <w:tblGrid>
        <w:gridCol w:w="7920"/>
      </w:tblGrid>
      <w:tr>
        <w:tc>
          <w:tcPr/>
          <w:bookmarkStart w:id="323" w:name="tbl-appendix-dataset-schema"/>
          <w:p>
            <w:pPr>
              <w:jc w:val="both"/>
              <w:spacing w:line="360" w:lineRule="auto"/>
            </w:pPr>
            <w:pPr>
              <w:jc w:val="left"/>
              <w:spacing w:before="200"/>
              <w:pStyle w:val="ImageCaption"/>
            </w:pPr>
            <w:r>
              <w:t xml:space="preserve">Table 7.5: Esquema resumido del conjunto Adult y transformaciones de preprocesamiento.</w:t>
            </w: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Grupo</w:t>
                  </w:r>
                </w:p>
              </w:tc>
              <w:tc>
                <w:tcPr/>
                <w:p>
                  <w:pPr>
                    <w:pStyle w:val="Compact"/>
                    <w:jc w:val="both"/>
                    <w:jc w:val="center"/>
                    <w:spacing w:line="360" w:lineRule="auto"/>
                  </w:pPr>
                  <w:r>
                    <w:t xml:space="preserve">Características</w:t>
                  </w:r>
                </w:p>
              </w:tc>
              <w:tc>
                <w:tcPr/>
                <w:p>
                  <w:pPr>
                    <w:pStyle w:val="Compact"/>
                    <w:jc w:val="both"/>
                    <w:jc w:val="center"/>
                    <w:spacing w:line="360" w:lineRule="auto"/>
                  </w:pPr>
                  <w: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323"/>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324"/>
    <w:bookmarkStart w:id="326"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tblLayout w:type="fixed"/>
        <w:tblLook w:firstRow="0" w:lastRow="0" w:firstColumn="0" w:lastColumn="0" w:noHBand="0" w:noVBand="0" w:val="0000"/>
      </w:tblPr>
      <w:tblGrid>
        <w:gridCol w:w="7920"/>
      </w:tblGrid>
      <w:tr>
        <w:tc>
          <w:tcPr/>
          <w:bookmarkStart w:id="325" w:name="tbl-appendix-models"/>
          <w:p>
            <w:pPr>
              <w:jc w:val="both"/>
              <w:spacing w:line="360" w:lineRule="auto"/>
            </w:pPr>
            <w:pPr>
              <w:jc w:val="left"/>
              <w:spacing w:before="200"/>
              <w:pStyle w:val="ImageCaption"/>
            </w:pPr>
            <w:r>
              <w:t xml:space="preserve">Table 7.6: Modelos predictivos, justificación y ubicación de artefactos.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Rol metodológico</w:t>
                  </w:r>
                </w:p>
              </w:tc>
              <w:tc>
                <w:tcPr/>
                <w:p>
                  <w:pPr>
                    <w:pStyle w:val="Compact"/>
                    <w:jc w:val="both"/>
                    <w:jc w:val="center"/>
                    <w:spacing w:line="360" w:lineRule="auto"/>
                  </w:pPr>
                  <w:r>
                    <w:t xml:space="preserve">Artefacto principal</w:t>
                  </w:r>
                </w:p>
              </w:tc>
              <w:tc>
                <w:tcPr/>
                <w:p>
                  <w:pPr>
                    <w:pStyle w:val="Compact"/>
                    <w:jc w:val="both"/>
                    <w:jc w:val="center"/>
                    <w:spacing w:line="360" w:lineRule="auto"/>
                  </w:pPr>
                  <w: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325"/>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 3.1 reporta las métricas finales extraídas de</w:t>
      </w:r>
      <w:r>
        <w:t xml:space="preserve"> </w:t>
      </w:r>
      <w:r>
        <w:t xml:space="preserve">estos artefactos.</w:t>
      </w:r>
    </w:p>
    <w:bookmarkEnd w:id="326"/>
    <w:bookmarkStart w:id="333"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tblLayout w:type="fixed"/>
        <w:tblLook w:firstRow="0" w:lastRow="0" w:firstColumn="0" w:lastColumn="0" w:noHBand="0" w:noVBand="0" w:val="0000"/>
      </w:tblPr>
      <w:tblGrid>
        <w:gridCol w:w="7920"/>
      </w:tblGrid>
      <w:tr>
        <w:tc>
          <w:tcPr/>
          <w:bookmarkStart w:id="327" w:name="tbl-appendix-explainers"/>
          <w:p>
            <w:pPr>
              <w:jc w:val="both"/>
              <w:spacing w:line="360" w:lineRule="auto"/>
            </w:pPr>
            <w:pPr>
              <w:jc w:val="left"/>
              <w:spacing w:before="200"/>
              <w:pStyle w:val="ImageCaption"/>
            </w:pPr>
            <w:r>
              <w:t xml:space="preserve">Table 7.7: Configuración de explicadores y caveats operativos.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Explicador</w:t>
                  </w:r>
                </w:p>
              </w:tc>
              <w:tc>
                <w:tcPr/>
                <w:p>
                  <w:pPr>
                    <w:pStyle w:val="Compact"/>
                    <w:jc w:val="both"/>
                    <w:jc w:val="center"/>
                    <w:spacing w:line="360" w:lineRule="auto"/>
                  </w:pPr>
                  <w:r>
                    <w:t xml:space="preserve">Configuración efectiva</w:t>
                  </w:r>
                </w:p>
              </w:tc>
              <w:tc>
                <w:tcPr/>
                <w:p>
                  <w:pPr>
                    <w:pStyle w:val="Compact"/>
                    <w:jc w:val="both"/>
                    <w:jc w:val="center"/>
                    <w:spacing w:line="360" w:lineRule="auto"/>
                  </w:pPr>
                  <w:r>
                    <w:t xml:space="preserve">Implementación</w:t>
                  </w:r>
                </w:p>
              </w:tc>
              <w:tc>
                <w:tcPr/>
                <w:p>
                  <w:pPr>
                    <w:pStyle w:val="Compact"/>
                    <w:jc w:val="both"/>
                    <w:jc w:val="center"/>
                    <w:spacing w:line="360" w:lineRule="auto"/>
                  </w:pPr>
                  <w: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327"/>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332"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tblLayout w:type="fixed"/>
        <w:tblLook w:firstRow="0" w:lastRow="0" w:firstColumn="0" w:lastColumn="0" w:noHBand="0" w:noVBand="0" w:val="0000"/>
      </w:tblPr>
      <w:tblGrid>
        <w:gridCol w:w="7920"/>
      </w:tblGrid>
      <w:tr>
        <w:tc>
          <w:tcPr/>
          <w:bookmarkStart w:id="328" w:name="tbl-appendix-lime-sensitivity"/>
          <w:p>
            <w:pPr>
              <w:jc w:val="both"/>
              <w:spacing w:line="360" w:lineRule="auto"/>
            </w:pPr>
            <w:pPr>
              <w:jc w:val="left"/>
              <w:spacing w:before="200"/>
              <w:pStyle w:val="ImageCaption"/>
            </w:pPr>
            <w:r>
              <w:t xml:space="preserve">Table 7.8: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rStyle w:val="VerbatimChar"/>
                    </w:rPr>
                    <w:t xml:space="preserve">num_samples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328"/>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confirma que la inestabilidad</w:t>
      </w:r>
      <w:r>
        <w:t xml:space="preserve"> </w:t>
      </w:r>
      <w:r>
        <w:t xml:space="preserve">estructural 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tblLayout w:type="fixed"/>
        <w:tblLook w:firstRow="0" w:lastRow="0" w:firstColumn="0" w:lastColumn="0" w:noHBand="0" w:noVBand="0" w:val="0000"/>
      </w:tblPr>
      <w:tblGrid>
        <w:gridCol w:w="7920"/>
      </w:tblGrid>
      <w:tr>
        <w:tc>
          <w:tcPr/>
          <w:bookmarkStart w:id="329" w:name="tbl-appendix-shap-sensitivity"/>
          <w:p>
            <w:pPr>
              <w:jc w:val="both"/>
              <w:spacing w:line="360" w:lineRule="auto"/>
            </w:pPr>
            <w:pPr>
              <w:jc w:val="left"/>
              <w:spacing w:before="200"/>
              <w:pStyle w:val="ImageCaption"/>
            </w:pPr>
            <w:r>
              <w:t xml:space="preserve">Table 7.9: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Referencia (</w:t>
                  </w:r>
                  <ns1:oMath>
                    <ns1:r>
                      <ns1:t>k</ns1:t>
                    </ns1:r>
                  </ns1:oMath>
                  <w:r>
                    <w:t xml:space="preserve">)</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329"/>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tblLayout w:type="fixed"/>
        <w:tblLook w:firstRow="0" w:lastRow="0" w:firstColumn="0" w:lastColumn="0" w:noHBand="0" w:noVBand="0" w:val="0000"/>
      </w:tblPr>
      <w:tblGrid>
        <w:gridCol w:w="7920"/>
      </w:tblGrid>
      <w:tr>
        <w:tc>
          <w:tcPr/>
          <w:bookmarkStart w:id="330" w:name="tbl-appendix-anchors-sensitivity"/>
          <w:p>
            <w:pPr>
              <w:jc w:val="both"/>
              <w:spacing w:line="360" w:lineRule="auto"/>
            </w:pPr>
            <w:pPr>
              <w:jc w:val="left"/>
              <w:spacing w:before="200"/>
              <w:pStyle w:val="ImageCaption"/>
            </w:pPr>
            <w:r>
              <w:t xml:space="preserve">Table 7.10: Sensibilidad de Anchors al umbral de precisión</w:t>
            </w:r>
            <w:r>
              <w:t xml:space="preserve"> </w:t>
            </w:r>
            <ns1:oMath>
              <ns1:r>
                <ns1:t>τ</ns1:t>
              </ns1:r>
            </ns1:oMath>
            <w:r>
              <w:t xml:space="preserve"> </w:t>
            </w:r>
            <w:r>
              <w:t xml:space="preserve">(RF, semilla 42).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p>
              </w:tc>
              <w:tc>
                <w:tcPr/>
                <w:p>
                  <w:pPr>
                    <w:pStyle w:val="Compact"/>
                    <w:jc w:val="both"/>
                    <w:jc w:val="center"/>
                    <w:spacing w:line="360" w:lineRule="auto"/>
                  </w:pPr>
                  <w:r>
                    <w:t xml:space="preserve">Cobertura de celdas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330"/>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rPr>
          <w:b/>
          <w:bCs/>
        </w:rPr>
        <w:t xml:space="preserve">LIME — sensibilidad a</w:t>
      </w:r>
      <w:r>
        <w:rPr>
          <w:b/>
          <w:bCs/>
        </w:rPr>
        <w:t xml:space="preserve"> </w:t>
      </w:r>
      <w:r>
        <w:rPr>
          <w:rStyle w:val="VerbatimChar"/>
          <w:b/>
          <w:bCs/>
        </w:rPr>
        <w:t xml:space="preserve">kernel_width</w:t>
      </w:r>
      <w:r>
        <w:rPr>
          <w:b/>
          <w:bCs/>
        </w:rPr>
        <w:t xml:space="preserve">.</w:t>
      </w:r>
      <w:r>
        <w:t xml:space="preserve"> </w:t>
      </w:r>
      <w:r>
        <w:t xml:space="preserve">Se varía el ancho del kernel exponencial (</w:t>
      </w:r>
      <ns1:oMath>
        <ns1:r>
          <ns1:rPr>
            <ns1:sty ns1:val="p"/>
          </ns1:rPr>
          <ns1:t>{</ns1:t>
        </ns1:r>
        <ns1:r>
          <ns1:t>0.25</ns1:t>
        </ns1:r>
        <ns1:r>
          <ns1:rPr>
            <ns1:sty ns1:val="p"/>
          </ns1:rPr>
          <ns1:t>,</ns1:t>
        </ns1:r>
        <ns1:r>
          <ns1:t>0.75</ns1:t>
        </ns1:r>
        <ns1:r>
          <ns1:rPr>
            <ns1:sty ns1:val="p"/>
          </ns1:rPr>
          <ns1:t>,</ns1:t>
        </ns1:r>
        <ns1:r>
          <ns1:t>3.0</ns1:t>
        </ns1:r>
        <ns1:r>
          <ns1:rPr>
            <ns1:sty ns1:val="p"/>
          </ns1:rPr>
          <ns1:t>,</ns1:t>
        </ns1:r>
        <ns1:r>
          <ns1:t>10.0</ns1:t>
        </ns1:r>
        <ns1:r>
          <ns1:rPr>
            <ns1:sty ns1:val="p"/>
          </ns1:rPr>
          <ns1:t>}</ns1:t>
        </ns1:r>
      </ns1:oMath>
      <w:r>
        <w:t xml:space="preserve">) manteniendo</w:t>
      </w:r>
      <w:r>
        <w:t xml:space="preserve"> </w:t>
      </w:r>
      <w:r>
        <w:rPr>
          <w:rStyle w:val="VerbatimChar"/>
        </w:rPr>
        <w:t xml:space="preserve">num_samples = 1000</w:t>
      </w:r>
      <w:r>
        <w:t xml:space="preserve"> </w:t>
      </w:r>
      <w:r>
        <w:t xml:space="preserve">y</w:t>
      </w:r>
      <w:r>
        <w:t xml:space="preserve"> </w:t>
      </w:r>
      <w:r>
        <w:rPr>
          <w:rStyle w:val="VerbatimChar"/>
        </w:rPr>
        <w:t xml:space="preserve">num_features = 10</w:t>
      </w:r>
      <w:r>
        <w:t xml:space="preserve"> </w:t>
      </w:r>
      <w:r>
        <w:t xml:space="preserve">constantes. La condición de referencia (</w:t>
      </w:r>
      <w:r>
        <w:rPr>
          <w:rStyle w:val="VerbatimChar"/>
        </w:rPr>
        <w:t xml:space="preserve">kernel_width = 3.0</w:t>
      </w:r>
      <w:r>
        <w:t xml:space="preserve">) corresponde a la configuración EXP2. Se reportan instancias válidas (al menos un peso no nulo), fidelidad y estabilidad media, y coste unitario (RF,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0" w:lastRow="0" w:firstColumn="0" w:lastColumn="0" w:noHBand="0" w:noVBand="0" w:val="0000"/>
      </w:tblPr>
      <w:tblGrid>
        <w:gridCol w:w="7920"/>
      </w:tblGrid>
      <w:tr>
        <w:tc>
          <w:tcPr/>
          <w:bookmarkStart w:id="331" w:name="tbl-appendix-lime-kw-sensitivity"/>
          <w:p>
            <w:pPr>
              <w:jc w:val="both"/>
              <w:spacing w:line="360" w:lineRule="auto"/>
            </w:pPr>
            <w:pPr>
              <w:jc w:val="left"/>
              <w:spacing w:before="200"/>
              <w:pStyle w:val="ImageCaption"/>
            </w:pPr>
            <w:r>
              <w:t xml:space="preserve">Table 7.11: Sensibilidad de LIME a</w:t>
            </w:r>
            <w:r>
              <w:t xml:space="preserve"> </w:t>
            </w:r>
            <w:r>
              <w:rPr>
                <w:rStyle w:val="VerbatimChar"/>
              </w:rPr>
              <w:t xml:space="preserve">kernel_width</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rStyle w:val="VerbatimChar"/>
                    </w:rPr>
                    <w:t xml:space="preserve">kernel_width</w:t>
                  </w:r>
                </w:p>
              </w:tc>
              <w:tc>
                <w:tcPr/>
                <w:p>
                  <w:pPr>
                    <w:pStyle w:val="Compact"/>
                    <w:jc w:val="both"/>
                    <w:jc w:val="center"/>
                    <w:spacing w:line="360" w:lineRule="auto"/>
                  </w:pPr>
                  <w:r>
                    <w:t xml:space="preserve">Instancias válidas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0.25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0.75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3.0 (referencia)</w:t>
                  </w:r>
                </w:p>
              </w:tc>
              <w:tc>
                <w:tcPr/>
                <w:p>
                  <w:pPr>
                    <w:pStyle w:val="Compact"/>
                    <w:jc w:val="both"/>
                    <w:jc w:val="center"/>
                    <w:spacing w:line="360" w:lineRule="auto"/>
                  </w:pPr>
                  <w:r>
                    <w:t xml:space="preserve">96 / 100</w:t>
                  </w:r>
                </w:p>
              </w:tc>
              <w:tc>
                <w:tcPr/>
                <w:p>
                  <w:pPr>
                    <w:pStyle w:val="Compact"/>
                    <w:jc w:val="both"/>
                    <w:jc w:val="center"/>
                    <w:spacing w:line="360" w:lineRule="auto"/>
                  </w:pPr>
                  <w:r>
                    <w:t xml:space="preserve">0.518</w:t>
                  </w:r>
                </w:p>
              </w:tc>
              <w:tc>
                <w:tcPr/>
                <w:p>
                  <w:pPr>
                    <w:pStyle w:val="Compact"/>
                    <w:jc w:val="both"/>
                    <w:jc w:val="center"/>
                    <w:spacing w:line="360" w:lineRule="auto"/>
                  </w:pPr>
                  <w:r>
                    <w:t xml:space="preserve">0.000</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0.087</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100 / 100</w:t>
                  </w:r>
                </w:p>
              </w:tc>
              <w:tc>
                <w:tcPr/>
                <w:p>
                  <w:pPr>
                    <w:pStyle w:val="Compact"/>
                    <w:jc w:val="both"/>
                    <w:jc w:val="center"/>
                    <w:spacing w:line="360" w:lineRule="auto"/>
                  </w:pPr>
                  <w:r>
                    <w:t xml:space="preserve">0.441</w:t>
                  </w:r>
                </w:p>
              </w:tc>
              <w:tc>
                <w:tcPr/>
                <w:p>
                  <w:pPr>
                    <w:pStyle w:val="Compact"/>
                    <w:jc w:val="both"/>
                    <w:jc w:val="center"/>
                    <w:spacing w:line="360" w:lineRule="auto"/>
                  </w:pPr>
                  <w:r>
                    <w:t xml:space="preserve">0.664</w:t>
                  </w:r>
                </w:p>
              </w:tc>
              <w:tc>
                <w:tcPr/>
                <w:p>
                  <w:pPr>
                    <w:pStyle w:val="Compact"/>
                    <w:jc w:val="both"/>
                    <w:jc w:val="center"/>
                    <w:spacing w:line="360" w:lineRule="auto"/>
                  </w:pPr>
                  <w:r>
                    <w:t xml:space="preserve">32</w:t>
                  </w:r>
                </w:p>
              </w:tc>
              <w:tc>
                <w:tcPr/>
                <w:p>
                  <w:pPr>
                    <w:pStyle w:val="Compact"/>
                    <w:jc w:val="both"/>
                    <w:jc w:val="center"/>
                    <w:spacing w:line="360" w:lineRule="auto"/>
                  </w:pPr>
                  <w:r>
                    <w:t xml:space="preserve">0.093</w:t>
                  </w:r>
                </w:p>
              </w:tc>
            </w:tr>
          </w:tbl>
          <w:bookmarkEnd w:id="331"/>
          <w:p>
            <w:pPr>
              <w:spacing w:line="360" w:lineRule="auto"/>
              <w:jc w:val="both"/>
            </w:pPr>
          </w:p>
        </w:tc>
      </w:tr>
    </w:tbl>
    <w:p>
      <w:pPr>
        <w:pStyle w:val="Textoindependiente"/>
        <w:spacing w:line="360" w:lineRule="auto"/>
        <w:jc w:val="both"/>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w:t>
      </w:r>
      <w:r>
        <w:rPr>
          <w:rStyle w:val="VerbatimChar"/>
        </w:rPr>
        <w:t xml:space="preserve">kernel_width = 3.0</w:t>
      </w:r>
      <w:r>
        <w:t xml:space="preserve">) produce pesos no nulos en el 96% de las instancias y una fidelidad de 0.518, pero la estabilidad bajo perturbaciones de</w:t>
      </w:r>
      <w:r>
        <w:t xml:space="preserve"> </w:t>
      </w:r>
      <ns1:oMath>
        <ns1:r>
          <ns1:t>σ</ns1:t>
        </ns1:r>
        <ns1:r>
          <ns1:rPr>
            <ns1:sty ns1:val="p"/>
          </ns1:rPr>
          <ns1:t>=</ns1:t>
        </ns1:r>
        <ns1:r>
          <ns1:t>0.1</ns1:t>
        </ns1:r>
      </ns1:oMath>
      <w:r>
        <w:t xml:space="preserve"> </w:t>
      </w:r>
      <w:r>
        <w:t xml:space="preserve">es prácticamente nula (consistente con los hallazgos de EXP2). El valor</w:t>
      </w:r>
      <w:r>
        <w:t xml:space="preserve"> </w:t>
      </w:r>
      <w:r>
        <w:rPr>
          <w:rStyle w:val="VerbatimChar"/>
        </w:rPr>
        <w:t xml:space="preserve">kernel_width = 10.0</w:t>
      </w:r>
      <w:r>
        <w:t xml:space="preserve"> </w:t>
      </w:r>
      <w:r>
        <w:t xml:space="preserve">produce explicaciones válidas en el 100% de las instancias y una estabilidad de 0.664, pero a costa de menor fidelidad (0.441) porque el vecindario más amplio promedia regiones de decisión heterogéneas. Estos resultados confirman que</w:t>
      </w:r>
      <w:r>
        <w:t xml:space="preserve"> </w:t>
      </w:r>
      <w:r>
        <w:rPr>
          <w:rStyle w:val="VerbatimChar"/>
        </w:rPr>
        <w:t xml:space="preserve">kernel_width = 3.0</w:t>
      </w:r>
      <w:r>
        <w:t xml:space="preserve"> </w:t>
      </w:r>
      <w:r>
        <w:t xml:space="preserve">es el valor mínimo viable en este espacio de características y que la inestabilidad de LIME no es un artefacto de este parámetro sino una propiedad estructural del método en datos tabulares de alta dimensión.</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inestabilidad de LIME estructural)</w:t>
      </w:r>
      <w:r>
        <w:t xml:space="preserve"> </w:t>
      </w:r>
      <w:r>
        <w:t xml:space="preserve">son robustos a variaciones razonables de los hiperparámetros dentro de los</w:t>
      </w:r>
      <w:r>
        <w:t xml:space="preserve"> </w:t>
      </w:r>
      <w:r>
        <w:t xml:space="preserve">rangos explorados.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332"/>
    <w:bookmarkEnd w:id="333"/>
    <w:bookmarkStart w:id="341"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tblLayout w:type="fixed"/>
        <w:tblLook w:firstRow="0" w:lastRow="0" w:firstColumn="0" w:lastColumn="0" w:noHBand="0" w:noVBand="0" w:val="0000"/>
      </w:tblPr>
      <w:tblGrid>
        <w:gridCol w:w="7920"/>
      </w:tblGrid>
      <w:tr>
        <w:tc>
          <w:tcPr/>
          <w:bookmarkStart w:id="334" w:name="tbl-appendix-stat-outputs"/>
          <w:p>
            <w:pPr>
              <w:jc w:val="both"/>
              <w:spacing w:line="360" w:lineRule="auto"/>
            </w:pPr>
            <w:pPr>
              <w:jc w:val="left"/>
              <w:spacing w:before="200"/>
              <w:pStyle w:val="ImageCaption"/>
            </w:pPr>
            <w:r>
              <w:t xml:space="preserve">Table 7.12: Salidas estadísticas principales y uso en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334"/>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336" w:name="Xe3909ed8b3f47a476ee07b1fbdd59a863fdc536"/>
    <w:p>
      <w:pPr>
        <w:pStyle w:val="Ttulo3"/>
        <w:spacing w:line="360" w:lineRule="auto"/>
        <w:jc w:val="both"/>
      </w:pPr>
      <w:r>
        <w:t xml:space="preserve">D.1 Resultados completos de la prueba de Friedman</w:t>
      </w:r>
    </w:p>
    <w:tbl>
      <w:tblPr>
        <w:tblStyle w:val="Table"/>
        <w:tblW w:type="pct" w:w="5000"/>
        <w:tblLayout w:type="fixed"/>
        <w:tblLook w:firstRow="0" w:lastRow="0" w:firstColumn="0" w:lastColumn="0" w:noHBand="0" w:noVBand="0" w:val="0000"/>
      </w:tblPr>
      <w:tblGrid>
        <w:gridCol w:w="7920"/>
      </w:tblGrid>
      <w:tr>
        <w:tc>
          <w:tcPr/>
          <w:bookmarkStart w:id="335" w:name="tbl-appendix-friedman-full"/>
          <w:p>
            <w:pPr>
              <w:jc w:val="both"/>
              <w:spacing w:line="360" w:lineRule="auto"/>
            </w:pPr>
            <w:pPr>
              <w:jc w:val="left"/>
              <w:spacing w:before="200"/>
              <w:pStyle w:val="ImageCaption"/>
            </w:pPr>
            <w:r>
              <w:t xml:space="preserve">Table 7.13: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r>
                      <ns1:t>n</ns1:t>
                    </ns1:r>
                  </ns1:oMath>
                  <w:r>
                    <w:t xml:space="preserve"> </w:t>
                  </w:r>
                  <w:r>
                    <w:t xml:space="preserve">bloques</w:t>
                  </w:r>
                </w:p>
              </w:tc>
              <w:tc>
                <w:tcPr/>
                <w:p>
                  <w:pPr>
                    <w:pStyle w:val="Compact"/>
                    <w:jc w:val="both"/>
                    <w:jc w:val="center"/>
                    <w:spacing w:line="360" w:lineRule="auto"/>
                  </w:pPr>
                  <ns1:oMath>
                    <ns1:r>
                      <ns1:t>k</ns1:t>
                    </ns1:r>
                  </ns1:oMath>
                  <w:r>
                    <w:t xml:space="preserve"> </w:t>
                  </w:r>
                  <w: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p>
              </w:tc>
              <w:tc>
                <w:tcPr/>
                <w:p>
                  <w:pPr>
                    <w:pStyle w:val="Compact"/>
                    <w:jc w:val="both"/>
                    <w:jc w:val="center"/>
                    <w:spacing w:line="360" w:lineRule="auto"/>
                  </w:pPr>
                  <ns1:oMath>
                    <ns1:r>
                      <ns1:t>g</ns1:t>
                    </ns1:r>
                    <ns1:r>
                      <ns1:t>l</ns1:t>
                    </ns1:r>
                  </ns1:oMath>
                </w:p>
              </w:tc>
              <w:tc>
                <w:tcPr/>
                <w:p>
                  <w:pPr>
                    <w:pStyle w:val="Compact"/>
                    <w:jc w:val="both"/>
                    <w:jc w:val="center"/>
                    <w:spacing w:line="360" w:lineRule="auto"/>
                  </w:pPr>
                  <ns1:oMath>
                    <ns1:r>
                      <ns1:t>p</ns1:t>
                    </ns1:r>
                  </ns1:oMath>
                  <w:r>
                    <w:t xml:space="preserve"> </w:t>
                  </w:r>
                  <w: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Kendall</w:t>
                  </w:r>
                  <w:r>
                    <w:t xml:space="preserve"> </w:t>
                  </w:r>
                  <ns1:oMath>
                    <ns1:r>
                      <ns1:t>W</ns1:t>
                    </ns1:r>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3.02</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335"/>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las dos hipótesis omnibus (H1 y H2); ambas</w:t>
      </w:r>
      <w:r>
        <w:t xml:space="preserve"> </w:t>
      </w:r>
      <w:r>
        <w:t xml:space="preserve">permanecen significativas tras la corrección.</w:t>
      </w:r>
    </w:p>
    <w:bookmarkEnd w:id="336"/>
    <w:bookmarkStart w:id="338"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tblLayout w:type="fixed"/>
        <w:tblLook w:firstRow="0" w:lastRow="0" w:firstColumn="0" w:lastColumn="0" w:noHBand="0" w:noVBand="0" w:val="0000"/>
      </w:tblPr>
      <w:tblGrid>
        <w:gridCol w:w="7920"/>
      </w:tblGrid>
      <w:tr>
        <w:tc>
          <w:tcPr/>
          <w:bookmarkStart w:id="337" w:name="tbl-appendix-nemenyi-full"/>
          <w:p>
            <w:pPr>
              <w:jc w:val="both"/>
              <w:spacing w:line="360" w:lineRule="auto"/>
            </w:pPr>
            <w:pPr>
              <w:jc w:val="left"/>
              <w:spacing w:before="200"/>
              <w:pStyle w:val="ImageCaption"/>
            </w:pPr>
            <w:r>
              <w:t xml:space="preserve">Table 7.14: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(fidelidad)</w:t>
                  </w:r>
                </w:p>
              </w:tc>
              <w:tc>
                <w:tcPr/>
                <w:p>
                  <w:pPr>
                    <w:pStyle w:val="Compact"/>
                    <w:jc w:val="both"/>
                    <w:jc w:val="center"/>
                    <w:spacing w:line="360" w:lineRule="auto"/>
                  </w:pPr>
                  <w: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(estabilidad)</w:t>
                  </w:r>
                </w:p>
              </w:tc>
              <w:tc>
                <w:tcPr/>
                <w:p>
                  <w:pPr>
                    <w:pStyle w:val="Compact"/>
                    <w:jc w:val="both"/>
                    <w:jc w:val="center"/>
                    <w:spacing w:line="360" w:lineRule="auto"/>
                  </w:pPr>
                  <w: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337"/>
          <w:p>
            <w:pPr>
              <w:spacing w:line="360" w:lineRule="auto"/>
              <w:jc w:val="both"/>
            </w:pPr>
          </w:p>
        </w:tc>
      </w:tr>
    </w:tbl>
    <w:bookmarkEnd w:id="338"/>
    <w:bookmarkStart w:id="340"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tblLayout w:type="fixed"/>
        <w:tblLook w:firstRow="0" w:lastRow="0" w:firstColumn="0" w:lastColumn="0" w:noHBand="0" w:noVBand="0" w:val="0000"/>
      </w:tblPr>
      <w:tblGrid>
        <w:gridCol w:w="7920"/>
      </w:tblGrid>
      <w:tr>
        <w:tc>
          <w:tcPr/>
          <w:bookmarkStart w:id="339" w:name="tbl-appendix-wilcoxon-full"/>
          <w:p>
            <w:pPr>
              <w:jc w:val="both"/>
              <w:spacing w:line="360" w:lineRule="auto"/>
            </w:pPr>
            <w:pPr>
              <w:jc w:val="left"/>
              <w:spacing w:before="200"/>
              <w:pStyle w:val="ImageCaption"/>
            </w:pPr>
            <w:r>
              <w:t xml:space="preserve">Table 7.15: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acc>
                      <ns1:accPr>
                        <ns1:chr ns1:val="‾"/>
                      </ns1:accPr>
                      <ns1:e>
                        <ns1:r>
                          <ns1:t>d</ns1:t>
                        </ns1:r>
                      </ns1:e>
                    </ns1:acc>
                  </ns1:oMath>
                  <w:r>
                    <w:t xml:space="preserve"> </w:t>
                  </w:r>
                  <w:r>
                    <w:t xml:space="preserve">(SHAP</w:t>
                  </w:r>
                  <ns1:oMath>
                    <ns1:r>
                      <ns1:rPr>
                        <ns1:sty ns1:val="p"/>
                      </ns1:rPr>
                      <ns1:t>−</ns1:t>
                    </ns1:r>
                  </ns1:oMath>
                  <w:r>
                    <w:t xml:space="preserve">LIME)</w:t>
                  </w:r>
                </w:p>
              </w:tc>
              <w:tc>
                <w:tcPr/>
                <w:p>
                  <w:pPr>
                    <w:pStyle w:val="Compact"/>
                    <w:jc w:val="both"/>
                    <w:jc w:val="center"/>
                    <w:spacing w:line="360" w:lineRule="auto"/>
                  </w:pPr>
                  <ns1:oMath>
                    <ns1:sSub>
                      <ns1:e>
                        <ns1:r>
                          <ns1:t>s</ns1:t>
                        </ns1:r>
                      </ns1:e>
                      <ns1:sub>
                        <ns1:r>
                          <ns1:t>d</ns1:t>
                        </ns1:r>
                      </ns1:sub>
                    </ns1:sSub>
                  </ns1:oMath>
                </w:p>
              </w:tc>
              <w:tc>
                <w:tcPr/>
                <w:p>
                  <w:pPr>
                    <w:pStyle w:val="Compact"/>
                    <w:jc w:val="both"/>
                    <w:jc w:val="center"/>
                    <w:spacing w:line="360" w:lineRule="auto"/>
                  </w:pPr>
                  <ns1:oMath>
                    <ns1:sSub>
                      <ns1:e>
                        <ns1:r>
                          <ns1:t>d</ns1:t>
                        </ns1:r>
                      </ns1:e>
                      <ns1:sub>
                        <ns1:r>
                          <ns1:t>z</ns1:t>
                        </ns1:r>
                      </ns1:sub>
                    </ns1:sSub>
                  </ns1:oMath>
                </w:p>
              </w:tc>
              <w:tc>
                <w:tcPr/>
                <w:p>
                  <w:pPr>
                    <w:pStyle w:val="Compact"/>
                    <w:jc w:val="both"/>
                    <w:jc w:val="center"/>
                    <w:spacing w:line="360" w:lineRule="auto"/>
                  </w:pPr>
                  <ns1:oMath>
                    <ns1:r>
                      <ns1:t>W</ns1:t>
                    </ns1:r>
                  </ns1:oMath>
                </w:p>
              </w:tc>
              <w:tc>
                <w:tcPr/>
                <w:p>
                  <w:pPr>
                    <w:pStyle w:val="Compact"/>
                    <w:jc w:val="both"/>
                    <w:jc w:val="center"/>
                    <w:spacing w:line="360" w:lineRule="auto"/>
                  </w:pPr>
                  <ns1:oMath>
                    <ns1:r>
                      <ns1:t>p</ns1:t>
                    </ns1:r>
                  </ns1:oMath>
                  <w:r>
                    <w:t xml:space="preserve"> </w:t>
                  </w:r>
                  <w: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p>
              </w:tc>
              <w:tc>
                <w:tcPr/>
                <w:p>
                  <w:pPr>
                    <w:pStyle w:val="Compact"/>
                    <w:jc w:val="both"/>
                    <w:jc w:val="center"/>
                    <w:spacing w:line="360" w:lineRule="auto"/>
                  </w:pPr>
                  <ns1:oMath>
                    <ns1:r>
                      <ns1:t>0.0514</ns1:t>
                    </ns1:r>
                  </ns1:oMath>
                </w:p>
              </w:tc>
              <w:tc>
                <w:tcPr/>
                <w:p>
                  <w:pPr>
                    <w:pStyle w:val="Compact"/>
                    <w:jc w:val="both"/>
                    <w:jc w:val="center"/>
                    <w:spacing w:line="360" w:lineRule="auto"/>
                  </w:pPr>
                  <ns1:oMath>
                    <ns1:r>
                      <ns1:rPr>
                        <ns1:sty ns1:val="p"/>
                      </ns1:rPr>
                      <ns1:t>+</ns1:t>
                    </ns1:r>
                    <ns1:r>
                      <ns1:t>4.820</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p>
              </w:tc>
              <w:tc>
                <w:tcPr/>
                <w:p>
                  <w:pPr>
                    <w:pStyle w:val="Compact"/>
                    <w:jc w:val="both"/>
                    <w:jc w:val="center"/>
                    <w:spacing w:line="360" w:lineRule="auto"/>
                  </w:pPr>
                  <ns1:oMath>
                    <ns1:r>
                      <ns1:t>0.2390</ns1:t>
                    </ns1:r>
                  </ns1:oMath>
                </w:p>
              </w:tc>
              <w:tc>
                <w:tcPr/>
                <w:p>
                  <w:pPr>
                    <w:pStyle w:val="Compact"/>
                    <w:jc w:val="both"/>
                    <w:jc w:val="center"/>
                    <w:spacing w:line="360" w:lineRule="auto"/>
                  </w:pPr>
                  <ns1:oMath>
                    <ns1:r>
                      <ns1:rPr>
                        <ns1:sty ns1:val="p"/>
                      </ns1:rPr>
                      <ns1:t>+</ns1:t>
                    </ns1:r>
                    <ns1:r>
                      <ns1:t>3.002</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p>
              </w:tc>
              <w:tc>
                <w:tcPr/>
                <w:p>
                  <w:pPr>
                    <w:pStyle w:val="Compact"/>
                    <w:jc w:val="both"/>
                    <w:jc w:val="center"/>
                    <w:spacing w:line="360" w:lineRule="auto"/>
                  </w:pPr>
                  <ns1:oMath>
                    <ns1:r>
                      <ns1:t>0.1690</ns1:t>
                    </ns1:r>
                  </ns1:oMath>
                </w:p>
              </w:tc>
              <w:tc>
                <w:tcPr/>
                <w:p>
                  <w:pPr>
                    <w:pStyle w:val="Compact"/>
                    <w:jc w:val="both"/>
                    <w:jc w:val="center"/>
                    <w:spacing w:line="360" w:lineRule="auto"/>
                  </w:pPr>
                  <ns1:oMath>
                    <ns1:r>
                      <ns1:rPr>
                        <ns1:sty ns1:val="p"/>
                      </ns1:rPr>
                      <ns1:t>+</ns1:t>
                    </ns1:r>
                    <ns1:r>
                      <ns1:t>0.839</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p>
              </w:tc>
              <w:tc>
                <w:tcPr/>
                <w:p>
                  <w:pPr>
                    <w:pStyle w:val="Compact"/>
                    <w:jc w:val="both"/>
                    <w:jc w:val="center"/>
                    <w:spacing w:line="360" w:lineRule="auto"/>
                  </w:pPr>
                  <ns1:oMath>
                    <ns1:r>
                      <ns1:t>0.0173</ns1:t>
                    </ns1:r>
                  </ns1:oMath>
                </w:p>
              </w:tc>
              <w:tc>
                <w:tcPr/>
                <w:p>
                  <w:pPr>
                    <w:pStyle w:val="Compact"/>
                    <w:jc w:val="both"/>
                    <w:jc w:val="center"/>
                    <w:spacing w:line="360" w:lineRule="auto"/>
                  </w:pPr>
                  <ns1:oMath>
                    <ns1:r>
                      <ns1:rPr>
                        <ns1:sty ns1:val="p"/>
                      </ns1:rPr>
                      <ns1:t>+</ns1:t>
                    </ns1:r>
                    <ns1:r>
                      <ns1:t>2.626</ns1:t>
                    </ns1:r>
                  </ns1:oMath>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p>
              </w:tc>
              <w:tc>
                <w:tcPr/>
                <w:p>
                  <w:pPr>
                    <w:pStyle w:val="Compact"/>
                    <w:jc w:val="both"/>
                    <w:jc w:val="center"/>
                    <w:spacing w:line="360" w:lineRule="auto"/>
                  </w:pPr>
                  <ns1:oMath>
                    <ns1:r>
                      <ns1:t>17</ns1:t>
                    </ns1:r>
                    <ns1:r>
                      <ns1:rPr>
                        <ns1:sty ns1:val="p"/>
                      </ns1:rPr>
                      <ns1:t>,</ns1:t>
                    </ns1:r>
                    <ns1:r>
                      <ns1:t>856.6</ns1:t>
                    </ns1:r>
                  </ns1:oMath>
                </w:p>
              </w:tc>
              <w:tc>
                <w:tcPr/>
                <w:p>
                  <w:pPr>
                    <w:pStyle w:val="Compact"/>
                    <w:jc w:val="both"/>
                    <w:jc w:val="center"/>
                    <w:spacing w:line="360" w:lineRule="auto"/>
                  </w:pPr>
                  <ns1:oMath>
                    <ns1:r>
                      <ns1:rPr>
                        <ns1:sty ns1:val="p"/>
                      </ns1:rPr>
                      <ns1:t>+</ns1:t>
                    </ns1:r>
                    <ns1:r>
                      <ns1:t>0.451</ns1:t>
                    </ns1:r>
                  </ns1:oMath>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339"/>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reproducibilidad de EXP1 se documenta en</w:t>
      </w:r>
      <w:r>
        <w:t xml:space="preserve"> </w:t>
      </w:r>
      <w:r>
        <w:rPr>
          <w:rStyle w:val="VerbatimChar"/>
        </w:rPr>
        <w:t xml:space="preserve">experiments/exp1_adult/reproducibility/reproducibility_report.csv</w:t>
      </w:r>
      <w:r>
        <w:t xml:space="preserve">, que sostiene</w:t>
      </w:r>
      <w:r>
        <w:t xml:space="preserve"> </w:t>
      </w:r>
      <w:r>
        <w:t xml:space="preserve">la proposición P1.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340"/>
    <w:bookmarkEnd w:id="341"/>
    <w:bookmarkStart w:id="343"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553f65d71b077ec181ad36da7bb6e7c9942fe116</w:t>
      </w:r>
      <w:r>
        <w:t xml:space="preserve"> </w:t>
      </w:r>
      <w:r>
        <w:t xml:space="preserve">(2026-07-24), archivado con DOI</w:t>
      </w:r>
      <w:r>
        <w:t xml:space="preserve"> </w:t>
      </w:r>
      <w:r>
        <w:t xml:space="preserve">Zenodo</w:t>
      </w:r>
      <w:r>
        <w:t xml:space="preserve"> </w:t>
      </w:r>
      <w:r>
        <w:rPr>
          <w:rStyle w:val="VerbatimChar"/>
        </w:rPr>
        <w:t xml:space="preserve">10.5281/zenodo.21538180</w:t>
      </w:r>
      <w:r>
        <w:t xml:space="preserve">; el DOI de concepto</w:t>
      </w:r>
      <w:r>
        <w:t xml:space="preserve"> </w:t>
      </w:r>
      <w:r>
        <w:rPr>
          <w:rStyle w:val="VerbatimChar"/>
        </w:rPr>
        <w:t xml:space="preserve">10.5281/zenodo.19297723</w:t>
      </w:r>
      <w:r>
        <w:t xml:space="preserve"> </w:t>
      </w:r>
      <w:r>
        <w:t xml:space="preserve">resuelve a la versión más reciente. La instantánea</w:t>
      </w:r>
      <w:r>
        <w:t xml:space="preserve"> </w:t>
      </w:r>
      <w:r>
        <w:t xml:space="preserve">anterior (</w:t>
      </w:r>
      <w:r>
        <w:rPr>
          <w:rStyle w:val="VerbatimChar"/>
        </w:rPr>
        <w:t xml:space="preserve">33fd952a01a752f6988f46ba79b18694838c3f8f</w:t>
      </w:r>
      <w:r>
        <w:t xml:space="preserve">, DOI</w:t>
      </w:r>
      <w:r>
        <w:t xml:space="preserve"> </w:t>
      </w:r>
      <w:r>
        <w:rPr>
          <w:rStyle w:val="VerbatimChar"/>
        </w:rPr>
        <w:t xml:space="preserve">10.5281/zenodo.19297724</w:t>
      </w:r>
      <w:r>
        <w:t xml:space="preserve">, abril de 2026) se conserva por procedencia pero es</w:t>
      </w:r>
      <w:r>
        <w:t xml:space="preserve"> </w:t>
      </w:r>
      <w:r>
        <w:t xml:space="preserve">anterior a la superposición de recuperación de SHAP y no reproduce las cifras</w:t>
      </w:r>
      <w:r>
        <w:t xml:space="preserve"> </w:t>
      </w:r>
      <w:r>
        <w:t xml:space="preserve">del Capítulo 4. Los archivos principales de entorno son:</w:t>
      </w:r>
    </w:p>
    <w:tbl>
      <w:tblPr>
        <w:tblStyle w:val="Table"/>
        <w:tblW w:type="pct" w:w="5000"/>
        <w:tblLayout w:type="fixed"/>
        <w:tblLook w:firstRow="0" w:lastRow="0" w:firstColumn="0" w:lastColumn="0" w:noHBand="0" w:noVBand="0" w:val="0000"/>
      </w:tblPr>
      <w:tblGrid>
        <w:gridCol w:w="7920"/>
      </w:tblGrid>
      <w:tr>
        <w:tc>
          <w:tcPr/>
          <w:bookmarkStart w:id="342" w:name="tbl-appendix-environment"/>
          <w:p>
            <w:pPr>
              <w:jc w:val="both"/>
              <w:spacing w:line="360" w:lineRule="auto"/>
            </w:pPr>
            <w:pPr>
              <w:jc w:val="left"/>
              <w:spacing w:before="200"/>
              <w:pStyle w:val="ImageCaption"/>
            </w:pPr>
            <w:r>
              <w:t xml:space="preserve">Table 7.16: Archivos de entorno y reproducción.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342"/>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18"/>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18"/>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18"/>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18"/>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18"/>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343"/>
    <w:bookmarkStart w:id="345" w:name="X6203a5fbf2bdeeaed3e02c144db2e542f2870ed"/>
    <w:p>
      <w:pPr>
        <w:pStyle w:val="Ttulo2"/>
        <w:spacing w:line="360" w:lineRule="auto"/>
        <w:jc w:val="both"/>
      </w:pPr>
      <w:r>
        <w:t xml:space="preserve">Apéndice F: Artefactos del Estudio EXP4 (fiabilidad de jueces LLM)</w:t>
      </w:r>
    </w:p>
    <w:p>
      <w:pPr>
        <w:pStyle w:val="FirstParagraph"/>
        <w:spacing w:line="360" w:lineRule="auto"/>
        <w:jc w:val="both"/>
      </w:pPr>
      <w:r>
        <w:t xml:space="preserve">EXP4 (diseñado en §sec-exp4-diseno, Capítulo 3; resultados en</w:t>
      </w:r>
      <w:r>
        <w:t xml:space="preserve"> </w:t>
      </w:r>
      <w:r>
        <w:t xml:space="preserve">§sec-exp4-fiabilidad, Capítulo 5) cuantifica la fiabilidad inter-juez de</w:t>
      </w:r>
      <w:r>
        <w:t xml:space="preserve"> </w:t>
      </w:r>
      <w:r>
        <w:t xml:space="preserve">evaluadores LLM sobre siete dimensiones semánticas. Los artefactos del estudio</w:t>
      </w:r>
      <w:r>
        <w:t xml:space="preserve"> </w:t>
      </w:r>
      <w:r>
        <w:t xml:space="preserve">se encuentran en las rutas siguientes y sostienen la Tabla</w:t>
      </w:r>
      <w:r>
        <w:t xml:space="preserve"> </w:t>
      </w:r>
      <w:hyperlink w:anchor="tbl-exp4-icc">
        <w:r>
          <w:rPr>
            <w:rStyle w:val="Hipervnculo"/>
          </w:rPr>
          <w:t xml:space="preserve">Table 6.3</w:t>
        </w:r>
      </w:hyperlink>
      <w:r>
        <w:t xml:space="preserve"> </w:t>
      </w:r>
      <w:r>
        <w:t xml:space="preserve">del</w:t>
      </w:r>
      <w:r>
        <w:t xml:space="preserve"> </w:t>
      </w:r>
      <w:r>
        <w:t xml:space="preserve">Capítulo 5.</w:t>
      </w:r>
    </w:p>
    <w:tbl>
      <w:tblPr>
        <w:tblStyle w:val="Table"/>
        <w:tblW w:type="pct" w:w="5000"/>
        <w:tblLayout w:type="fixed"/>
        <w:tblLook w:firstRow="0" w:lastRow="0" w:firstColumn="0" w:lastColumn="0" w:noHBand="0" w:noVBand="0" w:val="0000"/>
      </w:tblPr>
      <w:tblGrid>
        <w:gridCol w:w="7920"/>
      </w:tblGrid>
      <w:tr>
        <w:tc>
          <w:tcPr/>
          <w:bookmarkStart w:id="344" w:name="tbl-appendix-llm"/>
          <w:p>
            <w:pPr>
              <w:jc w:val="both"/>
              <w:spacing w:line="360" w:lineRule="auto"/>
            </w:pPr>
            <w:pPr>
              <w:jc w:val="left"/>
              <w:spacing w:before="200"/>
              <w:pStyle w:val="ImageCaption"/>
            </w:pPr>
            <w:r>
              <w:t xml:space="preserve">Table 7.17: Artefactos de EXP4 y trazabilidad a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Artefacto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la tesis</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evaluación de explicaciones (rúbrica de 7 dimensiones)</w:t>
                  </w:r>
                </w:p>
              </w:tc>
              <w:tc>
                <w:tcPr/>
                <w:p>
                  <w:pPr>
                    <w:pStyle w:val="Compact"/>
                    <w:jc w:val="both"/>
                    <w:jc w:val="center"/>
                    <w:spacing w:line="360" w:lineRule="auto"/>
                  </w:pPr>
                  <w:r>
                    <w:t xml:space="preserve">Instrumento de medición EXP4</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sistema entregadas al juez LLM</w:t>
                  </w:r>
                </w:p>
              </w:tc>
              <w:tc>
                <w:tcPr/>
                <w:p>
                  <w:pPr>
                    <w:pStyle w:val="Compact"/>
                    <w:jc w:val="both"/>
                    <w:jc w:val="center"/>
                    <w:spacing w:line="360" w:lineRule="auto"/>
                  </w:pPr>
                  <w:r>
                    <w:t xml:space="preserve">Instrumento de medición EXP4</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Resumen comparativo de puntuaciones por juez y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ns1:oMath>
                    <ns1:r>
                      <ns1:t>α</ns1:t>
                    </ns1:r>
                  </ns1:oMath>
                  <w:r>
                    <w:t xml:space="preserve"> </w:t>
                  </w:r>
                  <w:r>
                    <w:t xml:space="preserve">de Krippendorff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ICC(2,1)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bl>
          <w:bookmarkEnd w:id="344"/>
          <w:p>
            <w:pPr>
              <w:spacing w:line="360" w:lineRule="auto"/>
              <w:jc w:val="both"/>
            </w:pPr>
          </w:p>
        </w:tc>
      </w:tr>
    </w:tbl>
    <w:p>
      <w:pPr>
        <w:pStyle w:val="Textoindependiente"/>
        <w:spacing w:line="360" w:lineRule="auto"/>
        <w:jc w:val="both"/>
      </w:pPr>
      <w:r>
        <w:t xml:space="preserve">EXP4 no aporta evidencia confirmativa sobre las hipótesis H1–H3 ni modifica P1;</w:t>
      </w:r>
      <w:r>
        <w:t xml:space="preserve"> </w:t>
      </w:r>
      <w:r>
        <w:t xml:space="preserve">su resultado (P2: jueces LLM no alcanzan ICC</w:t>
      </w:r>
      <w:r>
        <w:t xml:space="preserve"> </w:t>
      </w:r>
      <ns1:oMath>
        <ns1:r>
          <ns1:rPr>
            <ns1:sty ns1:val="p"/>
          </ns1:rPr>
          <ns1:t>≥</ns1:t>
        </ns1:r>
        <ns1:r>
          <ns1:t>0.75</ns1:t>
        </ns1:r>
      </ns1:oMath>
      <w:r>
        <w:t xml:space="preserve"> </w:t>
      </w:r>
      <w:r>
        <w:t xml:space="preserve">bajo las rúbricas</w:t>
      </w:r>
      <w:r>
        <w:t xml:space="preserve"> </w:t>
      </w:r>
      <w:r>
        <w:t xml:space="preserve">actuales) es un resultado negativo que delimita el alcance de la evaluación</w:t>
      </w:r>
      <w:r>
        <w:t xml:space="preserve"> </w:t>
      </w:r>
      <w:r>
        <w:t xml:space="preserve">semántica automática en XAI y establece los requisitos de formalización para</w:t>
      </w:r>
      <w:r>
        <w:t xml:space="preserve"> </w:t>
      </w:r>
      <w:r>
        <w:t xml:space="preserve">investigación futura (véase §sec-exp4-fiabilidad y §sec-futuro).</w:t>
      </w:r>
    </w:p>
    <w:bookmarkEnd w:id="345"/>
    <w:bookmarkEnd w:id="346"/>
    <w:sectPr w:rsidR="004A1446" w:rsidSect="0070096E">
      <w:headerReference ns5:id="rId9" w:type="even"/>
      <w:headerReference ns5:id="rId10" w:type="default"/>
      <w:pgSz w:h="15840" w:w="12240"/>
      <w:pgMar w:bottom="1440" w:footer="720" w:gutter="0" w:header="720" w:left="1440" w:right="1440" w:top="1728"/>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n-U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MX"/>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MX"/>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MX"/>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MX"/>
    </w:rPr>
  </w:style>
  <w:style w:customStyle="1" w:styleId="Ttulo4Car" w:type="character">
    <w:name w:val="Título 4 Car"/>
    <w:basedOn w:val="Fuentedeprrafopredeter"/>
    <w:link w:val="Ttulo4"/>
    <w:uiPriority w:val="9"/>
    <w:rsid w:val="00AE0CE0"/>
    <w:rPr>
      <w:rFonts w:cstheme="majorBidi" w:eastAsiaTheme="majorEastAsia"/>
      <w:b/>
      <w:iCs/>
      <w:lang w:val="es-MX"/>
    </w:rPr>
  </w:style>
  <w:style w:customStyle="1" w:styleId="Ttulo5Car" w:type="character">
    <w:name w:val="Título 5 Car"/>
    <w:basedOn w:val="Fuentedeprrafopredeter"/>
    <w:link w:val="Ttulo5"/>
    <w:uiPriority w:val="9"/>
    <w:rsid w:val="004323BF"/>
    <w:rPr>
      <w:rFonts w:cstheme="majorBidi" w:eastAsiaTheme="majorEastAsia"/>
      <w:b/>
      <w:i/>
      <w:lang w:val="es-MX"/>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MX"/>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43" Target="media/rId143.png" /><Relationship Type="http://schemas.openxmlformats.org/officeDocument/2006/relationships/image" Id="rId139" Target="media/rId139.png" /><Relationship Type="http://schemas.openxmlformats.org/officeDocument/2006/relationships/image" Id="rId135" Target="media/rId135.png" /><Relationship Type="http://schemas.openxmlformats.org/officeDocument/2006/relationships/image" Id="rId131" Target="media/rId131.png" /><Relationship Type="http://schemas.openxmlformats.org/officeDocument/2006/relationships/image" Id="rId147" Target="media/rId147.png" /><Relationship Type="http://schemas.openxmlformats.org/officeDocument/2006/relationships/image" Id="rId127" Target="media/rId127.png" /><Relationship Type="http://schemas.openxmlformats.org/officeDocument/2006/relationships/image" Id="rId151" Target="media/rId151.png" /><Relationship Type="http://schemas.openxmlformats.org/officeDocument/2006/relationships/hyperlink" Id="rId223" Target="http://archive.ics.uci.edu/ml" TargetMode="External" /><Relationship Type="http://schemas.openxmlformats.org/officeDocument/2006/relationships/hyperlink" Id="rId246" Target="https://archive.ics.uci.edu/dataset/2/adult" TargetMode="External" /><Relationship Type="http://schemas.openxmlformats.org/officeDocument/2006/relationships/hyperlink" Id="rId201" Target="https://arxiv.org/abs/1806.08049" TargetMode="External" /><Relationship Type="http://schemas.openxmlformats.org/officeDocument/2006/relationships/hyperlink" Id="rId278" Target="https://catalog.princeton.edu/catalog/2081365" TargetMode="External" /><Relationship Type="http://schemas.openxmlformats.org/officeDocument/2006/relationships/hyperlink" Id="rId203" Target="https://doi.org/10.1002/widm.1424" TargetMode="External" /><Relationship Type="http://schemas.openxmlformats.org/officeDocument/2006/relationships/hyperlink" Id="rId264" Target="https://doi.org/10.1002/widm.1493" TargetMode="External" /><Relationship Type="http://schemas.openxmlformats.org/officeDocument/2006/relationships/hyperlink" Id="rId297" Target="https://doi.org/10.1007/978-3-030-28954-6" TargetMode="External" /><Relationship Type="http://schemas.openxmlformats.org/officeDocument/2006/relationships/hyperlink" Id="rId313" Target="https://doi.org/10.1007/978-3-319-57959-7" TargetMode="External" /><Relationship Type="http://schemas.openxmlformats.org/officeDocument/2006/relationships/hyperlink" Id="rId299" Target="https://doi.org/10.1007/s10618-022-00867-8" TargetMode="External" /><Relationship Type="http://schemas.openxmlformats.org/officeDocument/2006/relationships/hyperlink" Id="rId225" Target="https://doi.org/10.1007/s11023-018-9482-5" TargetMode="External" /><Relationship Type="http://schemas.openxmlformats.org/officeDocument/2006/relationships/hyperlink" Id="rId235" Target="https://doi.org/10.1007/s12559-023-10179-8" TargetMode="External" /><Relationship Type="http://schemas.openxmlformats.org/officeDocument/2006/relationships/hyperlink" Id="rId303" Target="https://doi.org/10.1007/s13218-020-00637-y" TargetMode="External" /><Relationship Type="http://schemas.openxmlformats.org/officeDocument/2006/relationships/hyperlink" Id="rId238" Target="https://doi.org/10.1007/s13218-023-00806-9" TargetMode="External" /><Relationship Type="http://schemas.openxmlformats.org/officeDocument/2006/relationships/hyperlink" Id="rId266" Target="https://doi.org/10.1016/j.artint.2018.07.007" TargetMode="External" /><Relationship Type="http://schemas.openxmlformats.org/officeDocument/2006/relationships/hyperlink" Id="rId252" Target="https://doi.org/10.1016/j.artint.2021.103473" TargetMode="External" /><Relationship Type="http://schemas.openxmlformats.org/officeDocument/2006/relationships/hyperlink" Id="rId205" Target="https://doi.org/10.1016/j.inffus.2019.12.012" TargetMode="External" /><Relationship Type="http://schemas.openxmlformats.org/officeDocument/2006/relationships/hyperlink" Id="rId195" Target="https://doi.org/10.1016/j.inffus.2023.101805" TargetMode="External" /><Relationship Type="http://schemas.openxmlformats.org/officeDocument/2006/relationships/hyperlink" Id="rId248" Target="https://doi.org/10.1016/j.jcm.2016.02.012" TargetMode="External" /><Relationship Type="http://schemas.openxmlformats.org/officeDocument/2006/relationships/hyperlink" Id="rId283" Target="https://doi.org/10.1016/j.neucom.2024.128282" TargetMode="External" /><Relationship Type="http://schemas.openxmlformats.org/officeDocument/2006/relationships/hyperlink" Id="rId211" Target="https://doi.org/10.1023/a:1010933404324" TargetMode="External" /><Relationship Type="http://schemas.openxmlformats.org/officeDocument/2006/relationships/hyperlink" Id="rId281" Target="https://doi.org/10.1038/s41467-022-33417-3" TargetMode="External" /><Relationship Type="http://schemas.openxmlformats.org/officeDocument/2006/relationships/hyperlink" Id="rId274" Target="https://doi.org/10.1073/pnas.1900654116" TargetMode="External" /><Relationship Type="http://schemas.openxmlformats.org/officeDocument/2006/relationships/hyperlink" Id="rId227" Target="https://doi.org/10.1080/01621459.1937.10503522" TargetMode="External" /><Relationship Type="http://schemas.openxmlformats.org/officeDocument/2006/relationships/hyperlink" Id="rId190" Target="https://doi.org/10.1109/INES59045.2023.1030000" TargetMode="External" /><Relationship Type="http://schemas.openxmlformats.org/officeDocument/2006/relationships/hyperlink" Id="rId305" Target="https://doi.org/10.1109/TNNLS.2020.3027314" TargetMode="External" /><Relationship Type="http://schemas.openxmlformats.org/officeDocument/2006/relationships/hyperlink" Id="rId291" Target="https://doi.org/10.1109/TPAMI.2023.3331846" TargetMode="External" /><Relationship Type="http://schemas.openxmlformats.org/officeDocument/2006/relationships/hyperlink" Id="rId192" Target="https://doi.org/10.1109/access.2018.2870052" TargetMode="External" /><Relationship Type="http://schemas.openxmlformats.org/officeDocument/2006/relationships/hyperlink" Id="rId229" Target="https://doi.org/10.1109/dsaa.2018.00018" TargetMode="External" /><Relationship Type="http://schemas.openxmlformats.org/officeDocument/2006/relationships/hyperlink" Id="rId240" Target="https://doi.org/10.1126/science.359.6377.725" TargetMode="External" /><Relationship Type="http://schemas.openxmlformats.org/officeDocument/2006/relationships/hyperlink" Id="rId287" Target="https://doi.org/10.1145/2939672.2939778" TargetMode="External" /><Relationship Type="http://schemas.openxmlformats.org/officeDocument/2006/relationships/hyperlink" Id="rId188" Target="https://doi.org/10.1145/3173574.3174156" TargetMode="External" /><Relationship Type="http://schemas.openxmlformats.org/officeDocument/2006/relationships/hyperlink" Id="rId231" Target="https://doi.org/10.1145/3236009" TargetMode="External" /><Relationship Type="http://schemas.openxmlformats.org/officeDocument/2006/relationships/hyperlink" Id="rId258" Target="https://doi.org/10.1145/3236386.3241340" TargetMode="External" /><Relationship Type="http://schemas.openxmlformats.org/officeDocument/2006/relationships/hyperlink" Id="rId268" Target="https://doi.org/10.1145/3287560.3287574" TargetMode="External" /><Relationship Type="http://schemas.openxmlformats.org/officeDocument/2006/relationships/hyperlink" Id="rId244" Target="https://doi.org/10.1145/3313831.3376219" TargetMode="External" /><Relationship Type="http://schemas.openxmlformats.org/officeDocument/2006/relationships/hyperlink" Id="rId272" Target="https://doi.org/10.1145/3351095.3372850" TargetMode="External" /><Relationship Type="http://schemas.openxmlformats.org/officeDocument/2006/relationships/hyperlink" Id="rId301" Target="https://doi.org/10.1145/3375627.3375830" TargetMode="External" /><Relationship Type="http://schemas.openxmlformats.org/officeDocument/2006/relationships/hyperlink" Id="rId285" Target="https://doi.org/10.1145/3375627.3375850" TargetMode="External" /><Relationship Type="http://schemas.openxmlformats.org/officeDocument/2006/relationships/hyperlink" Id="rId270" Target="https://doi.org/10.1145/3387166" TargetMode="External" /><Relationship Type="http://schemas.openxmlformats.org/officeDocument/2006/relationships/hyperlink" Id="rId242" Target="https://doi.org/10.1145/3527848" TargetMode="External" /><Relationship Type="http://schemas.openxmlformats.org/officeDocument/2006/relationships/hyperlink" Id="rId276" Target="https://doi.org/10.1145/3583558" TargetMode="External" /><Relationship Type="http://schemas.openxmlformats.org/officeDocument/2006/relationships/hyperlink" Id="rId209" Target="https://doi.org/10.1145/3631700.3664911" TargetMode="External" /><Relationship Type="http://schemas.openxmlformats.org/officeDocument/2006/relationships/hyperlink" Id="rId262" Target="https://doi.org/10.1145/3647444.3647912" TargetMode="External" /><Relationship Type="http://schemas.openxmlformats.org/officeDocument/2006/relationships/hyperlink" Id="rId215" Target="https://doi.org/10.1145/3737445" TargetMode="External" /><Relationship Type="http://schemas.openxmlformats.org/officeDocument/2006/relationships/hyperlink" Id="rId197" Target="https://doi.org/10.1146/annurev-statistics-040120-030919" TargetMode="External" /><Relationship Type="http://schemas.openxmlformats.org/officeDocument/2006/relationships/hyperlink" Id="rId309" Target="https://doi.org/10.1201/9781003442509" TargetMode="External" /><Relationship Type="http://schemas.openxmlformats.org/officeDocument/2006/relationships/hyperlink" Id="rId293" Target="https://doi.org/10.1214/21-ss133" TargetMode="External" /><Relationship Type="http://schemas.openxmlformats.org/officeDocument/2006/relationships/hyperlink" Id="rId289" Target="https://doi.org/10.1609/aaai.v32i1.11491" TargetMode="External" /><Relationship Type="http://schemas.openxmlformats.org/officeDocument/2006/relationships/hyperlink" Id="rId307" Target="https://doi.org/10.1609/aaai.v34i04.6064" TargetMode="External" /><Relationship Type="http://schemas.openxmlformats.org/officeDocument/2006/relationships/hyperlink" Id="rId311" Target="https://doi.org/10.1613/jair.1.13283" TargetMode="External" /><Relationship Type="http://schemas.openxmlformats.org/officeDocument/2006/relationships/hyperlink" Id="rId233" Target="https://doi.org/10.18653/v1/2020.acl-main.491" TargetMode="External" /><Relationship Type="http://schemas.openxmlformats.org/officeDocument/2006/relationships/hyperlink" Id="rId213" Target="https://doi.org/10.18653/v1/2023.emnlp-main.792" TargetMode="External" /><Relationship Type="http://schemas.openxmlformats.org/officeDocument/2006/relationships/hyperlink" Id="rId315" Target="https://doi.org/10.2139/ssrn.3063289" TargetMode="External" /><Relationship Type="http://schemas.openxmlformats.org/officeDocument/2006/relationships/hyperlink" Id="rId317" Target="https://doi.org/10.2307/3001968" TargetMode="External" /><Relationship Type="http://schemas.openxmlformats.org/officeDocument/2006/relationships/hyperlink" Id="rId254" Target="https://doi.org/10.24963/ijcai.2019/388" TargetMode="External" /><Relationship Type="http://schemas.openxmlformats.org/officeDocument/2006/relationships/hyperlink" Id="rId207" Target="https://doi.org/10.3389/fdata.2021.688969" TargetMode="External" /><Relationship Type="http://schemas.openxmlformats.org/officeDocument/2006/relationships/hyperlink" Id="rId250" Target="https://doi.org/10.3389/fpsyg.2013.00863" TargetMode="External" /><Relationship Type="http://schemas.openxmlformats.org/officeDocument/2006/relationships/hyperlink" Id="rId295" Target="https://doi.org/10.3390/app14198884" TargetMode="External" /><Relationship Type="http://schemas.openxmlformats.org/officeDocument/2006/relationships/hyperlink" Id="rId256" Target="https://doi.org/10.3390/e23010018" TargetMode="External" /><Relationship Type="http://schemas.openxmlformats.org/officeDocument/2006/relationships/hyperlink" Id="rId217" Target="https://doi.org/10.3390/electronics8080832" TargetMode="External" /><Relationship Type="http://schemas.openxmlformats.org/officeDocument/2006/relationships/hyperlink" Id="rId199" Target="https://doi.org/10.3390/technologies13030093" TargetMode="External" /><Relationship Type="http://schemas.openxmlformats.org/officeDocument/2006/relationships/hyperlink" Id="rId221" Target="https://doi.org/10.48550/arxiv.1702.08608" TargetMode="External" /><Relationship Type="http://schemas.openxmlformats.org/officeDocument/2006/relationships/hyperlink" Id="rId260" Target="https://doi.org/10.48550/arxiv.1705.07874" TargetMode="External" /><Relationship Type="http://schemas.openxmlformats.org/officeDocument/2006/relationships/hyperlink" Id="rId319" Target="https://trustai4s-lab.github.io/ffidelity" TargetMode="External" /><Relationship Type="http://schemas.openxmlformats.org/officeDocument/2006/relationships/hyperlink" Id="rId219" Target="https://www.jmlr.org/papers/v7/demsar06a.html" TargetMode="External" /></Relationships>
</file>

<file path=word/_rels/footnotes.xml.rels><?xml version="1.0" encoding="UTF-8"?><Relationships xmlns="http://schemas.openxmlformats.org/package/2006/relationships"><Relationship Type="http://schemas.openxmlformats.org/officeDocument/2006/relationships/hyperlink" Id="rId223" Target="http://archive.ics.uci.edu/ml" TargetMode="External" /><Relationship Type="http://schemas.openxmlformats.org/officeDocument/2006/relationships/hyperlink" Id="rId246" Target="https://archive.ics.uci.edu/dataset/2/adult" TargetMode="External" /><Relationship Type="http://schemas.openxmlformats.org/officeDocument/2006/relationships/hyperlink" Id="rId201" Target="https://arxiv.org/abs/1806.08049" TargetMode="External" /><Relationship Type="http://schemas.openxmlformats.org/officeDocument/2006/relationships/hyperlink" Id="rId278" Target="https://catalog.princeton.edu/catalog/2081365" TargetMode="External" /><Relationship Type="http://schemas.openxmlformats.org/officeDocument/2006/relationships/hyperlink" Id="rId203" Target="https://doi.org/10.1002/widm.1424" TargetMode="External" /><Relationship Type="http://schemas.openxmlformats.org/officeDocument/2006/relationships/hyperlink" Id="rId264" Target="https://doi.org/10.1002/widm.1493" TargetMode="External" /><Relationship Type="http://schemas.openxmlformats.org/officeDocument/2006/relationships/hyperlink" Id="rId297" Target="https://doi.org/10.1007/978-3-030-28954-6" TargetMode="External" /><Relationship Type="http://schemas.openxmlformats.org/officeDocument/2006/relationships/hyperlink" Id="rId313" Target="https://doi.org/10.1007/978-3-319-57959-7" TargetMode="External" /><Relationship Type="http://schemas.openxmlformats.org/officeDocument/2006/relationships/hyperlink" Id="rId299" Target="https://doi.org/10.1007/s10618-022-00867-8" TargetMode="External" /><Relationship Type="http://schemas.openxmlformats.org/officeDocument/2006/relationships/hyperlink" Id="rId225" Target="https://doi.org/10.1007/s11023-018-9482-5" TargetMode="External" /><Relationship Type="http://schemas.openxmlformats.org/officeDocument/2006/relationships/hyperlink" Id="rId235" Target="https://doi.org/10.1007/s12559-023-10179-8" TargetMode="External" /><Relationship Type="http://schemas.openxmlformats.org/officeDocument/2006/relationships/hyperlink" Id="rId303" Target="https://doi.org/10.1007/s13218-020-00637-y" TargetMode="External" /><Relationship Type="http://schemas.openxmlformats.org/officeDocument/2006/relationships/hyperlink" Id="rId238" Target="https://doi.org/10.1007/s13218-023-00806-9" TargetMode="External" /><Relationship Type="http://schemas.openxmlformats.org/officeDocument/2006/relationships/hyperlink" Id="rId266" Target="https://doi.org/10.1016/j.artint.2018.07.007" TargetMode="External" /><Relationship Type="http://schemas.openxmlformats.org/officeDocument/2006/relationships/hyperlink" Id="rId252" Target="https://doi.org/10.1016/j.artint.2021.103473" TargetMode="External" /><Relationship Type="http://schemas.openxmlformats.org/officeDocument/2006/relationships/hyperlink" Id="rId205" Target="https://doi.org/10.1016/j.inffus.2019.12.012" TargetMode="External" /><Relationship Type="http://schemas.openxmlformats.org/officeDocument/2006/relationships/hyperlink" Id="rId195" Target="https://doi.org/10.1016/j.inffus.2023.101805" TargetMode="External" /><Relationship Type="http://schemas.openxmlformats.org/officeDocument/2006/relationships/hyperlink" Id="rId248" Target="https://doi.org/10.1016/j.jcm.2016.02.012" TargetMode="External" /><Relationship Type="http://schemas.openxmlformats.org/officeDocument/2006/relationships/hyperlink" Id="rId283" Target="https://doi.org/10.1016/j.neucom.2024.128282" TargetMode="External" /><Relationship Type="http://schemas.openxmlformats.org/officeDocument/2006/relationships/hyperlink" Id="rId211" Target="https://doi.org/10.1023/a:1010933404324" TargetMode="External" /><Relationship Type="http://schemas.openxmlformats.org/officeDocument/2006/relationships/hyperlink" Id="rId281" Target="https://doi.org/10.1038/s41467-022-33417-3" TargetMode="External" /><Relationship Type="http://schemas.openxmlformats.org/officeDocument/2006/relationships/hyperlink" Id="rId274" Target="https://doi.org/10.1073/pnas.1900654116" TargetMode="External" /><Relationship Type="http://schemas.openxmlformats.org/officeDocument/2006/relationships/hyperlink" Id="rId227" Target="https://doi.org/10.1080/01621459.1937.10503522" TargetMode="External" /><Relationship Type="http://schemas.openxmlformats.org/officeDocument/2006/relationships/hyperlink" Id="rId190" Target="https://doi.org/10.1109/INES59045.2023.1030000" TargetMode="External" /><Relationship Type="http://schemas.openxmlformats.org/officeDocument/2006/relationships/hyperlink" Id="rId305" Target="https://doi.org/10.1109/TNNLS.2020.3027314" TargetMode="External" /><Relationship Type="http://schemas.openxmlformats.org/officeDocument/2006/relationships/hyperlink" Id="rId291" Target="https://doi.org/10.1109/TPAMI.2023.3331846" TargetMode="External" /><Relationship Type="http://schemas.openxmlformats.org/officeDocument/2006/relationships/hyperlink" Id="rId192" Target="https://doi.org/10.1109/access.2018.2870052" TargetMode="External" /><Relationship Type="http://schemas.openxmlformats.org/officeDocument/2006/relationships/hyperlink" Id="rId229" Target="https://doi.org/10.1109/dsaa.2018.00018" TargetMode="External" /><Relationship Type="http://schemas.openxmlformats.org/officeDocument/2006/relationships/hyperlink" Id="rId240" Target="https://doi.org/10.1126/science.359.6377.725" TargetMode="External" /><Relationship Type="http://schemas.openxmlformats.org/officeDocument/2006/relationships/hyperlink" Id="rId287" Target="https://doi.org/10.1145/2939672.2939778" TargetMode="External" /><Relationship Type="http://schemas.openxmlformats.org/officeDocument/2006/relationships/hyperlink" Id="rId188" Target="https://doi.org/10.1145/3173574.3174156" TargetMode="External" /><Relationship Type="http://schemas.openxmlformats.org/officeDocument/2006/relationships/hyperlink" Id="rId231" Target="https://doi.org/10.1145/3236009" TargetMode="External" /><Relationship Type="http://schemas.openxmlformats.org/officeDocument/2006/relationships/hyperlink" Id="rId258" Target="https://doi.org/10.1145/3236386.3241340" TargetMode="External" /><Relationship Type="http://schemas.openxmlformats.org/officeDocument/2006/relationships/hyperlink" Id="rId268" Target="https://doi.org/10.1145/3287560.3287574" TargetMode="External" /><Relationship Type="http://schemas.openxmlformats.org/officeDocument/2006/relationships/hyperlink" Id="rId244" Target="https://doi.org/10.1145/3313831.3376219" TargetMode="External" /><Relationship Type="http://schemas.openxmlformats.org/officeDocument/2006/relationships/hyperlink" Id="rId272" Target="https://doi.org/10.1145/3351095.3372850" TargetMode="External" /><Relationship Type="http://schemas.openxmlformats.org/officeDocument/2006/relationships/hyperlink" Id="rId301" Target="https://doi.org/10.1145/3375627.3375830" TargetMode="External" /><Relationship Type="http://schemas.openxmlformats.org/officeDocument/2006/relationships/hyperlink" Id="rId285" Target="https://doi.org/10.1145/3375627.3375850" TargetMode="External" /><Relationship Type="http://schemas.openxmlformats.org/officeDocument/2006/relationships/hyperlink" Id="rId270" Target="https://doi.org/10.1145/3387166" TargetMode="External" /><Relationship Type="http://schemas.openxmlformats.org/officeDocument/2006/relationships/hyperlink" Id="rId242" Target="https://doi.org/10.1145/3527848" TargetMode="External" /><Relationship Type="http://schemas.openxmlformats.org/officeDocument/2006/relationships/hyperlink" Id="rId276" Target="https://doi.org/10.1145/3583558" TargetMode="External" /><Relationship Type="http://schemas.openxmlformats.org/officeDocument/2006/relationships/hyperlink" Id="rId209" Target="https://doi.org/10.1145/3631700.3664911" TargetMode="External" /><Relationship Type="http://schemas.openxmlformats.org/officeDocument/2006/relationships/hyperlink" Id="rId262" Target="https://doi.org/10.1145/3647444.3647912" TargetMode="External" /><Relationship Type="http://schemas.openxmlformats.org/officeDocument/2006/relationships/hyperlink" Id="rId215" Target="https://doi.org/10.1145/3737445" TargetMode="External" /><Relationship Type="http://schemas.openxmlformats.org/officeDocument/2006/relationships/hyperlink" Id="rId197" Target="https://doi.org/10.1146/annurev-statistics-040120-030919" TargetMode="External" /><Relationship Type="http://schemas.openxmlformats.org/officeDocument/2006/relationships/hyperlink" Id="rId309" Target="https://doi.org/10.1201/9781003442509" TargetMode="External" /><Relationship Type="http://schemas.openxmlformats.org/officeDocument/2006/relationships/hyperlink" Id="rId293" Target="https://doi.org/10.1214/21-ss133" TargetMode="External" /><Relationship Type="http://schemas.openxmlformats.org/officeDocument/2006/relationships/hyperlink" Id="rId289" Target="https://doi.org/10.1609/aaai.v32i1.11491" TargetMode="External" /><Relationship Type="http://schemas.openxmlformats.org/officeDocument/2006/relationships/hyperlink" Id="rId307" Target="https://doi.org/10.1609/aaai.v34i04.6064" TargetMode="External" /><Relationship Type="http://schemas.openxmlformats.org/officeDocument/2006/relationships/hyperlink" Id="rId311" Target="https://doi.org/10.1613/jair.1.13283" TargetMode="External" /><Relationship Type="http://schemas.openxmlformats.org/officeDocument/2006/relationships/hyperlink" Id="rId233" Target="https://doi.org/10.18653/v1/2020.acl-main.491" TargetMode="External" /><Relationship Type="http://schemas.openxmlformats.org/officeDocument/2006/relationships/hyperlink" Id="rId213" Target="https://doi.org/10.18653/v1/2023.emnlp-main.792" TargetMode="External" /><Relationship Type="http://schemas.openxmlformats.org/officeDocument/2006/relationships/hyperlink" Id="rId315" Target="https://doi.org/10.2139/ssrn.3063289" TargetMode="External" /><Relationship Type="http://schemas.openxmlformats.org/officeDocument/2006/relationships/hyperlink" Id="rId317" Target="https://doi.org/10.2307/3001968" TargetMode="External" /><Relationship Type="http://schemas.openxmlformats.org/officeDocument/2006/relationships/hyperlink" Id="rId254" Target="https://doi.org/10.24963/ijcai.2019/388" TargetMode="External" /><Relationship Type="http://schemas.openxmlformats.org/officeDocument/2006/relationships/hyperlink" Id="rId207" Target="https://doi.org/10.3389/fdata.2021.688969" TargetMode="External" /><Relationship Type="http://schemas.openxmlformats.org/officeDocument/2006/relationships/hyperlink" Id="rId250" Target="https://doi.org/10.3389/fpsyg.2013.00863" TargetMode="External" /><Relationship Type="http://schemas.openxmlformats.org/officeDocument/2006/relationships/hyperlink" Id="rId295" Target="https://doi.org/10.3390/app14198884" TargetMode="External" /><Relationship Type="http://schemas.openxmlformats.org/officeDocument/2006/relationships/hyperlink" Id="rId256" Target="https://doi.org/10.3390/e23010018" TargetMode="External" /><Relationship Type="http://schemas.openxmlformats.org/officeDocument/2006/relationships/hyperlink" Id="rId217" Target="https://doi.org/10.3390/electronics8080832" TargetMode="External" /><Relationship Type="http://schemas.openxmlformats.org/officeDocument/2006/relationships/hyperlink" Id="rId199" Target="https://doi.org/10.3390/technologies13030093" TargetMode="External" /><Relationship Type="http://schemas.openxmlformats.org/officeDocument/2006/relationships/hyperlink" Id="rId221" Target="https://doi.org/10.48550/arxiv.1702.08608" TargetMode="External" /><Relationship Type="http://schemas.openxmlformats.org/officeDocument/2006/relationships/hyperlink" Id="rId260" Target="https://doi.org/10.48550/arxiv.1705.07874" TargetMode="External" /><Relationship Type="http://schemas.openxmlformats.org/officeDocument/2006/relationships/hyperlink" Id="rId319" Target="https://trustai4s-lab.github.io/ffidelity" TargetMode="External" /><Relationship Type="http://schemas.openxmlformats.org/officeDocument/2006/relationships/hyperlink" Id="rId219" Target="https://www.jmlr.org/papers/v7/demsar06a.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para la Evaluación Multinivel de la Explicabilidad en IA</dc:title>
  <dc:creator>J. Herrera</dc:creator>
  <cp:keywords/>
  <dcterms:created xsi:type="dcterms:W3CDTF">2026-08-23T19:14:58Z</dcterms:created>
  <dcterms:modified xsi:type="dcterms:W3CDTF">2026-08-23T19:14:58Z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Table of contents</vt:lpwstr>
  </property>
</Properties>
</file>