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rPr>
          <w:i/>
          <w:iCs/>
        </w:rPr>
        <w:t xml:space="preserve">Author information omitted for double-blind review.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We ask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we compare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Nos preguntamos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comparamos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the quality of an</w:t>
      </w:r>
      <w:r>
        <w:t xml:space="preserve"> </w:t>
      </w:r>
      <w:r>
        <w:t xml:space="preserve">explanation differs between the correct and the wrong predictions of a given model is a</w:t>
      </w:r>
      <w:r>
        <w:t xml:space="preserve"> </w:t>
      </w:r>
      <w:r>
        <w:t xml:space="preserve">related but separate question.</w:t>
      </w:r>
    </w:p>
    <w:p>
      <w:pPr>
        <w:pStyle w:val="BodyText"/>
      </w:pPr>
      <w:r>
        <w:t xml:space="preserve">We test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1"/>
    <w:bookmarkStart w:id="15" w:name="materials-and-methods"/>
    <w:p>
      <w:pPr>
        <w:pStyle w:val="Heading1"/>
      </w:pPr>
      <w:r>
        <w:t xml:space="preserve">Materials and methods</w:t>
      </w:r>
    </w:p>
    <w:bookmarkStart w:id="12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2"/>
    <w:bookmarkStart w:id="13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3"/>
    <w:bookmarkStart w:id="14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we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4"/>
    <w:bookmarkEnd w:id="15"/>
    <w:bookmarkStart w:id="35" w:name="results"/>
    <w:p>
      <w:pPr>
        <w:pStyle w:val="Heading1"/>
      </w:pPr>
      <w:r>
        <w:t xml:space="preserve">Results</w:t>
      </w:r>
    </w:p>
    <w:bookmarkStart w:id="21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6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6"/>
    <w:bookmarkStart w:id="20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fig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0"/>
    <w:bookmarkEnd w:id="21"/>
    <w:bookmarkStart w:id="27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5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5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6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6"/>
    <w:bookmarkEnd w:id="27"/>
    <w:bookmarkStart w:id="33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8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8"/>
    <w:bookmarkStart w:id="32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2"/>
    <w:bookmarkEnd w:id="33"/>
    <w:bookmarkStart w:id="34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we know of no reason for the reversal.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 A</w:t>
      </w:r>
      <w:r>
        <w:t xml:space="preserve"> </w:t>
      </w:r>
      <w:r>
        <w:t xml:space="preserve">small margin is a simple proxy for predictive uncertainty; uncertainty-aware explanations</w:t>
      </w:r>
      <w:r>
        <w:t xml:space="preserve"> </w:t>
      </w:r>
      <w:r>
        <w:t xml:space="preserve">[14], [15]</w:t>
      </w:r>
      <w:r>
        <w:t xml:space="preserve"> </w:t>
      </w:r>
      <w:r>
        <w:t xml:space="preserve">would be a natural way to flag the</w:t>
      </w:r>
      <w:r>
        <w:t xml:space="preserve"> </w:t>
      </w:r>
      <w:r>
        <w:t xml:space="preserve">explanations this study finds least reliable.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7"/>
    <w:bookmarkStart w:id="3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are in a public repository and a versioned</w:t>
      </w:r>
      <w:r>
        <w:t xml:space="preserve"> </w:t>
      </w:r>
      <w:r>
        <w:t xml:space="preserve">archive whose addresses are withheld for double-blind review.</w:t>
      </w:r>
    </w:p>
    <w:bookmarkEnd w:id="38"/>
    <w:bookmarkStart w:id="7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research questions, analysis plan, experimental design and interpretation are the</w:t>
      </w:r>
      <w:r>
        <w:t xml:space="preserve"> </w:t>
      </w:r>
      <w:r>
        <w:t xml:space="preserve">author’s. An AI assistant (Claude, Anthropic) was used under the author’s direction to</w:t>
      </w:r>
      <w:r>
        <w:t xml:space="preserve"> </w:t>
      </w:r>
      <w:r>
        <w:t xml:space="preserve">help write analysis code and to edit the text; the author checked every result and</w:t>
      </w:r>
      <w:r>
        <w:t xml:space="preserve"> </w:t>
      </w:r>
      <w:r>
        <w:t xml:space="preserve">statement and is responsible for the content.</w:t>
      </w:r>
    </w:p>
    <w:bookmarkStart w:id="75" w:name="refs"/>
    <w:bookmarkStart w:id="39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39"/>
    <w:bookmarkStart w:id="41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0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1"/>
    <w:bookmarkStart w:id="43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2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3"/>
    <w:bookmarkStart w:id="45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4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5"/>
    <w:bookmarkStart w:id="46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6"/>
    <w:bookmarkStart w:id="47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7"/>
    <w:bookmarkStart w:id="48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48"/>
    <w:bookmarkStart w:id="50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49">
        <w:r>
          <w:rPr>
            <w:rStyle w:val="Hyperlink"/>
          </w:rPr>
          <w:t xml:space="preserve">https://arxiv.org/abs/1806.08049</w:t>
        </w:r>
      </w:hyperlink>
    </w:p>
    <w:bookmarkEnd w:id="50"/>
    <w:bookmarkStart w:id="51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1"/>
    <w:bookmarkStart w:id="52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2"/>
    <w:bookmarkStart w:id="53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3"/>
    <w:bookmarkStart w:id="54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4"/>
    <w:bookmarkStart w:id="55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5"/>
    <w:bookmarkStart w:id="56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6"/>
    <w:bookmarkStart w:id="58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57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58"/>
    <w:bookmarkStart w:id="60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59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0"/>
    <w:bookmarkStart w:id="62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1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2"/>
    <w:bookmarkStart w:id="63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3"/>
    <w:bookmarkStart w:id="64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4"/>
    <w:bookmarkStart w:id="65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5"/>
    <w:bookmarkStart w:id="66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6"/>
    <w:bookmarkStart w:id="67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7"/>
    <w:bookmarkStart w:id="68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8"/>
    <w:bookmarkStart w:id="69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69"/>
    <w:bookmarkStart w:id="71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0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1"/>
    <w:bookmarkStart w:id="73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2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3"/>
    <w:bookmarkStart w:id="74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4"/>
    <w:bookmarkEnd w:id="75"/>
    <w:bookmarkEnd w:id="76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49" Target="https://arxiv.org/abs/1806.08049" TargetMode="External" /><Relationship Type="http://schemas.openxmlformats.org/officeDocument/2006/relationships/hyperlink" Id="rId57" Target="https://doi.org/10.1007/978-3-032-08333-3_18" TargetMode="External" /><Relationship Type="http://schemas.openxmlformats.org/officeDocument/2006/relationships/hyperlink" Id="rId59" Target="https://doi.org/10.1016/j.eswa.2026.131198" TargetMode="External" /><Relationship Type="http://schemas.openxmlformats.org/officeDocument/2006/relationships/hyperlink" Id="rId61" Target="https://doi.org/10.1016/j.knosys.2026.115437" TargetMode="External" /><Relationship Type="http://schemas.openxmlformats.org/officeDocument/2006/relationships/hyperlink" Id="rId70" Target="https://doi.org/10.1080/01621459.1952.10483441" TargetMode="External" /><Relationship Type="http://schemas.openxmlformats.org/officeDocument/2006/relationships/hyperlink" Id="rId40" Target="https://doi.org/10.1145/2939672.2939778" TargetMode="External" /><Relationship Type="http://schemas.openxmlformats.org/officeDocument/2006/relationships/hyperlink" Id="rId44" Target="https://doi.org/10.1145/3351095.3372850" TargetMode="External" /><Relationship Type="http://schemas.openxmlformats.org/officeDocument/2006/relationships/hyperlink" Id="rId42" Target="https://doi.org/10.1609/aaai.v32i1.11491" TargetMode="External" /><Relationship Type="http://schemas.openxmlformats.org/officeDocument/2006/relationships/hyperlink" Id="rId72" Target="https://doi.org/10.3368/jhr.50.2.3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arxiv.org/abs/1806.08049" TargetMode="External" /><Relationship Type="http://schemas.openxmlformats.org/officeDocument/2006/relationships/hyperlink" Id="rId57" Target="https://doi.org/10.1007/978-3-032-08333-3_18" TargetMode="External" /><Relationship Type="http://schemas.openxmlformats.org/officeDocument/2006/relationships/hyperlink" Id="rId59" Target="https://doi.org/10.1016/j.eswa.2026.131198" TargetMode="External" /><Relationship Type="http://schemas.openxmlformats.org/officeDocument/2006/relationships/hyperlink" Id="rId61" Target="https://doi.org/10.1016/j.knosys.2026.115437" TargetMode="External" /><Relationship Type="http://schemas.openxmlformats.org/officeDocument/2006/relationships/hyperlink" Id="rId70" Target="https://doi.org/10.1080/01621459.1952.10483441" TargetMode="External" /><Relationship Type="http://schemas.openxmlformats.org/officeDocument/2006/relationships/hyperlink" Id="rId40" Target="https://doi.org/10.1145/2939672.2939778" TargetMode="External" /><Relationship Type="http://schemas.openxmlformats.org/officeDocument/2006/relationships/hyperlink" Id="rId44" Target="https://doi.org/10.1145/3351095.3372850" TargetMode="External" /><Relationship Type="http://schemas.openxmlformats.org/officeDocument/2006/relationships/hyperlink" Id="rId42" Target="https://doi.org/10.1609/aaai.v32i1.11491" TargetMode="External" /><Relationship Type="http://schemas.openxmlformats.org/officeDocument/2006/relationships/hyperlink" Id="rId72" Target="https://doi.org/10.3368/jhr.50.2.3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2026-10-03T16:22:44Z</dcterms:created>
  <dcterms:modified xsi:type="dcterms:W3CDTF">2026-10-03T16:22:44Z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