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29.png" ContentType="image/png"/>
  <Override PartName="/word/media/rId125.png" ContentType="image/png"/>
  <Override PartName="/word/media/rId12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w:t>
      </w:r>
      <w:r>
        <w:t xml:space="preserve">y Anchors</w:t>
      </w:r>
      <w:r>
        <w:t xml:space="preserve"> </w:t>
      </w:r>
      <w:r>
        <w:t xml:space="preserve">(Ribeiro 2018)</w:t>
      </w:r>
      <w:r>
        <w:t xml:space="preserve">— han</w:t>
      </w:r>
      <w:r>
        <w:t xml:space="preserve"> </w:t>
      </w:r>
      <w:r>
        <w:t xml:space="preserve">ganado protagonismo al intentar proporcionar explicaciones</w:t>
      </w:r>
      <w:r>
        <w:t xml:space="preserve"> </w:t>
      </w:r>
      <w:r>
        <w:rPr>
          <w:i/>
          <w:iCs/>
        </w:rPr>
        <w:t xml:space="preserve">post-hoc</w:t>
      </w:r>
      <w:r>
        <w:t xml:space="preserve"> </w:t>
      </w:r>
      <w:r>
        <w:t xml:space="preserve">sin</w:t>
      </w:r>
      <w:r>
        <w:t xml:space="preserve"> </w:t>
      </w:r>
      <w:r>
        <w:t xml:space="preserve">necesidad de alterar los componentes internos del modelo, facilitando así la</w:t>
      </w:r>
      <w:r>
        <w:t xml:space="preserve"> </w:t>
      </w:r>
      <w:r>
        <w:t xml:space="preserve">detección de sesgos y la validación de resultados en aplicaciones críticas.</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 puntaciones</w:t>
      </w:r>
      <w:r>
        <w:t xml:space="preserve"> </w:t>
      </w:r>
      <w:r>
        <w:t xml:space="preserve">de fiabilidad resultantes</w:t>
      </w:r>
      <w:r>
        <w:t xml:space="preserve"> </w:t>
      </w:r>
      <w:r>
        <w:t xml:space="preserve">(Zheng et al. 2025)</w:t>
      </w:r>
      <w:r>
        <w:t xml:space="preserve">. Si bien han surgido ecosistemas de</w:t>
      </w:r>
      <w:r>
        <w:t xml:space="preserve"> </w:t>
      </w:r>
      <w:r>
        <w:t xml:space="preserve">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 significativa en la</w:t>
      </w:r>
      <w:r>
        <w:t xml:space="preserve"> </w:t>
      </w:r>
      <w:r>
        <w:t xml:space="preserve">evaluación de la coherencia multidimensional, que debe abarcar tanto la precisión</w:t>
      </w:r>
      <w:r>
        <w:t xml:space="preserve"> </w:t>
      </w:r>
      <w:r>
        <w:t xml:space="preserve">técnica como la utilidad percibida por el usuario</w:t>
      </w:r>
      <w:r>
        <w:t xml:space="preserve"> </w:t>
      </w:r>
      <w:r>
        <w:t xml:space="preserve">(Bhattacharya and Verbert 2024)</w:t>
      </w:r>
      <w:r>
        <w:t xml:space="preserve">.</w:t>
      </w:r>
    </w:p>
    <w:p>
      <w:pPr>
        <w:pStyle w:val="Textoindependiente"/>
        <w:spacing w:line="360" w:lineRule="auto"/>
        <w:jc w:val="both"/>
      </w:pPr>
      <w:r>
        <w:t xml:space="preserve">Bajo esta premisa, la presente investigación busca cerrar esta brecha mediante</w:t>
      </w:r>
      <w:r>
        <w:t xml:space="preserve"> </w:t>
      </w:r>
      <w:r>
        <w:t xml:space="preserve">el desarrollo y la comparación de métodos de explicación agnósticos que sean</w:t>
      </w:r>
      <w:r>
        <w:t xml:space="preserve"> </w:t>
      </w:r>
      <w:r>
        <w:t xml:space="preserve">simultáneamente fiables, interpretables y computacionalmente eficientes. El</w:t>
      </w:r>
      <w:r>
        <w:t xml:space="preserve"> </w:t>
      </w:r>
      <w:r>
        <w:t xml:space="preserve">estudio se propone introducir un marco de evaluación multinivel que trascienda</w:t>
      </w:r>
      <w:r>
        <w:t xml:space="preserve"> </w:t>
      </w:r>
      <w:r>
        <w:t xml:space="preserve">las métricas tradicionales, integrando dimensiones de alineación causal y</w:t>
      </w:r>
      <w:r>
        <w:t xml:space="preserve"> </w:t>
      </w:r>
      <w:r>
        <w:t xml:space="preserve">medidas de robustez para proporcionar una comprensión más holística de la</w:t>
      </w:r>
      <w:r>
        <w:t xml:space="preserve"> </w:t>
      </w:r>
      <w:r>
        <w:t xml:space="preserve">calidad de la explicabilidad. Esta propuesta es de alta relevancia tanto para la</w:t>
      </w:r>
      <w:r>
        <w:t xml:space="preserve"> </w:t>
      </w:r>
      <w:r>
        <w:t xml:space="preserve">academia como para la industria, pues se alinea con las crecientes exigencias</w:t>
      </w:r>
      <w:r>
        <w:t xml:space="preserve"> </w:t>
      </w:r>
      <w:r>
        <w:t xml:space="preserve">regulatorias y éticas que demandan una gobernanza de la IA más transparente y</w:t>
      </w:r>
      <w:r>
        <w:t xml:space="preserve"> </w:t>
      </w:r>
      <w:r>
        <w:t xml:space="preserve">auditable. El objetivo final es contribuir al campo de la IA explicable (XAI)</w:t>
      </w:r>
      <w:r>
        <w:t xml:space="preserve"> </w:t>
      </w:r>
      <w:r>
        <w:t xml:space="preserve">mediante un enfoque escalable y adaptativo, asegurando que los modelos de IA no</w:t>
      </w:r>
      <w:r>
        <w:t xml:space="preserve"> </w:t>
      </w:r>
      <w:r>
        <w:t xml:space="preserve">solo alcancen niveles de precisión sobresalientes, sino que sean también</w:t>
      </w:r>
      <w:r>
        <w:t xml:space="preserve"> </w:t>
      </w:r>
      <w:r>
        <w:t xml:space="preserve">profundamente confiables y plenamente comprendidos por sus usuarios.</w:t>
      </w:r>
    </w:p>
    <w:p>
      <w:pPr>
        <w:pStyle w:val="Textoindependiente"/>
        <w:spacing w:line="360" w:lineRule="auto"/>
        <w:jc w:val="both"/>
      </w:pPr>
      <w:r>
        <w:t xml:space="preserve">Para alcanzar estos objetivos, el documento se estructura de manera lógica a</w:t>
      </w:r>
      <w:r>
        <w:t xml:space="preserve"> </w:t>
      </w:r>
      <w:r>
        <w:t xml:space="preserve">través de cinco capítulos fundamentales. Tras esta introducción, el</w:t>
      </w:r>
      <w:r>
        <w:t xml:space="preserve"> </w:t>
      </w:r>
      <w:r>
        <w:rPr>
          <w:b/>
          <w:bCs/>
        </w:rPr>
        <w:t xml:space="preserve">Capítulo</w:t>
      </w:r>
      <w:r>
        <w:rPr>
          <w:b/>
          <w:bCs/>
        </w:rPr>
        <w:t xml:space="preserve"> </w:t>
      </w:r>
      <w:r>
        <w:rPr>
          <w:b/>
          <w:bCs/>
        </w:rPr>
        <w:t xml:space="preserve">1</w:t>
      </w:r>
      <w:r>
        <w:t xml:space="preserve"> </w:t>
      </w:r>
      <w:r>
        <w:t xml:space="preserve">establece el marco metodológico y las hipótesis de trabajo. El</w:t>
      </w:r>
      <w:r>
        <w:t xml:space="preserve"> </w:t>
      </w:r>
      <w:r>
        <w:rPr>
          <w:b/>
          <w:bCs/>
        </w:rPr>
        <w:t xml:space="preserve">Capítulo 2</w:t>
      </w:r>
      <w:r>
        <w:t xml:space="preserve"> </w:t>
      </w:r>
      <w:r>
        <w:t xml:space="preserve">detalla los fundamentos conceptuales y el estado del arte de las técnicas</w:t>
      </w:r>
      <w:r>
        <w:t xml:space="preserve"> </w:t>
      </w:r>
      <w:r>
        <w:t xml:space="preserve">agnósticas. El</w:t>
      </w:r>
      <w:r>
        <w:t xml:space="preserve"> </w:t>
      </w:r>
      <w:r>
        <w:rPr>
          <w:b/>
          <w:bCs/>
        </w:rPr>
        <w:t xml:space="preserve">Capítulo 3</w:t>
      </w:r>
      <w:r>
        <w:t xml:space="preserve"> </w:t>
      </w:r>
      <w:r>
        <w:t xml:space="preserve">detalla el diseño experimental de las fases de</w:t>
      </w:r>
      <w:r>
        <w:t xml:space="preserve"> </w:t>
      </w:r>
      <w:r>
        <w:t xml:space="preserve">benchmarking y validación. El</w:t>
      </w:r>
      <w:r>
        <w:t xml:space="preserve"> </w:t>
      </w:r>
      <w:r>
        <w:rPr>
          <w:b/>
          <w:bCs/>
        </w:rPr>
        <w:t xml:space="preserve">Capítulo 4</w:t>
      </w:r>
      <w:r>
        <w:t xml:space="preserve"> </w:t>
      </w:r>
      <w:r>
        <w:t xml:space="preserve">expone y discute los resultados</w:t>
      </w:r>
      <w:r>
        <w:t xml:space="preserve"> </w:t>
      </w:r>
      <w:r>
        <w:t xml:space="preserve">obtenidos, mientras que el</w:t>
      </w:r>
      <w:r>
        <w:t xml:space="preserve"> </w:t>
      </w:r>
      <w:r>
        <w:rPr>
          <w:b/>
          <w:bCs/>
        </w:rPr>
        <w:t xml:space="preserve">Capítulo 5</w:t>
      </w:r>
      <w:r>
        <w:t xml:space="preserve"> </w:t>
      </w:r>
      <w:r>
        <w:t xml:space="preserve">sintetiza las conclusiones generales,</w:t>
      </w:r>
      <w:r>
        <w:t xml:space="preserve"> </w:t>
      </w:r>
      <w:r>
        <w:t xml:space="preserve">las contribuciones al área y las futuras líneas de investigación que se derivan</w:t>
      </w:r>
      <w:r>
        <w:t xml:space="preserve"> </w:t>
      </w:r>
      <w:r>
        <w:t xml:space="preserve">de este estudio.</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el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6"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(Lundberg 2017)</w:t>
      </w:r>
      <w:r>
        <w:t xml:space="preserve">.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2"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integracion</w:t>
      </w:r>
      <w:r>
        <w:t xml:space="preserve"> </w:t>
      </w:r>
      <w:r>
        <w:t xml:space="preserve">operativa. Su pregunta no es solamente</w:t>
      </w:r>
      <w:r>
        <w:t xml:space="preserve"> </w:t>
      </w:r>
      <w:r>
        <w:t xml:space="preserve">“qué métrica ejecutar”</w:t>
      </w:r>
      <w:r>
        <w:t xml:space="preserve">, sino como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End w:id="52"/>
    <w:bookmarkStart w:id="53"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3"/>
    <w:bookmarkStart w:id="54"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4"/>
    <w:bookmarkStart w:id="55"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El resultado de esta revisión es, por tanto, una tesis de transición: la</w:t>
      </w:r>
      <w:r>
        <w:t xml:space="preserve"> </w:t>
      </w:r>
      <w:r>
        <w:t xml:space="preserve">literatura no necesita solamente más explicadores ni solamente más métricas,</w:t>
      </w:r>
      <w:r>
        <w:t xml:space="preserve"> </w:t>
      </w:r>
      <w:r>
        <w:t xml:space="preserve">sino formas más rigurosas de enlazar explicadores, métricas y afirmaciones. La</w:t>
      </w:r>
      <w:r>
        <w:t xml:space="preserve"> </w:t>
      </w:r>
      <w:r>
        <w:t xml:space="preserve">pregunta doctoral deja de ser</w:t>
      </w:r>
      <w:r>
        <w:t xml:space="preserve"> </w:t>
      </w:r>
      <w:r>
        <w:t xml:space="preserve">“qué explicación parece mejor”</w:t>
      </w:r>
      <w:r>
        <w:t xml:space="preserve"> </w:t>
      </w:r>
      <w:r>
        <w:t xml:space="preserve">y se convierte en</w:t>
      </w:r>
      <w:r>
        <w:t xml:space="preserve"> </w:t>
      </w:r>
      <w:r>
        <w:t xml:space="preserve">“bajo qué condiciones, con qué evidencia, respecto a qué constructo y con qué</w:t>
      </w:r>
      <w:r>
        <w:t xml:space="preserve"> </w:t>
      </w:r>
      <w:r>
        <w:t xml:space="preserve">límites puede sostenerse una afirmación sobre un explicador”</w:t>
      </w:r>
      <w:r>
        <w:t xml:space="preserve">. FOM-7 nace de esa</w:t>
      </w:r>
      <w:r>
        <w:t xml:space="preserve"> </w:t>
      </w:r>
      <w:r>
        <w:t xml:space="preserve">pregunta y prepara el terreno para el diseño experimental del siguiente</w:t>
      </w:r>
      <w:r>
        <w:t xml:space="preserve"> </w:t>
      </w:r>
      <w:r>
        <w:t xml:space="preserve">capítulo.</w:t>
      </w:r>
    </w:p>
    <w:bookmarkEnd w:id="55"/>
    <w:bookmarkEnd w:id="56"/>
    <w:bookmarkStart w:id="96"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0"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58"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57"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57"/>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58"/>
    <w:bookmarkStart w:id="59"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59"/>
    <w:bookmarkEnd w:id="60"/>
    <w:bookmarkStart w:id="64" w:name="Xb179eb5e9b7cbdb0e78e991d72b8aeee41d8932"/>
    <w:p>
      <w:pPr>
        <w:pStyle w:val="Ttulo2"/>
        <w:spacing w:line="360" w:lineRule="auto"/>
        <w:jc w:val="both"/>
      </w:pPr>
      <w:r>
        <w:t xml:space="preserve">Conjunto de datos y protocolo de preprocesamiento</w:t>
      </w:r>
    </w:p>
    <w:bookmarkStart w:id="61"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1"/>
    <w:bookmarkStart w:id="62"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2"/>
    <w:bookmarkStart w:id="63"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3"/>
    <w:bookmarkEnd w:id="64"/>
    <w:bookmarkStart w:id="66"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5"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5"/>
    <w:bookmarkEnd w:id="66"/>
    <w:bookmarkStart w:id="69" w:name="Xa1b63f5b80ef9314faeb5aae6b8d7e743e4217a"/>
    <w:p>
      <w:pPr>
        <w:pStyle w:val="Ttulo2"/>
        <w:spacing w:line="360" w:lineRule="auto"/>
        <w:jc w:val="both"/>
      </w:pPr>
      <w:r>
        <w:t xml:space="preserve">Protocolo de muestreo de instancias y configuración de explicadores</w:t>
      </w:r>
    </w:p>
    <w:bookmarkStart w:id="67"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67"/>
    <w:bookmarkStart w:id="68"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68"/>
    <w:bookmarkEnd w:id="69"/>
    <w:bookmarkStart w:id="77"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0"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0"/>
    <w:bookmarkStart w:id="71"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1"/>
    <w:bookmarkStart w:id="72"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2"/>
    <w:bookmarkStart w:id="73"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3"/>
    <w:bookmarkStart w:id="74"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4"/>
    <w:bookmarkStart w:id="76"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5"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5"/>
          <w:p>
            <w:pPr>
              <w:spacing w:line="360" w:lineRule="auto"/>
              <w:jc w:val="both"/>
            </w:pPr>
          </w:p>
        </w:tc>
      </w:tr>
    </w:tbl>
    <w:bookmarkEnd w:id="76"/>
    <w:bookmarkEnd w:id="77"/>
    <w:bookmarkStart w:id="79"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78"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78"/>
          <w:p>
            <w:pPr>
              <w:spacing w:line="360" w:lineRule="auto"/>
              <w:jc w:val="both"/>
            </w:pPr>
          </w:p>
        </w:tc>
      </w:tr>
    </w:tbl>
    <w:bookmarkEnd w:id="79"/>
    <w:bookmarkStart w:id="84" w:name="X70736bc07e73377e919d2c60f119994d057bf14"/>
    <w:p>
      <w:pPr>
        <w:pStyle w:val="Ttulo2"/>
        <w:spacing w:line="360" w:lineRule="auto"/>
        <w:jc w:val="both"/>
      </w:pPr>
      <w:r>
        <w:t xml:space="preserve">Cobertura de artefactos y análisis del impacto de datos faltantes</w:t>
      </w:r>
    </w:p>
    <w:bookmarkStart w:id="82"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0"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0"/>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1"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1"/>
          <w:p>
            <w:pPr>
              <w:spacing w:line="360" w:lineRule="auto"/>
              <w:jc w:val="both"/>
            </w:pPr>
          </w:p>
        </w:tc>
      </w:tr>
    </w:tbl>
    <w:bookmarkEnd w:id="82"/>
    <w:bookmarkStart w:id="83"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Incluso asumiendo una reducción del poder del 50% —hipótesis conservadora que</w:t>
      </w:r>
      <w:r>
        <w:t xml:space="preserve"> </w:t>
      </w:r>
      <w:r>
        <w:t xml:space="preserve">supera la inflación de varianza calculada— el estadístico de Coste sería</w:t>
      </w:r>
      <w:r>
        <w:t xml:space="preserve"> </w:t>
      </w:r>
      <ns1:oMath>
        <ns1:sSup>
          <ns1:e>
            <ns1:r>
              <ns1:t>χ</ns1:t>
            </ns1:r>
          </ns1:e>
          <ns1:sup>
            <ns1:r>
              <ns1:t>2</ns1:t>
            </ns1:r>
          </ns1:sup>
        </ns1:sSup>
        <ns1:r>
          <ns1:rPr>
            <ns1:sty ns1:val="p"/>
          </ns1:rPr>
          <ns1:t>≈</ns1:t>
        </ns1:r>
        <ns1:r>
          <ns1:t>15.2</ns1:t>
        </ns1:r>
      </ns1:oMath>
      <w:r>
        <w:t xml:space="preserve"> </w:t>
      </w:r>
      <w:r>
        <w:t xml:space="preserve">(</w:t>
      </w:r>
      <ns1:oMath>
        <ns1:r>
          <ns1:t>p</ns1:t>
        </ns1:r>
        <ns1:r>
          <ns1:rPr>
            <ns1:sty ns1:val="p"/>
          </ns1:rPr>
          <ns1:t>≈</ns1:t>
        </ns1:r>
        <ns1:r>
          <ns1:t>0.0016</ns1:t>
        </ns1:r>
      </ns1:oMath>
      <w:r>
        <w:t xml:space="preserve">), significativo al nivel</w:t>
      </w:r>
      <w:r>
        <w:t xml:space="preserve"> </w:t>
      </w:r>
      <ns1:oMath>
        <ns1:r>
          <ns1:t>α</ns1:t>
        </ns1:r>
        <ns1:r>
          <ns1:rPr>
            <ns1:sty ns1:val="p"/>
          </ns1:rPr>
          <ns1:t>=</ns1:t>
        </ns1:r>
        <ns1:r>
          <ns1:t>0.05</ns1:t>
        </ns1:r>
      </ns1:oMath>
      <w:r>
        <w:t xml:space="preserv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3"/>
    <w:bookmarkEnd w:id="84"/>
    <w:bookmarkStart w:id="92" w:name="plan-de-inferencia-estadística"/>
    <w:p>
      <w:pPr>
        <w:pStyle w:val="Ttulo2"/>
        <w:spacing w:line="360" w:lineRule="auto"/>
        <w:jc w:val="both"/>
      </w:pPr>
      <w:r>
        <w:t xml:space="preserve">Plan de inferencia estadística</w:t>
      </w:r>
    </w:p>
    <w:bookmarkStart w:id="85"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5"/>
    <w:bookmarkStart w:id="86"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6"/>
    <w:bookmarkStart w:id="87"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87"/>
    <w:bookmarkStart w:id="89"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88"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88"/>
          <w:p>
            <w:pPr>
              <w:spacing w:line="360" w:lineRule="auto"/>
              <w:jc w:val="both"/>
            </w:pPr>
          </w:p>
        </w:tc>
      </w:tr>
    </w:tbl>
    <w:bookmarkEnd w:id="89"/>
    <w:bookmarkStart w:id="91"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0"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0"/>
          <w:p>
            <w:pPr>
              <w:spacing w:line="360" w:lineRule="auto"/>
              <w:jc w:val="both"/>
            </w:pPr>
          </w:p>
        </w:tc>
      </w:tr>
    </w:tbl>
    <w:bookmarkEnd w:id="91"/>
    <w:bookmarkEnd w:id="92"/>
    <w:bookmarkStart w:id="94"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3"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3"/>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4"/>
    <w:bookmarkStart w:id="95"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10.5281/zenodo.19297724</w:t>
      </w:r>
      <w:r>
        <w:t xml:space="preserve"> </w:t>
      </w:r>
      <w:r>
        <w:t xml:space="preserve">(instantánea de referencia de abril de 2026).</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A.</w:t>
      </w:r>
    </w:p>
    <w:bookmarkEnd w:id="95"/>
    <w:bookmarkEnd w:id="96"/>
    <w:bookmarkStart w:id="138"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98"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1"/>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1"/>
        </w:numPr>
        <w:spacing w:line="360" w:lineRule="auto"/>
        <w:jc w:val="both"/>
      </w:pPr>
      <w:r>
        <w:rPr>
          <w:b/>
          <w:bCs/>
        </w:rPr>
        <w:t xml:space="preserve">LIME</w:t>
      </w:r>
      <w:r>
        <w:t xml:space="preserve">: 75 de 75 celdas (100%). Cobertura completa.</w:t>
      </w:r>
    </w:p>
    <w:p>
      <w:pPr>
        <w:numPr>
          <w:ilvl w:val="0"/>
          <w:numId w:val="1011"/>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1"/>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97"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97"/>
          <w:p>
            <w:pPr>
              <w:spacing w:line="360" w:lineRule="auto"/>
              <w:jc w:val="both"/>
            </w:pPr>
          </w:p>
        </w:tc>
      </w:tr>
    </w:tbl>
    <w:bookmarkEnd w:id="98"/>
    <w:bookmarkStart w:id="104" w:name="sec-estudio-a"/>
    <w:p>
      <w:pPr>
        <w:pStyle w:val="Ttulo2"/>
        <w:spacing w:line="360" w:lineRule="auto"/>
        <w:jc w:val="both"/>
      </w:pPr>
      <w:r>
        <w:t xml:space="preserve">Estudio A: Análisis omnibus multimétrico (H1 y H2)</w:t>
      </w:r>
    </w:p>
    <w:bookmarkStart w:id="101"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99"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99"/>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0"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0"/>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1"/>
    <w:bookmarkStart w:id="103"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2"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2"/>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2"/>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2"/>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2"/>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2"/>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2"/>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2"/>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3"/>
    <w:bookmarkEnd w:id="104"/>
    <w:bookmarkStart w:id="108"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06"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05"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05"/>
          <w:p>
            <w:pPr>
              <w:spacing w:line="360" w:lineRule="auto"/>
              <w:jc w:val="both"/>
            </w:pPr>
          </w:p>
        </w:tc>
      </w:tr>
    </w:tbl>
    <w:p>
      <w:pPr>
        <w:pStyle w:val="Textoindependiente"/>
        <w:spacing w:line="360" w:lineRule="auto"/>
        <w:jc w:val="both"/>
      </w:pPr>
      <w:r>
        <w:t xml:space="preserve">Los resultados respaldan</w:t>
      </w:r>
      <w:r>
        <w:t xml:space="preserve"> </w:t>
      </w:r>
      <ns1:oMath>
        <ns1:sSub>
          <ns1:e>
            <ns1:r>
              <ns1:t>H</ns1:t>
            </ns1:r>
          </ns1:e>
          <ns1:sub>
            <ns1:r>
              <ns1:t>1</ns1:t>
            </ns1:r>
            <ns1:r>
              <ns1:rPr>
                <ns1:sty ns1:val="p"/>
              </ns1:rPr>
              <ns1:t>,</ns1:t>
            </ns1:r>
            <ns1:r>
              <ns1:t>3</ns1:t>
            </ns1:r>
          </ns1:sub>
        </ns1:sSub>
      </ns1:oMath>
      <w:r>
        <w:t xml:space="preserve"> </w:t>
      </w:r>
      <w:r>
        <w:t xml:space="preserve">de forma consistente bajo 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06"/>
    <w:bookmarkStart w:id="107"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07"/>
    <w:bookmarkEnd w:id="108"/>
    <w:bookmarkStart w:id="110"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09"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09"/>
          <w:p>
            <w:pPr>
              <w:spacing w:line="360" w:lineRule="auto"/>
              <w:jc w:val="both"/>
            </w:pPr>
          </w:p>
        </w:tc>
      </w:tr>
    </w:tbl>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spacing w:line="360" w:lineRule="auto"/>
        <w:jc w:val="both"/>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0"/>
    <w:bookmarkStart w:id="115"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1"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los 71 bloques calificados son: fidelidad = 0.810,</w:t>
      </w:r>
      <w:r>
        <w:t xml:space="preserve"> </w:t>
      </w:r>
      <w:r>
        <w:t xml:space="preserve">estabilidad = 0.724, parsimonia = 0.234, brecha de fidelidad = 0.431, coste</w:t>
      </w:r>
      <w:r>
        <w:t xml:space="preserve"> </w:t>
      </w:r>
      <w:r>
        <w:t xml:space="preserve">= 24,804 ms. La parsimonia más alta de todos los métodos (0.234 frente a 0.085</w:t>
      </w:r>
      <w:r>
        <w:t xml:space="preserve"> </w:t>
      </w:r>
      <w:r>
        <w:t xml:space="preserve">de LIME) refleja que SHAP puede distribuir importancias entre un mayor número</w:t>
      </w:r>
      <w:r>
        <w:t xml:space="preserve"> </w:t>
      </w:r>
      <w:r>
        <w:t xml:space="preserve">de características cuando el modelo así lo requiere, lo que es un reflejo</w:t>
      </w:r>
      <w:r>
        <w:t xml:space="preserve"> </w:t>
      </w:r>
      <w:r>
        <w:t xml:space="preserve">adecuado de la complejidad real del modelo.</w:t>
      </w:r>
    </w:p>
    <w:p>
      <w:pPr>
        <w:pStyle w:val="Textoindependiente"/>
        <w:spacing w:line="360" w:lineRule="auto"/>
        <w:jc w:val="both"/>
      </w:pPr>
      <w:r>
        <w:t xml:space="preserve">El coste es la dimensión adversa de SHAP. El promedio de 24,804 ms esconde una</w:t>
      </w:r>
      <w:r>
        <w:t xml:space="preserve"> </w:t>
      </w:r>
      <w:r>
        <w:t xml:space="preserve">heterogeneidad de dos órdenes de magnitud: para XGBoost, TreeSHAP opera en</w:t>
      </w:r>
      <w:r>
        <w:t xml:space="preserve"> </w:t>
      </w:r>
      <w:r>
        <w:t xml:space="preserve">~1 ms/instancia, mientras que KernelSHAP sobre SVM requiere ~159,059 ms/instancia.</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(0.928),</w:t>
      </w:r>
      <w:r>
        <w:t xml:space="preserve"> </w:t>
      </w:r>
      <w:r>
        <w:t xml:space="preserve">donde la linealidad o la estructura de margen del modelo facilita la aproximación</w:t>
      </w:r>
      <w:r>
        <w:t xml:space="preserve"> </w:t>
      </w:r>
      <w:r>
        <w:t xml:space="preserve">local por valores de Shapley. La fidelidad más baja se registra en MLP (0.717),</w:t>
      </w:r>
      <w:r>
        <w:t xml:space="preserve"> </w:t>
      </w:r>
      <w:r>
        <w:t xml:space="preserve">coherente con la complejidad de los gradientes de una red profunda. XGBoost</w:t>
      </w:r>
      <w:r>
        <w:t xml:space="preserve"> </w:t>
      </w:r>
      <w:r>
        <w:t xml:space="preserve">presenta el balance óptimo calidad-coste: fidelidad 0.759, coste 1.2 ms.</w:t>
      </w:r>
    </w:p>
    <w:bookmarkEnd w:id="111"/>
    <w:bookmarkStart w:id="112"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226 ms, rango 3–1,088 ms por</w:t>
      </w:r>
      <w:r>
        <w:t xml:space="preserve"> </w:t>
      </w:r>
      <w:r>
        <w:t xml:space="preserve">modelo), con una fidelidad media moderada (0.560) y parsimonia baja consistente</w:t>
      </w:r>
      <w:r>
        <w:t xml:space="preserve"> </w:t>
      </w:r>
      <w:r>
        <w:t xml:space="preserve">(0.085 en todos los modelos, por diseño).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2"/>
    <w:bookmarkStart w:id="113" w:name="anchors"/>
    <w:p>
      <w:pPr>
        <w:pStyle w:val="Ttulo3"/>
        <w:spacing w:line="360" w:lineRule="auto"/>
        <w:jc w:val="both"/>
      </w:pPr>
      <w:r>
        <w:t xml:space="preserve">Anchors</w:t>
      </w:r>
    </w:p>
    <w:p>
      <w:pPr>
        <w:pStyle w:val="FirstParagraph"/>
        <w:spacing w:line="360" w:lineRule="auto"/>
        <w:jc w:val="both"/>
      </w:pPr>
      <w:r>
        <w:t xml:space="preserve">Anchors tiene una cobertura de solo 56 celdas calificadas (74.7%), lo que</w:t>
      </w:r>
      <w:r>
        <w:t xml:space="preserve"> </w:t>
      </w:r>
      <w:r>
        <w:t xml:space="preserve">refleja que en los estratos de mayor incertidumbre el algoritmo de búsqueda de</w:t>
      </w:r>
      <w:r>
        <w:t xml:space="preserve"> </w:t>
      </w:r>
      <w:r>
        <w:t xml:space="preserve">reglas no converge a una regla con la precisión mínima exigida. Sobre los bloques</w:t>
      </w:r>
      <w:r>
        <w:t xml:space="preserve"> </w:t>
      </w:r>
      <w:r>
        <w:t xml:space="preserve">calificados, la fidelidad media es 0.386 y la estabilidad 0.052, ambas</w:t>
      </w:r>
      <w:r>
        <w:t xml:space="preserve"> </w:t>
      </w:r>
      <w:r>
        <w:t xml:space="preserve">inferiores a las de SHAP y LIME. El coste es elevado y muy variable: desde</w:t>
      </w:r>
      <w:r>
        <w:t xml:space="preserve"> </w:t>
      </w:r>
      <w:r>
        <w:t xml:space="preserve">2,027 ms para logreg hasta 64,131 ms para RF y 68,874 ms para SVM.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3"/>
    <w:bookmarkStart w:id="114"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El coste moderado</w:t>
      </w:r>
      <w:r>
        <w:t xml:space="preserve"> </w:t>
      </w:r>
      <w:r>
        <w:t xml:space="preserve">(2,056 ms en media) hace a DiCE más económico que Anchors para la mayoría de</w:t>
      </w:r>
      <w:r>
        <w:t xml:space="preserve"> </w:t>
      </w:r>
      <w:r>
        <w:t xml:space="preserve">modelos.</w:t>
      </w:r>
    </w:p>
    <w:bookmarkEnd w:id="114"/>
    <w:bookmarkEnd w:id="115"/>
    <w:bookmarkStart w:id="118" w:name="sec-transversal"/>
    <w:p>
      <w:pPr>
        <w:pStyle w:val="Ttulo2"/>
        <w:spacing w:line="360" w:lineRule="auto"/>
        <w:jc w:val="both"/>
      </w:pPr>
      <w:r>
        <w:t xml:space="preserve">Análisis transversal: efecto del modelo base y del tamaño de muestra</w:t>
      </w:r>
    </w:p>
    <w:bookmarkStart w:id="116"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Las</w:t>
      </w:r>
      <w:r>
        <w:t xml:space="preserve"> </w:t>
      </w:r>
      <w:r>
        <w:t xml:space="preserve">diferencias 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coste 1.2 ms. Esto se debe al uso de TreeSHAP</w:t>
      </w:r>
      <w:r>
        <w:t xml:space="preserve"> </w:t>
      </w:r>
      <w:r>
        <w:t xml:space="preserve">(Lundberg 2017)</w:t>
      </w:r>
      <w:r>
        <w:t xml:space="preserve">, que</w:t>
      </w:r>
      <w:r>
        <w:t xml:space="preserve"> </w:t>
      </w:r>
      <w:r>
        <w:t xml:space="preserve">calcula valores exactos de Shapley aprovechando la estructura de árbol y no</w:t>
      </w:r>
      <w:r>
        <w:t xml:space="preserve"> </w:t>
      </w:r>
      <w:r>
        <w:t xml:space="preserve">requiere muestreo ni perturbación. Es el único método-modelo donde SHAP tiene</w:t>
      </w:r>
      <w:r>
        <w:t xml:space="preserve"> </w:t>
      </w:r>
      <w:r>
        <w:t xml:space="preserve">un coste computacional inferior al de LIME (~9 ms).</w:t>
      </w:r>
    </w:p>
    <w:p>
      <w:pPr>
        <w:pStyle w:val="Textoindependiente"/>
        <w:spacing w:line="360" w:lineRule="auto"/>
        <w:jc w:val="both"/>
      </w:pPr>
      <w:r>
        <w:rPr>
          <w:b/>
          <w:bCs/>
        </w:rPr>
        <w:t xml:space="preserve">SVM</w:t>
      </w:r>
      <w:r>
        <w:t xml:space="preserve"> </w:t>
      </w:r>
      <w:r>
        <w:t xml:space="preserve">es el modelo donde SHAP muestra la mayor fidelidad (0.928) pero el</w:t>
      </w:r>
      <w:r>
        <w:t xml:space="preserve"> </w:t>
      </w:r>
      <w:r>
        <w:t xml:space="preserve">coste más elevado (159,059 ms). KernelSHAP requiere resolver un problema de</w:t>
      </w:r>
      <w:r>
        <w:t xml:space="preserve"> </w:t>
      </w:r>
      <w:r>
        <w:t xml:space="preserve">optimización cuadrática por instancia, lo que escala quadráticamente con el</w:t>
      </w:r>
      <w:r>
        <w:t xml:space="preserve"> </w:t>
      </w:r>
      <w:r>
        <w:t xml:space="preserve">número de muestras de referencia. Para SVM, Anchors también es costoso (68,874</w:t>
      </w:r>
      <w:r>
        <w:t xml:space="preserve"> </w:t>
      </w:r>
      <w:r>
        <w:t xml:space="preserve">ms)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el coste SHAP más bajo entre modelos no basados en árboles (85 ms). La</w:t>
      </w:r>
      <w:r>
        <w:t xml:space="preserve"> </w:t>
      </w:r>
      <w:r>
        <w:t xml:space="preserve">linearidad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SHAP=0.717,</w:t>
      </w:r>
      <w:r>
        <w:t xml:space="preserve"> </w:t>
      </w:r>
      <w:r>
        <w:t xml:space="preserve">LIME=0.541, Anchors=0.299, DiCE=0.026. La complejidad del espacio de gradientes</w:t>
      </w:r>
      <w:r>
        <w:t xml:space="preserve"> </w:t>
      </w:r>
      <w:r>
        <w:t xml:space="preserve">de redes profuntas dificulta la aproximación local de cualquier explicador</w:t>
      </w:r>
      <w:r>
        <w:t xml:space="preserve"> </w:t>
      </w:r>
      <w:r>
        <w:t xml:space="preserve">post-hoc. El coste de Anchors sobre MLP (10,352 ms) es intermedio, pero la</w:t>
      </w:r>
      <w:r>
        <w:t xml:space="preserve"> </w:t>
      </w:r>
      <w:r>
        <w:t xml:space="preserve">baja fidelidad restringe su uso como evidencia primaria en auditoría.</w:t>
      </w:r>
    </w:p>
    <w:bookmarkEnd w:id="116"/>
    <w:bookmarkStart w:id="117"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0.811,</w:t>
      </w:r>
      <w:r>
        <w:t xml:space="preserve"> </w:t>
      </w:r>
      <ns1:oMath>
        <ns1:r>
          <ns1:t>N</ns1:t>
        </ns1:r>
        <ns1:r>
          <ns1:rPr>
            <ns1:sty ns1:val="p"/>
          </ns1:rPr>
          <ns1:t>=</ns1:t>
        </ns1:r>
        <ns1:r>
          <ns1:t>100</ns1:t>
        </ns1:r>
      </ns1:oMath>
      <w:r>
        <w:t xml:space="preserve">: 0.804,</w:t>
      </w:r>
      <w:r>
        <w:t xml:space="preserve"> </w:t>
      </w:r>
      <ns1:oMath>
        <ns1:r>
          <ns1:t>N</ns1:t>
        </ns1:r>
        <ns1:r>
          <ns1:rPr>
            <ns1:sty ns1:val="p"/>
          </ns1:rPr>
          <ns1:t>=</ns1:t>
        </ns1:r>
        <ns1:r>
          <ns1:t>200</ns1:t>
        </ns1:r>
      </ns1:oMath>
      <w:r>
        <w:t xml:space="preserve">: 0.814,</w:t>
      </w:r>
      <w:r>
        <w:t xml:space="preserve"> </w:t>
      </w:r>
      <w:r>
        <w:t xml:space="preserve">con diferencias absolutas inferiores a 0.010.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17"/>
    <w:bookmarkEnd w:id="118"/>
    <w:bookmarkStart w:id="120"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19"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experiments/exp1_adult/reproducibility/reproducibility_report.csv</w:t>
                  </w:r>
                </w:p>
              </w:tc>
              <w:tc>
                <w:tcPr/>
                <w:p>
                  <w:pPr>
                    <w:pStyle w:val="Compact"/>
                    <w:jc w:val="both"/>
                    <w:jc w:val="center"/>
                    <w:spacing w:line="360" w:lineRule="auto"/>
                  </w:pPr>
                  <w:r>
                    <w:t xml:space="preserve">Ejecuciones EXP1 por semilla</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19"/>
          <w:p>
            <w:pPr>
              <w:spacing w:line="360" w:lineRule="auto"/>
              <w:jc w:val="both"/>
            </w:pPr>
          </w:p>
        </w:tc>
      </w:tr>
    </w:tbl>
    <w:bookmarkEnd w:id="120"/>
    <w:bookmarkStart w:id="133"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24" w:name="fig-estabilidad-coste"/>
          <w:p>
            <w:pPr>
              <w:pStyle w:val="Compact"/>
              <w:jc w:val="both"/>
              <w:spacing w:line="360" w:lineRule="auto"/>
            </w:pPr>
            <w:r>
              <w:drawing>
                <ns2:inline>
                  <ns2:extent cx="5052060" cy="3154709"/>
                  <ns2:effectExtent b="0" l="0" r="0" t="0"/>
                  <ns2:docPr descr="" title="" id="122" name="Picture"/>
                  <ns3:graphic>
                    <ns3:graphicData uri="http://schemas.openxmlformats.org/drawingml/2006/picture">
                      <ns4:pic>
                        <ns4:nvPicPr>
                          <ns4:cNvPr descr="assets/figures/fig_estabilidad_coste_es.png" id="123" name="Picture"/>
                          <ns4:cNvPicPr>
                            <ns3:picLocks noChangeArrowheads="1" noChangeAspect="1"/>
                          </ns4:cNvPicPr>
                        </ns4:nvPicPr>
                        <ns4:blipFill>
                          <ns3:blip ns5:embed="rId121"/>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2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fig-correlacion-metricas"/>
          <w:p>
            <w:pPr>
              <w:pStyle w:val="Compact"/>
              <w:jc w:val="both"/>
              <w:spacing w:line="360" w:lineRule="auto"/>
            </w:pPr>
            <w:r>
              <w:drawing>
                <ns2:inline>
                  <ns2:extent cx="5052060" cy="3860951"/>
                  <ns2:effectExtent b="0" l="0" r="0" t="0"/>
                  <ns2:docPr descr="" title="" id="126" name="Picture"/>
                  <ns3:graphic>
                    <ns3:graphicData uri="http://schemas.openxmlformats.org/drawingml/2006/picture">
                      <ns4:pic>
                        <ns4:nvPicPr>
                          <ns4:cNvPr descr="assets/figures/fig_correlacion_metricas_es.png" id="127" name="Picture"/>
                          <ns4:cNvPicPr>
                            <ns3:picLocks noChangeArrowheads="1" noChangeAspect="1"/>
                          </ns4:cNvPicPr>
                        </ns4:nvPicPr>
                        <ns4:blipFill>
                          <ns3:blip ns5:embed="rId125"/>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2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2" w:name="fig-cobertura-exp2"/>
          <w:p>
            <w:pPr>
              <w:pStyle w:val="Compact"/>
              <w:jc w:val="both"/>
              <w:spacing w:line="360" w:lineRule="auto"/>
            </w:pPr>
            <w:r>
              <w:drawing>
                <ns2:inline>
                  <ns2:extent cx="5052060" cy="3412866"/>
                  <ns2:effectExtent b="0" l="0" r="0" t="0"/>
                  <ns2:docPr descr="" title="" id="130" name="Picture"/>
                  <ns3:graphic>
                    <ns3:graphicData uri="http://schemas.openxmlformats.org/drawingml/2006/picture">
                      <ns4:pic>
                        <ns4:nvPicPr>
                          <ns4:cNvPr descr="assets/figures/fig_cobertura_exp2_es.png" id="131" name="Picture"/>
                          <ns4:cNvPicPr>
                            <ns3:picLocks noChangeArrowheads="1" noChangeAspect="1"/>
                          </ns4:cNvPicPr>
                        </ns4:nvPicPr>
                        <ns4:blipFill>
                          <ns3:blip ns5:embed="rId129"/>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2"/>
        </w:tc>
      </w:tr>
    </w:tbl>
    <w:bookmarkEnd w:id="133"/>
    <w:bookmarkStart w:id="137" w:name="sec-discusion"/>
    <w:p>
      <w:pPr>
        <w:pStyle w:val="Ttulo2"/>
        <w:spacing w:line="360" w:lineRule="auto"/>
        <w:jc w:val="both"/>
      </w:pPr>
      <w:r>
        <w:t xml:space="preserve">Discusión</w:t>
      </w:r>
    </w:p>
    <w:bookmarkStart w:id="134"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La magnitud del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es alta en el contexto de</w:t>
      </w:r>
      <w:r>
        <w:t xml:space="preserve"> </w:t>
      </w:r>
      <w:r>
        <w:t xml:space="preserve">experimentos de benchmarking XAI. Trabajos recientes de referencia en el campo</w:t>
      </w:r>
      <w:r>
        <w:t xml:space="preserve"> </w:t>
      </w:r>
      <w:r>
        <w:t xml:space="preserve">(Hedström et al. 2023; Agarwal et al. 2022)</w:t>
      </w:r>
      <w:r>
        <w:t xml:space="preserve"> </w:t>
      </w:r>
      <w:r>
        <w:t xml:space="preserve">reportan diferencias significativas entre métodos,</w:t>
      </w:r>
      <w:r>
        <w:t xml:space="preserve"> </w:t>
      </w:r>
      <w:r>
        <w:t xml:space="preserve">aunque con diseños y métricas no siempre comparables. La consistencia</w:t>
      </w:r>
      <w:r>
        <w:t xml:space="preserve"> </w:t>
      </w:r>
      <w:r>
        <w:t xml:space="preserve">direccional en los 75 pares de fidelidad y estabilidad fortalece la conclusión</w:t>
      </w:r>
      <w:r>
        <w:t xml:space="preserve"> </w:t>
      </w:r>
      <w:r>
        <w:t xml:space="preserve">operacional: bajo este diseño, la ventaja de SHAP no depende de una fluctuación</w:t>
      </w:r>
      <w:r>
        <w:t xml:space="preserve"> </w:t>
      </w:r>
      <w:r>
        <w:t xml:space="preserve">estadística marginal, sino de un patrón sistemático observado en las celdas</w:t>
      </w:r>
      <w:r>
        <w:t xml:space="preserve"> </w:t>
      </w:r>
      <w:r>
        <w:t xml:space="preserve">pareadas.</w:t>
      </w:r>
    </w:p>
    <w:bookmarkEnd w:id="134"/>
    <w:bookmarkStart w:id="135"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de fidelidad ≥ 0.80 y estabilidad ≥ 0.70. Para modelos</w:t>
      </w:r>
      <w:r>
        <w:t xml:space="preserve"> </w:t>
      </w:r>
      <w:r>
        <w:t xml:space="preserve">basados en árboles (XGBoost, RF), el coste de TreeSHAP hace esta elección</w:t>
      </w:r>
      <w:r>
        <w:t xml:space="preserve"> </w:t>
      </w:r>
      <w:r>
        <w:t xml:space="preserve">también 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con costes de 3–9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35"/>
    <w:bookmarkStart w:id="136"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primaria)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bookmarkEnd w:id="136"/>
    <w:bookmarkEnd w:id="137"/>
    <w:bookmarkEnd w:id="138"/>
    <w:bookmarkStart w:id="147"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39"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w:t>
      </w:r>
      <w:r>
        <w:t xml:space="preserve"> </w:t>
      </w:r>
      <w:r>
        <w:t xml:space="preserve">(Arrieta 2019a; Lipton 2018; Linardatos 2020; Schwalbe 2023)</w:t>
      </w:r>
      <w:r>
        <w:t xml:space="preserve">.</w:t>
      </w:r>
      <w:r>
        <w:t xml:space="preserve"> </w:t>
      </w:r>
      <w:r>
        <w:t xml:space="preserve">Segundo, trabajos sobre evaluación y benchmarking que distinguen niveles de</w:t>
      </w:r>
      <w:r>
        <w:t xml:space="preserve"> </w:t>
      </w:r>
      <w:r>
        <w:t xml:space="preserve">evidencia, métricas functionally-grounded y reproducibilidad</w:t>
      </w:r>
      <w:r>
        <w:t xml:space="preserve"> </w:t>
      </w:r>
      <w:r>
        <w:t xml:space="preserve">(Doshi-Velez 2017; Hedström et al. 2023; Agarwal et al. 2022; Nauta et al. 2023)</w:t>
      </w:r>
      <w:r>
        <w:t xml:space="preserve">. Tercero, artículos</w:t>
      </w:r>
      <w:r>
        <w:t xml:space="preserve"> </w:t>
      </w:r>
      <w:r>
        <w:t xml:space="preserve">metodológicos sobre explicadores concretos, necesarios para ubicar qué objeto</w:t>
      </w:r>
      <w:r>
        <w:t xml:space="preserve"> </w:t>
      </w:r>
      <w:r>
        <w:t xml:space="preserve">produce cada método</w:t>
      </w:r>
      <w:r>
        <w:t xml:space="preserve"> </w:t>
      </w:r>
      <w:r>
        <w:t xml:space="preserve">(Ribeiro 2016, 2018; Lundberg 2017; Mothilal 2020)</w:t>
      </w:r>
      <w:r>
        <w:t xml:space="preserve">.</w:t>
      </w:r>
      <w:r>
        <w:t xml:space="preserve"> </w:t>
      </w:r>
      <w:r>
        <w:t xml:space="preserve">Cuarto, revisiones recientes centradas en métricas, robustez y evaluación</w:t>
      </w:r>
      <w:r>
        <w:t xml:space="preserve"> </w:t>
      </w:r>
      <w:r>
        <w:t xml:space="preserve">human-centered</w:t>
      </w:r>
      <w:r>
        <w:t xml:space="preserve"> </w:t>
      </w:r>
      <w:r>
        <w:t xml:space="preserve">(Abdul Kadir et al. 2023; Pawlicki et al. 2024; Bhattacharya and Verbert 2024; Rong et al. 2024)</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t xml:space="preserve">fidelity 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w:t>
      </w:r>
    </w:p>
    <w:bookmarkEnd w:id="139"/>
    <w:bookmarkStart w:id="140"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40"/>
    <w:bookmarkStart w:id="141"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3"/>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3"/>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3"/>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3"/>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3"/>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4"/>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4"/>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4"/>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4"/>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5"/>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5"/>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5"/>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5"/>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5"/>
        </w:numPr>
        <w:spacing w:line="360" w:lineRule="auto"/>
        <w:jc w:val="both"/>
      </w:pPr>
      <w:r>
        <w:rPr>
          <w:i/>
          <w:iCs/>
        </w:rPr>
        <w:t xml:space="preserve">Efficiency</w:t>
      </w:r>
      <w:r>
        <w:t xml:space="preserve">: coste computacional de generar la explicación.</w:t>
      </w:r>
    </w:p>
    <w:p>
      <w:pPr>
        <w:pStyle w:val="Compact"/>
        <w:numPr>
          <w:ilvl w:val="0"/>
          <w:numId w:val="1015"/>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6"/>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6"/>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6"/>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6"/>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41"/>
    <w:bookmarkStart w:id="143"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42"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42"/>
          <w:p>
            <w:pPr>
              <w:spacing w:line="360" w:lineRule="auto"/>
              <w:jc w:val="both"/>
            </w:pPr>
          </w:p>
        </w:tc>
      </w:tr>
    </w:tbl>
    <w:bookmarkEnd w:id="143"/>
    <w:bookmarkStart w:id="145"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44"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44"/>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45"/>
    <w:bookmarkStart w:id="146"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46"/>
    <w:bookmarkEnd w:id="147"/>
    <w:bookmarkStart w:id="158"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protocolos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trazabilidad</w:t>
      </w:r>
      <w:r>
        <w:t xml:space="preserve"> </w:t>
      </w:r>
      <w:r>
        <w:t xml:space="preserve">entre el diseño experimental, los artefactos de resultado y las afirmaciones</w:t>
      </w:r>
      <w:r>
        <w:t xml:space="preserve"> </w:t>
      </w:r>
      <w:r>
        <w:t xml:space="preserve">inferenciales. Esta tesis responde a ese problema con tres contribuciones</w:t>
      </w:r>
      <w:r>
        <w:t xml:space="preserve"> </w:t>
      </w:r>
      <w:r>
        <w:t xml:space="preserve">articuladas: un protocolo de operación reproducible (FOM-7), un benchmark</w:t>
      </w:r>
      <w:r>
        <w:t xml:space="preserve"> </w:t>
      </w:r>
      <w:r>
        <w:t xml:space="preserve">multi-métrico sobre datos tabulares reales y una taxonomía estructurada del</w:t>
      </w:r>
      <w:r>
        <w:t xml:space="preserve"> </w:t>
      </w:r>
      <w:r>
        <w:t xml:space="preserve">espacio de métricas de evaluación XAI.</w:t>
      </w:r>
    </w:p>
    <w:bookmarkStart w:id="150"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48" w:name="tbl-hipotesis"/>
          <w:p>
            <w:pPr>
              <w:jc w:val="both"/>
              <w:spacing w:line="360" w:lineRule="auto"/>
            </w:pPr>
            <w:pPr>
              <w:jc w:val="left"/>
              <w:spacing w:before="200"/>
              <w:pStyle w:val="ImageCaption"/>
            </w:pPr>
            <w:r>
              <w:t xml:space="preserve">Table 7.1: Síntesis de hipótesis y proposición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bl>
          <w:bookmarkEnd w:id="148"/>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9"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para fidelidad;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bl>
          <w:bookmarkEnd w:id="149"/>
          <w:p>
            <w:pPr>
              <w:spacing w:line="360" w:lineRule="auto"/>
              <w:jc w:val="both"/>
            </w:pPr>
          </w:p>
        </w:tc>
      </w:tr>
    </w:tbl>
    <w:bookmarkEnd w:id="150"/>
    <w:bookmarkStart w:id="154" w:name="sec-contribuciones"/>
    <w:p>
      <w:pPr>
        <w:pStyle w:val="Ttulo2"/>
        <w:spacing w:line="360" w:lineRule="auto"/>
        <w:jc w:val="both"/>
      </w:pPr>
      <w:r>
        <w:t xml:space="preserve">Contribuciones científicas</w:t>
      </w:r>
    </w:p>
    <w:bookmarkStart w:id="151"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El protocolo FOM-7 está disponible como código fuente reproducible con</w:t>
      </w:r>
      <w:r>
        <w:t xml:space="preserve"> </w:t>
      </w:r>
      <w:r>
        <w:t xml:space="preserve">trazabilidad de artefactos, satisfaciendo los criterios de reproducibilidad</w:t>
      </w:r>
      <w:r>
        <w:t xml:space="preserve"> </w:t>
      </w:r>
      <w:r>
        <w:t xml:space="preserve">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51"/>
    <w:bookmarkStart w:id="152"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sino una propiedad estructural del</w:t>
      </w:r>
      <w:r>
        <w:t xml:space="preserve"> </w:t>
      </w:r>
      <w:r>
        <w:t xml:space="preserve">método bajo condiciones controladas. Esta demostración cuantifica el riesgo</w:t>
      </w:r>
      <w:r>
        <w:t xml:space="preserve"> </w:t>
      </w:r>
      <w:r>
        <w:t xml:space="preserve">de usar LIME en contextos donde se exija consistencia explicativa (auditoría,</w:t>
      </w:r>
      <w:r>
        <w:t xml:space="preserve"> </w:t>
      </w:r>
      <w:r>
        <w:t xml:space="preserve">decisiones de alto riesgo), un riesgo que los trabajos de referencia sobre LIME</w:t>
      </w:r>
      <w:r>
        <w:t xml:space="preserve"> </w:t>
      </w:r>
      <w:r>
        <w:t xml:space="preserve">(Ribeiro 2016)</w:t>
      </w:r>
      <w:r>
        <w:t xml:space="preserve"> </w:t>
      </w:r>
      <w:r>
        <w:t xml:space="preserve">no cuantifican 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52"/>
    <w:bookmarkStart w:id="153"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verificable (</w:t>
      </w:r>
      <ns1:oMath>
        <ns1:acc>
          <ns1:accPr>
            <ns1:chr ns1:val="‾"/>
          </ns1:accPr>
          <ns1:e>
            <ns1:r>
              <ns1:t>F</ns1:t>
            </ns1:r>
          </ns1:e>
        </ns1:acc>
        <ns1:r>
          <ns1:rPr>
            <ns1:sty ns1:val="p"/>
          </ns1:rPr>
          <ns1:t>≥</ns1:t>
        </ns1:r>
        <ns1:r>
          <ns1:t>0.80</ns1:t>
        </ns1:r>
      </ns1:oMath>
      <w:r>
        <w:t xml:space="preserve">) o consistencia</w:t>
      </w:r>
      <w:r>
        <w:t xml:space="preserve"> </w:t>
      </w:r>
      <w:r>
        <w:t xml:space="preserve">explicativa (</w:t>
      </w:r>
      <ns1:oMath>
        <ns1:acc>
          <ns1:accPr>
            <ns1:chr ns1:val="‾"/>
          </ns1:accPr>
          <ns1:e>
            <ns1:r>
              <ns1:t>S</ns1:t>
            </ns1:r>
          </ns1:e>
        </ns1:acc>
        <ns1:r>
          <ns1:rPr>
            <ns1:sty ns1:val="p"/>
          </ns1:rPr>
          <ns1:t>≥</ns1:t>
        </ns1:r>
        <ns1:r>
          <ns1:t>0.70</ns1:t>
        </ns1:r>
      </ns1:oMath>
      <w:r>
        <w:t xml:space="preserve">). Para modelos basados en árboles (XGBoost,</w:t>
      </w:r>
      <w:r>
        <w:t xml:space="preserve"> </w:t>
      </w:r>
      <w:r>
        <w:t xml:space="preserve">Random Forest), TreeSHAP produce estas garantías con un coste de 1–322 ms/</w:t>
      </w:r>
      <w:r>
        <w:t xml:space="preserve"> </w:t>
      </w:r>
      <w:r>
        <w:t xml:space="preserve">instancia, lo que hace esta elección también la más eficiente.</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Los 3–9 ms de LIME en</w:t>
      </w:r>
      <w:r>
        <w:t xml:space="preserve"> </w:t>
      </w:r>
      <w:r>
        <w:t xml:space="preserve">logreg/xgb/mlp hacen posible la explicación en tiempo real, con la condición</w:t>
      </w:r>
      <w:r>
        <w:t xml:space="preserve"> </w:t>
      </w:r>
      <w:r>
        <w:t xml:space="preserve">explícita de que las explicaciones no sean comparadas entre ejecuciones.</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costes de 10,000–70,000 ms/instancia</w:t>
      </w:r>
      <w:r>
        <w:t xml:space="preserve"> </w:t>
      </w:r>
      <w:r>
        <w:t xml:space="preserve">son inviables en producción. Su uso es justificable exclusivamente cuando la</w:t>
      </w:r>
      <w:r>
        <w:t xml:space="preserve"> </w:t>
      </w:r>
      <w:r>
        <w:t xml:space="preserve">forma semántica IF-THEN es un requisito regulatorio o de usuario y el modelo</w:t>
      </w:r>
      <w:r>
        <w:t xml:space="preserve"> </w:t>
      </w:r>
      <w:r>
        <w:t xml:space="preserve">es de complejidad baja (logreg).</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sus costes moderados (770–4,500 ms)</w:t>
      </w:r>
      <w:r>
        <w:t xml:space="preserve"> </w:t>
      </w:r>
      <w:r>
        <w:t xml:space="preserve">son aceptables en la mayoría de los contextos.</w:t>
      </w:r>
    </w:p>
    <w:bookmarkEnd w:id="153"/>
    <w:bookmarkEnd w:id="154"/>
    <w:bookmarkStart w:id="155"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w:t>
      </w:r>
      <w:r>
        <w:t xml:space="preserve"> </w:t>
      </w:r>
      <w:r>
        <w:t xml:space="preserve">Los resultados son válidos bajo las</w:t>
      </w:r>
      <w:r>
        <w:t xml:space="preserve"> </w:t>
      </w:r>
      <w:r>
        <w:t xml:space="preserve">configuraciones predeterminadas de cada método (número de muestras de LIME,</w:t>
      </w:r>
      <w:r>
        <w:t xml:space="preserve"> </w:t>
      </w:r>
      <w:r>
        <w:t xml:space="preserve">número de vecinos de SHAP, parámetros de búsqueda de Anchors). La sensibilidad</w:t>
      </w:r>
      <w:r>
        <w:t xml:space="preserve"> </w:t>
      </w:r>
      <w:r>
        <w:t xml:space="preserve">de los resultados a variaciones sistemáticas de hiperparámetros no ha sido</w:t>
      </w:r>
      <w:r>
        <w:t xml:space="preserve"> </w:t>
      </w:r>
      <w:r>
        <w:t xml:space="preserve">explorada de forma exhaustiva en este benchmark.</w:t>
      </w:r>
    </w:p>
    <w:bookmarkEnd w:id="155"/>
    <w:bookmarkStart w:id="156"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Incorporación de evaluación human-centered.</w:t>
      </w:r>
      <w:r>
        <w:t xml:space="preserve"> </w:t>
      </w:r>
      <w:r>
        <w:t xml:space="preserve">La brecha identificada en</w:t>
      </w:r>
      <w:r>
        <w:t xml:space="preserve"> </w:t>
      </w:r>
      <w:r>
        <w:t xml:space="preserve">el eje de fuente de evidencia de la taxonomía apunta directamente a la</w:t>
      </w:r>
      <w:r>
        <w:t xml:space="preserve"> </w:t>
      </w:r>
      <w:r>
        <w:t xml:space="preserve">necesidad de integrar estudios de usuario en el protocolo. Un estudio con</w:t>
      </w:r>
      <w:r>
        <w:t xml:space="preserve"> </w:t>
      </w:r>
      <w:r>
        <w:t xml:space="preserve">usuarios expertos (médicos, analistas de crédito) que evalúen la comprensión</w:t>
      </w:r>
      <w:r>
        <w:t xml:space="preserve"> </w:t>
      </w:r>
      <w:r>
        <w:t xml:space="preserve">de las explicaciones de SHAP y LIME complementaría los hallazgos funcionales</w:t>
      </w:r>
      <w:r>
        <w:t xml:space="preserve"> </w:t>
      </w:r>
      <w:r>
        <w:t xml:space="preserve">con evidencia de utilidad práctica, completando el espacio de evaluación</w:t>
      </w:r>
      <w:r>
        <w:t xml:space="preserve"> </w:t>
      </w:r>
      <w:r>
        <w:t xml:space="preserve">multi-eje.</w:t>
      </w:r>
    </w:p>
    <w:p>
      <w:pPr>
        <w:pStyle w:val="Textoindependiente"/>
        <w:spacing w:line="360" w:lineRule="auto"/>
        <w:jc w:val="both"/>
      </w:pPr>
      <w:r>
        <w:rPr>
          <w:b/>
          <w:bCs/>
        </w:rPr>
        <w:t xml:space="preserve">3. Análisis de la sensibilidad a la configuración de hiperparámetros.</w:t>
      </w:r>
      <w:r>
        <w:t xml:space="preserve"> </w:t>
      </w:r>
      <w:r>
        <w:t xml:space="preserve">El</w:t>
      </w:r>
      <w:r>
        <w:t xml:space="preserve"> </w:t>
      </w:r>
      <w:r>
        <w:t xml:space="preserve">benchmark primario opera con configuraciones de referencia. Un diseño factorial</w:t>
      </w:r>
      <w:r>
        <w:t xml:space="preserve"> </w:t>
      </w:r>
      <w:r>
        <w:t xml:space="preserve">extendido que varíe sistemáticamente los hiperparámetros clave —número de</w:t>
      </w:r>
      <w:r>
        <w:t xml:space="preserve"> </w:t>
      </w:r>
      <w:r>
        <w:t xml:space="preserve">muestras de LIME, estrategia de referencia de SHAP, parámetros de umbral de</w:t>
      </w:r>
      <w:r>
        <w:t xml:space="preserve"> </w:t>
      </w:r>
      <w:r>
        <w:t xml:space="preserve">Anchors— permitiría determinar en qué medida los perfiles de calidad obtenidos</w:t>
      </w:r>
      <w:r>
        <w:t xml:space="preserve"> </w:t>
      </w:r>
      <w:r>
        <w:t xml:space="preserve">son robustos a la sintonización de cada método.</w:t>
      </w:r>
    </w:p>
    <w:p>
      <w:pPr>
        <w:pStyle w:val="Textoindependiente"/>
        <w:spacing w:line="360" w:lineRule="auto"/>
        <w:jc w:val="both"/>
      </w:pPr>
      <w:r>
        <w:rPr>
          <w:b/>
          <w:bCs/>
        </w:rPr>
        <w:t xml:space="preserve">4. Replicación en dominios de alto riesgo.</w:t>
      </w:r>
      <w:r>
        <w:t xml:space="preserve"> </w:t>
      </w:r>
      <w:r>
        <w:t xml:space="preserve">Los criterios prescriptivos</w:t>
      </w:r>
      <w:r>
        <w:t xml:space="preserve"> </w:t>
      </w:r>
      <w:r>
        <w:t xml:space="preserve">derivados de este benchmark son válidos bajo el contexto experimental de UCI</w:t>
      </w:r>
      <w:r>
        <w:t xml:space="preserve"> </w:t>
      </w:r>
      <w:r>
        <w:t xml:space="preserve">Adult Income. Su validación en dominios regulados (crédito, salud, justicia)</w:t>
      </w:r>
      <w:r>
        <w:t xml:space="preserve"> </w:t>
      </w:r>
      <w:r>
        <w:t xml:space="preserve">con restricciones normativas explícitas (EU AI Act, GDPR) constituye la</w:t>
      </w:r>
      <w:r>
        <w:t xml:space="preserve"> </w:t>
      </w:r>
      <w:r>
        <w:t xml:space="preserve">extensión de mayor impacto práctico de esta línea de investigación.</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56"/>
    <w:bookmarkStart w:id="157"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bookmarkEnd w:id="157"/>
    <w:bookmarkEnd w:id="158"/>
    <w:bookmarkStart w:id="285" w:name="referencias"/>
    <w:p>
      <w:pPr>
        <w:pStyle w:val="Ttulo1"/>
        <w:spacing w:line="360" w:lineRule="auto"/>
        <w:jc w:val="both"/>
      </w:pPr>
      <w:r>
        <w:t xml:space="preserve">Referencias</w:t>
      </w:r>
    </w:p>
    <w:bookmarkStart w:id="284" w:name="refs"/>
    <w:bookmarkStart w:id="160"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59">
        <w:r>
          <w:rPr>
            <w:rStyle w:val="Hipervnculo"/>
          </w:rPr>
          <w:t xml:space="preserve">https://doi.org/10.1145/3173574.3174156</w:t>
        </w:r>
      </w:hyperlink>
      <w:r>
        <w:t xml:space="preserve">.</w:t>
      </w:r>
    </w:p>
    <w:bookmarkEnd w:id="160"/>
    <w:bookmarkStart w:id="162"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61">
        <w:r>
          <w:rPr>
            <w:rStyle w:val="Hipervnculo"/>
          </w:rPr>
          <w:t xml:space="preserve">https://doi.org/10.1109/INES59045.2023.1030000</w:t>
        </w:r>
      </w:hyperlink>
      <w:r>
        <w:t xml:space="preserve">.</w:t>
      </w:r>
    </w:p>
    <w:bookmarkEnd w:id="162"/>
    <w:bookmarkStart w:id="164"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63">
        <w:r>
          <w:rPr>
            <w:rStyle w:val="Hipervnculo"/>
          </w:rPr>
          <w:t xml:space="preserve">https://doi.org/10.1109/access.2018.2870052</w:t>
        </w:r>
      </w:hyperlink>
      <w:r>
        <w:t xml:space="preserve">.</w:t>
      </w:r>
    </w:p>
    <w:bookmarkEnd w:id="164"/>
    <w:bookmarkStart w:id="165"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65"/>
    <w:bookmarkStart w:id="167"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66">
        <w:r>
          <w:rPr>
            <w:rStyle w:val="Hipervnculo"/>
          </w:rPr>
          <w:t xml:space="preserve">https://doi.org/10.1016/j.inffus.2023.101805</w:t>
        </w:r>
      </w:hyperlink>
      <w:r>
        <w:t xml:space="preserve">.</w:t>
      </w:r>
    </w:p>
    <w:bookmarkEnd w:id="167"/>
    <w:bookmarkStart w:id="169"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168">
        <w:r>
          <w:rPr>
            <w:rStyle w:val="Hipervnculo"/>
          </w:rPr>
          <w:t xml:space="preserve">https://doi.org/10.1146/annurev-statistics-040120-030919</w:t>
        </w:r>
      </w:hyperlink>
      <w:r>
        <w:t xml:space="preserve">.</w:t>
      </w:r>
    </w:p>
    <w:bookmarkEnd w:id="169"/>
    <w:bookmarkStart w:id="171"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170">
        <w:r>
          <w:rPr>
            <w:rStyle w:val="Hipervnculo"/>
          </w:rPr>
          <w:t xml:space="preserve">https://doi.org/10.3390/technologies13030093</w:t>
        </w:r>
      </w:hyperlink>
      <w:r>
        <w:t xml:space="preserve">.</w:t>
      </w:r>
    </w:p>
    <w:bookmarkEnd w:id="171"/>
    <w:bookmarkStart w:id="173"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172">
        <w:r>
          <w:rPr>
            <w:rStyle w:val="Hipervnculo"/>
          </w:rPr>
          <w:t xml:space="preserve">https://arxiv.org/abs/1806.08049</w:t>
        </w:r>
      </w:hyperlink>
      <w:r>
        <w:t xml:space="preserve">.</w:t>
      </w:r>
    </w:p>
    <w:bookmarkEnd w:id="173"/>
    <w:bookmarkStart w:id="175"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174">
        <w:r>
          <w:rPr>
            <w:rStyle w:val="Hipervnculo"/>
          </w:rPr>
          <w:t xml:space="preserve">https://doi.org/10.1002/widm.1424</w:t>
        </w:r>
      </w:hyperlink>
      <w:r>
        <w:t xml:space="preserve">.</w:t>
      </w:r>
    </w:p>
    <w:bookmarkEnd w:id="175"/>
    <w:bookmarkStart w:id="177"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176">
        <w:r>
          <w:rPr>
            <w:rStyle w:val="Hipervnculo"/>
          </w:rPr>
          <w:t xml:space="preserve">https://doi.org/10.1016/j.inffus.2019.12.012</w:t>
        </w:r>
      </w:hyperlink>
      <w:r>
        <w:t xml:space="preserve">.</w:t>
      </w:r>
    </w:p>
    <w:bookmarkEnd w:id="177"/>
    <w:bookmarkStart w:id="179"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178">
        <w:r>
          <w:rPr>
            <w:rStyle w:val="Hipervnculo"/>
          </w:rPr>
          <w:t xml:space="preserve">https://doi.org/10.3389/fdata.2021.688969</w:t>
        </w:r>
      </w:hyperlink>
      <w:r>
        <w:t xml:space="preserve">.</w:t>
      </w:r>
    </w:p>
    <w:bookmarkEnd w:id="179"/>
    <w:bookmarkStart w:id="181"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180">
        <w:r>
          <w:rPr>
            <w:rStyle w:val="Hipervnculo"/>
          </w:rPr>
          <w:t xml:space="preserve">https://doi.org/10.1145/3631700.3664911</w:t>
        </w:r>
      </w:hyperlink>
      <w:r>
        <w:t xml:space="preserve">.</w:t>
      </w:r>
    </w:p>
    <w:bookmarkEnd w:id="181"/>
    <w:bookmarkStart w:id="183"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182">
        <w:r>
          <w:rPr>
            <w:rStyle w:val="Hipervnculo"/>
          </w:rPr>
          <w:t xml:space="preserve">https://doi.org/10.1023/a:1010933404324</w:t>
        </w:r>
      </w:hyperlink>
      <w:r>
        <w:t xml:space="preserve">.</w:t>
      </w:r>
    </w:p>
    <w:bookmarkEnd w:id="183"/>
    <w:bookmarkStart w:id="185"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184">
        <w:r>
          <w:rPr>
            <w:rStyle w:val="Hipervnculo"/>
          </w:rPr>
          <w:t xml:space="preserve">https://doi.org/10.18653/v1/2023.emnlp-main.792</w:t>
        </w:r>
      </w:hyperlink>
      <w:r>
        <w:t xml:space="preserve">.</w:t>
      </w:r>
    </w:p>
    <w:bookmarkEnd w:id="185"/>
    <w:bookmarkStart w:id="187"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186">
        <w:r>
          <w:rPr>
            <w:rStyle w:val="Hipervnculo"/>
          </w:rPr>
          <w:t xml:space="preserve">https://doi.org/10.1145/3737445</w:t>
        </w:r>
      </w:hyperlink>
      <w:r>
        <w:t xml:space="preserve">.</w:t>
      </w:r>
    </w:p>
    <w:bookmarkEnd w:id="187"/>
    <w:bookmarkStart w:id="189"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188">
        <w:r>
          <w:rPr>
            <w:rStyle w:val="Hipervnculo"/>
          </w:rPr>
          <w:t xml:space="preserve">https://doi.org/10.3390/electronics8080832</w:t>
        </w:r>
      </w:hyperlink>
      <w:r>
        <w:t xml:space="preserve">.</w:t>
      </w:r>
    </w:p>
    <w:bookmarkEnd w:id="189"/>
    <w:bookmarkStart w:id="191"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190">
        <w:r>
          <w:rPr>
            <w:rStyle w:val="Hipervnculo"/>
          </w:rPr>
          <w:t xml:space="preserve">https://www.jmlr.org/papers/v7/demsar06a.html</w:t>
        </w:r>
      </w:hyperlink>
      <w:r>
        <w:t xml:space="preserve">.</w:t>
      </w:r>
    </w:p>
    <w:bookmarkEnd w:id="191"/>
    <w:bookmarkStart w:id="193"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192">
        <w:r>
          <w:rPr>
            <w:rStyle w:val="Hipervnculo"/>
          </w:rPr>
          <w:t xml:space="preserve">https://doi.org/10.48550/arxiv.1702.08608</w:t>
        </w:r>
      </w:hyperlink>
      <w:r>
        <w:t xml:space="preserve">.</w:t>
      </w:r>
    </w:p>
    <w:bookmarkEnd w:id="193"/>
    <w:bookmarkStart w:id="195"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194">
        <w:r>
          <w:rPr>
            <w:rStyle w:val="Hipervnculo"/>
          </w:rPr>
          <w:t xml:space="preserve">https://doi.org/10.1007/s11023-018-9482-5</w:t>
        </w:r>
      </w:hyperlink>
      <w:r>
        <w:t xml:space="preserve">.</w:t>
      </w:r>
    </w:p>
    <w:bookmarkEnd w:id="195"/>
    <w:bookmarkStart w:id="197"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196">
        <w:r>
          <w:rPr>
            <w:rStyle w:val="Hipervnculo"/>
          </w:rPr>
          <w:t xml:space="preserve">https://doi.org/10.1080/01621459.1937.10503522</w:t>
        </w:r>
      </w:hyperlink>
      <w:r>
        <w:t xml:space="preserve">.</w:t>
      </w:r>
    </w:p>
    <w:bookmarkEnd w:id="197"/>
    <w:bookmarkStart w:id="199"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198">
        <w:r>
          <w:rPr>
            <w:rStyle w:val="Hipervnculo"/>
          </w:rPr>
          <w:t xml:space="preserve">https://doi.org/10.1109/dsaa.2018.00018</w:t>
        </w:r>
      </w:hyperlink>
      <w:r>
        <w:t xml:space="preserve">.</w:t>
      </w:r>
    </w:p>
    <w:bookmarkEnd w:id="199"/>
    <w:bookmarkStart w:id="201"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00">
        <w:r>
          <w:rPr>
            <w:rStyle w:val="Hipervnculo"/>
          </w:rPr>
          <w:t xml:space="preserve">https://doi.org/10.1145/3236009</w:t>
        </w:r>
      </w:hyperlink>
      <w:r>
        <w:t xml:space="preserve">.</w:t>
      </w:r>
    </w:p>
    <w:bookmarkEnd w:id="201"/>
    <w:bookmarkStart w:id="203"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02">
        <w:r>
          <w:rPr>
            <w:rStyle w:val="Hipervnculo"/>
          </w:rPr>
          <w:t xml:space="preserve">https://doi.org/10.18653/v1/2020.acl-main.491</w:t>
        </w:r>
      </w:hyperlink>
      <w:r>
        <w:t xml:space="preserve">.</w:t>
      </w:r>
    </w:p>
    <w:bookmarkEnd w:id="203"/>
    <w:bookmarkStart w:id="205"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04">
        <w:r>
          <w:rPr>
            <w:rStyle w:val="Hipervnculo"/>
          </w:rPr>
          <w:t xml:space="preserve">https://doi.org/10.1007/s12559-023-10179-8</w:t>
        </w:r>
      </w:hyperlink>
      <w:r>
        <w:t xml:space="preserve">.</w:t>
      </w:r>
    </w:p>
    <w:bookmarkEnd w:id="205"/>
    <w:bookmarkStart w:id="206"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06"/>
    <w:bookmarkStart w:id="208"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07">
        <w:r>
          <w:rPr>
            <w:rStyle w:val="Hipervnculo"/>
          </w:rPr>
          <w:t xml:space="preserve">https://doi.org/10.1007/s13218-023-00806-9</w:t>
        </w:r>
      </w:hyperlink>
      <w:r>
        <w:t xml:space="preserve">.</w:t>
      </w:r>
    </w:p>
    <w:bookmarkEnd w:id="208"/>
    <w:bookmarkStart w:id="210"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09">
        <w:r>
          <w:rPr>
            <w:rStyle w:val="Hipervnculo"/>
          </w:rPr>
          <w:t xml:space="preserve">https://doi.org/10.1145/3527848</w:t>
        </w:r>
      </w:hyperlink>
      <w:r>
        <w:t xml:space="preserve">.</w:t>
      </w:r>
    </w:p>
    <w:bookmarkEnd w:id="210"/>
    <w:bookmarkStart w:id="212"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11">
        <w:r>
          <w:rPr>
            <w:rStyle w:val="Hipervnculo"/>
          </w:rPr>
          <w:t xml:space="preserve">https://doi.org/10.1145/3313831.3376219</w:t>
        </w:r>
      </w:hyperlink>
      <w:r>
        <w:t xml:space="preserve">.</w:t>
      </w:r>
    </w:p>
    <w:bookmarkEnd w:id="212"/>
    <w:bookmarkStart w:id="214"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13">
        <w:r>
          <w:rPr>
            <w:rStyle w:val="Hipervnculo"/>
          </w:rPr>
          <w:t xml:space="preserve">https://archive.ics.uci.edu/dataset/2/adult</w:t>
        </w:r>
      </w:hyperlink>
      <w:r>
        <w:t xml:space="preserve">.</w:t>
      </w:r>
    </w:p>
    <w:bookmarkEnd w:id="214"/>
    <w:bookmarkStart w:id="216"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15">
        <w:r>
          <w:rPr>
            <w:rStyle w:val="Hipervnculo"/>
          </w:rPr>
          <w:t xml:space="preserve">https://doi.org/10.3389/fpsyg.2013.00863</w:t>
        </w:r>
      </w:hyperlink>
      <w:r>
        <w:t xml:space="preserve">.</w:t>
      </w:r>
    </w:p>
    <w:bookmarkEnd w:id="216"/>
    <w:bookmarkStart w:id="218"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17">
        <w:r>
          <w:rPr>
            <w:rStyle w:val="Hipervnculo"/>
          </w:rPr>
          <w:t xml:space="preserve">https://doi.org/10.1016/j.artint.2021.103473</w:t>
        </w:r>
      </w:hyperlink>
      <w:r>
        <w:t xml:space="preserve">.</w:t>
      </w:r>
    </w:p>
    <w:bookmarkEnd w:id="218"/>
    <w:bookmarkStart w:id="220"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19">
        <w:r>
          <w:rPr>
            <w:rStyle w:val="Hipervnculo"/>
          </w:rPr>
          <w:t xml:space="preserve">https://doi.org/10.24963/ijcai.2019/388</w:t>
        </w:r>
      </w:hyperlink>
      <w:r>
        <w:t xml:space="preserve">.</w:t>
      </w:r>
    </w:p>
    <w:bookmarkEnd w:id="220"/>
    <w:bookmarkStart w:id="222"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21">
        <w:r>
          <w:rPr>
            <w:rStyle w:val="Hipervnculo"/>
          </w:rPr>
          <w:t xml:space="preserve">https://doi.org/10.3390/e23010018</w:t>
        </w:r>
      </w:hyperlink>
      <w:r>
        <w:t xml:space="preserve">.</w:t>
      </w:r>
    </w:p>
    <w:bookmarkEnd w:id="222"/>
    <w:bookmarkStart w:id="224"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23">
        <w:r>
          <w:rPr>
            <w:rStyle w:val="Hipervnculo"/>
          </w:rPr>
          <w:t xml:space="preserve">https://doi.org/10.1145/3236386.3241340</w:t>
        </w:r>
      </w:hyperlink>
      <w:r>
        <w:t xml:space="preserve">.</w:t>
      </w:r>
    </w:p>
    <w:bookmarkEnd w:id="224"/>
    <w:bookmarkStart w:id="226"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25">
        <w:r>
          <w:rPr>
            <w:rStyle w:val="Hipervnculo"/>
          </w:rPr>
          <w:t xml:space="preserve">https://doi.org/10.48550/arxiv.1705.07874</w:t>
        </w:r>
      </w:hyperlink>
      <w:r>
        <w:t xml:space="preserve">.</w:t>
      </w:r>
    </w:p>
    <w:bookmarkEnd w:id="226"/>
    <w:bookmarkStart w:id="228"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27">
        <w:r>
          <w:rPr>
            <w:rStyle w:val="Hipervnculo"/>
          </w:rPr>
          <w:t xml:space="preserve">https://doi.org/10.1145/3647444.3647912</w:t>
        </w:r>
      </w:hyperlink>
      <w:r>
        <w:t xml:space="preserve">.</w:t>
      </w:r>
    </w:p>
    <w:bookmarkEnd w:id="228"/>
    <w:bookmarkStart w:id="230"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29">
        <w:r>
          <w:rPr>
            <w:rStyle w:val="Hipervnculo"/>
          </w:rPr>
          <w:t xml:space="preserve">https://doi.org/10.1002/widm.1493</w:t>
        </w:r>
      </w:hyperlink>
      <w:r>
        <w:t xml:space="preserve">.</w:t>
      </w:r>
    </w:p>
    <w:bookmarkEnd w:id="230"/>
    <w:bookmarkStart w:id="232"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31">
        <w:r>
          <w:rPr>
            <w:rStyle w:val="Hipervnculo"/>
          </w:rPr>
          <w:t xml:space="preserve">https://doi.org/10.1016/j.artint.2018.07.007</w:t>
        </w:r>
      </w:hyperlink>
      <w:r>
        <w:t xml:space="preserve">.</w:t>
      </w:r>
    </w:p>
    <w:bookmarkEnd w:id="232"/>
    <w:bookmarkStart w:id="234"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33">
        <w:r>
          <w:rPr>
            <w:rStyle w:val="Hipervnculo"/>
          </w:rPr>
          <w:t xml:space="preserve">https://doi.org/10.1145/3287560.3287574</w:t>
        </w:r>
      </w:hyperlink>
      <w:r>
        <w:t xml:space="preserve">.</w:t>
      </w:r>
    </w:p>
    <w:bookmarkEnd w:id="234"/>
    <w:bookmarkStart w:id="236"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35">
        <w:r>
          <w:rPr>
            <w:rStyle w:val="Hipervnculo"/>
          </w:rPr>
          <w:t xml:space="preserve">https://doi.org/10.1145/3387166</w:t>
        </w:r>
      </w:hyperlink>
      <w:r>
        <w:t xml:space="preserve">.</w:t>
      </w:r>
    </w:p>
    <w:bookmarkEnd w:id="236"/>
    <w:bookmarkStart w:id="238"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37">
        <w:r>
          <w:rPr>
            <w:rStyle w:val="Hipervnculo"/>
          </w:rPr>
          <w:t xml:space="preserve">https://doi.org/10.1145/3351095.3372850</w:t>
        </w:r>
      </w:hyperlink>
      <w:r>
        <w:t xml:space="preserve">.</w:t>
      </w:r>
    </w:p>
    <w:bookmarkEnd w:id="238"/>
    <w:bookmarkStart w:id="240"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39">
        <w:r>
          <w:rPr>
            <w:rStyle w:val="Hipervnculo"/>
          </w:rPr>
          <w:t xml:space="preserve">https://doi.org/10.1073/pnas.1900654116</w:t>
        </w:r>
      </w:hyperlink>
      <w:r>
        <w:t xml:space="preserve">.</w:t>
      </w:r>
    </w:p>
    <w:bookmarkEnd w:id="240"/>
    <w:bookmarkStart w:id="242"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41">
        <w:r>
          <w:rPr>
            <w:rStyle w:val="Hipervnculo"/>
          </w:rPr>
          <w:t xml:space="preserve">https://doi.org/10.1145/3583558</w:t>
        </w:r>
      </w:hyperlink>
      <w:r>
        <w:t xml:space="preserve">.</w:t>
      </w:r>
    </w:p>
    <w:bookmarkEnd w:id="242"/>
    <w:bookmarkStart w:id="244"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43">
        <w:r>
          <w:rPr>
            <w:rStyle w:val="Hipervnculo"/>
          </w:rPr>
          <w:t xml:space="preserve">https://catalog.princeton.edu/catalog/2081365</w:t>
        </w:r>
      </w:hyperlink>
      <w:r>
        <w:t xml:space="preserve">.</w:t>
      </w:r>
    </w:p>
    <w:bookmarkEnd w:id="244"/>
    <w:bookmarkStart w:id="245"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45"/>
    <w:bookmarkStart w:id="247"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246">
        <w:r>
          <w:rPr>
            <w:rStyle w:val="Hipervnculo"/>
          </w:rPr>
          <w:t xml:space="preserve">https://doi.org/10.1038/s41467-022-33417-3</w:t>
        </w:r>
      </w:hyperlink>
      <w:r>
        <w:t xml:space="preserve">.</w:t>
      </w:r>
    </w:p>
    <w:bookmarkEnd w:id="247"/>
    <w:bookmarkStart w:id="249"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248">
        <w:r>
          <w:rPr>
            <w:rStyle w:val="Hipervnculo"/>
          </w:rPr>
          <w:t xml:space="preserve">https://doi.org/10.1016/j.neucom.2024.128282</w:t>
        </w:r>
      </w:hyperlink>
      <w:r>
        <w:t xml:space="preserve">.</w:t>
      </w:r>
    </w:p>
    <w:bookmarkEnd w:id="249"/>
    <w:bookmarkStart w:id="251"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250">
        <w:r>
          <w:rPr>
            <w:rStyle w:val="Hipervnculo"/>
          </w:rPr>
          <w:t xml:space="preserve">https://doi.org/10.1145/3375627.3375850</w:t>
        </w:r>
      </w:hyperlink>
      <w:r>
        <w:t xml:space="preserve">.</w:t>
      </w:r>
    </w:p>
    <w:bookmarkEnd w:id="251"/>
    <w:bookmarkStart w:id="253"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252">
        <w:r>
          <w:rPr>
            <w:rStyle w:val="Hipervnculo"/>
          </w:rPr>
          <w:t xml:space="preserve">https://doi.org/10.1145/2939672.2939778</w:t>
        </w:r>
      </w:hyperlink>
      <w:r>
        <w:t xml:space="preserve">.</w:t>
      </w:r>
    </w:p>
    <w:bookmarkEnd w:id="253"/>
    <w:bookmarkStart w:id="255"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254">
        <w:r>
          <w:rPr>
            <w:rStyle w:val="Hipervnculo"/>
          </w:rPr>
          <w:t xml:space="preserve">https://doi.org/10.1609/aaai.v32i1.11491</w:t>
        </w:r>
      </w:hyperlink>
      <w:r>
        <w:t xml:space="preserve">.</w:t>
      </w:r>
    </w:p>
    <w:bookmarkEnd w:id="255"/>
    <w:bookmarkStart w:id="257"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256">
        <w:r>
          <w:rPr>
            <w:rStyle w:val="Hipervnculo"/>
          </w:rPr>
          <w:t xml:space="preserve">https://doi.org/10.1109/TPAMI.2023.3331846</w:t>
        </w:r>
      </w:hyperlink>
      <w:r>
        <w:t xml:space="preserve">.</w:t>
      </w:r>
    </w:p>
    <w:bookmarkEnd w:id="257"/>
    <w:bookmarkStart w:id="259"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258">
        <w:r>
          <w:rPr>
            <w:rStyle w:val="Hipervnculo"/>
          </w:rPr>
          <w:t xml:space="preserve">https://doi.org/10.1214/21-ss133</w:t>
        </w:r>
      </w:hyperlink>
      <w:r>
        <w:t xml:space="preserve">.</w:t>
      </w:r>
    </w:p>
    <w:bookmarkEnd w:id="259"/>
    <w:bookmarkStart w:id="261"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260">
        <w:r>
          <w:rPr>
            <w:rStyle w:val="Hipervnculo"/>
          </w:rPr>
          <w:t xml:space="preserve">https://doi.org/10.3390/app14198884</w:t>
        </w:r>
      </w:hyperlink>
      <w:r>
        <w:t xml:space="preserve">.</w:t>
      </w:r>
    </w:p>
    <w:bookmarkEnd w:id="261"/>
    <w:bookmarkStart w:id="263"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262">
        <w:r>
          <w:rPr>
            <w:rStyle w:val="Hipervnculo"/>
          </w:rPr>
          <w:t xml:space="preserve">https://doi.org/10.1007/978-3-030-28954-6</w:t>
        </w:r>
      </w:hyperlink>
      <w:r>
        <w:t xml:space="preserve">.</w:t>
      </w:r>
    </w:p>
    <w:bookmarkEnd w:id="263"/>
    <w:bookmarkStart w:id="265"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264">
        <w:r>
          <w:rPr>
            <w:rStyle w:val="Hipervnculo"/>
          </w:rPr>
          <w:t xml:space="preserve">https://doi.org/10.1007/s10618-022-00867-8</w:t>
        </w:r>
      </w:hyperlink>
      <w:r>
        <w:t xml:space="preserve">.</w:t>
      </w:r>
    </w:p>
    <w:bookmarkEnd w:id="265"/>
    <w:bookmarkStart w:id="267"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266">
        <w:r>
          <w:rPr>
            <w:rStyle w:val="Hipervnculo"/>
          </w:rPr>
          <w:t xml:space="preserve">https://doi.org/10.1145/3375627.3375830</w:t>
        </w:r>
      </w:hyperlink>
      <w:r>
        <w:t xml:space="preserve">.</w:t>
      </w:r>
    </w:p>
    <w:bookmarkEnd w:id="267"/>
    <w:bookmarkStart w:id="269"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268">
        <w:r>
          <w:rPr>
            <w:rStyle w:val="Hipervnculo"/>
          </w:rPr>
          <w:t xml:space="preserve">https://doi.org/10.1007/s13218-020-00637-y</w:t>
        </w:r>
      </w:hyperlink>
      <w:r>
        <w:t xml:space="preserve">.</w:t>
      </w:r>
    </w:p>
    <w:bookmarkEnd w:id="269"/>
    <w:bookmarkStart w:id="271"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270">
        <w:r>
          <w:rPr>
            <w:rStyle w:val="Hipervnculo"/>
          </w:rPr>
          <w:t xml:space="preserve">https://doi.org/10.1109/TNNLS.2020.3027314</w:t>
        </w:r>
      </w:hyperlink>
      <w:r>
        <w:t xml:space="preserve">.</w:t>
      </w:r>
    </w:p>
    <w:bookmarkEnd w:id="271"/>
    <w:bookmarkStart w:id="273"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272">
        <w:r>
          <w:rPr>
            <w:rStyle w:val="Hipervnculo"/>
          </w:rPr>
          <w:t xml:space="preserve">https://doi.org/10.1609/aaai.v34i04.6064</w:t>
        </w:r>
      </w:hyperlink>
      <w:r>
        <w:t xml:space="preserve">.</w:t>
      </w:r>
    </w:p>
    <w:bookmarkEnd w:id="273"/>
    <w:bookmarkStart w:id="275"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274">
        <w:r>
          <w:rPr>
            <w:rStyle w:val="Hipervnculo"/>
          </w:rPr>
          <w:t xml:space="preserve">https://doi.org/10.1201/9781003442509</w:t>
        </w:r>
      </w:hyperlink>
      <w:r>
        <w:t xml:space="preserve">.</w:t>
      </w:r>
    </w:p>
    <w:bookmarkEnd w:id="275"/>
    <w:bookmarkStart w:id="277"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276">
        <w:r>
          <w:rPr>
            <w:rStyle w:val="Hipervnculo"/>
          </w:rPr>
          <w:t xml:space="preserve">https://doi.org/10.1613/jair.1.13283</w:t>
        </w:r>
      </w:hyperlink>
      <w:r>
        <w:t xml:space="preserve">.</w:t>
      </w:r>
    </w:p>
    <w:bookmarkEnd w:id="277"/>
    <w:bookmarkStart w:id="279"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278">
        <w:r>
          <w:rPr>
            <w:rStyle w:val="Hipervnculo"/>
          </w:rPr>
          <w:t xml:space="preserve">https://doi.org/10.2139/ssrn.3063289</w:t>
        </w:r>
      </w:hyperlink>
      <w:r>
        <w:t xml:space="preserve">.</w:t>
      </w:r>
    </w:p>
    <w:bookmarkEnd w:id="279"/>
    <w:bookmarkStart w:id="281"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280">
        <w:r>
          <w:rPr>
            <w:rStyle w:val="Hipervnculo"/>
          </w:rPr>
          <w:t xml:space="preserve">https://doi.org/10.2307/3001968</w:t>
        </w:r>
      </w:hyperlink>
      <w:r>
        <w:t xml:space="preserve">.</w:t>
      </w:r>
    </w:p>
    <w:bookmarkEnd w:id="281"/>
    <w:bookmarkStart w:id="283"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282">
        <w:r>
          <w:rPr>
            <w:rStyle w:val="Hipervnculo"/>
          </w:rPr>
          <w:t xml:space="preserve">https://trustai4s-lab.github.io/ffidelity</w:t>
        </w:r>
      </w:hyperlink>
      <w:r>
        <w:t xml:space="preserve">.</w:t>
      </w:r>
    </w:p>
    <w:bookmarkEnd w:id="283"/>
    <w:bookmarkEnd w:id="284"/>
    <w:bookmarkEnd w:id="285"/>
    <w:bookmarkStart w:id="298" w:name="apéndices"/>
    <w:p>
      <w:pPr>
        <w:pStyle w:val="Ttulo1"/>
        <w:spacing w:line="360" w:lineRule="auto"/>
        <w:jc w:val="both"/>
      </w:pPr>
      <w:r>
        <w:t xml:space="preserve">Apéndices</w:t>
      </w:r>
    </w:p>
    <w:bookmarkStart w:id="287"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286" w:name="tbl-appendix-dataset-schema"/>
          <w:p>
            <w:pPr>
              <w:jc w:val="both"/>
              <w:spacing w:line="360" w:lineRule="auto"/>
            </w:pPr>
            <w:pPr>
              <w:jc w:val="left"/>
              <w:spacing w:before="200"/>
              <w:pStyle w:val="ImageCaption"/>
            </w:pPr>
            <w:r>
              <w:t xml:space="preserve">Table 7.3: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286"/>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287"/>
    <w:bookmarkStart w:id="289"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288" w:name="tbl-appendix-models"/>
          <w:p>
            <w:pPr>
              <w:jc w:val="both"/>
              <w:spacing w:line="360" w:lineRule="auto"/>
            </w:pPr>
            <w:pPr>
              <w:jc w:val="left"/>
              <w:spacing w:before="200"/>
              <w:pStyle w:val="ImageCaption"/>
            </w:pPr>
            <w:r>
              <w:t xml:space="preserve">Table 7.4: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288"/>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289"/>
    <w:bookmarkStart w:id="291"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290" w:name="tbl-appendix-explainers"/>
          <w:p>
            <w:pPr>
              <w:jc w:val="both"/>
              <w:spacing w:line="360" w:lineRule="auto"/>
            </w:pPr>
            <w:pPr>
              <w:jc w:val="left"/>
              <w:spacing w:before="200"/>
              <w:pStyle w:val="ImageCaption"/>
            </w:pPr>
            <w:r>
              <w:t xml:space="preserve">Table 7.5: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290"/>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End w:id="291"/>
    <w:bookmarkStart w:id="293"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292" w:name="tbl-appendix-stat-outputs"/>
          <w:p>
            <w:pPr>
              <w:jc w:val="both"/>
              <w:spacing w:line="360" w:lineRule="auto"/>
            </w:pPr>
            <w:pPr>
              <w:jc w:val="left"/>
              <w:spacing w:before="200"/>
              <w:pStyle w:val="ImageCaption"/>
            </w:pPr>
            <w:r>
              <w:t xml:space="preserve">Table 7.6: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292"/>
          <w:p>
            <w:pPr>
              <w:spacing w:line="360" w:lineRule="auto"/>
              <w:jc w:val="both"/>
            </w:pPr>
          </w:p>
        </w:tc>
      </w:tr>
    </w:tbl>
    <w:p>
      <w:pPr>
        <w:pStyle w:val="Textoindependiente"/>
        <w:spacing w:line="360" w:lineRule="auto"/>
        <w:jc w:val="both"/>
      </w:pPr>
      <w:r>
        <w:t xml:space="preserve">La reproducibilidad de EXP1 se documenta en</w:t>
      </w:r>
      <w:r>
        <w:t xml:space="preserve"> </w:t>
      </w:r>
      <w:r>
        <w:rPr>
          <w:rStyle w:val="VerbatimChar"/>
        </w:rPr>
        <w:t xml:space="preserve">experiments/exp1_adult/reproducibility/reproducibility_report.csv</w:t>
      </w:r>
      <w:r>
        <w:t xml:space="preserve">, que sostiene</w:t>
      </w:r>
      <w:r>
        <w:t xml:space="preserve"> </w:t>
      </w:r>
      <w:r>
        <w:t xml:space="preserve">la proposición P1.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293"/>
    <w:bookmarkStart w:id="295"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33fd952a01a752f6988f46ba79b18694838c3f8f</w:t>
      </w:r>
      <w:r>
        <w:t xml:space="preserve">. El repositorio se archiva con DOI</w:t>
      </w:r>
      <w:r>
        <w:t xml:space="preserve"> </w:t>
      </w:r>
      <w:r>
        <w:t xml:space="preserve">Zenodo</w:t>
      </w:r>
      <w:r>
        <w:t xml:space="preserve"> </w:t>
      </w:r>
      <w:r>
        <w:rPr>
          <w:rStyle w:val="VerbatimChar"/>
        </w:rPr>
        <w:t xml:space="preserve">10.5281/zenodo.19297724</w:t>
      </w:r>
      <w:r>
        <w:t xml:space="preserve">.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294" w:name="tbl-appendix-environment"/>
          <w:p>
            <w:pPr>
              <w:jc w:val="both"/>
              <w:spacing w:line="360" w:lineRule="auto"/>
            </w:pPr>
            <w:pPr>
              <w:jc w:val="left"/>
              <w:spacing w:before="200"/>
              <w:pStyle w:val="ImageCaption"/>
            </w:pPr>
            <w:r>
              <w:t xml:space="preserve">Table 7.7: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294"/>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7"/>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7"/>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7"/>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7"/>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7"/>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295"/>
    <w:bookmarkStart w:id="297" w:name="apéndice-f-evaluación-semántica-con-llms"/>
    <w:p>
      <w:pPr>
        <w:pStyle w:val="Ttulo2"/>
        <w:spacing w:line="360" w:lineRule="auto"/>
        <w:jc w:val="both"/>
      </w:pPr>
      <w:r>
        <w:t xml:space="preserve">Apéndice F: Evaluación semántica con LLMs</w:t>
      </w:r>
    </w:p>
    <w:p>
      <w:pPr>
        <w:pStyle w:val="FirstParagraph"/>
        <w:spacing w:line="360" w:lineRule="auto"/>
        <w:jc w:val="both"/>
      </w:pPr>
      <w:r>
        <w:t xml:space="preserve">El repositorio contiene una línea exploratoria de evaluación semántica con LLMs:</w:t>
      </w:r>
      <w:r>
        <w:t xml:space="preserve"> </w:t>
      </w:r>
      <w:r>
        <w:t xml:space="preserve">plantillas en</w:t>
      </w:r>
      <w:r>
        <w:t xml:space="preserve"> </w:t>
      </w:r>
      <w:r>
        <w:rPr>
          <w:rStyle w:val="VerbatimChar"/>
        </w:rPr>
        <w:t xml:space="preserve">src/prompts/templates/</w:t>
      </w:r>
      <w:r>
        <w:t xml:space="preserve">, cliente en</w:t>
      </w:r>
      <w:r>
        <w:t xml:space="preserve"> </w:t>
      </w:r>
      <w:r>
        <w:rPr>
          <w:rStyle w:val="VerbatimChar"/>
        </w:rPr>
        <w:t xml:space="preserve">src/llm/client.py</w:t>
      </w:r>
      <w:r>
        <w:t xml:space="preserve"> </w:t>
      </w:r>
      <w:r>
        <w:t xml:space="preserve">y salidas</w:t>
      </w:r>
      <w:r>
        <w:t xml:space="preserve"> </w:t>
      </w:r>
      <w:r>
        <w:t xml:space="preserve">en</w:t>
      </w:r>
      <w:r>
        <w:t xml:space="preserve"> </w:t>
      </w:r>
      <w:r>
        <w:rPr>
          <w:rStyle w:val="VerbatimChar"/>
        </w:rPr>
        <w:t xml:space="preserve">outputs/analysis/exp4_llm_evaluation/</w:t>
      </w:r>
      <w:r>
        <w:t xml:space="preserve">. Esta línea no forma parte de las</w:t>
      </w:r>
      <w:r>
        <w:t xml:space="preserve"> </w:t>
      </w:r>
      <w:r>
        <w:t xml:space="preserve">hipótesis confirmativas H1-H3 ni de la proposición P1. Por tanto, se conserva</w:t>
      </w:r>
      <w:r>
        <w:t xml:space="preserve"> </w:t>
      </w:r>
      <w:r>
        <w:t xml:space="preserve">como material exploratorio y trabajo futuro, no como evidencia principal de la</w:t>
      </w:r>
      <w:r>
        <w:t xml:space="preserve"> </w:t>
      </w:r>
      <w:r>
        <w:t xml:space="preserve">tesis.</w:t>
      </w:r>
    </w:p>
    <w:tbl>
      <w:tblPr>
        <w:tblStyle w:val="Table"/>
        <w:tblW w:type="pct" w:w="5000"/>
        <w:tblLayout w:type="fixed"/>
        <w:tblLook w:firstRow="0" w:lastRow="0" w:firstColumn="0" w:lastColumn="0" w:noHBand="0" w:noVBand="0" w:val="0000"/>
      </w:tblPr>
      <w:tblGrid>
        <w:gridCol w:w="7920"/>
      </w:tblGrid>
      <w:tr>
        <w:tc>
          <w:tcPr/>
          <w:bookmarkStart w:id="296" w:name="tbl-appendix-llm"/>
          <w:p>
            <w:pPr>
              <w:jc w:val="both"/>
              <w:spacing w:line="360" w:lineRule="auto"/>
            </w:pPr>
            <w:pPr>
              <w:jc w:val="left"/>
              <w:spacing w:before="200"/>
              <w:pStyle w:val="ImageCaption"/>
            </w:pPr>
            <w:r>
              <w:t xml:space="preserve">Table 7.8: Artefactos de evaluación LLM y estado dentro de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Estado en la tesis</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evaluación de explicaciones</w:t>
                  </w:r>
                </w:p>
              </w:tc>
              <w:tc>
                <w:tcPr/>
                <w:p>
                  <w:pPr>
                    <w:pStyle w:val="Compact"/>
                    <w:jc w:val="both"/>
                    <w:jc w:val="center"/>
                    <w:spacing w:line="360" w:lineRule="auto"/>
                  </w:pPr>
                  <w:r>
                    <w:t xml:space="preserve">Exploratorio</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juez LLM</w:t>
                  </w:r>
                </w:p>
              </w:tc>
              <w:tc>
                <w:tcPr/>
                <w:p>
                  <w:pPr>
                    <w:pStyle w:val="Compact"/>
                    <w:jc w:val="both"/>
                    <w:jc w:val="center"/>
                    <w:spacing w:line="360" w:lineRule="auto"/>
                  </w:pPr>
                  <w:r>
                    <w:t xml:space="preserve">Exploratorio</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entre jueces</w:t>
                  </w:r>
                </w:p>
              </w:tc>
              <w:tc>
                <w:tcPr/>
                <w:p>
                  <w:pPr>
                    <w:pStyle w:val="Compact"/>
                    <w:jc w:val="both"/>
                    <w:jc w:val="center"/>
                    <w:spacing w:line="360" w:lineRule="auto"/>
                  </w:pPr>
                  <w:r>
                    <w:t xml:space="preserve">No confirmativo</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w:r>
                    <w:t xml:space="preserve">Acuerdo entre jueces</w:t>
                  </w:r>
                </w:p>
              </w:tc>
              <w:tc>
                <w:tcPr/>
                <w:p>
                  <w:pPr>
                    <w:pStyle w:val="Compact"/>
                    <w:jc w:val="both"/>
                    <w:jc w:val="center"/>
                    <w:spacing w:line="360" w:lineRule="auto"/>
                  </w:pPr>
                  <w:r>
                    <w:t xml:space="preserve">No confirmativo</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Confiabilidad tipo ICC</w:t>
                  </w:r>
                </w:p>
              </w:tc>
              <w:tc>
                <w:tcPr/>
                <w:p>
                  <w:pPr>
                    <w:pStyle w:val="Compact"/>
                    <w:jc w:val="both"/>
                    <w:jc w:val="center"/>
                    <w:spacing w:line="360" w:lineRule="auto"/>
                  </w:pPr>
                  <w:r>
                    <w:t xml:space="preserve">No confirmativo</w:t>
                  </w:r>
                </w:p>
              </w:tc>
            </w:tr>
          </w:tbl>
          <w:bookmarkEnd w:id="296"/>
          <w:p>
            <w:pPr>
              <w:spacing w:line="360" w:lineRule="auto"/>
              <w:jc w:val="both"/>
            </w:pPr>
          </w:p>
        </w:tc>
      </w:tr>
    </w:tbl>
    <w:p>
      <w:pPr>
        <w:pStyle w:val="Textoindependiente"/>
        <w:spacing w:line="360" w:lineRule="auto"/>
        <w:jc w:val="both"/>
      </w:pPr>
      <w:r>
        <w:t xml:space="preserve">Esta delimitación evita mezclar dos contribuciones con estándares de validación</w:t>
      </w:r>
      <w:r>
        <w:t xml:space="preserve"> </w:t>
      </w:r>
      <w:r>
        <w:t xml:space="preserve">distintos. Una integración plena de evaluación LLM requeriría un protocolo</w:t>
      </w:r>
      <w:r>
        <w:t xml:space="preserve"> </w:t>
      </w:r>
      <w:r>
        <w:t xml:space="preserve">propio de selección de modelos, prompts, acuerdo humano-LLM, análisis de</w:t>
      </w:r>
      <w:r>
        <w:t xml:space="preserve"> </w:t>
      </w:r>
      <w:r>
        <w:t xml:space="preserve">fiabilidad y amenazas de validez.</w:t>
      </w:r>
    </w:p>
    <w:bookmarkEnd w:id="297"/>
    <w:bookmarkEnd w:id="298"/>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21" Target="media/rId121.png" /><Relationship Type="http://schemas.openxmlformats.org/officeDocument/2006/relationships/hyperlink" Id="rId213" Target="https://archive.ics.uci.edu/dataset/2/adult" TargetMode="External" /><Relationship Type="http://schemas.openxmlformats.org/officeDocument/2006/relationships/hyperlink" Id="rId172" Target="https://arxiv.org/abs/1806.08049" TargetMode="External" /><Relationship Type="http://schemas.openxmlformats.org/officeDocument/2006/relationships/hyperlink" Id="rId243" Target="https://catalog.princeton.edu/catalog/2081365" TargetMode="External" /><Relationship Type="http://schemas.openxmlformats.org/officeDocument/2006/relationships/hyperlink" Id="rId174" Target="https://doi.org/10.1002/widm.1424" TargetMode="External" /><Relationship Type="http://schemas.openxmlformats.org/officeDocument/2006/relationships/hyperlink" Id="rId229" Target="https://doi.org/10.1002/widm.1493" TargetMode="External" /><Relationship Type="http://schemas.openxmlformats.org/officeDocument/2006/relationships/hyperlink" Id="rId262" Target="https://doi.org/10.1007/978-3-030-28954-6" TargetMode="External" /><Relationship Type="http://schemas.openxmlformats.org/officeDocument/2006/relationships/hyperlink" Id="rId264" Target="https://doi.org/10.1007/s10618-022-00867-8" TargetMode="External" /><Relationship Type="http://schemas.openxmlformats.org/officeDocument/2006/relationships/hyperlink" Id="rId194" Target="https://doi.org/10.1007/s11023-018-9482-5" TargetMode="External" /><Relationship Type="http://schemas.openxmlformats.org/officeDocument/2006/relationships/hyperlink" Id="rId204" Target="https://doi.org/10.1007/s12559-023-10179-8" TargetMode="External" /><Relationship Type="http://schemas.openxmlformats.org/officeDocument/2006/relationships/hyperlink" Id="rId268" Target="https://doi.org/10.1007/s13218-020-00637-y" TargetMode="External" /><Relationship Type="http://schemas.openxmlformats.org/officeDocument/2006/relationships/hyperlink" Id="rId207" Target="https://doi.org/10.1007/s13218-023-00806-9" TargetMode="External" /><Relationship Type="http://schemas.openxmlformats.org/officeDocument/2006/relationships/hyperlink" Id="rId231" Target="https://doi.org/10.1016/j.artint.2018.07.007" TargetMode="External" /><Relationship Type="http://schemas.openxmlformats.org/officeDocument/2006/relationships/hyperlink" Id="rId217" Target="https://doi.org/10.1016/j.artint.2021.103473" TargetMode="External" /><Relationship Type="http://schemas.openxmlformats.org/officeDocument/2006/relationships/hyperlink" Id="rId176" Target="https://doi.org/10.1016/j.inffus.2019.12.012" TargetMode="External" /><Relationship Type="http://schemas.openxmlformats.org/officeDocument/2006/relationships/hyperlink" Id="rId166" Target="https://doi.org/10.1016/j.inffus.2023.101805" TargetMode="External" /><Relationship Type="http://schemas.openxmlformats.org/officeDocument/2006/relationships/hyperlink" Id="rId248" Target="https://doi.org/10.1016/j.neucom.2024.128282" TargetMode="External" /><Relationship Type="http://schemas.openxmlformats.org/officeDocument/2006/relationships/hyperlink" Id="rId182" Target="https://doi.org/10.1023/a:1010933404324" TargetMode="External" /><Relationship Type="http://schemas.openxmlformats.org/officeDocument/2006/relationships/hyperlink" Id="rId246" Target="https://doi.org/10.1038/s41467-022-33417-3" TargetMode="External" /><Relationship Type="http://schemas.openxmlformats.org/officeDocument/2006/relationships/hyperlink" Id="rId239" Target="https://doi.org/10.1073/pnas.1900654116" TargetMode="External" /><Relationship Type="http://schemas.openxmlformats.org/officeDocument/2006/relationships/hyperlink" Id="rId196" Target="https://doi.org/10.1080/01621459.1937.10503522" TargetMode="External" /><Relationship Type="http://schemas.openxmlformats.org/officeDocument/2006/relationships/hyperlink" Id="rId161" Target="https://doi.org/10.1109/INES59045.2023.1030000" TargetMode="External" /><Relationship Type="http://schemas.openxmlformats.org/officeDocument/2006/relationships/hyperlink" Id="rId270" Target="https://doi.org/10.1109/TNNLS.2020.3027314" TargetMode="External" /><Relationship Type="http://schemas.openxmlformats.org/officeDocument/2006/relationships/hyperlink" Id="rId256" Target="https://doi.org/10.1109/TPAMI.2023.3331846" TargetMode="External" /><Relationship Type="http://schemas.openxmlformats.org/officeDocument/2006/relationships/hyperlink" Id="rId163" Target="https://doi.org/10.1109/access.2018.2870052" TargetMode="External" /><Relationship Type="http://schemas.openxmlformats.org/officeDocument/2006/relationships/hyperlink" Id="rId198" Target="https://doi.org/10.1109/dsaa.2018.00018" TargetMode="External" /><Relationship Type="http://schemas.openxmlformats.org/officeDocument/2006/relationships/hyperlink" Id="rId252" Target="https://doi.org/10.1145/2939672.2939778" TargetMode="External" /><Relationship Type="http://schemas.openxmlformats.org/officeDocument/2006/relationships/hyperlink" Id="rId159" Target="https://doi.org/10.1145/3173574.3174156" TargetMode="External" /><Relationship Type="http://schemas.openxmlformats.org/officeDocument/2006/relationships/hyperlink" Id="rId200" Target="https://doi.org/10.1145/3236009" TargetMode="External" /><Relationship Type="http://schemas.openxmlformats.org/officeDocument/2006/relationships/hyperlink" Id="rId223" Target="https://doi.org/10.1145/3236386.3241340" TargetMode="External" /><Relationship Type="http://schemas.openxmlformats.org/officeDocument/2006/relationships/hyperlink" Id="rId233" Target="https://doi.org/10.1145/3287560.3287574" TargetMode="External" /><Relationship Type="http://schemas.openxmlformats.org/officeDocument/2006/relationships/hyperlink" Id="rId211" Target="https://doi.org/10.1145/3313831.3376219" TargetMode="External" /><Relationship Type="http://schemas.openxmlformats.org/officeDocument/2006/relationships/hyperlink" Id="rId237" Target="https://doi.org/10.1145/3351095.3372850" TargetMode="External" /><Relationship Type="http://schemas.openxmlformats.org/officeDocument/2006/relationships/hyperlink" Id="rId266" Target="https://doi.org/10.1145/3375627.3375830" TargetMode="External" /><Relationship Type="http://schemas.openxmlformats.org/officeDocument/2006/relationships/hyperlink" Id="rId250" Target="https://doi.org/10.1145/3375627.3375850" TargetMode="External" /><Relationship Type="http://schemas.openxmlformats.org/officeDocument/2006/relationships/hyperlink" Id="rId235" Target="https://doi.org/10.1145/3387166" TargetMode="External" /><Relationship Type="http://schemas.openxmlformats.org/officeDocument/2006/relationships/hyperlink" Id="rId209" Target="https://doi.org/10.1145/3527848" TargetMode="External" /><Relationship Type="http://schemas.openxmlformats.org/officeDocument/2006/relationships/hyperlink" Id="rId241" Target="https://doi.org/10.1145/3583558" TargetMode="External" /><Relationship Type="http://schemas.openxmlformats.org/officeDocument/2006/relationships/hyperlink" Id="rId180" Target="https://doi.org/10.1145/3631700.3664911" TargetMode="External" /><Relationship Type="http://schemas.openxmlformats.org/officeDocument/2006/relationships/hyperlink" Id="rId227" Target="https://doi.org/10.1145/3647444.3647912" TargetMode="External" /><Relationship Type="http://schemas.openxmlformats.org/officeDocument/2006/relationships/hyperlink" Id="rId186" Target="https://doi.org/10.1145/3737445" TargetMode="External" /><Relationship Type="http://schemas.openxmlformats.org/officeDocument/2006/relationships/hyperlink" Id="rId168" Target="https://doi.org/10.1146/annurev-statistics-040120-030919" TargetMode="External" /><Relationship Type="http://schemas.openxmlformats.org/officeDocument/2006/relationships/hyperlink" Id="rId274" Target="https://doi.org/10.1201/9781003442509" TargetMode="External" /><Relationship Type="http://schemas.openxmlformats.org/officeDocument/2006/relationships/hyperlink" Id="rId258" Target="https://doi.org/10.1214/21-ss133" TargetMode="External" /><Relationship Type="http://schemas.openxmlformats.org/officeDocument/2006/relationships/hyperlink" Id="rId254" Target="https://doi.org/10.1609/aaai.v32i1.11491" TargetMode="External" /><Relationship Type="http://schemas.openxmlformats.org/officeDocument/2006/relationships/hyperlink" Id="rId272" Target="https://doi.org/10.1609/aaai.v34i04.6064" TargetMode="External" /><Relationship Type="http://schemas.openxmlformats.org/officeDocument/2006/relationships/hyperlink" Id="rId276" Target="https://doi.org/10.1613/jair.1.13283" TargetMode="External" /><Relationship Type="http://schemas.openxmlformats.org/officeDocument/2006/relationships/hyperlink" Id="rId202" Target="https://doi.org/10.18653/v1/2020.acl-main.491" TargetMode="External" /><Relationship Type="http://schemas.openxmlformats.org/officeDocument/2006/relationships/hyperlink" Id="rId184" Target="https://doi.org/10.18653/v1/2023.emnlp-main.792" TargetMode="External" /><Relationship Type="http://schemas.openxmlformats.org/officeDocument/2006/relationships/hyperlink" Id="rId278" Target="https://doi.org/10.2139/ssrn.3063289" TargetMode="External" /><Relationship Type="http://schemas.openxmlformats.org/officeDocument/2006/relationships/hyperlink" Id="rId280" Target="https://doi.org/10.2307/3001968" TargetMode="External" /><Relationship Type="http://schemas.openxmlformats.org/officeDocument/2006/relationships/hyperlink" Id="rId219" Target="https://doi.org/10.24963/ijcai.2019/388" TargetMode="External" /><Relationship Type="http://schemas.openxmlformats.org/officeDocument/2006/relationships/hyperlink" Id="rId178" Target="https://doi.org/10.3389/fdata.2021.688969" TargetMode="External" /><Relationship Type="http://schemas.openxmlformats.org/officeDocument/2006/relationships/hyperlink" Id="rId215" Target="https://doi.org/10.3389/fpsyg.2013.00863" TargetMode="External" /><Relationship Type="http://schemas.openxmlformats.org/officeDocument/2006/relationships/hyperlink" Id="rId260" Target="https://doi.org/10.3390/app14198884" TargetMode="External" /><Relationship Type="http://schemas.openxmlformats.org/officeDocument/2006/relationships/hyperlink" Id="rId221" Target="https://doi.org/10.3390/e23010018" TargetMode="External" /><Relationship Type="http://schemas.openxmlformats.org/officeDocument/2006/relationships/hyperlink" Id="rId188" Target="https://doi.org/10.3390/electronics8080832" TargetMode="External" /><Relationship Type="http://schemas.openxmlformats.org/officeDocument/2006/relationships/hyperlink" Id="rId170" Target="https://doi.org/10.3390/technologies13030093" TargetMode="External" /><Relationship Type="http://schemas.openxmlformats.org/officeDocument/2006/relationships/hyperlink" Id="rId192" Target="https://doi.org/10.48550/arxiv.1702.08608" TargetMode="External" /><Relationship Type="http://schemas.openxmlformats.org/officeDocument/2006/relationships/hyperlink" Id="rId225" Target="https://doi.org/10.48550/arxiv.1705.07874" TargetMode="External" /><Relationship Type="http://schemas.openxmlformats.org/officeDocument/2006/relationships/hyperlink" Id="rId282" Target="https://trustai4s-lab.github.io/ffidelity" TargetMode="External" /><Relationship Type="http://schemas.openxmlformats.org/officeDocument/2006/relationships/hyperlink" Id="rId190" Target="https://www.jmlr.org/papers/v7/demsar06a.html" TargetMode="External" /></Relationships>
</file>

<file path=word/_rels/footnotes.xml.rels><?xml version="1.0" encoding="UTF-8"?><Relationships xmlns="http://schemas.openxmlformats.org/package/2006/relationships"><Relationship Type="http://schemas.openxmlformats.org/officeDocument/2006/relationships/hyperlink" Id="rId213" Target="https://archive.ics.uci.edu/dataset/2/adult" TargetMode="External" /><Relationship Type="http://schemas.openxmlformats.org/officeDocument/2006/relationships/hyperlink" Id="rId172" Target="https://arxiv.org/abs/1806.08049" TargetMode="External" /><Relationship Type="http://schemas.openxmlformats.org/officeDocument/2006/relationships/hyperlink" Id="rId243" Target="https://catalog.princeton.edu/catalog/2081365" TargetMode="External" /><Relationship Type="http://schemas.openxmlformats.org/officeDocument/2006/relationships/hyperlink" Id="rId174" Target="https://doi.org/10.1002/widm.1424" TargetMode="External" /><Relationship Type="http://schemas.openxmlformats.org/officeDocument/2006/relationships/hyperlink" Id="rId229" Target="https://doi.org/10.1002/widm.1493" TargetMode="External" /><Relationship Type="http://schemas.openxmlformats.org/officeDocument/2006/relationships/hyperlink" Id="rId262" Target="https://doi.org/10.1007/978-3-030-28954-6" TargetMode="External" /><Relationship Type="http://schemas.openxmlformats.org/officeDocument/2006/relationships/hyperlink" Id="rId264" Target="https://doi.org/10.1007/s10618-022-00867-8" TargetMode="External" /><Relationship Type="http://schemas.openxmlformats.org/officeDocument/2006/relationships/hyperlink" Id="rId194" Target="https://doi.org/10.1007/s11023-018-9482-5" TargetMode="External" /><Relationship Type="http://schemas.openxmlformats.org/officeDocument/2006/relationships/hyperlink" Id="rId204" Target="https://doi.org/10.1007/s12559-023-10179-8" TargetMode="External" /><Relationship Type="http://schemas.openxmlformats.org/officeDocument/2006/relationships/hyperlink" Id="rId268" Target="https://doi.org/10.1007/s13218-020-00637-y" TargetMode="External" /><Relationship Type="http://schemas.openxmlformats.org/officeDocument/2006/relationships/hyperlink" Id="rId207" Target="https://doi.org/10.1007/s13218-023-00806-9" TargetMode="External" /><Relationship Type="http://schemas.openxmlformats.org/officeDocument/2006/relationships/hyperlink" Id="rId231" Target="https://doi.org/10.1016/j.artint.2018.07.007" TargetMode="External" /><Relationship Type="http://schemas.openxmlformats.org/officeDocument/2006/relationships/hyperlink" Id="rId217" Target="https://doi.org/10.1016/j.artint.2021.103473" TargetMode="External" /><Relationship Type="http://schemas.openxmlformats.org/officeDocument/2006/relationships/hyperlink" Id="rId176" Target="https://doi.org/10.1016/j.inffus.2019.12.012" TargetMode="External" /><Relationship Type="http://schemas.openxmlformats.org/officeDocument/2006/relationships/hyperlink" Id="rId166" Target="https://doi.org/10.1016/j.inffus.2023.101805" TargetMode="External" /><Relationship Type="http://schemas.openxmlformats.org/officeDocument/2006/relationships/hyperlink" Id="rId248" Target="https://doi.org/10.1016/j.neucom.2024.128282" TargetMode="External" /><Relationship Type="http://schemas.openxmlformats.org/officeDocument/2006/relationships/hyperlink" Id="rId182" Target="https://doi.org/10.1023/a:1010933404324" TargetMode="External" /><Relationship Type="http://schemas.openxmlformats.org/officeDocument/2006/relationships/hyperlink" Id="rId246" Target="https://doi.org/10.1038/s41467-022-33417-3" TargetMode="External" /><Relationship Type="http://schemas.openxmlformats.org/officeDocument/2006/relationships/hyperlink" Id="rId239" Target="https://doi.org/10.1073/pnas.1900654116" TargetMode="External" /><Relationship Type="http://schemas.openxmlformats.org/officeDocument/2006/relationships/hyperlink" Id="rId196" Target="https://doi.org/10.1080/01621459.1937.10503522" TargetMode="External" /><Relationship Type="http://schemas.openxmlformats.org/officeDocument/2006/relationships/hyperlink" Id="rId161" Target="https://doi.org/10.1109/INES59045.2023.1030000" TargetMode="External" /><Relationship Type="http://schemas.openxmlformats.org/officeDocument/2006/relationships/hyperlink" Id="rId270" Target="https://doi.org/10.1109/TNNLS.2020.3027314" TargetMode="External" /><Relationship Type="http://schemas.openxmlformats.org/officeDocument/2006/relationships/hyperlink" Id="rId256" Target="https://doi.org/10.1109/TPAMI.2023.3331846" TargetMode="External" /><Relationship Type="http://schemas.openxmlformats.org/officeDocument/2006/relationships/hyperlink" Id="rId163" Target="https://doi.org/10.1109/access.2018.2870052" TargetMode="External" /><Relationship Type="http://schemas.openxmlformats.org/officeDocument/2006/relationships/hyperlink" Id="rId198" Target="https://doi.org/10.1109/dsaa.2018.00018" TargetMode="External" /><Relationship Type="http://schemas.openxmlformats.org/officeDocument/2006/relationships/hyperlink" Id="rId252" Target="https://doi.org/10.1145/2939672.2939778" TargetMode="External" /><Relationship Type="http://schemas.openxmlformats.org/officeDocument/2006/relationships/hyperlink" Id="rId159" Target="https://doi.org/10.1145/3173574.3174156" TargetMode="External" /><Relationship Type="http://schemas.openxmlformats.org/officeDocument/2006/relationships/hyperlink" Id="rId200" Target="https://doi.org/10.1145/3236009" TargetMode="External" /><Relationship Type="http://schemas.openxmlformats.org/officeDocument/2006/relationships/hyperlink" Id="rId223" Target="https://doi.org/10.1145/3236386.3241340" TargetMode="External" /><Relationship Type="http://schemas.openxmlformats.org/officeDocument/2006/relationships/hyperlink" Id="rId233" Target="https://doi.org/10.1145/3287560.3287574" TargetMode="External" /><Relationship Type="http://schemas.openxmlformats.org/officeDocument/2006/relationships/hyperlink" Id="rId211" Target="https://doi.org/10.1145/3313831.3376219" TargetMode="External" /><Relationship Type="http://schemas.openxmlformats.org/officeDocument/2006/relationships/hyperlink" Id="rId237" Target="https://doi.org/10.1145/3351095.3372850" TargetMode="External" /><Relationship Type="http://schemas.openxmlformats.org/officeDocument/2006/relationships/hyperlink" Id="rId266" Target="https://doi.org/10.1145/3375627.3375830" TargetMode="External" /><Relationship Type="http://schemas.openxmlformats.org/officeDocument/2006/relationships/hyperlink" Id="rId250" Target="https://doi.org/10.1145/3375627.3375850" TargetMode="External" /><Relationship Type="http://schemas.openxmlformats.org/officeDocument/2006/relationships/hyperlink" Id="rId235" Target="https://doi.org/10.1145/3387166" TargetMode="External" /><Relationship Type="http://schemas.openxmlformats.org/officeDocument/2006/relationships/hyperlink" Id="rId209" Target="https://doi.org/10.1145/3527848" TargetMode="External" /><Relationship Type="http://schemas.openxmlformats.org/officeDocument/2006/relationships/hyperlink" Id="rId241" Target="https://doi.org/10.1145/3583558" TargetMode="External" /><Relationship Type="http://schemas.openxmlformats.org/officeDocument/2006/relationships/hyperlink" Id="rId180" Target="https://doi.org/10.1145/3631700.3664911" TargetMode="External" /><Relationship Type="http://schemas.openxmlformats.org/officeDocument/2006/relationships/hyperlink" Id="rId227" Target="https://doi.org/10.1145/3647444.3647912" TargetMode="External" /><Relationship Type="http://schemas.openxmlformats.org/officeDocument/2006/relationships/hyperlink" Id="rId186" Target="https://doi.org/10.1145/3737445" TargetMode="External" /><Relationship Type="http://schemas.openxmlformats.org/officeDocument/2006/relationships/hyperlink" Id="rId168" Target="https://doi.org/10.1146/annurev-statistics-040120-030919" TargetMode="External" /><Relationship Type="http://schemas.openxmlformats.org/officeDocument/2006/relationships/hyperlink" Id="rId274" Target="https://doi.org/10.1201/9781003442509" TargetMode="External" /><Relationship Type="http://schemas.openxmlformats.org/officeDocument/2006/relationships/hyperlink" Id="rId258" Target="https://doi.org/10.1214/21-ss133" TargetMode="External" /><Relationship Type="http://schemas.openxmlformats.org/officeDocument/2006/relationships/hyperlink" Id="rId254" Target="https://doi.org/10.1609/aaai.v32i1.11491" TargetMode="External" /><Relationship Type="http://schemas.openxmlformats.org/officeDocument/2006/relationships/hyperlink" Id="rId272" Target="https://doi.org/10.1609/aaai.v34i04.6064" TargetMode="External" /><Relationship Type="http://schemas.openxmlformats.org/officeDocument/2006/relationships/hyperlink" Id="rId276" Target="https://doi.org/10.1613/jair.1.13283" TargetMode="External" /><Relationship Type="http://schemas.openxmlformats.org/officeDocument/2006/relationships/hyperlink" Id="rId202" Target="https://doi.org/10.18653/v1/2020.acl-main.491" TargetMode="External" /><Relationship Type="http://schemas.openxmlformats.org/officeDocument/2006/relationships/hyperlink" Id="rId184" Target="https://doi.org/10.18653/v1/2023.emnlp-main.792" TargetMode="External" /><Relationship Type="http://schemas.openxmlformats.org/officeDocument/2006/relationships/hyperlink" Id="rId278" Target="https://doi.org/10.2139/ssrn.3063289" TargetMode="External" /><Relationship Type="http://schemas.openxmlformats.org/officeDocument/2006/relationships/hyperlink" Id="rId280" Target="https://doi.org/10.2307/3001968" TargetMode="External" /><Relationship Type="http://schemas.openxmlformats.org/officeDocument/2006/relationships/hyperlink" Id="rId219" Target="https://doi.org/10.24963/ijcai.2019/388" TargetMode="External" /><Relationship Type="http://schemas.openxmlformats.org/officeDocument/2006/relationships/hyperlink" Id="rId178" Target="https://doi.org/10.3389/fdata.2021.688969" TargetMode="External" /><Relationship Type="http://schemas.openxmlformats.org/officeDocument/2006/relationships/hyperlink" Id="rId215" Target="https://doi.org/10.3389/fpsyg.2013.00863" TargetMode="External" /><Relationship Type="http://schemas.openxmlformats.org/officeDocument/2006/relationships/hyperlink" Id="rId260" Target="https://doi.org/10.3390/app14198884" TargetMode="External" /><Relationship Type="http://schemas.openxmlformats.org/officeDocument/2006/relationships/hyperlink" Id="rId221" Target="https://doi.org/10.3390/e23010018" TargetMode="External" /><Relationship Type="http://schemas.openxmlformats.org/officeDocument/2006/relationships/hyperlink" Id="rId188" Target="https://doi.org/10.3390/electronics8080832" TargetMode="External" /><Relationship Type="http://schemas.openxmlformats.org/officeDocument/2006/relationships/hyperlink" Id="rId170" Target="https://doi.org/10.3390/technologies13030093" TargetMode="External" /><Relationship Type="http://schemas.openxmlformats.org/officeDocument/2006/relationships/hyperlink" Id="rId192" Target="https://doi.org/10.48550/arxiv.1702.08608" TargetMode="External" /><Relationship Type="http://schemas.openxmlformats.org/officeDocument/2006/relationships/hyperlink" Id="rId225" Target="https://doi.org/10.48550/arxiv.1705.07874" TargetMode="External" /><Relationship Type="http://schemas.openxmlformats.org/officeDocument/2006/relationships/hyperlink" Id="rId282" Target="https://trustai4s-lab.github.io/ffidelity" TargetMode="External" /><Relationship Type="http://schemas.openxmlformats.org/officeDocument/2006/relationships/hyperlink" Id="rId190" Target="https://www.jmlr.org/papers/v7/demsar06a.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2026-05-05T03:31:10Z</dcterms:created>
  <dcterms:modified xsi:type="dcterms:W3CDTF">2026-05-05T03:31:10Z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