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Using an existing</w:t>
      </w:r>
      <w:r>
        <w:t xml:space="preserve"> </w:t>
      </w:r>
      <w:r>
        <w:t xml:space="preserve">benchmark on the UCI Adult data,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correction, a control for the prediction margin, and an</w:t>
      </w:r>
      <w:r>
        <w:t xml:space="preserve"> </w:t>
      </w:r>
      <w:r>
        <w:t xml:space="preserve">external check on German Credit. Explanations were less stable on misclassified instances</w:t>
      </w:r>
      <w:r>
        <w:t xml:space="preserve"> </w:t>
      </w:r>
      <w:r>
        <w:t xml:space="preserve">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family, and on</w:t>
      </w:r>
      <w:r>
        <w:t xml:space="preserve"> </w:t>
      </w:r>
      <w:r>
        <w:t xml:space="preserve">German Credit it held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Con un banco de pruebas existente sobre UCI Adult,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un control del margen de predicción y una verificación externa con German Credit.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 y, en German Credit, se mantuvo</w:t>
      </w:r>
      <w:r>
        <w:t xml:space="preserve"> </w:t>
      </w:r>
      <w:r>
        <w:t xml:space="preserve">para Anchors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the quality of an</w:t>
      </w:r>
      <w:r>
        <w:t xml:space="preserve"> </w:t>
      </w:r>
      <w:r>
        <w:t xml:space="preserve">explanation differs between the correct and the wrong predictions of a given model is a</w:t>
      </w:r>
      <w:r>
        <w:t xml:space="preserve"> </w:t>
      </w:r>
      <w:r>
        <w:t xml:space="preserve">related but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benchmark-and-data"/>
    <w:p>
      <w:pPr>
        <w:pStyle w:val="Heading2"/>
      </w:pPr>
      <w:r>
        <w:t xml:space="preserve">Benchmark and data</w:t>
      </w:r>
    </w:p>
    <w:p>
      <w:pPr>
        <w:pStyle w:val="FirstParagraph"/>
      </w:pPr>
      <w:r>
        <w:t xml:space="preserve">The data are the runs of an existing benchmark on the UCI Adult income data</w:t>
      </w:r>
      <w:r>
        <w:t xml:space="preserve"> </w:t>
      </w:r>
      <w:r>
        <w:t xml:space="preserve">[18]</w:t>
      </w:r>
      <w:r>
        <w:t xml:space="preserve">, released with its protocol in</w:t>
      </w:r>
      <w:r>
        <w:t xml:space="preserve"> </w:t>
      </w:r>
      <w:r>
        <w:t xml:space="preserve">[9]</w:t>
      </w:r>
      <w:r>
        <w:t xml:space="preserve">. That study, and a later analysis of the same runs, compare</w:t>
      </w:r>
      <w:r>
        <w:t xml:space="preserve"> </w:t>
      </w:r>
      <w:r>
        <w:t xml:space="preserve">explainers by their average quality; the present analysis reports none of their results</w:t>
      </w:r>
      <w:r>
        <w:t xml:space="preserve"> </w:t>
      </w:r>
      <w:r>
        <w:t xml:space="preserve">and compares each explainer with itself, between correct and misclassified instances of</w:t>
      </w:r>
      <w:r>
        <w:t xml:space="preserve"> </w:t>
      </w:r>
      <w:r>
        <w:t xml:space="preserve">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[19]</w:t>
      </w:r>
      <w:r>
        <w:t xml:space="preserve">, XGBoost</w:t>
      </w:r>
      <w:r>
        <w:t xml:space="preserve"> </w:t>
      </w:r>
      <w:r>
        <w:t xml:space="preserve">[20]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The external check</w:t>
      </w:r>
      <w:r>
        <w:t xml:space="preserve"> </w:t>
      </w:r>
      <w:r>
        <w:t xml:space="preserve">uses the benchmark’s German Credit runs</w:t>
      </w:r>
      <w:r>
        <w:t xml:space="preserve"> </w:t>
      </w:r>
      <w:r>
        <w:t xml:space="preserve">[21]</w:t>
      </w:r>
      <w:r>
        <w:t xml:space="preserve">: random forest and</w:t>
      </w:r>
      <w:r>
        <w:t xml:space="preserve"> </w:t>
      </w:r>
      <w:r>
        <w:t xml:space="preserve">XGBoost, explained by SHAP and Anchors,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 A</w:t>
      </w:r>
      <w:r>
        <w:t xml:space="preserve"> </w:t>
      </w:r>
      <w:r>
        <w:t xml:space="preserve">small margin is a simple proxy for predictive uncertainty; uncertainty-aware explanations</w:t>
      </w:r>
      <w:r>
        <w:t xml:space="preserve"> </w:t>
      </w:r>
      <w:r>
        <w:t xml:space="preserve">[14], [15]</w:t>
      </w:r>
      <w:r>
        <w:t xml:space="preserve"> </w:t>
      </w:r>
      <w:r>
        <w:t xml:space="preserve">would be a natural way to flag the</w:t>
      </w:r>
      <w:r>
        <w:t xml:space="preserve"> </w:t>
      </w:r>
      <w:r>
        <w:t xml:space="preserve">explanations this study finds least reliable.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are in a public repository and a versioned</w:t>
      </w:r>
      <w:r>
        <w:t xml:space="preserve"> </w:t>
      </w:r>
      <w:r>
        <w:t xml:space="preserve">archive whose addresses are withheld for double-blind review.</w:t>
      </w:r>
    </w:p>
    <w:bookmarkEnd w:id="38"/>
    <w:bookmarkStart w:id="7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4" w:name="refs"/>
    <w:bookmarkStart w:id="39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39"/>
    <w:bookmarkStart w:id="41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0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1"/>
    <w:bookmarkStart w:id="43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2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3"/>
    <w:bookmarkStart w:id="45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4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5"/>
    <w:bookmarkStart w:id="46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6"/>
    <w:bookmarkStart w:id="47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7"/>
    <w:bookmarkStart w:id="48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8"/>
    <w:bookmarkStart w:id="50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49">
        <w:r>
          <w:rPr>
            <w:rStyle w:val="Hyperlink"/>
          </w:rPr>
          <w:t xml:space="preserve">https://arxiv.org/abs/1806.08049</w:t>
        </w:r>
      </w:hyperlink>
    </w:p>
    <w:bookmarkEnd w:id="50"/>
    <w:bookmarkStart w:id="51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1"/>
    <w:bookmarkStart w:id="52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2"/>
    <w:bookmarkStart w:id="53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3"/>
    <w:bookmarkStart w:id="54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4"/>
    <w:bookmarkStart w:id="55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5"/>
    <w:bookmarkStart w:id="56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6"/>
    <w:bookmarkStart w:id="57" w:name="ref-chiaburu2025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intelligence: Third world conference, xAI 2025</w:t>
      </w:r>
      <w:r>
        <w:t xml:space="preserve">, in Communications in computer and information science. Springer, 2025, pp. 390–411.</w:t>
      </w:r>
    </w:p>
    <w:bookmarkEnd w:id="57"/>
    <w:bookmarkStart w:id="59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58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59"/>
    <w:bookmarkStart w:id="61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0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1"/>
    <w:bookmarkStart w:id="62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2"/>
    <w:bookmarkStart w:id="63" w:name="ref-breiman2001random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3"/>
    <w:bookmarkStart w:id="64" w:name="ref-chen2016xgboos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4"/>
    <w:bookmarkStart w:id="65" w:name="ref-hofmann1994statlog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5"/>
    <w:bookmarkStart w:id="66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6"/>
    <w:bookmarkStart w:id="67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7"/>
    <w:bookmarkStart w:id="68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68"/>
    <w:bookmarkStart w:id="70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69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0"/>
    <w:bookmarkStart w:id="72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1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2"/>
    <w:bookmarkStart w:id="73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3"/>
    <w:bookmarkEnd w:id="74"/>
    <w:bookmarkEnd w:id="75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49" Target="https://arxiv.org/abs/1806.08049" TargetMode="External" /><Relationship Type="http://schemas.openxmlformats.org/officeDocument/2006/relationships/hyperlink" Id="rId58" Target="https://doi.org/10.1016/j.eswa.2026.131198" TargetMode="External" /><Relationship Type="http://schemas.openxmlformats.org/officeDocument/2006/relationships/hyperlink" Id="rId60" Target="https://doi.org/10.1016/j.knosys.2026.115437" TargetMode="External" /><Relationship Type="http://schemas.openxmlformats.org/officeDocument/2006/relationships/hyperlink" Id="rId69" Target="https://doi.org/10.1080/01621459.1952.10483441" TargetMode="External" /><Relationship Type="http://schemas.openxmlformats.org/officeDocument/2006/relationships/hyperlink" Id="rId40" Target="https://doi.org/10.1145/2939672.2939778" TargetMode="External" /><Relationship Type="http://schemas.openxmlformats.org/officeDocument/2006/relationships/hyperlink" Id="rId44" Target="https://doi.org/10.1145/3351095.3372850" TargetMode="External" /><Relationship Type="http://schemas.openxmlformats.org/officeDocument/2006/relationships/hyperlink" Id="rId42" Target="https://doi.org/10.1609/aaai.v32i1.11491" TargetMode="External" /><Relationship Type="http://schemas.openxmlformats.org/officeDocument/2006/relationships/hyperlink" Id="rId71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arxiv.org/abs/1806.08049" TargetMode="External" /><Relationship Type="http://schemas.openxmlformats.org/officeDocument/2006/relationships/hyperlink" Id="rId58" Target="https://doi.org/10.1016/j.eswa.2026.131198" TargetMode="External" /><Relationship Type="http://schemas.openxmlformats.org/officeDocument/2006/relationships/hyperlink" Id="rId60" Target="https://doi.org/10.1016/j.knosys.2026.115437" TargetMode="External" /><Relationship Type="http://schemas.openxmlformats.org/officeDocument/2006/relationships/hyperlink" Id="rId69" Target="https://doi.org/10.1080/01621459.1952.10483441" TargetMode="External" /><Relationship Type="http://schemas.openxmlformats.org/officeDocument/2006/relationships/hyperlink" Id="rId40" Target="https://doi.org/10.1145/2939672.2939778" TargetMode="External" /><Relationship Type="http://schemas.openxmlformats.org/officeDocument/2006/relationships/hyperlink" Id="rId44" Target="https://doi.org/10.1145/3351095.3372850" TargetMode="External" /><Relationship Type="http://schemas.openxmlformats.org/officeDocument/2006/relationships/hyperlink" Id="rId42" Target="https://doi.org/10.1609/aaai.v32i1.11491" TargetMode="External" /><Relationship Type="http://schemas.openxmlformats.org/officeDocument/2006/relationships/hyperlink" Id="rId71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2026-10-03T15:54:36Z</dcterms:created>
  <dcterms:modified xsi:type="dcterms:W3CDTF">2026-10-03T15:54:36Z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