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media/image2.jpeg" ContentType="image/jpeg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JHerrera_XAI_Tesis_Doctorado</w:t>
      </w:r>
    </w:p>
    <w:p>
      <w:pPr>
        <w:pStyle w:val="Author"/>
      </w:pPr>
      <w:r>
        <w:t xml:space="preserve">J. Herrera</w:t>
      </w:r>
    </w:p>
    <w:p>
      <w:pPr>
        <w:pStyle w:val="Date"/>
      </w:pPr>
      <w:r>
        <w:t xml:space="preserve">2025-12-31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tulodeTDC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b0cd6ce28b8deac35fcf3f64d7e8ce3e9528abc"/>
    <w:p>
      <w:pPr>
        <w:pStyle w:val="Ttulo1"/>
      </w:pPr>
      <w:r>
        <w:t xml:space="preserve">1. Marco para la Evaluación Multinivel de la Explicabilidad en IA: Una Integración de Benchmarking Técnico y Protocolos de Evaluación Semántica</w:t>
      </w:r>
    </w:p>
    <w:bookmarkEnd w:id="25"/>
    <w:bookmarkStart w:id="26" w:name="resumen"/>
    <w:p>
      <w:pPr>
        <w:pStyle w:val="Ttulo1"/>
      </w:pPr>
      <w:r>
        <w:t xml:space="preserve">Resumen</w:t>
      </w:r>
    </w:p>
    <w:p>
      <w:pPr>
        <w:pStyle w:val="FirstParagraph"/>
      </w:pPr>
      <w:r>
        <w:t xml:space="preserve">Esta tesis propone un marco de evaluación multinivel para la Inteligencia Artificial Explicable (XAI). A diferencia de los enfoques tradicionales que se centran en una única métrica, este trabajo integra una taxonomía de cuatro ejes para categorizar métricas, un benchmark cuantitativo de fidelidad y estabilidad (Paper B), y un protocolo de evaluación semántica basado en modelos de lenguaje (Paper A).</w:t>
      </w:r>
    </w:p>
    <w:p>
      <w:pPr>
        <w:pStyle w:val="Textoindependiente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XAI, Evaluación, LLM-as-a-judge, Benchmarking, Interpretabilidad.</w:t>
      </w:r>
    </w:p>
    <w:bookmarkEnd w:id="26"/>
    <w:bookmarkStart w:id="27" w:name="abstract"/>
    <w:p>
      <w:pPr>
        <w:pStyle w:val="Ttulo1"/>
      </w:pPr>
      <w:r>
        <w:t xml:space="preserve">Abstract</w:t>
      </w:r>
    </w:p>
    <w:p>
      <w:pPr>
        <w:pStyle w:val="FirstParagraph"/>
      </w:pPr>
      <w:r>
        <w:t xml:space="preserve">This thesis proposes a multilevel evaluation framework for Explainable Artificial Intelligence (XAI). Unlike traditional approaches focusing on a single metric, this work integrates a four-axis taxonomy to categorize metrics, a quantitative benchmark for fidelity and stability (Paper B), and a semantic evaluation protocol based on language models (Paper A).</w:t>
      </w:r>
    </w:p>
    <w:p>
      <w:pPr>
        <w:pStyle w:val="Textoindependiente"/>
      </w:pPr>
      <w:r>
        <w:rPr>
          <w:b/>
          <w:bCs/>
        </w:rPr>
        <w:t xml:space="preserve">Keywords:</w:t>
      </w:r>
      <w:r>
        <w:t xml:space="preserve"> </w:t>
      </w:r>
      <w:r>
        <w:t xml:space="preserve">XAI, Evaluation, LLM-as-a-judge, Benchmarking, Interpretability.</w:t>
      </w:r>
    </w:p>
    <w:bookmarkEnd w:id="27"/>
    <w:bookmarkStart w:id="28" w:name="introducción"/>
    <w:p>
      <w:pPr>
        <w:pStyle w:val="Ttulo1"/>
      </w:pPr>
      <w:r>
        <w:t xml:space="preserve">Introducción</w:t>
      </w:r>
    </w:p>
    <w:p>
      <w:pPr>
        <w:pStyle w:val="FirstParagraph"/>
      </w:pPr>
      <w:r>
        <w:t xml:space="preserve">El rápido avance de la inteligencia artificial (IA), particularmente en el</w:t>
      </w:r>
      <w:r>
        <w:t xml:space="preserve"> </w:t>
      </w:r>
      <w:r>
        <w:t xml:space="preserve">ámbito del aprendizaje profundo y los modelos complejos de aprendizaje</w:t>
      </w:r>
      <w:r>
        <w:t xml:space="preserve"> </w:t>
      </w:r>
      <w:r>
        <w:t xml:space="preserve">automático, ha transformado radicalmente la capacidad predictiva en dominios tan</w:t>
      </w:r>
      <w:r>
        <w:t xml:space="preserve"> </w:t>
      </w:r>
      <w:r>
        <w:t xml:space="preserve">diversos como la atención médica, las finanzas y los sistemas autónomos. Sin</w:t>
      </w:r>
      <w:r>
        <w:t xml:space="preserve"> </w:t>
      </w:r>
      <w:r>
        <w:t xml:space="preserve">embargo, esta evolución tecnológica ha traído consigo una problemática</w:t>
      </w:r>
      <w:r>
        <w:t xml:space="preserve"> </w:t>
      </w:r>
      <w:r>
        <w:t xml:space="preserve">fundamental: la naturaleza de</w:t>
      </w:r>
      <w:r>
        <w:t xml:space="preserve"> </w:t>
      </w:r>
      <w:r>
        <w:t xml:space="preserve">“caja negra”</w:t>
      </w:r>
      <w:r>
        <w:t xml:space="preserve"> </w:t>
      </w:r>
      <w:r>
        <w:t xml:space="preserve">de estos modelos, la cual plantea</w:t>
      </w:r>
      <w:r>
        <w:t xml:space="preserve"> </w:t>
      </w:r>
      <w:r>
        <w:t xml:space="preserve">serias preocupaciones respecto a la confianza, la transparencia y la</w:t>
      </w:r>
      <w:r>
        <w:t xml:space="preserve"> </w:t>
      </w:r>
      <w:r>
        <w:t xml:space="preserve">responsabilidad algorítmica. En este escenario, la interpretabilidad emerge no</w:t>
      </w:r>
      <w:r>
        <w:t xml:space="preserve"> </w:t>
      </w:r>
      <w:r>
        <w:t xml:space="preserve">solo como un desafío técnico de primer orden, sino como un requisito ético y</w:t>
      </w:r>
      <w:r>
        <w:t xml:space="preserve"> </w:t>
      </w:r>
      <w:r>
        <w:t xml:space="preserve">legal indispensable para el despliegue de soluciones en el mundo real. Para</w:t>
      </w:r>
      <w:r>
        <w:t xml:space="preserve"> </w:t>
      </w:r>
      <w:r>
        <w:t xml:space="preserve">abordar esta opacidad, los métodos de explicación agnósticos al modelo —tales</w:t>
      </w:r>
      <w:r>
        <w:t xml:space="preserve"> </w:t>
      </w:r>
      <w:r>
        <w:t xml:space="preserve">como LIME</w:t>
      </w:r>
      <w:r>
        <w:t xml:space="preserve"> </w:t>
      </w:r>
      <w:r>
        <w:t xml:space="preserve">(Ribeiro 2016)</w:t>
      </w:r>
      <w:r>
        <w:t xml:space="preserve">, SHAP</w:t>
      </w:r>
      <w:r>
        <w:t xml:space="preserve"> </w:t>
      </w:r>
      <w:r>
        <w:t xml:space="preserve">(Lundberg 2017)</w:t>
      </w:r>
      <w:r>
        <w:t xml:space="preserve"> </w:t>
      </w:r>
      <w:r>
        <w:t xml:space="preserve">y Anchors</w:t>
      </w:r>
      <w:r>
        <w:t xml:space="preserve"> </w:t>
      </w:r>
      <w:r>
        <w:t xml:space="preserve">(Ribeiro 2018)</w:t>
      </w:r>
      <w:r>
        <w:t xml:space="preserve">— han</w:t>
      </w:r>
      <w:r>
        <w:t xml:space="preserve"> </w:t>
      </w:r>
      <w:r>
        <w:t xml:space="preserve">ganado protagonismo al intentar proporcionar explicaciones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sin</w:t>
      </w:r>
      <w:r>
        <w:t xml:space="preserve"> </w:t>
      </w:r>
      <w:r>
        <w:t xml:space="preserve">necesidad de alterar los componentes internos del modelo, facilitando así la</w:t>
      </w:r>
      <w:r>
        <w:t xml:space="preserve"> </w:t>
      </w:r>
      <w:r>
        <w:t xml:space="preserve">detección de sesgos y la validación de resultados en aplicaciones críticas.</w:t>
      </w:r>
    </w:p>
    <w:p>
      <w:pPr>
        <w:pStyle w:val="Textoindependiente"/>
      </w:pPr>
      <w:r>
        <w:t xml:space="preserve">A pesar de su potencial, los enfoques actuales de explicabilidad</w:t>
      </w:r>
      <w:r>
        <w:t xml:space="preserve"> </w:t>
      </w:r>
      <w:r>
        <w:t xml:space="preserve">adolecen de limitaciones significativas que restringen su aplicabilidad</w:t>
      </w:r>
      <w:r>
        <w:t xml:space="preserve"> </w:t>
      </w:r>
      <w:r>
        <w:t xml:space="preserve">práctica. En primer lugar, la comunidad científica enfrenta lo que se ha</w:t>
      </w:r>
      <w:r>
        <w:t xml:space="preserve"> </w:t>
      </w:r>
      <w:r>
        <w:t xml:space="preserve">denominado una</w:t>
      </w:r>
      <w:r>
        <w:t xml:space="preserve"> </w:t>
      </w:r>
      <w:r>
        <w:t xml:space="preserve">“crisis de evaluación”</w:t>
      </w:r>
      <w:r>
        <w:t xml:space="preserve">, caracterizada por una proliferación de</w:t>
      </w:r>
      <w:r>
        <w:t xml:space="preserve"> </w:t>
      </w:r>
      <w:r>
        <w:t xml:space="preserve">métricas inconexas que a menudo generan resultados duplicados o contradictorios</w:t>
      </w:r>
      <w:r>
        <w:t xml:space="preserve"> </w:t>
      </w:r>
      <w:r>
        <w:t xml:space="preserve">(Pawlicki et al. 2024)</w:t>
      </w:r>
      <w:r>
        <w:t xml:space="preserve">. Revisiones sistemáticas recientes</w:t>
      </w:r>
      <w:r>
        <w:t xml:space="preserve"> </w:t>
      </w:r>
      <w:r>
        <w:t xml:space="preserve">(Abdul Kadir et al. 2023)</w:t>
      </w:r>
      <w:r>
        <w:t xml:space="preserve"> </w:t>
      </w:r>
      <w:r>
        <w:t xml:space="preserve">revelan que,</w:t>
      </w:r>
      <w:r>
        <w:t xml:space="preserve"> </w:t>
      </w:r>
      <w:r>
        <w:t xml:space="preserve">a pesar del auge de la disciplina, solo una pequeña fracción del corpus de</w:t>
      </w:r>
      <w:r>
        <w:t xml:space="preserve"> </w:t>
      </w:r>
      <w:r>
        <w:t xml:space="preserve">investigación —aproximadamente el 14%— incorpora evaluaciones cuantitativas</w:t>
      </w:r>
      <w:r>
        <w:t xml:space="preserve"> </w:t>
      </w:r>
      <w:r>
        <w:t xml:space="preserve">rigurosas. Esta carencia de estándares se ve agravada por la falta de consenso</w:t>
      </w:r>
      <w:r>
        <w:t xml:space="preserve"> </w:t>
      </w:r>
      <w:r>
        <w:t xml:space="preserve">formal sobre las propiedades fundamentales de una</w:t>
      </w:r>
      <w:r>
        <w:t xml:space="preserve"> </w:t>
      </w:r>
      <w:r>
        <w:t xml:space="preserve">“buena”</w:t>
      </w:r>
      <w:r>
        <w:t xml:space="preserve"> </w:t>
      </w:r>
      <w:r>
        <w:t xml:space="preserve">explicación, lo que</w:t>
      </w:r>
      <w:r>
        <w:t xml:space="preserve"> </w:t>
      </w:r>
      <w:r>
        <w:t xml:space="preserve">dificulta la comparación objetiva entre métodos</w:t>
      </w:r>
      <w:r>
        <w:t xml:space="preserve"> </w:t>
      </w:r>
      <w:r>
        <w:t xml:space="preserve">(Canha et al. 2025; Nizam and Zafar 2023)</w:t>
      </w:r>
      <w:r>
        <w:t xml:space="preserve">. La</w:t>
      </w:r>
      <w:r>
        <w:t xml:space="preserve"> </w:t>
      </w:r>
      <w:r>
        <w:t xml:space="preserve">ausencia de criterios consensuados provoca que, a menudo, se ignore la</w:t>
      </w:r>
      <w:r>
        <w:t xml:space="preserve"> </w:t>
      </w:r>
      <w:r>
        <w:t xml:space="preserve">“validez</w:t>
      </w:r>
      <w:r>
        <w:t xml:space="preserve"> </w:t>
      </w:r>
      <w:r>
        <w:t xml:space="preserve">semántica”</w:t>
      </w:r>
      <w:r>
        <w:t xml:space="preserve"> </w:t>
      </w:r>
      <w:r>
        <w:t xml:space="preserve">de la explicación, priorizando métricas matemáticas proxy que no</w:t>
      </w:r>
      <w:r>
        <w:t xml:space="preserve"> </w:t>
      </w:r>
      <w:r>
        <w:t xml:space="preserve">siempre logran capturar el juicio comprensible para un experto humano.</w:t>
      </w:r>
    </w:p>
    <w:p>
      <w:pPr>
        <w:pStyle w:val="Textoindependiente"/>
      </w:pPr>
      <w:r>
        <w:t xml:space="preserve">A los desafíos de estandarización se suman debilidades técnicas críticas en los</w:t>
      </w:r>
      <w:r>
        <w:t xml:space="preserve"> </w:t>
      </w:r>
      <w:r>
        <w:t xml:space="preserve">marcos de evaluación vigentes. Estudios recientes han identificado que muchas de</w:t>
      </w:r>
      <w:r>
        <w:t xml:space="preserve"> </w:t>
      </w:r>
      <w:r>
        <w:t xml:space="preserve">las métricas de fidelidad tradicionales sufren del problema de datos</w:t>
      </w:r>
      <w:r>
        <w:t xml:space="preserve"> </w:t>
      </w:r>
      <w:r>
        <w:t xml:space="preserve">“fuera de la distribución”</w:t>
      </w:r>
      <w:r>
        <w:t xml:space="preserve"> </w:t>
      </w:r>
      <w:r>
        <w:t xml:space="preserve">(Out-of-Distribution o OOD), donde la eliminación o</w:t>
      </w:r>
      <w:r>
        <w:t xml:space="preserve"> </w:t>
      </w:r>
      <w:r>
        <w:t xml:space="preserve">perturbación de características genera instancias que el modelo original nunca</w:t>
      </w:r>
      <w:r>
        <w:t xml:space="preserve"> </w:t>
      </w:r>
      <w:r>
        <w:t xml:space="preserve">encontró durante su entrenamiento, invalidando así sus respuestas y las puntaciones</w:t>
      </w:r>
      <w:r>
        <w:t xml:space="preserve"> </w:t>
      </w:r>
      <w:r>
        <w:t xml:space="preserve">de fiabilidad resultantes</w:t>
      </w:r>
      <w:r>
        <w:t xml:space="preserve"> </w:t>
      </w:r>
      <w:r>
        <w:t xml:space="preserve">(Zheng et al. 2025)</w:t>
      </w:r>
      <w:r>
        <w:t xml:space="preserve">. Si bien han surgido ecosistemas de</w:t>
      </w:r>
      <w:r>
        <w:t xml:space="preserve"> </w:t>
      </w:r>
      <w:r>
        <w:t xml:space="preserve">benchmarking integrales como Quantus</w:t>
      </w:r>
      <w:r>
        <w:t xml:space="preserve"> </w:t>
      </w:r>
      <w:r>
        <w:t xml:space="preserve">(Hedström et al. 2023)</w:t>
      </w:r>
      <w:r>
        <w:t xml:space="preserve"> </w:t>
      </w:r>
      <w:r>
        <w:t xml:space="preserve">y OpenXAI</w:t>
      </w:r>
      <w:r>
        <w:t xml:space="preserve"> </w:t>
      </w:r>
      <w:r>
        <w:t xml:space="preserve">(Agarwal et al. 2022)</w:t>
      </w:r>
      <w:r>
        <w:t xml:space="preserve"> </w:t>
      </w:r>
      <w:r>
        <w:t xml:space="preserve">para intentar unificar el campo, todavía persiste una brecha significativa en la</w:t>
      </w:r>
      <w:r>
        <w:t xml:space="preserve"> </w:t>
      </w:r>
      <w:r>
        <w:t xml:space="preserve">evaluación de la coherencia multidimensional, que debe abarcar tanto la precisión</w:t>
      </w:r>
      <w:r>
        <w:t xml:space="preserve"> </w:t>
      </w:r>
      <w:r>
        <w:t xml:space="preserve">técnica como la utilidad percibida por el usuario</w:t>
      </w:r>
      <w:r>
        <w:t xml:space="preserve"> </w:t>
      </w:r>
      <w:r>
        <w:t xml:space="preserve">(Bhattacharya and Verbert 2024)</w:t>
      </w:r>
      <w:r>
        <w:t xml:space="preserve">.</w:t>
      </w:r>
    </w:p>
    <w:p>
      <w:pPr>
        <w:pStyle w:val="Textoindependiente"/>
      </w:pPr>
      <w:r>
        <w:t xml:space="preserve">Bajo esta premisa, la presente investigación busca cerrar esta brecha mediante</w:t>
      </w:r>
      <w:r>
        <w:t xml:space="preserve"> </w:t>
      </w:r>
      <w:r>
        <w:t xml:space="preserve">el desarrollo y la comparación de métodos de explicación agnósticos que sean</w:t>
      </w:r>
      <w:r>
        <w:t xml:space="preserve"> </w:t>
      </w:r>
      <w:r>
        <w:t xml:space="preserve">simultáneamente fiables, interpretables y computacionalmente eficientes. El</w:t>
      </w:r>
      <w:r>
        <w:t xml:space="preserve"> </w:t>
      </w:r>
      <w:r>
        <w:t xml:space="preserve">estudio se propone introducir un marco de evaluación multinivel que trascienda</w:t>
      </w:r>
      <w:r>
        <w:t xml:space="preserve"> </w:t>
      </w:r>
      <w:r>
        <w:t xml:space="preserve">las métricas tradicionales, integrando dimensiones de alineación causal y</w:t>
      </w:r>
      <w:r>
        <w:t xml:space="preserve"> </w:t>
      </w:r>
      <w:r>
        <w:t xml:space="preserve">medidas de robustez para proporcionar una comprensión más holística de la</w:t>
      </w:r>
      <w:r>
        <w:t xml:space="preserve"> </w:t>
      </w:r>
      <w:r>
        <w:t xml:space="preserve">calidad de la explicabilidad. Esta propuesta es de alta relevancia tanto para la</w:t>
      </w:r>
      <w:r>
        <w:t xml:space="preserve"> </w:t>
      </w:r>
      <w:r>
        <w:t xml:space="preserve">academia como para la industria, pues se alinea con las crecientes exigencias</w:t>
      </w:r>
      <w:r>
        <w:t xml:space="preserve"> </w:t>
      </w:r>
      <w:r>
        <w:t xml:space="preserve">regulatorias y éticas que demandan una gobernanza de la IA más transparente y</w:t>
      </w:r>
      <w:r>
        <w:t xml:space="preserve"> </w:t>
      </w:r>
      <w:r>
        <w:t xml:space="preserve">auditable. El objetivo final es contribuir al campo de la IA explicable (XAI)</w:t>
      </w:r>
      <w:r>
        <w:t xml:space="preserve"> </w:t>
      </w:r>
      <w:r>
        <w:t xml:space="preserve">mediante un enfoque escalable y adaptativo, asegurando que los modelos de IA no</w:t>
      </w:r>
      <w:r>
        <w:t xml:space="preserve"> </w:t>
      </w:r>
      <w:r>
        <w:t xml:space="preserve">solo alcancen niveles de precisión sobresalientes, sino que sean también</w:t>
      </w:r>
      <w:r>
        <w:t xml:space="preserve"> </w:t>
      </w:r>
      <w:r>
        <w:t xml:space="preserve">profundamente confiables y plenamente comprendidos por sus usuarios.</w:t>
      </w:r>
    </w:p>
    <w:p>
      <w:pPr>
        <w:pStyle w:val="Textoindependiente"/>
      </w:pPr>
      <w:r>
        <w:t xml:space="preserve">Para alcanzar estos objetivos, el documento se estructura de manera lógica a</w:t>
      </w:r>
      <w:r>
        <w:t xml:space="preserve"> </w:t>
      </w:r>
      <w:r>
        <w:t xml:space="preserve">través de cinco capítulos fundamentales. Tras esta introducción, el</w:t>
      </w:r>
      <w:r>
        <w:t xml:space="preserve"> </w:t>
      </w:r>
      <w:r>
        <w:rPr>
          <w:b/>
          <w:bCs/>
        </w:rPr>
        <w:t xml:space="preserve">Capítulo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establece el marco metodológico y las hipótesis de trabajo. El</w:t>
      </w:r>
      <w:r>
        <w:t xml:space="preserve"> </w:t>
      </w:r>
      <w:r>
        <w:rPr>
          <w:b/>
          <w:bCs/>
        </w:rPr>
        <w:t xml:space="preserve">Capítulo 2</w:t>
      </w:r>
      <w:r>
        <w:t xml:space="preserve"> </w:t>
      </w:r>
      <w:r>
        <w:t xml:space="preserve">detalla los fundamentos conceptuales y el estado del arte de las técnicas</w:t>
      </w:r>
      <w:r>
        <w:t xml:space="preserve"> </w:t>
      </w:r>
      <w:r>
        <w:t xml:space="preserve">agnósticas. El</w:t>
      </w:r>
      <w:r>
        <w:t xml:space="preserve"> </w:t>
      </w:r>
      <w:r>
        <w:rPr>
          <w:b/>
          <w:bCs/>
        </w:rPr>
        <w:t xml:space="preserve">Capítulo 3</w:t>
      </w:r>
      <w:r>
        <w:t xml:space="preserve"> </w:t>
      </w:r>
      <w:r>
        <w:t xml:space="preserve">detalla el diseño experimental de las fases de</w:t>
      </w:r>
      <w:r>
        <w:t xml:space="preserve"> </w:t>
      </w:r>
      <w:r>
        <w:t xml:space="preserve">benchmarking y validación. El</w:t>
      </w:r>
      <w:r>
        <w:t xml:space="preserve"> </w:t>
      </w:r>
      <w:r>
        <w:rPr>
          <w:b/>
          <w:bCs/>
        </w:rPr>
        <w:t xml:space="preserve">Capítulo 4</w:t>
      </w:r>
      <w:r>
        <w:t xml:space="preserve"> </w:t>
      </w:r>
      <w:r>
        <w:t xml:space="preserve">expone y discute los resultados</w:t>
      </w:r>
      <w:r>
        <w:t xml:space="preserve"> </w:t>
      </w:r>
      <w:r>
        <w:t xml:space="preserve">obtenidos, mientras que el</w:t>
      </w:r>
      <w:r>
        <w:t xml:space="preserve"> </w:t>
      </w:r>
      <w:r>
        <w:rPr>
          <w:b/>
          <w:bCs/>
        </w:rPr>
        <w:t xml:space="preserve">Capítulo 5</w:t>
      </w:r>
      <w:r>
        <w:t xml:space="preserve"> </w:t>
      </w:r>
      <w:r>
        <w:t xml:space="preserve">sintetiza las conclusiones generales,</w:t>
      </w:r>
      <w:r>
        <w:t xml:space="preserve"> </w:t>
      </w:r>
      <w:r>
        <w:t xml:space="preserve">las contribuciones al área y las futuras líneas de investigación que se derivan</w:t>
      </w:r>
      <w:r>
        <w:t xml:space="preserve"> </w:t>
      </w:r>
      <w:r>
        <w:t xml:space="preserve">de este estudio.</w:t>
      </w:r>
    </w:p>
    <w:bookmarkEnd w:id="28"/>
    <w:bookmarkStart w:id="43" w:name="marco-metodológico"/>
    <w:p>
      <w:pPr>
        <w:pStyle w:val="Ttulo1"/>
      </w:pPr>
      <w:r>
        <w:t xml:space="preserve">2. Marco Metodológico</w:t>
      </w:r>
    </w:p>
    <w:bookmarkStart w:id="29" w:name="problema-de-investigación"/>
    <w:p>
      <w:pPr>
        <w:pStyle w:val="Ttulo2"/>
      </w:pPr>
      <w:r>
        <w:t xml:space="preserve">2.1 Problema de investigación</w:t>
      </w:r>
    </w:p>
    <w:bookmarkEnd w:id="29"/>
    <w:bookmarkStart w:id="30" w:name="justificación-científica-y-práctica"/>
    <w:p>
      <w:pPr>
        <w:pStyle w:val="Ttulo2"/>
      </w:pPr>
      <w:r>
        <w:t xml:space="preserve">2.2 Justificación científica y práctica</w:t>
      </w:r>
    </w:p>
    <w:bookmarkEnd w:id="30"/>
    <w:bookmarkStart w:id="34" w:name="objetivos-e-hipótesis"/>
    <w:p>
      <w:pPr>
        <w:pStyle w:val="Ttulo2"/>
      </w:pPr>
      <w:r>
        <w:t xml:space="preserve">2.3 Objetivos e hipótesis</w:t>
      </w:r>
    </w:p>
    <w:bookmarkStart w:id="31" w:name="objetivo-general"/>
    <w:p>
      <w:pPr>
        <w:pStyle w:val="Ttulo3"/>
      </w:pPr>
      <w:r>
        <w:t xml:space="preserve">2.3.1 Objetivo general</w:t>
      </w:r>
    </w:p>
    <w:bookmarkEnd w:id="31"/>
    <w:bookmarkStart w:id="32" w:name="objetivos-específicos"/>
    <w:p>
      <w:pPr>
        <w:pStyle w:val="Ttulo3"/>
      </w:pPr>
      <w:r>
        <w:t xml:space="preserve">2.3.2 Objetivos específicos</w:t>
      </w:r>
    </w:p>
    <w:bookmarkEnd w:id="32"/>
    <w:bookmarkStart w:id="33" w:name="hipótesis-o-proposiciones-de-trabajo"/>
    <w:p>
      <w:pPr>
        <w:pStyle w:val="Ttulo3"/>
      </w:pPr>
      <w:r>
        <w:t xml:space="preserve">2.3.3 Hipótesis o proposiciones de trabajo</w:t>
      </w:r>
    </w:p>
    <w:bookmarkEnd w:id="33"/>
    <w:bookmarkEnd w:id="34"/>
    <w:bookmarkStart w:id="42" w:name="metodología-general-de-la-investigación"/>
    <w:p>
      <w:pPr>
        <w:pStyle w:val="Ttulo2"/>
      </w:pPr>
      <w:r>
        <w:t xml:space="preserve">2.4 Metodología general de la investigación</w:t>
      </w:r>
    </w:p>
    <w:bookmarkStart w:id="35" w:name="enfoque"/>
    <w:p>
      <w:pPr>
        <w:pStyle w:val="Ttulo3"/>
      </w:pPr>
      <w:r>
        <w:t xml:space="preserve">2.4.1 Enfoque</w:t>
      </w:r>
    </w:p>
    <w:bookmarkEnd w:id="35"/>
    <w:bookmarkStart w:id="36" w:name="tipo-de-investigación"/>
    <w:p>
      <w:pPr>
        <w:pStyle w:val="Ttulo3"/>
      </w:pPr>
      <w:r>
        <w:t xml:space="preserve">2.4.2 Tipo de investigación</w:t>
      </w:r>
    </w:p>
    <w:bookmarkEnd w:id="36"/>
    <w:bookmarkStart w:id="37" w:name="universo-y-contexto-experimental"/>
    <w:p>
      <w:pPr>
        <w:pStyle w:val="Ttulo3"/>
      </w:pPr>
      <w:r>
        <w:t xml:space="preserve">2.4.3 Universo y contexto experimental</w:t>
      </w:r>
    </w:p>
    <w:bookmarkEnd w:id="37"/>
    <w:bookmarkStart w:id="38" w:name="Xdcd1be9d99c262f87a75615ad9164d40f630ac9"/>
    <w:p>
      <w:pPr>
        <w:pStyle w:val="Ttulo3"/>
      </w:pPr>
      <w:r>
        <w:t xml:space="preserve">2.4.4 Muestra de datasets, modelos y métodos XAI</w:t>
      </w:r>
    </w:p>
    <w:bookmarkEnd w:id="38"/>
    <w:bookmarkStart w:id="39" w:name="criterios-de-inclusión-y-exclusión"/>
    <w:p>
      <w:pPr>
        <w:pStyle w:val="Ttulo3"/>
      </w:pPr>
      <w:r>
        <w:t xml:space="preserve">2.4.5 Criterios de inclusión y exclusión</w:t>
      </w:r>
    </w:p>
    <w:bookmarkEnd w:id="39"/>
    <w:bookmarkStart w:id="40" w:name="variables-dimensiones-y-métricas"/>
    <w:p>
      <w:pPr>
        <w:pStyle w:val="Ttulo3"/>
      </w:pPr>
      <w:r>
        <w:t xml:space="preserve">2.4.6 Variables, dimensiones y métricas</w:t>
      </w:r>
    </w:p>
    <w:bookmarkEnd w:id="40"/>
    <w:bookmarkStart w:id="41" w:name="estrategia-procedimental"/>
    <w:p>
      <w:pPr>
        <w:pStyle w:val="Ttulo3"/>
      </w:pPr>
      <w:r>
        <w:t xml:space="preserve">2.4.7 Estrategia procedimental</w:t>
      </w:r>
    </w:p>
    <w:bookmarkEnd w:id="41"/>
    <w:bookmarkEnd w:id="42"/>
    <w:bookmarkEnd w:id="43"/>
    <w:bookmarkStart w:id="54" w:name="X5df853d312351836bad75f10c25fdcfe7ebc358"/>
    <w:p>
      <w:pPr>
        <w:pStyle w:val="Ttulo1"/>
      </w:pPr>
      <w:r>
        <w:t xml:space="preserve">3. Marco teórico específico / fundamentos conceptuales</w:t>
      </w:r>
    </w:p>
    <w:bookmarkStart w:id="44" w:name="X7133ed101bf9a9b0f87ccc84aa7c501df9ebcd7"/>
    <w:p>
      <w:pPr>
        <w:pStyle w:val="Ttulo2"/>
      </w:pPr>
      <w:r>
        <w:t xml:space="preserve">3.1 Estado del arte en XAI e interpretabilidad agnóstica</w:t>
      </w:r>
    </w:p>
    <w:p>
      <w:pPr>
        <w:pStyle w:val="FirstParagraph"/>
      </w:pPr>
      <w:r>
        <w:t xml:space="preserve">El campo de la Inteligencia Artificial Explicable (XAI) ha experimentado una</w:t>
      </w:r>
      <w:r>
        <w:t xml:space="preserve"> </w:t>
      </w:r>
      <w:r>
        <w:t xml:space="preserve">expansión sin precedentes en la última década, consolidándose como un pilar</w:t>
      </w:r>
      <w:r>
        <w:t xml:space="preserve"> </w:t>
      </w:r>
      <w:r>
        <w:t xml:space="preserve">crítico para la adopción de modelos de caja negra en sectores de alta</w:t>
      </w:r>
      <w:r>
        <w:t xml:space="preserve"> </w:t>
      </w:r>
      <w:r>
        <w:t xml:space="preserve">responsabilidad. Las revisiones sistemáticas más recientes</w:t>
      </w:r>
      <w:r>
        <w:t xml:space="preserve"> </w:t>
      </w:r>
      <w:r>
        <w:t xml:space="preserve">(Abdul Kadir et al. 2023; Canha et al. 2025)</w:t>
      </w:r>
      <w:r>
        <w:t xml:space="preserve"> </w:t>
      </w:r>
      <w:r>
        <w:t xml:space="preserve">coinciden en que, si bien la literatura ha producido un crecimiento</w:t>
      </w:r>
      <w:r>
        <w:t xml:space="preserve"> </w:t>
      </w:r>
      <w:r>
        <w:t xml:space="preserve">asintótico en el número de algoritmos propuestos —destacando métodos líderes</w:t>
      </w:r>
      <w:r>
        <w:t xml:space="preserve"> </w:t>
      </w:r>
      <w:r>
        <w:t xml:space="preserve">como LIME</w:t>
      </w:r>
      <w:r>
        <w:t xml:space="preserve"> </w:t>
      </w:r>
      <w:r>
        <w:t xml:space="preserve">(Ribeiro 2016)</w:t>
      </w:r>
      <w:r>
        <w:t xml:space="preserve">, SHAP</w:t>
      </w:r>
      <w:r>
        <w:t xml:space="preserve"> </w:t>
      </w:r>
      <w:r>
        <w:t xml:space="preserve">(Lundberg 2017)</w:t>
      </w:r>
      <w:r>
        <w:t xml:space="preserve"> </w:t>
      </w:r>
      <w:r>
        <w:t xml:space="preserve">y Anchors</w:t>
      </w:r>
      <w:r>
        <w:t xml:space="preserve"> </w:t>
      </w:r>
      <w:r>
        <w:t xml:space="preserve">(Ribeiro 2018)</w:t>
      </w:r>
      <w:r>
        <w:t xml:space="preserve">—, el</w:t>
      </w:r>
      <w:r>
        <w:t xml:space="preserve"> </w:t>
      </w:r>
      <w:r>
        <w:t xml:space="preserve">desarrollo de protocolos de evaluación estandarizados no ha seguido el mismo</w:t>
      </w:r>
      <w:r>
        <w:t xml:space="preserve"> </w:t>
      </w:r>
      <w:r>
        <w:t xml:space="preserve">ritmo. De hecho, un análisis basado en la metodología PRISMA realizado por</w:t>
      </w:r>
      <w:r>
        <w:t xml:space="preserve"> </w:t>
      </w:r>
      <w:r>
        <w:t xml:space="preserve">Abdul Kadir et al. (2023)</w:t>
      </w:r>
      <w:r>
        <w:t xml:space="preserve"> </w:t>
      </w:r>
      <w:r>
        <w:t xml:space="preserve">revela que, a pesar de la madurez percibida del área, solo una</w:t>
      </w:r>
      <w:r>
        <w:t xml:space="preserve"> </w:t>
      </w:r>
      <w:r>
        <w:t xml:space="preserve">fracción marginal de la producción científica (estimada en un 14%) incorpora</w:t>
      </w:r>
      <w:r>
        <w:t xml:space="preserve"> </w:t>
      </w:r>
      <w:r>
        <w:t xml:space="preserve">marcos de evaluación cuantitativa rigurosos, limitándose mayoritariamente a</w:t>
      </w:r>
      <w:r>
        <w:t xml:space="preserve"> </w:t>
      </w:r>
      <w:r>
        <w:t xml:space="preserve">validaciones cualitativas o anecdóticas.</w:t>
      </w:r>
    </w:p>
    <w:p>
      <w:pPr>
        <w:pStyle w:val="Textoindependiente"/>
      </w:pPr>
      <w:r>
        <w:t xml:space="preserve">Esta fragmentación ha dado lugar a lo que</w:t>
      </w:r>
      <w:r>
        <w:t xml:space="preserve"> </w:t>
      </w:r>
      <w:r>
        <w:t xml:space="preserve">Pawlicki et al. (2024)</w:t>
      </w:r>
      <w:r>
        <w:t xml:space="preserve"> </w:t>
      </w:r>
      <w:r>
        <w:t xml:space="preserve">define como una</w:t>
      </w:r>
      <w:r>
        <w:t xml:space="preserve"> </w:t>
      </w:r>
      <w:r>
        <w:t xml:space="preserve">proliferación de métricas inconexas, donde la duplicidad de criterios y la falta</w:t>
      </w:r>
      <w:r>
        <w:t xml:space="preserve"> </w:t>
      </w:r>
      <w:r>
        <w:t xml:space="preserve">de consenso sobre las propiedades fundamentales de una explicación (como la</w:t>
      </w:r>
      <w:r>
        <w:t xml:space="preserve"> </w:t>
      </w:r>
      <w:r>
        <w:t xml:space="preserve">fidelidad, la estabilidad y la robustez) dificultan la comparación objetiva</w:t>
      </w:r>
      <w:r>
        <w:t xml:space="preserve"> </w:t>
      </w:r>
      <w:r>
        <w:t xml:space="preserve">entre aproximaciones. Investigaciones contemporáneas</w:t>
      </w:r>
      <w:r>
        <w:t xml:space="preserve"> </w:t>
      </w:r>
      <w:r>
        <w:t xml:space="preserve">(Bhattacharya and Verbert 2024; Nizam and Zafar 2023)</w:t>
      </w:r>
      <w:r>
        <w:t xml:space="preserve"> </w:t>
      </w:r>
      <w:r>
        <w:t xml:space="preserve">argumentan que la falta de un estándar unificado impide valorar la</w:t>
      </w:r>
      <w:r>
        <w:t xml:space="preserve"> </w:t>
      </w:r>
      <w:r>
        <w:t xml:space="preserve">explicabilidad de manera multidimensional, ignorando a menudo el hecho de que</w:t>
      </w:r>
      <w:r>
        <w:t xml:space="preserve"> </w:t>
      </w:r>
      <w:r>
        <w:t xml:space="preserve">los sistemas de IA modernos no solo requieren precisión técnica, sino también</w:t>
      </w:r>
      <w:r>
        <w:t xml:space="preserve"> </w:t>
      </w:r>
      <w:r>
        <w:t xml:space="preserve">validez semántica para sus destinatarios humanos. En respuesta a este vacío, han</w:t>
      </w:r>
      <w:r>
        <w:t xml:space="preserve"> </w:t>
      </w:r>
      <w:r>
        <w:t xml:space="preserve">surgido ecosistemas de benchmarking integrales como Quantus</w:t>
      </w:r>
      <w:r>
        <w:t xml:space="preserve"> </w:t>
      </w:r>
      <w:r>
        <w:t xml:space="preserve">(Hedström et al. 2023)</w:t>
      </w:r>
      <w:r>
        <w:t xml:space="preserve"> </w:t>
      </w:r>
      <w:r>
        <w:t xml:space="preserve">y</w:t>
      </w:r>
      <w:r>
        <w:t xml:space="preserve"> </w:t>
      </w:r>
      <w:r>
        <w:t xml:space="preserve">OpenXAI</w:t>
      </w:r>
      <w:r>
        <w:t xml:space="preserve"> </w:t>
      </w:r>
      <w:r>
        <w:t xml:space="preserve">(Agarwal et al. 2022)</w:t>
      </w:r>
      <w:r>
        <w:t xml:space="preserve">, los cuales intentan sistematizar el proceso de</w:t>
      </w:r>
      <w:r>
        <w:t xml:space="preserve"> </w:t>
      </w:r>
      <w:r>
        <w:t xml:space="preserve">quantificación mediante toolkits automatizados que agrupan métricas por afinidad</w:t>
      </w:r>
      <w:r>
        <w:t xml:space="preserve"> </w:t>
      </w:r>
      <w:r>
        <w:t xml:space="preserve">lógica. Sin embargo, como señala</w:t>
      </w:r>
      <w:r>
        <w:t xml:space="preserve"> </w:t>
      </w:r>
      <w:r>
        <w:t xml:space="preserve">Zheng et al. (2025)</w:t>
      </w:r>
      <w:r>
        <w:t xml:space="preserve">, incluso estos marcos enfrentan retos</w:t>
      </w:r>
      <w:r>
        <w:t xml:space="preserve"> </w:t>
      </w:r>
      <w:r>
        <w:t xml:space="preserve">técnicos significativos, como la inestabilidad de las métricas ante datos fuera</w:t>
      </w:r>
      <w:r>
        <w:t xml:space="preserve"> </w:t>
      </w:r>
      <w:r>
        <w:t xml:space="preserve">de la distribución (OOD), lo que subraya la necesidad de seguir evolucionando</w:t>
      </w:r>
      <w:r>
        <w:t xml:space="preserve"> </w:t>
      </w:r>
      <w:r>
        <w:t xml:space="preserve">hacia marcos de evaluación multinivel y más robustos, tal como se propone en el</w:t>
      </w:r>
      <w:r>
        <w:t xml:space="preserve"> </w:t>
      </w:r>
      <w:r>
        <w:t xml:space="preserve">presente estudio.</w:t>
      </w:r>
    </w:p>
    <w:bookmarkEnd w:id="44"/>
    <w:bookmarkStart w:id="45" w:name="fundamentos-de-ia-de-caja-negra"/>
    <w:p>
      <w:pPr>
        <w:pStyle w:val="Ttulo2"/>
      </w:pPr>
      <w:r>
        <w:t xml:space="preserve">3.2 Fundamentos de IA de caja negra</w:t>
      </w:r>
    </w:p>
    <w:p>
      <w:pPr>
        <w:pStyle w:val="FirstParagraph"/>
      </w:pPr>
      <w:r>
        <w:t xml:space="preserve">Para comprender el estado actual de la XAI, es imperativo analizar la naturaleza</w:t>
      </w:r>
      <w:r>
        <w:t xml:space="preserve"> </w:t>
      </w:r>
      <w:r>
        <w:t xml:space="preserve">técnica de la</w:t>
      </w:r>
      <w:r>
        <w:t xml:space="preserve"> </w:t>
      </w:r>
      <w:r>
        <w:t xml:space="preserve">“caja negra”</w:t>
      </w:r>
      <w:r>
        <w:t xml:space="preserve"> </w:t>
      </w:r>
      <w:r>
        <w:t xml:space="preserve">(</w:t>
      </w:r>
      <w:r>
        <w:rPr>
          <w:i/>
          <w:iCs/>
        </w:rPr>
        <w:t xml:space="preserve">black-box models</w:t>
      </w:r>
      <w:r>
        <w:t xml:space="preserve">). La evolución de la IA ha pasado</w:t>
      </w:r>
      <w:r>
        <w:t xml:space="preserve"> </w:t>
      </w:r>
      <w:r>
        <w:t xml:space="preserve">de modelos estadísticos transparentes —como la regresión lineal o árboles de</w:t>
      </w:r>
      <w:r>
        <w:t xml:space="preserve"> </w:t>
      </w:r>
      <w:r>
        <w:t xml:space="preserve">decisión simples— a sistemas cuya lógica interna es inescrutable debido a su</w:t>
      </w:r>
      <w:r>
        <w:t xml:space="preserve"> </w:t>
      </w:r>
      <w:r>
        <w:t xml:space="preserve">altísima dimensionalidad y no linealidad. Los modelos de ensamble (Random Forest,</w:t>
      </w:r>
      <w:r>
        <w:t xml:space="preserve"> </w:t>
      </w:r>
      <w:r>
        <w:t xml:space="preserve">XGBoost) y las Redes Neuronales Profundas (DNN) logran niveles de precisión</w:t>
      </w:r>
      <w:r>
        <w:t xml:space="preserve"> </w:t>
      </w:r>
      <w:r>
        <w:t xml:space="preserve">sobresalientes sacrificando la interpretabilidad directa. Esta opacidad no es un</w:t>
      </w:r>
      <w:r>
        <w:t xml:space="preserve"> </w:t>
      </w:r>
      <w:r>
        <w:t xml:space="preserve">fallo de diseño, sino una consecuencia de la complejidad requerida para capturar</w:t>
      </w:r>
      <w:r>
        <w:t xml:space="preserve"> </w:t>
      </w:r>
      <w:r>
        <w:t xml:space="preserve">patrones en datos no estructurados. Como señalan</w:t>
      </w:r>
      <w:r>
        <w:t xml:space="preserve"> </w:t>
      </w:r>
      <w:r>
        <w:t xml:space="preserve">Canha et al. (2025)</w:t>
      </w:r>
      <w:r>
        <w:t xml:space="preserve"> </w:t>
      </w:r>
      <w:r>
        <w:t xml:space="preserve">y</w:t>
      </w:r>
      <w:r>
        <w:t xml:space="preserve"> </w:t>
      </w:r>
      <w:r>
        <w:t xml:space="preserve">Pawlicki et al. (2024)</w:t>
      </w:r>
      <w:r>
        <w:t xml:space="preserve">, esto</w:t>
      </w:r>
      <w:r>
        <w:t xml:space="preserve"> </w:t>
      </w:r>
      <w:r>
        <w:t xml:space="preserve">genera un</w:t>
      </w:r>
      <w:r>
        <w:t xml:space="preserve"> </w:t>
      </w:r>
      <w:r>
        <w:t xml:space="preserve">“dilema de confianza”</w:t>
      </w:r>
      <w:r>
        <w:t xml:space="preserve"> </w:t>
      </w:r>
      <w:r>
        <w:t xml:space="preserve">donde el usuario debe aceptar una decisión sin</w:t>
      </w:r>
      <w:r>
        <w:t xml:space="preserve"> </w:t>
      </w:r>
      <w:r>
        <w:t xml:space="preserve">acceso a su proceso deductivo, marcando el punto de partida para las técnicas de</w:t>
      </w:r>
      <w:r>
        <w:t xml:space="preserve"> </w:t>
      </w:r>
      <w:r>
        <w:t xml:space="preserve">explicabilidad agnóstica.</w:t>
      </w:r>
    </w:p>
    <w:bookmarkEnd w:id="45"/>
    <w:bookmarkStart w:id="46" w:name="interpretabilidad-y-explicabilidad"/>
    <w:p>
      <w:pPr>
        <w:pStyle w:val="Ttulo2"/>
      </w:pPr>
      <w:r>
        <w:t xml:space="preserve">3.3 Interpretabilidad y explicabilidad</w:t>
      </w:r>
    </w:p>
    <w:p>
      <w:pPr>
        <w:pStyle w:val="FirstParagraph"/>
      </w:pPr>
      <w:r>
        <w:t xml:space="preserve">A pesar de que los términos</w:t>
      </w:r>
      <w:r>
        <w:t xml:space="preserve"> </w:t>
      </w:r>
      <w:r>
        <w:t xml:space="preserve">“interpretabilidad”</w:t>
      </w:r>
      <w:r>
        <w:t xml:space="preserve"> </w:t>
      </w:r>
      <w:r>
        <w:t xml:space="preserve">y</w:t>
      </w:r>
      <w:r>
        <w:t xml:space="preserve"> </w:t>
      </w:r>
      <w:r>
        <w:t xml:space="preserve">“explicabilidad”</w:t>
      </w:r>
      <w:r>
        <w:t xml:space="preserve"> </w:t>
      </w:r>
      <w:r>
        <w:t xml:space="preserve">se utilizan a</w:t>
      </w:r>
      <w:r>
        <w:t xml:space="preserve"> </w:t>
      </w:r>
      <w:r>
        <w:t xml:space="preserve">menudo como sinónimos en la literatura técnica, revisiones sistemáticas de gran</w:t>
      </w:r>
      <w:r>
        <w:t xml:space="preserve"> </w:t>
      </w:r>
      <w:r>
        <w:t xml:space="preserve">escala destacadas por</w:t>
      </w:r>
      <w:r>
        <w:t xml:space="preserve"> </w:t>
      </w:r>
      <w:r>
        <w:t xml:space="preserve">Abdul Kadir et al. (2023)</w:t>
      </w:r>
      <w:r>
        <w:t xml:space="preserve"> </w:t>
      </w:r>
      <w:r>
        <w:t xml:space="preserve">destacan una falta de consenso</w:t>
      </w:r>
      <w:r>
        <w:t xml:space="preserve"> </w:t>
      </w:r>
      <w:r>
        <w:t xml:space="preserve">terminológico que fragmenta el campo. Para los propósitos de este marco</w:t>
      </w:r>
      <w:r>
        <w:t xml:space="preserve"> </w:t>
      </w:r>
      <w:r>
        <w:t xml:space="preserve">multinivel, es fundamental establecer una distinción operativa basada en el</w:t>
      </w:r>
      <w:r>
        <w:t xml:space="preserve"> </w:t>
      </w:r>
      <w:r>
        <w:t xml:space="preserve">destinatario final de la información: el ser humano. Mientras que la</w:t>
      </w:r>
      <w:r>
        <w:t xml:space="preserve"> </w:t>
      </w:r>
      <w:r>
        <w:t xml:space="preserve">interpretabilidad se asocia frecuentemente con la transparencia intrínseca de los</w:t>
      </w:r>
      <w:r>
        <w:t xml:space="preserve"> </w:t>
      </w:r>
      <w:r>
        <w:t xml:space="preserve">mecanismos internos de un modelo, la explicabilidad emerge como un concepto que</w:t>
      </w:r>
      <w:r>
        <w:t xml:space="preserve"> </w:t>
      </w:r>
      <w:r>
        <w:t xml:space="preserve">busca traducir esa complejidad en un lenguaje comprensible para el usuario</w:t>
      </w:r>
      <w:r>
        <w:t xml:space="preserve"> </w:t>
      </w:r>
      <w:r>
        <w:t xml:space="preserve">(Canha et al. 2025)</w:t>
      </w:r>
      <w:r>
        <w:t xml:space="preserve">.</w:t>
      </w:r>
    </w:p>
    <w:p>
      <w:pPr>
        <w:pStyle w:val="Textoindependiente"/>
      </w:pPr>
      <w:r>
        <w:t xml:space="preserve">Siguiendo la propuesta de</w:t>
      </w:r>
      <w:r>
        <w:t xml:space="preserve"> </w:t>
      </w:r>
      <w:r>
        <w:t xml:space="preserve">(</w:t>
      </w:r>
      <w:r>
        <w:rPr>
          <w:b/>
          <w:bCs/>
        </w:rPr>
        <w:t xml:space="preserve">linardatos2021?</w:t>
      </w:r>
      <w:r>
        <w:t xml:space="preserve">)</w:t>
      </w:r>
      <w:r>
        <w:t xml:space="preserve">, se define la interpretabilidad como la</w:t>
      </w:r>
      <w:r>
        <w:t xml:space="preserve"> </w:t>
      </w:r>
      <w:r>
        <w:t xml:space="preserve">capacidad de discernir la mecánica interna de un sistema sin necesidad de conocer</w:t>
      </w:r>
      <w:r>
        <w:t xml:space="preserve"> </w:t>
      </w:r>
      <w:r>
        <w:t xml:space="preserve">el</w:t>
      </w:r>
      <w:r>
        <w:t xml:space="preserve"> </w:t>
      </w:r>
      <w:r>
        <w:t xml:space="preserve">“porqué”</w:t>
      </w:r>
      <w:r>
        <w:t xml:space="preserve"> </w:t>
      </w:r>
      <w:r>
        <w:t xml:space="preserve">profundo de cada decisión, conectando primordialmente con la</w:t>
      </w:r>
      <w:r>
        <w:t xml:space="preserve"> </w:t>
      </w:r>
      <w:r>
        <w:t xml:space="preserve">intuición técnica. Por el contrario, la explicabilidad añade una</w:t>
      </w:r>
      <w:r>
        <w:t xml:space="preserve"> </w:t>
      </w:r>
      <w:r>
        <w:t xml:space="preserve">“capa de</w:t>
      </w:r>
      <w:r>
        <w:t xml:space="preserve"> </w:t>
      </w:r>
      <w:r>
        <w:t xml:space="preserve">razonamiento”</w:t>
      </w:r>
      <w:r>
        <w:t xml:space="preserve"> </w:t>
      </w:r>
      <w:r>
        <w:t xml:space="preserve">(</w:t>
      </w:r>
      <w:r>
        <w:rPr>
          <w:i/>
          <w:iCs/>
        </w:rPr>
        <w:t xml:space="preserve">reasoning layer</w:t>
      </w:r>
      <w:r>
        <w:t xml:space="preserve">) sobre los mecanismos técnicos para clarificar</w:t>
      </w:r>
      <w:r>
        <w:t xml:space="preserve"> </w:t>
      </w:r>
      <w:r>
        <w:t xml:space="preserve">el proceso lógico que condujo a una salida específica</w:t>
      </w:r>
      <w:r>
        <w:t xml:space="preserve"> </w:t>
      </w:r>
      <w:r>
        <w:t xml:space="preserve">(Canha et al. 2025)</w:t>
      </w:r>
      <w:r>
        <w:t xml:space="preserve">. Esta</w:t>
      </w:r>
      <w:r>
        <w:t xml:space="preserve"> </w:t>
      </w:r>
      <w:r>
        <w:t xml:space="preserve">distinción es especialmente relevante para esta tesis, ya que justifica la</w:t>
      </w:r>
      <w:r>
        <w:t xml:space="preserve"> </w:t>
      </w:r>
      <w:r>
        <w:t xml:space="preserve">necesidad de no solo evaluar la</w:t>
      </w:r>
      <w:r>
        <w:t xml:space="preserve"> </w:t>
      </w:r>
      <w:r>
        <w:t xml:space="preserve">“fidelidad”</w:t>
      </w:r>
      <w:r>
        <w:t xml:space="preserve"> </w:t>
      </w:r>
      <w:r>
        <w:t xml:space="preserve">al modelo (parámetro técnico), sino</w:t>
      </w:r>
      <w:r>
        <w:t xml:space="preserve"> </w:t>
      </w:r>
      <w:r>
        <w:t xml:space="preserve">también la</w:t>
      </w:r>
      <w:r>
        <w:t xml:space="preserve"> </w:t>
      </w:r>
      <w:r>
        <w:t xml:space="preserve">“coherencia semántica”</w:t>
      </w:r>
      <w:r>
        <w:t xml:space="preserve"> </w:t>
      </w:r>
      <w:r>
        <w:t xml:space="preserve">(capa de razonamiento humano) sustentada por</w:t>
      </w:r>
      <w:r>
        <w:t xml:space="preserve"> </w:t>
      </w:r>
      <w:r>
        <w:t xml:space="preserve">criterios multidimensionales</w:t>
      </w:r>
      <w:r>
        <w:t xml:space="preserve"> </w:t>
      </w:r>
      <w:r>
        <w:t xml:space="preserve">(Bhattacharya and Verbert 2024)</w:t>
      </w:r>
      <w:r>
        <w:t xml:space="preserve">.</w:t>
      </w:r>
    </w:p>
    <w:bookmarkEnd w:id="46"/>
    <w:bookmarkStart w:id="53" w:name="criterios-de-evaluación-de-explicaciones"/>
    <w:p>
      <w:pPr>
        <w:pStyle w:val="Ttulo2"/>
      </w:pPr>
      <w:r>
        <w:t xml:space="preserve">3.4 Criterios de evaluación de explicaciones</w:t>
      </w:r>
    </w:p>
    <w:p>
      <w:pPr>
        <w:pStyle w:val="FirstParagraph"/>
      </w:pPr>
      <w:r>
        <w:t xml:space="preserve">La evaluación de la calidad de una explicación es un proceso multidimensional que</w:t>
      </w:r>
      <w:r>
        <w:t xml:space="preserve"> </w:t>
      </w:r>
      <w:r>
        <w:t xml:space="preserve">requiere la cuantificación de diversas propiedades funcionales. A continuación,</w:t>
      </w:r>
      <w:r>
        <w:t xml:space="preserve"> </w:t>
      </w:r>
      <w:r>
        <w:t xml:space="preserve">se detallan los criterios técnicos fundamentales adoptados en este estudio,</w:t>
      </w:r>
      <w:r>
        <w:t xml:space="preserve"> </w:t>
      </w:r>
      <w:r>
        <w:t xml:space="preserve">sustentados en la jerarquía funcional propuesta por</w:t>
      </w:r>
      <w:r>
        <w:t xml:space="preserve"> </w:t>
      </w:r>
      <w:r>
        <w:t xml:space="preserve">Canha et al. (2025)</w:t>
      </w:r>
      <w:r>
        <w:t xml:space="preserve"> </w:t>
      </w:r>
      <w:r>
        <w:t xml:space="preserve">y los marcos de</w:t>
      </w:r>
      <w:r>
        <w:t xml:space="preserve"> </w:t>
      </w:r>
      <w:r>
        <w:t xml:space="preserve">benchmarking de</w:t>
      </w:r>
      <w:r>
        <w:t xml:space="preserve"> </w:t>
      </w:r>
      <w:r>
        <w:t xml:space="preserve">Agarwal et al. (2022)</w:t>
      </w:r>
      <w:r>
        <w:t xml:space="preserve">.</w:t>
      </w:r>
    </w:p>
    <w:bookmarkStart w:id="47" w:name="fidelidad"/>
    <w:p>
      <w:pPr>
        <w:pStyle w:val="Ttulo3"/>
      </w:pPr>
      <w:r>
        <w:t xml:space="preserve">3.4.1 Fidelidad</w:t>
      </w:r>
    </w:p>
    <w:p>
      <w:pPr>
        <w:pStyle w:val="FirstParagraph"/>
      </w:pPr>
      <w:r>
        <w:t xml:space="preserve">La fidelidad (</w:t>
      </w:r>
      <w:r>
        <w:t xml:space="preserve">) mide el grado en que un método de explicación</w:t>
      </w:r>
      <w:r>
        <w:t xml:space="preserve"> </w:t>
      </w:r>
      <w:r>
        <w:t xml:space="preserve">logra representar el verdadero proceso deductivo del modelo de caja negra.</w:t>
      </w:r>
      <w:r>
        <w:t xml:space="preserve"> </w:t>
      </w:r>
      <w:r>
        <w:t xml:space="preserve">Siguiendo la definición de</w:t>
      </w:r>
      <w:r>
        <w:t xml:space="preserve"> </w:t>
      </w:r>
      <w:r>
        <w:t xml:space="preserve">Canha et al. (2025)</w:t>
      </w:r>
      <w:r>
        <w:t xml:space="preserve">, esta se operacionaliza a menudo como el</w:t>
      </w:r>
      <w:r>
        <w:t xml:space="preserve"> </w:t>
      </w:r>
      <w:r>
        <w:t xml:space="preserve">“acuerdo del sustituto”</w:t>
      </w:r>
      <w:r>
        <w:t xml:space="preserve"> </w:t>
      </w:r>
      <w:r>
        <w:t xml:space="preserve">(</w:t>
      </w:r>
      <w:r>
        <w:t xml:space="preserve">), formulado como:</w:t>
      </w:r>
    </w:p>
    <w:p>
      <w:pPr>
        <w:pStyle w:val="Textoindependiente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f</m:t>
              </m:r>
              <m:r>
                <m:t>i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b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t>N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representa la salida del modelo de caja negra y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 del modelo</w:t>
      </w:r>
      <w:r>
        <w:t xml:space="preserve"> </w:t>
      </w:r>
      <w:r>
        <w:t xml:space="preserve">sustituto o aproximación local. Es vital distinguir la fidelidad de la</w:t>
      </w:r>
      <w:r>
        <w:t xml:space="preserve"> </w:t>
      </w:r>
      <w:r>
        <w:t xml:space="preserve">fehaciencia (</w:t>
      </w:r>
      <w:r>
        <w:t xml:space="preserve">), ya que un modelo puede ser fiel en su</w:t>
      </w:r>
      <w:r>
        <w:t xml:space="preserve"> </w:t>
      </w:r>
      <w:r>
        <w:t xml:space="preserve">mimetismo predictivo pero no necesariamente fehaciente en capturar la lógica</w:t>
      </w:r>
      <w:r>
        <w:t xml:space="preserve"> </w:t>
      </w:r>
      <w:r>
        <w:t xml:space="preserve">causal subyacente</w:t>
      </w:r>
      <w:r>
        <w:t xml:space="preserve"> </w:t>
      </w:r>
      <w:r>
        <w:t xml:space="preserve">(Zheng et al. 2025)</w:t>
      </w:r>
      <w:r>
        <w:t xml:space="preserve">.</w:t>
      </w:r>
    </w:p>
    <w:bookmarkEnd w:id="47"/>
    <w:bookmarkStart w:id="48" w:name="estabilidad"/>
    <w:p>
      <w:pPr>
        <w:pStyle w:val="Ttulo3"/>
      </w:pPr>
      <w:r>
        <w:t xml:space="preserve">3.4.2 Estabilidad</w:t>
      </w:r>
    </w:p>
    <w:p>
      <w:pPr>
        <w:pStyle w:val="FirstParagraph"/>
      </w:pPr>
      <w:r>
        <w:t xml:space="preserve">La estabilidad evalúa la consistencia de las explicaciones ante variaciones</w:t>
      </w:r>
      <w:r>
        <w:t xml:space="preserve"> </w:t>
      </w:r>
      <w:r>
        <w:t xml:space="preserve">mínimas en los datos de entrada que no alteran la predicción del modelo. Se</w:t>
      </w:r>
      <w:r>
        <w:t xml:space="preserve"> </w:t>
      </w:r>
      <w:r>
        <w:t xml:space="preserve">formaliza comúnmente mediante la Estabilidad de Entrada Relativa (</w:t>
      </w:r>
      <m:oMath>
        <m:r>
          <m:t>R</m:t>
        </m:r>
        <m:r>
          <m:t>I</m:t>
        </m:r>
        <m:r>
          <m:t>S</m:t>
        </m:r>
      </m:oMath>
      <w:r>
        <w:t xml:space="preserve">), que</w:t>
      </w:r>
      <w:r>
        <w:t xml:space="preserve"> </w:t>
      </w:r>
      <w:r>
        <w:t xml:space="preserve">estima la sensibilidad del explicador ante perturbaciones en el vecindario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(Agarwal et al. 2022)</w:t>
      </w:r>
      <w:r>
        <w:t xml:space="preserve">:</w:t>
      </w:r>
    </w:p>
    <w:p>
      <w:pPr>
        <w:pStyle w:val="Textoindependiente"/>
      </w:pPr>
      <m:oMathPara>
        <m:oMathParaPr>
          <m:jc m:val="center"/>
        </m:oMathParaPr>
        <m:oMath>
          <m:r>
            <m:t>R</m:t>
          </m:r>
          <m:r>
            <m:t>I</m:t>
          </m:r>
          <m:r>
            <m:t>S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e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es la importancia de características generada para la instancia</w:t>
      </w:r>
      <w:r>
        <w:t xml:space="preserve"> </w:t>
      </w:r>
      <m:oMath>
        <m:r>
          <m:t>x</m:t>
        </m:r>
      </m:oMath>
      <w:r>
        <w:t xml:space="preserve">. Una</w:t>
      </w:r>
      <w:r>
        <w:t xml:space="preserve"> </w:t>
      </w:r>
      <m:oMath>
        <m:r>
          <m:t>R</m:t>
        </m:r>
        <m:r>
          <m:t>I</m:t>
        </m:r>
        <m:r>
          <m:t>S</m:t>
        </m:r>
      </m:oMath>
      <w:r>
        <w:t xml:space="preserve"> </w:t>
      </w:r>
      <w:r>
        <w:t xml:space="preserve">elevada señala una fragilidad técnica, indicando que cambios</w:t>
      </w:r>
      <w:r>
        <w:t xml:space="preserve"> </w:t>
      </w:r>
      <w:r>
        <w:t xml:space="preserve">imperceptibles en los datos pueden generar interpretaciones contradictorias.</w:t>
      </w:r>
    </w:p>
    <w:bookmarkEnd w:id="48"/>
    <w:bookmarkStart w:id="49" w:name="robustez"/>
    <w:p>
      <w:pPr>
        <w:pStyle w:val="Ttulo3"/>
      </w:pPr>
      <w:r>
        <w:t xml:space="preserve">3.4.3 Robustez</w:t>
      </w:r>
    </w:p>
    <w:p>
      <w:pPr>
        <w:pStyle w:val="FirstParagraph"/>
      </w:pPr>
      <w:r>
        <w:t xml:space="preserve">A diferencia de la estabilidad, la robustez se enfoca en la resistencia del</w:t>
      </w:r>
      <w:r>
        <w:t xml:space="preserve"> </w:t>
      </w:r>
      <w:r>
        <w:t xml:space="preserve">explicador ante ataques adversarios o cambios significativos en la distribución.</w:t>
      </w:r>
      <w:r>
        <w:t xml:space="preserve"> </w:t>
      </w:r>
      <w:r>
        <w:t xml:space="preserve">Como identifica</w:t>
      </w:r>
      <w:r>
        <w:t xml:space="preserve"> </w:t>
      </w:r>
      <w:r>
        <w:t xml:space="preserve">Zheng et al. (2025)</w:t>
      </w:r>
      <w:r>
        <w:t xml:space="preserve">, muchas métricas tradicionales fallan al operar con</w:t>
      </w:r>
      <w:r>
        <w:t xml:space="preserve"> </w:t>
      </w:r>
      <w:r>
        <w:t xml:space="preserve">datos</w:t>
      </w:r>
      <w:r>
        <w:t xml:space="preserve"> </w:t>
      </w:r>
      <w:r>
        <w:t xml:space="preserve">“fuera de la distribución”</w:t>
      </w:r>
      <w:r>
        <w:t xml:space="preserve"> </w:t>
      </w:r>
      <w:r>
        <w:t xml:space="preserve">(OOD), por lo que la robustez técnica implica</w:t>
      </w:r>
      <w:r>
        <w:t xml:space="preserve"> </w:t>
      </w:r>
      <w:r>
        <w:t xml:space="preserve">garantizar que el explicador mantenga su validez incluso cuando el modelo</w:t>
      </w:r>
      <w:r>
        <w:t xml:space="preserve"> </w:t>
      </w:r>
      <w:r>
        <w:t xml:space="preserve">enfrenta instancias atípicas.</w:t>
      </w:r>
    </w:p>
    <w:bookmarkEnd w:id="49"/>
    <w:bookmarkStart w:id="50" w:name="sparsity-complejidad"/>
    <w:p>
      <w:pPr>
        <w:pStyle w:val="Ttulo3"/>
      </w:pPr>
      <w:r>
        <w:t xml:space="preserve">3.4.4 Sparsity / complejidad</w:t>
      </w:r>
    </w:p>
    <w:p>
      <w:pPr>
        <w:pStyle w:val="FirstParagraph"/>
      </w:pPr>
      <w:r>
        <w:t xml:space="preserve">La complejidad de una explicación debe estar alineada con las capacidades</w:t>
      </w:r>
      <w:r>
        <w:t xml:space="preserve"> </w:t>
      </w:r>
      <w:r>
        <w:t xml:space="preserve">cognitivas humanas.</w:t>
      </w:r>
      <w:r>
        <w:t xml:space="preserve"> </w:t>
      </w:r>
      <w:r>
        <w:t xml:space="preserve">Canha et al. (2025)</w:t>
      </w:r>
      <w:r>
        <w:t xml:space="preserve"> </w:t>
      </w:r>
      <w:r>
        <w:t xml:space="preserve">recurre a la</w:t>
      </w:r>
      <w:r>
        <w:t xml:space="preserve"> </w:t>
      </w:r>
      <w:r>
        <w:t xml:space="preserve">“Ley de Miller”</w:t>
      </w:r>
      <w:r>
        <w:t xml:space="preserve"> </w:t>
      </w:r>
      <w:r>
        <w:t xml:space="preserve">para fundamentar este</w:t>
      </w:r>
      <w:r>
        <w:t xml:space="preserve"> </w:t>
      </w:r>
      <w:r>
        <w:t xml:space="preserve">criterio, sugiriendo que el tamaño óptimo de una explicación informativa debe</w:t>
      </w:r>
      <w:r>
        <w:t xml:space="preserve"> </w:t>
      </w:r>
      <w:r>
        <w:t xml:space="preserve">mantenerse en un rango de</w:t>
      </w:r>
      <w:r>
        <w:t xml:space="preserve"> </w:t>
      </w:r>
      <m:oMath>
        <m:r>
          <m:t>7</m:t>
        </m:r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elementos resaltados. Una explicación con</w:t>
      </w:r>
      <w:r>
        <w:t xml:space="preserve"> </w:t>
      </w:r>
      <w:r>
        <w:t xml:space="preserve">baja cardinalidad (alta</w:t>
      </w:r>
      <w:r>
        <w:t xml:space="preserve"> </w:t>
      </w:r>
      <w:r>
        <w:t xml:space="preserve">) es preferible para reducir la carga</w:t>
      </w:r>
      <w:r>
        <w:t xml:space="preserve"> </w:t>
      </w:r>
      <w:r>
        <w:t xml:space="preserve">cognitiva sin sacrificar la información crítica.</w:t>
      </w:r>
    </w:p>
    <w:bookmarkEnd w:id="50"/>
    <w:bookmarkStart w:id="51" w:name="coste-computacional"/>
    <w:p>
      <w:pPr>
        <w:pStyle w:val="Ttulo3"/>
      </w:pPr>
      <w:r>
        <w:t xml:space="preserve">3.4.5 Coste computacional</w:t>
      </w:r>
    </w:p>
    <w:p>
      <w:pPr>
        <w:pStyle w:val="FirstParagraph"/>
      </w:pPr>
      <w:r>
        <w:t xml:space="preserve">La eficiencia computacional es un criterio pragmático indispensable. Existe una</w:t>
      </w:r>
      <w:r>
        <w:t xml:space="preserve"> </w:t>
      </w:r>
      <w:r>
        <w:t xml:space="preserve">compensación (</w:t>
      </w:r>
      <w:r>
        <w:t xml:space="preserve">) intrínseca entre la fidelidad de métodos como</w:t>
      </w:r>
      <w:r>
        <w:t xml:space="preserve"> </w:t>
      </w:r>
      <w:r>
        <w:t xml:space="preserve">KernelSHAP —que requieren miles de evaluaciones del modelo— y la rapidez de</w:t>
      </w:r>
      <w:r>
        <w:t xml:space="preserve"> </w:t>
      </w:r>
      <w:r>
        <w:t xml:space="preserve">aproximaciones lineales como LIME. Este estudio adopta métricas de latencia de</w:t>
      </w:r>
      <w:r>
        <w:t xml:space="preserve"> </w:t>
      </w:r>
      <w:r>
        <w:t xml:space="preserve">inferencia para valorar la viabilidad del despliegue bajo demanda.</w:t>
      </w:r>
    </w:p>
    <w:bookmarkEnd w:id="51"/>
    <w:bookmarkStart w:id="52" w:name="Xe00b4760c98b12ecb7c034848753f29957e3d9e"/>
    <w:p>
      <w:pPr>
        <w:pStyle w:val="Ttulo3"/>
      </w:pPr>
      <w:r>
        <w:t xml:space="preserve">3.4.6 Alineación causal y sensibilidad contrafactual</w:t>
      </w:r>
    </w:p>
    <w:p>
      <w:pPr>
        <w:pStyle w:val="FirstParagraph"/>
      </w:pPr>
      <w:r>
        <w:t xml:space="preserve">Finalmente, se introduce la alineación causal, que evalúa si las características</w:t>
      </w:r>
      <w:r>
        <w:t xml:space="preserve"> </w:t>
      </w:r>
      <w:r>
        <w:t xml:space="preserve">identificadas corresponden a relaciones lógicas reales en el dominio de</w:t>
      </w:r>
      <w:r>
        <w:t xml:space="preserve"> </w:t>
      </w:r>
      <w:r>
        <w:t xml:space="preserve">aplicación. Este criterio se complementa con la sensibilidad contrafactual, que</w:t>
      </w:r>
      <w:r>
        <w:t xml:space="preserve"> </w:t>
      </w:r>
      <w:r>
        <w:t xml:space="preserve">responde a cambios mínimos necesarios para invertir la decisión del modelo,</w:t>
      </w:r>
      <w:r>
        <w:t xml:space="preserve"> </w:t>
      </w:r>
      <w:r>
        <w:t xml:space="preserve">proporcionando una validación semántica que trasciende la métrica puramente</w:t>
      </w:r>
      <w:r>
        <w:t xml:space="preserve"> </w:t>
      </w:r>
      <w:r>
        <w:t xml:space="preserve">matemática</w:t>
      </w:r>
      <w:r>
        <w:t xml:space="preserve"> </w:t>
      </w:r>
      <w:r>
        <w:t xml:space="preserve">(Bhattacharya and Verbert 2024;</w:t>
      </w:r>
      <w:r>
        <w:t xml:space="preserve"> </w:t>
      </w:r>
      <w:r>
        <w:t xml:space="preserve">Reif et al.</w:t>
      </w:r>
      <w:r>
        <w:t xml:space="preserve"> </w:t>
      </w:r>
      <w:r>
        <w:t xml:space="preserve">2024)</w:t>
      </w:r>
      <w:r>
        <w:t xml:space="preserve">.</w:t>
      </w:r>
    </w:p>
    <w:bookmarkEnd w:id="52"/>
    <w:bookmarkEnd w:id="53"/>
    <w:bookmarkEnd w:id="54"/>
    <w:bookmarkStart w:id="64" w:name="marco-empírico-diseño-experimental"/>
    <w:p>
      <w:pPr>
        <w:pStyle w:val="Ttulo1"/>
      </w:pPr>
      <w:r>
        <w:t xml:space="preserve">4. Marco empírico / Diseño experimental</w:t>
      </w:r>
    </w:p>
    <w:bookmarkStart w:id="55" w:name="objetivo-del-capítulo-experimental"/>
    <w:p>
      <w:pPr>
        <w:pStyle w:val="Ttulo2"/>
      </w:pPr>
      <w:r>
        <w:t xml:space="preserve">4.1 Objetivo del capítulo experimental</w:t>
      </w:r>
    </w:p>
    <w:bookmarkEnd w:id="55"/>
    <w:bookmarkStart w:id="56" w:name="hipótesis-experimentales"/>
    <w:p>
      <w:pPr>
        <w:pStyle w:val="Ttulo2"/>
      </w:pPr>
      <w:r>
        <w:t xml:space="preserve">4.2 Hipótesis experimentales</w:t>
      </w:r>
    </w:p>
    <w:bookmarkEnd w:id="56"/>
    <w:bookmarkStart w:id="57" w:name="diseño-experimental-general"/>
    <w:p>
      <w:pPr>
        <w:pStyle w:val="Ttulo2"/>
      </w:pPr>
      <w:r>
        <w:t xml:space="preserve">4.3 Diseño experimental general</w:t>
      </w:r>
    </w:p>
    <w:bookmarkEnd w:id="57"/>
    <w:bookmarkStart w:id="58" w:name="X8edbf47208baff98da63be58a181e5d7f410698"/>
    <w:p>
      <w:pPr>
        <w:pStyle w:val="Ttulo2"/>
      </w:pPr>
      <w:r>
        <w:t xml:space="preserve">4.4 Experimento 1: Benchmark de métodos existentes</w:t>
      </w:r>
    </w:p>
    <w:bookmarkEnd w:id="58"/>
    <w:bookmarkStart w:id="59" w:name="Xbf0bda34eabb7f2d088db8ffb41b08cd1fc7f75"/>
    <w:p>
      <w:pPr>
        <w:pStyle w:val="Ttulo2"/>
      </w:pPr>
      <w:r>
        <w:t xml:space="preserve">4.5 Experimento 2: Framework híbrido propuesto</w:t>
      </w:r>
    </w:p>
    <w:bookmarkEnd w:id="59"/>
    <w:bookmarkStart w:id="60" w:name="experimento-3-escalabilidad-y-robustez"/>
    <w:p>
      <w:pPr>
        <w:pStyle w:val="Ttulo2"/>
      </w:pPr>
      <w:r>
        <w:t xml:space="preserve">4.6 Experimento 3: Escalabilidad y robustez</w:t>
      </w:r>
    </w:p>
    <w:bookmarkEnd w:id="60"/>
    <w:bookmarkStart w:id="61" w:name="Xaa5d2c7a92c8fbc5443e28c5396c68c73b7d17a"/>
    <w:p>
      <w:pPr>
        <w:pStyle w:val="Ttulo2"/>
      </w:pPr>
      <w:r>
        <w:t xml:space="preserve">4.7 Experimento 4: Evaluación centrada en el usuario</w:t>
      </w:r>
    </w:p>
    <w:bookmarkEnd w:id="61"/>
    <w:bookmarkStart w:id="62" w:name="procedimientos-de-análisis-estadístico"/>
    <w:p>
      <w:pPr>
        <w:pStyle w:val="Ttulo2"/>
      </w:pPr>
      <w:r>
        <w:t xml:space="preserve">4.8 Procedimientos de análisis estadístico</w:t>
      </w:r>
    </w:p>
    <w:bookmarkEnd w:id="62"/>
    <w:bookmarkStart w:id="63" w:name="X9deb2518c603589de74d1eefed962ee0d6b1c76"/>
    <w:p>
      <w:pPr>
        <w:pStyle w:val="Ttulo2"/>
      </w:pPr>
      <w:r>
        <w:t xml:space="preserve">4.9 Consideraciones de validez, reproducibilidad y amenazas</w:t>
      </w:r>
    </w:p>
    <w:bookmarkEnd w:id="63"/>
    <w:bookmarkEnd w:id="64"/>
    <w:bookmarkStart w:id="70" w:name="resultados-y-discusión"/>
    <w:p>
      <w:pPr>
        <w:pStyle w:val="Ttulo1"/>
      </w:pPr>
      <w:r>
        <w:t xml:space="preserve">5. Resultados y discusión</w:t>
      </w:r>
    </w:p>
    <w:bookmarkStart w:id="65" w:name="resultados-del-benchmark"/>
    <w:p>
      <w:pPr>
        <w:pStyle w:val="Ttulo2"/>
      </w:pPr>
      <w:r>
        <w:t xml:space="preserve">5.1 Resultados del benchmark</w:t>
      </w:r>
    </w:p>
    <w:bookmarkEnd w:id="65"/>
    <w:bookmarkStart w:id="66" w:name="resultados-del-framework-híbrido"/>
    <w:p>
      <w:pPr>
        <w:pStyle w:val="Ttulo2"/>
      </w:pPr>
      <w:r>
        <w:t xml:space="preserve">5.2 Resultados del framework híbrido</w:t>
      </w:r>
    </w:p>
    <w:bookmarkEnd w:id="66"/>
    <w:bookmarkStart w:id="67" w:name="resultados-de-escalabilidad-y-robustez"/>
    <w:p>
      <w:pPr>
        <w:pStyle w:val="Ttulo2"/>
      </w:pPr>
      <w:r>
        <w:t xml:space="preserve">5.3 Resultados de escalabilidad y robustez</w:t>
      </w:r>
    </w:p>
    <w:bookmarkEnd w:id="67"/>
    <w:bookmarkStart w:id="68" w:name="resultados-del-estudio-con-usuarios"/>
    <w:p>
      <w:pPr>
        <w:pStyle w:val="Ttulo2"/>
      </w:pPr>
      <w:r>
        <w:t xml:space="preserve">5.4 Resultados del estudio con usuarios</w:t>
      </w:r>
    </w:p>
    <w:bookmarkEnd w:id="68"/>
    <w:bookmarkStart w:id="69" w:name="discusión-integrada"/>
    <w:p>
      <w:pPr>
        <w:pStyle w:val="Ttulo2"/>
      </w:pPr>
      <w:r>
        <w:t xml:space="preserve">5.5 Discusión integrada</w:t>
      </w:r>
    </w:p>
    <w:bookmarkEnd w:id="69"/>
    <w:bookmarkEnd w:id="70"/>
    <w:bookmarkStart w:id="77" w:name="conclusiones"/>
    <w:p>
      <w:pPr>
        <w:pStyle w:val="Ttulo1"/>
      </w:pPr>
      <w:r>
        <w:t xml:space="preserve">6. Conclusiones</w:t>
      </w:r>
    </w:p>
    <w:bookmarkStart w:id="71" w:name="hallazgos-principales"/>
    <w:p>
      <w:pPr>
        <w:pStyle w:val="Ttulo2"/>
      </w:pPr>
      <w:r>
        <w:t xml:space="preserve">6.1 Hallazgos principales</w:t>
      </w:r>
    </w:p>
    <w:bookmarkEnd w:id="71"/>
    <w:bookmarkStart w:id="72" w:name="contribuciones-teóricas"/>
    <w:p>
      <w:pPr>
        <w:pStyle w:val="Ttulo2"/>
      </w:pPr>
      <w:r>
        <w:t xml:space="preserve">6.2 Contribuciones teóricas</w:t>
      </w:r>
    </w:p>
    <w:bookmarkEnd w:id="72"/>
    <w:bookmarkStart w:id="73" w:name="contribuciones-metodológicas"/>
    <w:p>
      <w:pPr>
        <w:pStyle w:val="Ttulo2"/>
      </w:pPr>
      <w:r>
        <w:t xml:space="preserve">6.3 Contribuciones metodológicas</w:t>
      </w:r>
    </w:p>
    <w:bookmarkEnd w:id="73"/>
    <w:bookmarkStart w:id="74" w:name="contribuciones-aplicadas"/>
    <w:p>
      <w:pPr>
        <w:pStyle w:val="Ttulo2"/>
      </w:pPr>
      <w:r>
        <w:t xml:space="preserve">6.4 Contribuciones aplicadas</w:t>
      </w:r>
    </w:p>
    <w:bookmarkEnd w:id="74"/>
    <w:bookmarkStart w:id="75" w:name="limitaciones-del-estudio"/>
    <w:p>
      <w:pPr>
        <w:pStyle w:val="Ttulo2"/>
      </w:pPr>
      <w:r>
        <w:t xml:space="preserve">6.5 Limitaciones del estudio</w:t>
      </w:r>
    </w:p>
    <w:bookmarkEnd w:id="75"/>
    <w:bookmarkStart w:id="76" w:name="prospectiva-líneas-futuras"/>
    <w:p>
      <w:pPr>
        <w:pStyle w:val="Ttulo2"/>
      </w:pPr>
      <w:r>
        <w:t xml:space="preserve">6.6 Prospectiva / líneas futuras</w:t>
      </w:r>
    </w:p>
    <w:bookmarkEnd w:id="76"/>
    <w:bookmarkEnd w:id="77"/>
    <w:bookmarkStart w:id="99" w:name="referencias"/>
    <w:p>
      <w:pPr>
        <w:pStyle w:val="Ttulo1"/>
      </w:pPr>
      <w:r>
        <w:t xml:space="preserve">Referencias</w:t>
      </w:r>
    </w:p>
    <w:bookmarkStart w:id="98" w:name="refs"/>
    <w:bookmarkStart w:id="79" w:name="ref-abdulkadir2023"/>
    <w:p>
      <w:pPr>
        <w:pStyle w:val="Bibliography"/>
      </w:pPr>
      <w:r>
        <w:t xml:space="preserve">Abdul Kadir, M., A. Mosavi, and D. Sonntag. 2023.</w:t>
      </w:r>
      <w:r>
        <w:t xml:space="preserve"> </w:t>
      </w:r>
      <w:r>
        <w:t xml:space="preserve">“Evaluation Metrics for XAI: A Review, Taxonomy, and Practical Applications.”</w:t>
      </w:r>
      <w:r>
        <w:t xml:space="preserve"> </w:t>
      </w:r>
      <w:r>
        <w:rPr>
          <w:i/>
          <w:iCs/>
        </w:rPr>
        <w:t xml:space="preserve">INES 2023 Proceedings</w:t>
      </w:r>
      <w:r>
        <w:t xml:space="preserve">, ahead of print.</w:t>
      </w:r>
      <w:r>
        <w:t xml:space="preserve"> </w:t>
      </w:r>
      <w:hyperlink r:id="rId78">
        <w:r>
          <w:rPr>
            <w:rStyle w:val="Hipervnculo"/>
          </w:rPr>
          <w:t xml:space="preserve">https://doi.org/10.1109/INES59045.2023.1030000</w:t>
        </w:r>
      </w:hyperlink>
      <w:r>
        <w:t xml:space="preserve">.</w:t>
      </w:r>
    </w:p>
    <w:bookmarkEnd w:id="79"/>
    <w:bookmarkStart w:id="80" w:name="ref-agarwal2022"/>
    <w:p>
      <w:pPr>
        <w:pStyle w:val="Bibliography"/>
      </w:pPr>
      <w:r>
        <w:t xml:space="preserve">Agarwal, C., D. Ley, S. Krishna, et al. 2022.</w:t>
      </w:r>
      <w:r>
        <w:t xml:space="preserve"> </w:t>
      </w:r>
      <w:r>
        <w:t xml:space="preserve">“OpenXAI: Towards a Transparent Evaluation of Post Hoc Model Explanations.”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.</w:t>
      </w:r>
    </w:p>
    <w:bookmarkEnd w:id="80"/>
    <w:bookmarkStart w:id="82" w:name="ref-bhattacharya2024"/>
    <w:p>
      <w:pPr>
        <w:pStyle w:val="Bibliography"/>
      </w:pPr>
      <w:r>
        <w:t xml:space="preserve">Bhattacharya, A., and K. Verbert. 2024.</w:t>
      </w:r>
      <w:r>
        <w:t xml:space="preserve"> </w:t>
      </w:r>
      <w:r>
        <w:t xml:space="preserve">“How Good Is Your Explanation?: Towards a Standardised Evaluation Approach for Diverse XAI Methods on Multiple Dimensions of Explainability.”</w:t>
      </w:r>
      <w:r>
        <w:t xml:space="preserve"> </w:t>
      </w:r>
      <w:r>
        <w:rPr>
          <w:i/>
          <w:iCs/>
        </w:rPr>
        <w:t xml:space="preserve">Proceedings of the 32nd ACM Conference on User Modeling, Adaptation and Personalization (UMAP Adjunct ’24)</w:t>
      </w:r>
      <w:r>
        <w:t xml:space="preserve">.</w:t>
      </w:r>
      <w:r>
        <w:t xml:space="preserve"> </w:t>
      </w:r>
      <w:hyperlink r:id="rId81">
        <w:r>
          <w:rPr>
            <w:rStyle w:val="Hipervnculo"/>
          </w:rPr>
          <w:t xml:space="preserve">https://doi.org/10.1145/3631700.3664911</w:t>
        </w:r>
      </w:hyperlink>
      <w:r>
        <w:t xml:space="preserve">.</w:t>
      </w:r>
    </w:p>
    <w:bookmarkEnd w:id="82"/>
    <w:bookmarkStart w:id="84" w:name="ref-canha2025"/>
    <w:p>
      <w:pPr>
        <w:pStyle w:val="Bibliography"/>
      </w:pPr>
      <w:r>
        <w:t xml:space="preserve">Canha, D., S. Kubler, K. Främling, and G. Fagherazzi. 2025.</w:t>
      </w:r>
      <w:r>
        <w:t xml:space="preserve"> </w:t>
      </w:r>
      <w:r>
        <w:t xml:space="preserve">“A Functionally-Grounded Benchmark Framework for XAI Methods: Insights and Foundations from a Systematic Literature Review.”</w:t>
      </w:r>
      <w:r>
        <w:t xml:space="preserve"> </w:t>
      </w:r>
      <w:r>
        <w:rPr>
          <w:i/>
          <w:iCs/>
        </w:rPr>
        <w:t xml:space="preserve">ACM Computing Surveys</w:t>
      </w:r>
      <w:r>
        <w:t xml:space="preserve"> </w:t>
      </w:r>
      <w:r>
        <w:t xml:space="preserve">57 (12).</w:t>
      </w:r>
      <w:r>
        <w:t xml:space="preserve"> </w:t>
      </w:r>
      <w:hyperlink r:id="rId83">
        <w:r>
          <w:rPr>
            <w:rStyle w:val="Hipervnculo"/>
          </w:rPr>
          <w:t xml:space="preserve">https://doi.org/10.1145/3737445</w:t>
        </w:r>
      </w:hyperlink>
      <w:r>
        <w:t xml:space="preserve">.</w:t>
      </w:r>
    </w:p>
    <w:bookmarkEnd w:id="84"/>
    <w:bookmarkStart w:id="85" w:name="ref-hedstrom2023"/>
    <w:p>
      <w:pPr>
        <w:pStyle w:val="Bibliography"/>
      </w:pPr>
      <w:r>
        <w:t xml:space="preserve">Hedström, A., L. Weber, D. Bareeva, et al. 2023.</w:t>
      </w:r>
      <w:r>
        <w:t xml:space="preserve"> </w:t>
      </w:r>
      <w:r>
        <w:t xml:space="preserve">“Quantus: An Explainable AI Toolkit for Responsible Evaluation of Neural Network Explanations and Beyond.”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24 (34): 1–11.</w:t>
      </w:r>
    </w:p>
    <w:bookmarkEnd w:id="85"/>
    <w:bookmarkStart w:id="87" w:name="ref-lundberg2017"/>
    <w:p>
      <w:pPr>
        <w:pStyle w:val="Bibliography"/>
      </w:pPr>
      <w:r>
        <w:t xml:space="preserve">Lundberg, &amp; Lee, S. M. 2017.</w:t>
      </w:r>
      <w:r>
        <w:t xml:space="preserve"> </w:t>
      </w:r>
      <w:r>
        <w:t xml:space="preserve">“A Unified Approach to Interpreting Model Predictions.”</w:t>
      </w:r>
      <w:r>
        <w:t xml:space="preserve"> </w:t>
      </w:r>
      <w:r>
        <w:rPr>
          <w:i/>
          <w:iCs/>
        </w:rPr>
        <w:t xml:space="preserve">arXiv (Cornell University)</w:t>
      </w:r>
      <w:r>
        <w:t xml:space="preserve">, ahead of print.</w:t>
      </w:r>
      <w:r>
        <w:t xml:space="preserve"> </w:t>
      </w:r>
      <w:hyperlink r:id="rId86">
        <w:r>
          <w:rPr>
            <w:rStyle w:val="Hipervnculo"/>
          </w:rPr>
          <w:t xml:space="preserve">https://doi.org/10.48550/arxiv.1705.07874</w:t>
        </w:r>
      </w:hyperlink>
      <w:r>
        <w:t xml:space="preserve">.</w:t>
      </w:r>
    </w:p>
    <w:bookmarkEnd w:id="87"/>
    <w:bookmarkStart w:id="88" w:name="ref-nizam2023"/>
    <w:p>
      <w:pPr>
        <w:pStyle w:val="Bibliography"/>
      </w:pPr>
      <w:r>
        <w:t xml:space="preserve">Nizam, T., and S. Zafar. 2023.</w:t>
      </w:r>
      <w:r>
        <w:t xml:space="preserve"> </w:t>
      </w:r>
      <w:r>
        <w:t xml:space="preserve">“Towards a Standardised Evaluation Approach for Diverse XAI Methods.”</w:t>
      </w:r>
      <w:r>
        <w:t xml:space="preserve"> </w:t>
      </w:r>
      <w:r>
        <w:rPr>
          <w:i/>
          <w:iCs/>
        </w:rPr>
        <w:t xml:space="preserve">Explainable Artificial Intelligence (XAI): Conception, Visualization and Assessment</w:t>
      </w:r>
      <w:r>
        <w:t xml:space="preserve">.</w:t>
      </w:r>
    </w:p>
    <w:bookmarkEnd w:id="88"/>
    <w:bookmarkStart w:id="90" w:name="ref-pawlicki2024"/>
    <w:p>
      <w:pPr>
        <w:pStyle w:val="Bibliography"/>
      </w:pPr>
      <w:r>
        <w:t xml:space="preserve">Pawlicki, M., A. Pawlicka, F. Uccello, et al. 2024.</w:t>
      </w:r>
      <w:r>
        <w:t xml:space="preserve"> </w:t>
      </w:r>
      <w:r>
        <w:t xml:space="preserve">“Evaluating the Necessity of the Multiple Metrics for Assessing Explainable AI: A Critical Examination.”</w:t>
      </w:r>
      <w:r>
        <w:t xml:space="preserve"> </w:t>
      </w:r>
      <w:r>
        <w:rPr>
          <w:i/>
          <w:iCs/>
        </w:rPr>
        <w:t xml:space="preserve">Neurocomputing</w:t>
      </w:r>
      <w:r>
        <w:t xml:space="preserve"> </w:t>
      </w:r>
      <w:r>
        <w:t xml:space="preserve">602 (128282).</w:t>
      </w:r>
      <w:r>
        <w:t xml:space="preserve"> </w:t>
      </w:r>
      <w:hyperlink r:id="rId89">
        <w:r>
          <w:rPr>
            <w:rStyle w:val="Hipervnculo"/>
          </w:rPr>
          <w:t xml:space="preserve">https://doi.org/10.1016/j.neucom.2024.128282</w:t>
        </w:r>
      </w:hyperlink>
      <w:r>
        <w:t xml:space="preserve">.</w:t>
      </w:r>
    </w:p>
    <w:bookmarkEnd w:id="90"/>
    <w:bookmarkStart w:id="91" w:name="ref-reif2024"/>
    <w:p>
      <w:pPr>
        <w:pStyle w:val="Bibliography"/>
      </w:pPr>
      <w:r>
        <w:t xml:space="preserve">Reif, E. et al.</w:t>
      </w:r>
      <w:r>
        <w:t xml:space="preserve"> 2024.</w:t>
      </w:r>
      <w:r>
        <w:t xml:space="preserve"> </w:t>
      </w:r>
      <w:r>
        <w:t xml:space="preserve">“Evidence of a Social Evaluation Penalty for Using AI.”</w:t>
      </w:r>
      <w:r>
        <w:t xml:space="preserve"> </w:t>
      </w:r>
      <w:r>
        <w:rPr>
          <w:i/>
          <w:iCs/>
        </w:rPr>
        <w:t xml:space="preserve">Research Note</w:t>
      </w:r>
      <w:r>
        <w:t xml:space="preserve">.</w:t>
      </w:r>
    </w:p>
    <w:bookmarkEnd w:id="91"/>
    <w:bookmarkStart w:id="93" w:name="ref-ribeiro2016"/>
    <w:p>
      <w:pPr>
        <w:pStyle w:val="Bibliography"/>
      </w:pPr>
      <w:r>
        <w:t xml:space="preserve">Ribeiro, Singh, M. T. 2016.</w:t>
      </w:r>
      <w:r>
        <w:t xml:space="preserve"> </w:t>
      </w:r>
      <w:r>
        <w:t xml:space="preserve">“"Why Should i Trust You?": Explaining the Predictions of Any Classifier.”</w:t>
      </w:r>
      <w:r>
        <w:t xml:space="preserve"> </w:t>
      </w:r>
      <w:r>
        <w:rPr>
          <w:i/>
          <w:iCs/>
        </w:rPr>
        <w:t xml:space="preserve">arXiv Preprint arXiv:1602.04938</w:t>
      </w:r>
      <w:r>
        <w:t xml:space="preserve">, ahead of print.</w:t>
      </w:r>
      <w:r>
        <w:t xml:space="preserve"> </w:t>
      </w:r>
      <w:hyperlink r:id="rId92">
        <w:r>
          <w:rPr>
            <w:rStyle w:val="Hipervnculo"/>
          </w:rPr>
          <w:t xml:space="preserve">https://doi.org/10.1145/2939672.2939778</w:t>
        </w:r>
      </w:hyperlink>
      <w:r>
        <w:t xml:space="preserve">.</w:t>
      </w:r>
    </w:p>
    <w:bookmarkEnd w:id="93"/>
    <w:bookmarkStart w:id="95" w:name="ref-ribeiro2018"/>
    <w:p>
      <w:pPr>
        <w:pStyle w:val="Bibliography"/>
      </w:pPr>
      <w:r>
        <w:t xml:space="preserve">Ribeiro, Singh, M. T. 2018.</w:t>
      </w:r>
      <w:r>
        <w:t xml:space="preserve"> </w:t>
      </w:r>
      <w:r>
        <w:t xml:space="preserve">“Anchors: High-Precision Model-Agnostic Explanations.”</w:t>
      </w:r>
      <w:r>
        <w:t xml:space="preserve"> </w:t>
      </w:r>
      <w:r>
        <w:rPr>
          <w:i/>
          <w:iCs/>
        </w:rPr>
        <w:t xml:space="preserve">Proceedings of the AAAI Conference on Artificial Intelligence, 32(1)</w:t>
      </w:r>
      <w:r>
        <w:t xml:space="preserve">, ahead of print.</w:t>
      </w:r>
      <w:r>
        <w:t xml:space="preserve"> </w:t>
      </w:r>
      <w:hyperlink r:id="rId94">
        <w:r>
          <w:rPr>
            <w:rStyle w:val="Hipervnculo"/>
          </w:rPr>
          <w:t xml:space="preserve">https://doi.org/10.1609/aaai.v32i1.11491</w:t>
        </w:r>
      </w:hyperlink>
      <w:r>
        <w:t xml:space="preserve">.</w:t>
      </w:r>
    </w:p>
    <w:bookmarkEnd w:id="95"/>
    <w:bookmarkStart w:id="97" w:name="ref-zheng2025"/>
    <w:p>
      <w:pPr>
        <w:pStyle w:val="Bibliography"/>
      </w:pPr>
      <w:r>
        <w:t xml:space="preserve">Zheng, X., F. Shirani, Z. Chen, et al. 2025.</w:t>
      </w:r>
      <w:r>
        <w:t xml:space="preserve"> </w:t>
      </w:r>
      <w:r>
        <w:t xml:space="preserve">“F-FIDELITY: A Robust Framework for Faithfulness Evaluation of Explainable AI.”</w:t>
      </w:r>
      <w:r>
        <w:t xml:space="preserve"> </w:t>
      </w:r>
      <w:r>
        <w:rPr>
          <w:i/>
          <w:iCs/>
        </w:rPr>
        <w:t xml:space="preserve">ICLR 2025 Proceedings</w:t>
      </w:r>
      <w:r>
        <w:t xml:space="preserve">.</w:t>
      </w:r>
      <w:r>
        <w:t xml:space="preserve"> </w:t>
      </w:r>
      <w:hyperlink r:id="rId96">
        <w:r>
          <w:rPr>
            <w:rStyle w:val="Hipervnculo"/>
          </w:rPr>
          <w:t xml:space="preserve">https://trustai4s-lab.github.io/ffidelity</w:t>
        </w:r>
      </w:hyperlink>
      <w:r>
        <w:t xml:space="preserve">.</w:t>
      </w:r>
    </w:p>
    <w:bookmarkEnd w:id="97"/>
    <w:bookmarkEnd w:id="98"/>
    <w:bookmarkEnd w:id="99"/>
    <w:bookmarkStart w:id="103" w:name="apéndices"/>
    <w:p>
      <w:pPr>
        <w:pStyle w:val="Ttulo1"/>
      </w:pPr>
      <w:r>
        <w:t xml:space="preserve">Apéndices</w:t>
      </w:r>
    </w:p>
    <w:bookmarkStart w:id="100" w:name="apéndice-a-detalles-del-corpus-de-datos"/>
    <w:p>
      <w:pPr>
        <w:pStyle w:val="Ttulo2"/>
      </w:pPr>
      <w:r>
        <w:t xml:space="preserve">Apéndice A: Detalles del corpus de datos</w:t>
      </w:r>
    </w:p>
    <w:bookmarkEnd w:id="100"/>
    <w:bookmarkStart w:id="101" w:name="X099ba691e46175a7ccd6698c94b9cfe7ba4975a"/>
    <w:p>
      <w:pPr>
        <w:pStyle w:val="Ttulo2"/>
      </w:pPr>
      <w:r>
        <w:t xml:space="preserve">Apéndice B: Configuración de los modelos de caja negra</w:t>
      </w:r>
    </w:p>
    <w:bookmarkEnd w:id="101"/>
    <w:bookmarkStart w:id="102" w:name="X52f0a5c074bf6018d9e252527b969f7db490891"/>
    <w:p>
      <w:pPr>
        <w:pStyle w:val="Ttulo2"/>
      </w:pPr>
      <w:r>
        <w:t xml:space="preserve">Apéndice C: Prompts utilizados para la evaluación con LLMs</w:t>
      </w:r>
    </w:p>
    <w:bookmarkEnd w:id="102"/>
    <w:bookmarkEnd w:id="103"/>
    <w:sectPr w:rsidR="004A1446" w:rsidSect="0070096E">
      <w:headerReference r:id="rId9" w:type="even"/>
      <w:headerReference r:id="rId10" w:type="default"/>
      <w:pgSz w:h="15840" w:w="12240"/>
      <w:pgMar w:bottom="1440" w:footer="720" w:gutter="0" w:header="720" w:left="1440" w:right="1440" w:top="1728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0096E" w:rsidRDefault="00637ED1">
    <w:pPr>
      <w:spacing w:line="200" w:lineRule="exact"/>
      <w:rPr>
        <w:sz w:val="20"/>
        <w:szCs w:val="20"/>
      </w:rPr>
    </w:pPr>
    <w:r w:rsidRPr="00637ED1">
      <w:rPr>
        <w:noProof/>
        <w:sz w:val="22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2050" type="#_x0000_t202" style="position:absolute;margin-left:541.25pt;margin-top:36.15pt;width:16pt;height:14pt;z-index:-251658752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" filled="f" stroked="f">
          <v:textbox style="mso-next-textbox:#Text Box 1" inset="0,0,0,0">
            <w:txbxContent>
              <w:p w:rsidR="0070096E" w:rsidRDefault="00637ED1">
                <w:pPr>
                  <w:pStyle w:val="Textoindependiente"/>
                  <w:spacing w:line="265" w:lineRule="exact"/>
                  <w:ind w:left="40"/>
                </w:pPr>
                <w:r>
                  <w:fldChar w:fldCharType="begin"/>
                </w:r>
                <w:r w:rsidR="00B84E16">
                  <w:instrText xml:space="preserve"> PAGE </w:instrText>
                </w:r>
                <w:r>
                  <w:fldChar w:fldCharType="separate"/>
                </w:r>
                <w:r w:rsidR="0070096E">
                  <w:rPr>
                    <w:noProof/>
                  </w:rPr>
                  <w:t>2</w:t>
                </w:r>
                <w:r>
                  <w:rPr>
                    <w:noProof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325631411"/>
      <w:docPartObj>
        <w:docPartGallery w:val="Page Numbers (Top of Page)"/>
        <w:docPartUnique/>
      </w:docPartObj>
    </w:sdtPr>
    <w:sdtEndPr>
      <w:rPr>
        <w:noProof/>
      </w:rPr>
    </w:sdtEndPr>
    <w:sdtContent>
      <w:p w:rsidR="0070096E" w:rsidRDefault="0070096E">
        <w:pPr>
          <w:pStyle w:val="Encabezado"/>
          <w:jc w:val="right"/>
        </w:pPr>
        <w:r>
          <w:rPr>
            <w:noProof/>
            <w:lang w:val="es-ES" w:eastAsia="es-ES"/>
          </w:rPr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-445135</wp:posOffset>
              </wp:positionH>
              <wp:positionV relativeFrom="paragraph">
                <wp:posOffset>-294005</wp:posOffset>
              </wp:positionV>
              <wp:extent cx="935990" cy="955040"/>
              <wp:effectExtent l="19050" t="0" r="0" b="0"/>
              <wp:wrapNone/>
              <wp:docPr id="7" name="2 Imagen" descr="logo-unade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logo-unade.jpg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5990" cy="95504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p>
      <w:p w:rsidR="0070096E" w:rsidRDefault="0070096E">
        <w:pPr>
          <w:pStyle w:val="Encabezado"/>
          <w:jc w:val="right"/>
        </w:pPr>
      </w:p>
      <w:p w:rsidR="0070096E" w:rsidRDefault="00637ED1" w:rsidP="00FB6C23">
        <w:pPr>
          <w:pStyle w:val="Encabezado"/>
          <w:jc w:val="right"/>
        </w:pPr>
        <w:r>
          <w:fldChar w:fldCharType="begin"/>
        </w:r>
        <w:r w:rsidR="00B84E16">
          <w:instrText xml:space="preserve"> PAGE   \* MERGEFORMAT </w:instrText>
        </w:r>
        <w:r>
          <w:fldChar w:fldCharType="separate"/>
        </w:r>
        <w:r w:rsidR="00AC4B04">
          <w:rPr>
            <w:noProof/>
          </w:rPr>
          <w:t>xiii</w:t>
        </w:r>
        <w:r>
          <w:rPr>
            <w:noProof/>
          </w:rPr>
          <w:fldChar w:fldCharType="end"/>
        </w:r>
      </w:p>
    </w:sdtContent>
  </w:sdt>
  <w:p w:rsidR="0070096E" w:rsidRDefault="0070096E">
    <w:pPr>
      <w:spacing w:line="200" w:lineRule="exact"/>
      <w:rPr>
        <w:sz w:val="20"/>
        <w:szCs w:val="20"/>
      </w:rPr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5806582"/>
      <w:docPartObj>
        <w:docPartGallery w:val="Page Numbers (Top of Page)"/>
        <w:docPartUnique/>
      </w:docPartObj>
    </w:sdtPr>
    <w:sdtEndPr>
      <w:rPr>
        <w:noProof/>
      </w:rPr>
    </w:sdtEndPr>
    <w:sdtContent>
      <w:p w:rsidR="0070096E" w:rsidRDefault="0070096E">
        <w:pPr>
          <w:pStyle w:val="Encabezado"/>
          <w:jc w:val="right"/>
        </w:pPr>
        <w:r>
          <w:rPr>
            <w:noProof/>
            <w:lang w:val="es-ES" w:eastAsia="es-ES"/>
          </w:rPr>
          <w:drawing>
            <wp:anchor distT="0" distB="0" distL="114300" distR="114300" simplePos="0" relativeHeight="251660800" behindDoc="0" locked="0" layoutInCell="1" allowOverlap="1">
              <wp:simplePos x="0" y="0"/>
              <wp:positionH relativeFrom="column">
                <wp:posOffset>-523657</wp:posOffset>
              </wp:positionH>
              <wp:positionV relativeFrom="paragraph">
                <wp:posOffset>122830</wp:posOffset>
              </wp:positionV>
              <wp:extent cx="936293" cy="955343"/>
              <wp:effectExtent l="19050" t="0" r="0" b="0"/>
              <wp:wrapNone/>
              <wp:docPr id="1" name="2 Imagen" descr="logo-unade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logo-unade.jpg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6293" cy="95534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p>
      <w:p w:rsidR="0070096E" w:rsidRDefault="0070096E">
        <w:pPr>
          <w:pStyle w:val="Encabezado"/>
          <w:jc w:val="right"/>
        </w:pPr>
      </w:p>
      <w:p w:rsidR="0070096E" w:rsidRDefault="0070096E">
        <w:pPr>
          <w:pStyle w:val="Encabezado"/>
          <w:jc w:val="right"/>
        </w:pPr>
      </w:p>
      <w:p w:rsidR="0070096E" w:rsidRDefault="0070096E">
        <w:pPr>
          <w:pStyle w:val="Encabezado"/>
          <w:jc w:val="right"/>
        </w:pPr>
      </w:p>
      <w:p w:rsidR="0070096E" w:rsidRDefault="00637ED1" w:rsidP="00FB6C23">
        <w:pPr>
          <w:pStyle w:val="Encabezado"/>
          <w:jc w:val="right"/>
        </w:pPr>
        <w:r>
          <w:fldChar w:fldCharType="begin"/>
        </w:r>
        <w:r w:rsidR="00B84E16">
          <w:instrText xml:space="preserve"> PAGE   \* MERGEFORMAT </w:instrText>
        </w:r>
        <w:r>
          <w:fldChar w:fldCharType="separate"/>
        </w:r>
        <w:r w:rsidR="00AC4B04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:rsidR="0070096E" w:rsidRDefault="0070096E">
    <w:pPr>
      <w:spacing w:line="200" w:lineRule="exact"/>
      <w:rPr>
        <w:sz w:val="20"/>
        <w:szCs w:val="20"/>
      </w:rPr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0096E" w:rsidRDefault="00637ED1">
    <w:pPr>
      <w:spacing w:line="1" w:lineRule="exact"/>
    </w:pPr>
    <w:r w:rsidRPr="00637ED1"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Shape 67" o:spid="_x0000_s2049" type="#_x0000_t202" style="position:absolute;margin-left:533.05pt;margin-top:6.25pt;width:12.05pt;height:27.6pt;z-index:-251657728;visibility:visible;mso-wrap-style:none;mso-wrap-distance-left:0;mso-wrap-distance-right:0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" filled="f" stroked="f">
          <v:textbox style="mso-fit-shape-to-text:t" inset="0,0,0,0">
            <w:txbxContent>
              <w:p w:rsidR="0070096E" w:rsidRDefault="0070096E">
                <w:pPr>
                  <w:pStyle w:val="Encabezadoopiedepgina0"/>
                  <w:shd w:val="clear" w:color="auto" w:fill="auto"/>
                </w:pPr>
              </w:p>
              <w:p w:rsidR="0070096E" w:rsidRDefault="00637ED1">
                <w:pPr>
                  <w:pStyle w:val="Encabezadoopiedepgina0"/>
                  <w:shd w:val="clear" w:color="auto" w:fill="auto"/>
                </w:pPr>
                <w:r w:rsidRPr="00637ED1">
                  <w:fldChar w:fldCharType="begin"/>
                </w:r>
                <w:r w:rsidR="0070096E">
                  <w:instrText xml:space="preserve"> PAGE \* MERGEFORMAT </w:instrText>
                </w:r>
                <w:r w:rsidRPr="00637ED1">
                  <w:fldChar w:fldCharType="separate"/>
                </w:r>
                <w:r w:rsidR="00AC4B04" w:rsidRPr="00AC4B04">
                  <w:rPr>
                    <w:noProof/>
                    <w:color w:val="000000"/>
                    <w:szCs w:val="24"/>
                    <w:lang w:val="en-US" w:eastAsia="en-US" w:bidi="en-US"/>
                  </w:rPr>
                  <w:t>24</w:t>
                </w:r>
                <w:r>
                  <w:rPr>
                    <w:lang w:val="en-US" w:eastAsia="en-US" w:bidi="en-US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366072D"/>
    <w:multiLevelType w:val="multilevel"/>
    <w:tmpl w:val="D5B6500A"/>
    <w:lvl w:ilvl="0">
      <w:start w:val="1"/>
      <w:numFmt w:val="decimal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60" w:left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1800"/>
      </w:pPr>
      <w:rPr>
        <w:rFonts w:hint="default"/>
      </w:rPr>
    </w:lvl>
  </w:abstractNum>
  <w:abstractNum w:abstractNumId="1">
    <w:nsid w:val="045A1F37"/>
    <w:multiLevelType w:val="hybridMultilevel"/>
    <w:tmpl w:val="4F60AA28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2">
    <w:nsid w:val="08A41C17"/>
    <w:multiLevelType w:val="hybridMultilevel"/>
    <w:tmpl w:val="A09AC198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">
    <w:nsid w:val="09EB2CFE"/>
    <w:multiLevelType w:val="hybridMultilevel"/>
    <w:tmpl w:val="4BE88608"/>
    <w:lvl w:ilvl="0" w:tplc="080A000F">
      <w:start w:val="1"/>
      <w:numFmt w:val="decimal"/>
      <w:lvlText w:val="%1."/>
      <w:lvlJc w:val="left"/>
      <w:pPr>
        <w:ind w:hanging="360" w:left="720"/>
      </w:pPr>
    </w:lvl>
    <w:lvl w:ilvl="1" w:tplc="080A0019">
      <w:start w:val="1"/>
      <w:numFmt w:val="lowerLetter"/>
      <w:lvlText w:val="%2."/>
      <w:lvlJc w:val="left"/>
      <w:pPr>
        <w:ind w:hanging="360" w:left="1440"/>
      </w:pPr>
      <w:rPr>
        <w:rFonts w:hint="default"/>
      </w:rPr>
    </w:lvl>
    <w:lvl w:ilvl="2" w:tentative="1" w:tplc="080A001B">
      <w:start w:val="1"/>
      <w:numFmt w:val="lowerRoman"/>
      <w:lvlText w:val="%3."/>
      <w:lvlJc w:val="right"/>
      <w:pPr>
        <w:ind w:hanging="180" w:left="2160"/>
      </w:pPr>
    </w:lvl>
    <w:lvl w:ilvl="3" w:tentative="1" w:tplc="080A000F">
      <w:start w:val="1"/>
      <w:numFmt w:val="decimal"/>
      <w:lvlText w:val="%4."/>
      <w:lvlJc w:val="left"/>
      <w:pPr>
        <w:ind w:hanging="360" w:left="2880"/>
      </w:pPr>
    </w:lvl>
    <w:lvl w:ilvl="4" w:tentative="1" w:tplc="080A0019">
      <w:start w:val="1"/>
      <w:numFmt w:val="lowerLetter"/>
      <w:lvlText w:val="%5."/>
      <w:lvlJc w:val="left"/>
      <w:pPr>
        <w:ind w:hanging="360" w:left="3600"/>
      </w:pPr>
    </w:lvl>
    <w:lvl w:ilvl="5" w:tentative="1" w:tplc="080A001B">
      <w:start w:val="1"/>
      <w:numFmt w:val="lowerRoman"/>
      <w:lvlText w:val="%6."/>
      <w:lvlJc w:val="right"/>
      <w:pPr>
        <w:ind w:hanging="180" w:left="4320"/>
      </w:pPr>
    </w:lvl>
    <w:lvl w:ilvl="6" w:tentative="1" w:tplc="080A000F">
      <w:start w:val="1"/>
      <w:numFmt w:val="decimal"/>
      <w:lvlText w:val="%7."/>
      <w:lvlJc w:val="left"/>
      <w:pPr>
        <w:ind w:hanging="360" w:left="5040"/>
      </w:pPr>
    </w:lvl>
    <w:lvl w:ilvl="7" w:tentative="1" w:tplc="080A0019">
      <w:start w:val="1"/>
      <w:numFmt w:val="lowerLetter"/>
      <w:lvlText w:val="%8."/>
      <w:lvlJc w:val="left"/>
      <w:pPr>
        <w:ind w:hanging="360" w:left="5760"/>
      </w:pPr>
    </w:lvl>
    <w:lvl w:ilvl="8" w:tentative="1" w:tplc="080A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0C1B2678"/>
    <w:multiLevelType w:val="hybridMultilevel"/>
    <w:tmpl w:val="F35CB910"/>
    <w:lvl w:ilvl="0" w:tplc="080A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0D1640E7"/>
    <w:multiLevelType w:val="hybridMultilevel"/>
    <w:tmpl w:val="23F4CD86"/>
    <w:lvl w:ilvl="0" w:tplc="080A0017">
      <w:start w:val="1"/>
      <w:numFmt w:val="lowerLetter"/>
      <w:lvlText w:val="%1)"/>
      <w:lvlJc w:val="left"/>
      <w:pPr>
        <w:ind w:hanging="360" w:left="720"/>
      </w:pPr>
    </w:lvl>
    <w:lvl w:ilvl="1" w:tentative="1" w:tplc="080A0019">
      <w:start w:val="1"/>
      <w:numFmt w:val="lowerLetter"/>
      <w:lvlText w:val="%2."/>
      <w:lvlJc w:val="left"/>
      <w:pPr>
        <w:ind w:hanging="360" w:left="1440"/>
      </w:pPr>
    </w:lvl>
    <w:lvl w:ilvl="2" w:tentative="1" w:tplc="080A001B">
      <w:start w:val="1"/>
      <w:numFmt w:val="lowerRoman"/>
      <w:lvlText w:val="%3."/>
      <w:lvlJc w:val="right"/>
      <w:pPr>
        <w:ind w:hanging="180" w:left="2160"/>
      </w:pPr>
    </w:lvl>
    <w:lvl w:ilvl="3" w:tentative="1" w:tplc="080A000F">
      <w:start w:val="1"/>
      <w:numFmt w:val="decimal"/>
      <w:lvlText w:val="%4."/>
      <w:lvlJc w:val="left"/>
      <w:pPr>
        <w:ind w:hanging="360" w:left="2880"/>
      </w:pPr>
    </w:lvl>
    <w:lvl w:ilvl="4" w:tentative="1" w:tplc="080A0019">
      <w:start w:val="1"/>
      <w:numFmt w:val="lowerLetter"/>
      <w:lvlText w:val="%5."/>
      <w:lvlJc w:val="left"/>
      <w:pPr>
        <w:ind w:hanging="360" w:left="3600"/>
      </w:pPr>
    </w:lvl>
    <w:lvl w:ilvl="5" w:tentative="1" w:tplc="080A001B">
      <w:start w:val="1"/>
      <w:numFmt w:val="lowerRoman"/>
      <w:lvlText w:val="%6."/>
      <w:lvlJc w:val="right"/>
      <w:pPr>
        <w:ind w:hanging="180" w:left="4320"/>
      </w:pPr>
    </w:lvl>
    <w:lvl w:ilvl="6" w:tentative="1" w:tplc="080A000F">
      <w:start w:val="1"/>
      <w:numFmt w:val="decimal"/>
      <w:lvlText w:val="%7."/>
      <w:lvlJc w:val="left"/>
      <w:pPr>
        <w:ind w:hanging="360" w:left="5040"/>
      </w:pPr>
    </w:lvl>
    <w:lvl w:ilvl="7" w:tentative="1" w:tplc="080A0019">
      <w:start w:val="1"/>
      <w:numFmt w:val="lowerLetter"/>
      <w:lvlText w:val="%8."/>
      <w:lvlJc w:val="left"/>
      <w:pPr>
        <w:ind w:hanging="360" w:left="5760"/>
      </w:pPr>
    </w:lvl>
    <w:lvl w:ilvl="8" w:tentative="1" w:tplc="080A001B">
      <w:start w:val="1"/>
      <w:numFmt w:val="lowerRoman"/>
      <w:lvlText w:val="%9."/>
      <w:lvlJc w:val="right"/>
      <w:pPr>
        <w:ind w:hanging="180" w:left="6480"/>
      </w:pPr>
    </w:lvl>
  </w:abstractNum>
  <w:abstractNum w:abstractNumId="6">
    <w:nsid w:val="0F9B6BE1"/>
    <w:multiLevelType w:val="hybridMultilevel"/>
    <w:tmpl w:val="DD488E46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7">
    <w:nsid w:val="125D1FD1"/>
    <w:multiLevelType w:val="hybridMultilevel"/>
    <w:tmpl w:val="7A1C071C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8">
    <w:nsid w:val="14D610D6"/>
    <w:multiLevelType w:val="hybridMultilevel"/>
    <w:tmpl w:val="362C8B90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9">
    <w:nsid w:val="16160779"/>
    <w:multiLevelType w:val="hybridMultilevel"/>
    <w:tmpl w:val="B85E7372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10">
    <w:nsid w:val="1DAE4C57"/>
    <w:multiLevelType w:val="hybridMultilevel"/>
    <w:tmpl w:val="C862F0EA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11">
    <w:nsid w:val="22AE35CC"/>
    <w:multiLevelType w:val="hybridMultilevel"/>
    <w:tmpl w:val="454A8A06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12">
    <w:nsid w:val="27907C7D"/>
    <w:multiLevelType w:val="hybridMultilevel"/>
    <w:tmpl w:val="3BB64318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13">
    <w:nsid w:val="27B21B07"/>
    <w:multiLevelType w:val="hybridMultilevel"/>
    <w:tmpl w:val="03D2FBA0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14">
    <w:nsid w:val="27B509CD"/>
    <w:multiLevelType w:val="hybridMultilevel"/>
    <w:tmpl w:val="398ADC5A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15">
    <w:nsid w:val="2C213436"/>
    <w:multiLevelType w:val="hybridMultilevel"/>
    <w:tmpl w:val="8514F4BC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16">
    <w:nsid w:val="2D0835BB"/>
    <w:multiLevelType w:val="hybridMultilevel"/>
    <w:tmpl w:val="0E2ACF50"/>
    <w:lvl w:ilvl="0" w:tplc="080A001B">
      <w:start w:val="1"/>
      <w:numFmt w:val="lowerRoman"/>
      <w:lvlText w:val="%1."/>
      <w:lvlJc w:val="right"/>
      <w:pPr>
        <w:ind w:hanging="360" w:left="2880"/>
      </w:pPr>
    </w:lvl>
    <w:lvl w:ilvl="1" w:tentative="1" w:tplc="080A0019">
      <w:start w:val="1"/>
      <w:numFmt w:val="lowerLetter"/>
      <w:lvlText w:val="%2."/>
      <w:lvlJc w:val="left"/>
      <w:pPr>
        <w:ind w:hanging="360" w:left="3600"/>
      </w:pPr>
    </w:lvl>
    <w:lvl w:ilvl="2" w:tentative="1" w:tplc="080A001B">
      <w:start w:val="1"/>
      <w:numFmt w:val="lowerRoman"/>
      <w:lvlText w:val="%3."/>
      <w:lvlJc w:val="right"/>
      <w:pPr>
        <w:ind w:hanging="180" w:left="4320"/>
      </w:pPr>
    </w:lvl>
    <w:lvl w:ilvl="3" w:tentative="1" w:tplc="080A000F">
      <w:start w:val="1"/>
      <w:numFmt w:val="decimal"/>
      <w:lvlText w:val="%4."/>
      <w:lvlJc w:val="left"/>
      <w:pPr>
        <w:ind w:hanging="360" w:left="5040"/>
      </w:pPr>
    </w:lvl>
    <w:lvl w:ilvl="4" w:tentative="1" w:tplc="080A0019">
      <w:start w:val="1"/>
      <w:numFmt w:val="lowerLetter"/>
      <w:lvlText w:val="%5."/>
      <w:lvlJc w:val="left"/>
      <w:pPr>
        <w:ind w:hanging="360" w:left="5760"/>
      </w:pPr>
    </w:lvl>
    <w:lvl w:ilvl="5" w:tentative="1" w:tplc="080A001B">
      <w:start w:val="1"/>
      <w:numFmt w:val="lowerRoman"/>
      <w:lvlText w:val="%6."/>
      <w:lvlJc w:val="right"/>
      <w:pPr>
        <w:ind w:hanging="180" w:left="6480"/>
      </w:pPr>
    </w:lvl>
    <w:lvl w:ilvl="6" w:tentative="1" w:tplc="080A000F">
      <w:start w:val="1"/>
      <w:numFmt w:val="decimal"/>
      <w:lvlText w:val="%7."/>
      <w:lvlJc w:val="left"/>
      <w:pPr>
        <w:ind w:hanging="360" w:left="7200"/>
      </w:pPr>
    </w:lvl>
    <w:lvl w:ilvl="7" w:tentative="1" w:tplc="080A0019">
      <w:start w:val="1"/>
      <w:numFmt w:val="lowerLetter"/>
      <w:lvlText w:val="%8."/>
      <w:lvlJc w:val="left"/>
      <w:pPr>
        <w:ind w:hanging="360" w:left="7920"/>
      </w:pPr>
    </w:lvl>
    <w:lvl w:ilvl="8" w:tentative="1" w:tplc="080A001B">
      <w:start w:val="1"/>
      <w:numFmt w:val="lowerRoman"/>
      <w:lvlText w:val="%9."/>
      <w:lvlJc w:val="right"/>
      <w:pPr>
        <w:ind w:hanging="180" w:left="8640"/>
      </w:pPr>
    </w:lvl>
  </w:abstractNum>
  <w:abstractNum w:abstractNumId="17">
    <w:nsid w:val="2DEB5C4F"/>
    <w:multiLevelType w:val="hybridMultilevel"/>
    <w:tmpl w:val="FB7A1464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18">
    <w:nsid w:val="2E716288"/>
    <w:multiLevelType w:val="hybridMultilevel"/>
    <w:tmpl w:val="44F4B19C"/>
    <w:lvl w:ilvl="0" w:tplc="080A0013">
      <w:start w:val="1"/>
      <w:numFmt w:val="upperRoman"/>
      <w:lvlText w:val="%1."/>
      <w:lvlJc w:val="right"/>
      <w:pPr>
        <w:ind w:hanging="360" w:left="2160"/>
      </w:pPr>
    </w:lvl>
    <w:lvl w:ilvl="1" w:tentative="1" w:tplc="080A0019">
      <w:start w:val="1"/>
      <w:numFmt w:val="lowerLetter"/>
      <w:lvlText w:val="%2."/>
      <w:lvlJc w:val="left"/>
      <w:pPr>
        <w:ind w:hanging="360" w:left="2880"/>
      </w:pPr>
    </w:lvl>
    <w:lvl w:ilvl="2" w:tentative="1" w:tplc="080A001B">
      <w:start w:val="1"/>
      <w:numFmt w:val="lowerRoman"/>
      <w:lvlText w:val="%3."/>
      <w:lvlJc w:val="right"/>
      <w:pPr>
        <w:ind w:hanging="180" w:left="3600"/>
      </w:pPr>
    </w:lvl>
    <w:lvl w:ilvl="3" w:tentative="1" w:tplc="080A000F">
      <w:start w:val="1"/>
      <w:numFmt w:val="decimal"/>
      <w:lvlText w:val="%4."/>
      <w:lvlJc w:val="left"/>
      <w:pPr>
        <w:ind w:hanging="360" w:left="4320"/>
      </w:pPr>
    </w:lvl>
    <w:lvl w:ilvl="4" w:tentative="1" w:tplc="080A0019">
      <w:start w:val="1"/>
      <w:numFmt w:val="lowerLetter"/>
      <w:lvlText w:val="%5."/>
      <w:lvlJc w:val="left"/>
      <w:pPr>
        <w:ind w:hanging="360" w:left="5040"/>
      </w:pPr>
    </w:lvl>
    <w:lvl w:ilvl="5" w:tentative="1" w:tplc="080A001B">
      <w:start w:val="1"/>
      <w:numFmt w:val="lowerRoman"/>
      <w:lvlText w:val="%6."/>
      <w:lvlJc w:val="right"/>
      <w:pPr>
        <w:ind w:hanging="180" w:left="5760"/>
      </w:pPr>
    </w:lvl>
    <w:lvl w:ilvl="6" w:tentative="1" w:tplc="080A000F">
      <w:start w:val="1"/>
      <w:numFmt w:val="decimal"/>
      <w:lvlText w:val="%7."/>
      <w:lvlJc w:val="left"/>
      <w:pPr>
        <w:ind w:hanging="360" w:left="6480"/>
      </w:pPr>
    </w:lvl>
    <w:lvl w:ilvl="7" w:tentative="1" w:tplc="080A0019">
      <w:start w:val="1"/>
      <w:numFmt w:val="lowerLetter"/>
      <w:lvlText w:val="%8."/>
      <w:lvlJc w:val="left"/>
      <w:pPr>
        <w:ind w:hanging="360" w:left="7200"/>
      </w:pPr>
    </w:lvl>
    <w:lvl w:ilvl="8" w:tentative="1" w:tplc="080A001B">
      <w:start w:val="1"/>
      <w:numFmt w:val="lowerRoman"/>
      <w:lvlText w:val="%9."/>
      <w:lvlJc w:val="right"/>
      <w:pPr>
        <w:ind w:hanging="180" w:left="7920"/>
      </w:pPr>
    </w:lvl>
  </w:abstractNum>
  <w:abstractNum w:abstractNumId="19">
    <w:nsid w:val="34236F3A"/>
    <w:multiLevelType w:val="hybridMultilevel"/>
    <w:tmpl w:val="DAC2D14E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20">
    <w:nsid w:val="345269CA"/>
    <w:multiLevelType w:val="hybridMultilevel"/>
    <w:tmpl w:val="748A3582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21">
    <w:nsid w:val="35F945DC"/>
    <w:multiLevelType w:val="hybridMultilevel"/>
    <w:tmpl w:val="CFC4444C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22">
    <w:nsid w:val="38857A3F"/>
    <w:multiLevelType w:val="hybridMultilevel"/>
    <w:tmpl w:val="3C4A2C96"/>
    <w:lvl w:ilvl="0" w:tplc="080A001B">
      <w:start w:val="1"/>
      <w:numFmt w:val="lowerRoman"/>
      <w:lvlText w:val="%1."/>
      <w:lvlJc w:val="right"/>
      <w:pPr>
        <w:ind w:hanging="360" w:left="2880"/>
      </w:pPr>
    </w:lvl>
    <w:lvl w:ilvl="1" w:tentative="1" w:tplc="080A0019">
      <w:start w:val="1"/>
      <w:numFmt w:val="lowerLetter"/>
      <w:lvlText w:val="%2."/>
      <w:lvlJc w:val="left"/>
      <w:pPr>
        <w:ind w:hanging="360" w:left="3600"/>
      </w:pPr>
    </w:lvl>
    <w:lvl w:ilvl="2" w:tentative="1" w:tplc="080A001B">
      <w:start w:val="1"/>
      <w:numFmt w:val="lowerRoman"/>
      <w:lvlText w:val="%3."/>
      <w:lvlJc w:val="right"/>
      <w:pPr>
        <w:ind w:hanging="180" w:left="4320"/>
      </w:pPr>
    </w:lvl>
    <w:lvl w:ilvl="3" w:tentative="1" w:tplc="080A000F">
      <w:start w:val="1"/>
      <w:numFmt w:val="decimal"/>
      <w:lvlText w:val="%4."/>
      <w:lvlJc w:val="left"/>
      <w:pPr>
        <w:ind w:hanging="360" w:left="5040"/>
      </w:pPr>
    </w:lvl>
    <w:lvl w:ilvl="4" w:tentative="1" w:tplc="080A0019">
      <w:start w:val="1"/>
      <w:numFmt w:val="lowerLetter"/>
      <w:lvlText w:val="%5."/>
      <w:lvlJc w:val="left"/>
      <w:pPr>
        <w:ind w:hanging="360" w:left="5760"/>
      </w:pPr>
    </w:lvl>
    <w:lvl w:ilvl="5" w:tentative="1" w:tplc="080A001B">
      <w:start w:val="1"/>
      <w:numFmt w:val="lowerRoman"/>
      <w:lvlText w:val="%6."/>
      <w:lvlJc w:val="right"/>
      <w:pPr>
        <w:ind w:hanging="180" w:left="6480"/>
      </w:pPr>
    </w:lvl>
    <w:lvl w:ilvl="6" w:tentative="1" w:tplc="080A000F">
      <w:start w:val="1"/>
      <w:numFmt w:val="decimal"/>
      <w:lvlText w:val="%7."/>
      <w:lvlJc w:val="left"/>
      <w:pPr>
        <w:ind w:hanging="360" w:left="7200"/>
      </w:pPr>
    </w:lvl>
    <w:lvl w:ilvl="7" w:tentative="1" w:tplc="080A0019">
      <w:start w:val="1"/>
      <w:numFmt w:val="lowerLetter"/>
      <w:lvlText w:val="%8."/>
      <w:lvlJc w:val="left"/>
      <w:pPr>
        <w:ind w:hanging="360" w:left="7920"/>
      </w:pPr>
    </w:lvl>
    <w:lvl w:ilvl="8" w:tentative="1" w:tplc="080A001B">
      <w:start w:val="1"/>
      <w:numFmt w:val="lowerRoman"/>
      <w:lvlText w:val="%9."/>
      <w:lvlJc w:val="right"/>
      <w:pPr>
        <w:ind w:hanging="180" w:left="8640"/>
      </w:pPr>
    </w:lvl>
  </w:abstractNum>
  <w:abstractNum w:abstractNumId="23">
    <w:nsid w:val="39D862C2"/>
    <w:multiLevelType w:val="hybridMultilevel"/>
    <w:tmpl w:val="F4389C8C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24">
    <w:nsid w:val="3A1612FF"/>
    <w:multiLevelType w:val="hybridMultilevel"/>
    <w:tmpl w:val="D9B82A20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25">
    <w:nsid w:val="3EF34284"/>
    <w:multiLevelType w:val="hybridMultilevel"/>
    <w:tmpl w:val="4BE88608"/>
    <w:lvl w:ilvl="0" w:tplc="080A000F">
      <w:start w:val="1"/>
      <w:numFmt w:val="decimal"/>
      <w:lvlText w:val="%1."/>
      <w:lvlJc w:val="left"/>
      <w:pPr>
        <w:ind w:hanging="360" w:left="720"/>
      </w:pPr>
    </w:lvl>
    <w:lvl w:ilvl="1" w:tplc="080A0019">
      <w:start w:val="1"/>
      <w:numFmt w:val="lowerLetter"/>
      <w:lvlText w:val="%2."/>
      <w:lvlJc w:val="left"/>
      <w:pPr>
        <w:ind w:hanging="360" w:left="1440"/>
      </w:pPr>
      <w:rPr>
        <w:rFonts w:hint="default"/>
      </w:rPr>
    </w:lvl>
    <w:lvl w:ilvl="2" w:tentative="1" w:tplc="080A001B">
      <w:start w:val="1"/>
      <w:numFmt w:val="lowerRoman"/>
      <w:lvlText w:val="%3."/>
      <w:lvlJc w:val="right"/>
      <w:pPr>
        <w:ind w:hanging="180" w:left="2160"/>
      </w:pPr>
    </w:lvl>
    <w:lvl w:ilvl="3" w:tentative="1" w:tplc="080A000F">
      <w:start w:val="1"/>
      <w:numFmt w:val="decimal"/>
      <w:lvlText w:val="%4."/>
      <w:lvlJc w:val="left"/>
      <w:pPr>
        <w:ind w:hanging="360" w:left="2880"/>
      </w:pPr>
    </w:lvl>
    <w:lvl w:ilvl="4" w:tentative="1" w:tplc="080A0019">
      <w:start w:val="1"/>
      <w:numFmt w:val="lowerLetter"/>
      <w:lvlText w:val="%5."/>
      <w:lvlJc w:val="left"/>
      <w:pPr>
        <w:ind w:hanging="360" w:left="3600"/>
      </w:pPr>
    </w:lvl>
    <w:lvl w:ilvl="5" w:tentative="1" w:tplc="080A001B">
      <w:start w:val="1"/>
      <w:numFmt w:val="lowerRoman"/>
      <w:lvlText w:val="%6."/>
      <w:lvlJc w:val="right"/>
      <w:pPr>
        <w:ind w:hanging="180" w:left="4320"/>
      </w:pPr>
    </w:lvl>
    <w:lvl w:ilvl="6" w:tentative="1" w:tplc="080A000F">
      <w:start w:val="1"/>
      <w:numFmt w:val="decimal"/>
      <w:lvlText w:val="%7."/>
      <w:lvlJc w:val="left"/>
      <w:pPr>
        <w:ind w:hanging="360" w:left="5040"/>
      </w:pPr>
    </w:lvl>
    <w:lvl w:ilvl="7" w:tentative="1" w:tplc="080A0019">
      <w:start w:val="1"/>
      <w:numFmt w:val="lowerLetter"/>
      <w:lvlText w:val="%8."/>
      <w:lvlJc w:val="left"/>
      <w:pPr>
        <w:ind w:hanging="360" w:left="5760"/>
      </w:pPr>
    </w:lvl>
    <w:lvl w:ilvl="8" w:tentative="1" w:tplc="080A001B">
      <w:start w:val="1"/>
      <w:numFmt w:val="lowerRoman"/>
      <w:lvlText w:val="%9."/>
      <w:lvlJc w:val="right"/>
      <w:pPr>
        <w:ind w:hanging="180" w:left="6480"/>
      </w:pPr>
    </w:lvl>
  </w:abstractNum>
  <w:abstractNum w:abstractNumId="26">
    <w:nsid w:val="40357D59"/>
    <w:multiLevelType w:val="hybridMultilevel"/>
    <w:tmpl w:val="3D987F9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27">
    <w:nsid w:val="4370587C"/>
    <w:multiLevelType w:val="hybridMultilevel"/>
    <w:tmpl w:val="966E9F90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28">
    <w:nsid w:val="43D517A4"/>
    <w:multiLevelType w:val="hybridMultilevel"/>
    <w:tmpl w:val="67D0F820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29">
    <w:nsid w:val="4848398E"/>
    <w:multiLevelType w:val="multilevel"/>
    <w:tmpl w:val="6478A78C"/>
    <w:lvl w:ilvl="0">
      <w:start w:val="1"/>
      <w:numFmt w:val="bullet"/>
      <w:lvlText w:val="•"/>
      <w:lvl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color="auto" w:fill="auto" w:val="clear"/>
        <w:lang w:bidi="es-ES" w:eastAsia="es-ES" w:val="es-E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>
    <w:nsid w:val="4A38013C"/>
    <w:multiLevelType w:val="hybridMultilevel"/>
    <w:tmpl w:val="EEEC82D8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1">
    <w:nsid w:val="508079F5"/>
    <w:multiLevelType w:val="hybridMultilevel"/>
    <w:tmpl w:val="9E2EB8D6"/>
    <w:lvl w:ilvl="0" w:tplc="080A0019">
      <w:start w:val="1"/>
      <w:numFmt w:val="lowerLetter"/>
      <w:lvlText w:val="%1."/>
      <w:lvlJc w:val="left"/>
      <w:pPr>
        <w:ind w:hanging="360" w:left="1080"/>
      </w:pPr>
    </w:lvl>
    <w:lvl w:ilvl="1" w:tentative="1" w:tplc="080A0019">
      <w:start w:val="1"/>
      <w:numFmt w:val="lowerLetter"/>
      <w:lvlText w:val="%2."/>
      <w:lvlJc w:val="left"/>
      <w:pPr>
        <w:ind w:hanging="360" w:left="1800"/>
      </w:pPr>
    </w:lvl>
    <w:lvl w:ilvl="2" w:tentative="1" w:tplc="080A001B">
      <w:start w:val="1"/>
      <w:numFmt w:val="lowerRoman"/>
      <w:lvlText w:val="%3."/>
      <w:lvlJc w:val="right"/>
      <w:pPr>
        <w:ind w:hanging="180" w:left="2520"/>
      </w:pPr>
    </w:lvl>
    <w:lvl w:ilvl="3" w:tentative="1" w:tplc="080A000F">
      <w:start w:val="1"/>
      <w:numFmt w:val="decimal"/>
      <w:lvlText w:val="%4."/>
      <w:lvlJc w:val="left"/>
      <w:pPr>
        <w:ind w:hanging="360" w:left="3240"/>
      </w:pPr>
    </w:lvl>
    <w:lvl w:ilvl="4" w:tentative="1" w:tplc="080A0019">
      <w:start w:val="1"/>
      <w:numFmt w:val="lowerLetter"/>
      <w:lvlText w:val="%5."/>
      <w:lvlJc w:val="left"/>
      <w:pPr>
        <w:ind w:hanging="360" w:left="3960"/>
      </w:pPr>
    </w:lvl>
    <w:lvl w:ilvl="5" w:tentative="1" w:tplc="080A001B">
      <w:start w:val="1"/>
      <w:numFmt w:val="lowerRoman"/>
      <w:lvlText w:val="%6."/>
      <w:lvlJc w:val="right"/>
      <w:pPr>
        <w:ind w:hanging="180" w:left="4680"/>
      </w:pPr>
    </w:lvl>
    <w:lvl w:ilvl="6" w:tentative="1" w:tplc="080A000F">
      <w:start w:val="1"/>
      <w:numFmt w:val="decimal"/>
      <w:lvlText w:val="%7."/>
      <w:lvlJc w:val="left"/>
      <w:pPr>
        <w:ind w:hanging="360" w:left="5400"/>
      </w:pPr>
    </w:lvl>
    <w:lvl w:ilvl="7" w:tentative="1" w:tplc="080A0019">
      <w:start w:val="1"/>
      <w:numFmt w:val="lowerLetter"/>
      <w:lvlText w:val="%8."/>
      <w:lvlJc w:val="left"/>
      <w:pPr>
        <w:ind w:hanging="360" w:left="6120"/>
      </w:pPr>
    </w:lvl>
    <w:lvl w:ilvl="8" w:tentative="1" w:tplc="080A001B">
      <w:start w:val="1"/>
      <w:numFmt w:val="lowerRoman"/>
      <w:lvlText w:val="%9."/>
      <w:lvlJc w:val="right"/>
      <w:pPr>
        <w:ind w:hanging="180" w:left="6840"/>
      </w:pPr>
    </w:lvl>
  </w:abstractNum>
  <w:abstractNum w:abstractNumId="32">
    <w:nsid w:val="53D30A2A"/>
    <w:multiLevelType w:val="hybridMultilevel"/>
    <w:tmpl w:val="230AA50C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3">
    <w:nsid w:val="544804CC"/>
    <w:multiLevelType w:val="hybridMultilevel"/>
    <w:tmpl w:val="61961078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4">
    <w:nsid w:val="54AA50AC"/>
    <w:multiLevelType w:val="hybridMultilevel"/>
    <w:tmpl w:val="35B6DD6A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5">
    <w:nsid w:val="57B742D1"/>
    <w:multiLevelType w:val="hybridMultilevel"/>
    <w:tmpl w:val="14DCC1EA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6">
    <w:nsid w:val="58CD6908"/>
    <w:multiLevelType w:val="hybridMultilevel"/>
    <w:tmpl w:val="2AB6DCA4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7">
    <w:nsid w:val="5B8701A5"/>
    <w:multiLevelType w:val="hybridMultilevel"/>
    <w:tmpl w:val="AF62B19E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8">
    <w:nsid w:val="5DB827C7"/>
    <w:multiLevelType w:val="hybridMultilevel"/>
    <w:tmpl w:val="7890B052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9">
    <w:nsid w:val="693273DA"/>
    <w:multiLevelType w:val="hybridMultilevel"/>
    <w:tmpl w:val="935A8374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40">
    <w:nsid w:val="6DE41D04"/>
    <w:multiLevelType w:val="hybridMultilevel"/>
    <w:tmpl w:val="73FAA2A6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41">
    <w:nsid w:val="6EF27F06"/>
    <w:multiLevelType w:val="hybridMultilevel"/>
    <w:tmpl w:val="B6822368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42">
    <w:nsid w:val="70F068AF"/>
    <w:multiLevelType w:val="hybridMultilevel"/>
    <w:tmpl w:val="CFC4444C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43">
    <w:nsid w:val="73833852"/>
    <w:multiLevelType w:val="hybridMultilevel"/>
    <w:tmpl w:val="E34A5114"/>
    <w:lvl w:ilvl="0" w:tplc="080A0013">
      <w:start w:val="1"/>
      <w:numFmt w:val="upperRoman"/>
      <w:lvlText w:val="%1."/>
      <w:lvlJc w:val="right"/>
      <w:pPr>
        <w:ind w:hanging="360" w:left="2160"/>
      </w:pPr>
    </w:lvl>
    <w:lvl w:ilvl="1" w:tentative="1" w:tplc="080A0019">
      <w:start w:val="1"/>
      <w:numFmt w:val="lowerLetter"/>
      <w:lvlText w:val="%2."/>
      <w:lvlJc w:val="left"/>
      <w:pPr>
        <w:ind w:hanging="360" w:left="2880"/>
      </w:pPr>
    </w:lvl>
    <w:lvl w:ilvl="2" w:tentative="1" w:tplc="080A001B">
      <w:start w:val="1"/>
      <w:numFmt w:val="lowerRoman"/>
      <w:lvlText w:val="%3."/>
      <w:lvlJc w:val="right"/>
      <w:pPr>
        <w:ind w:hanging="180" w:left="3600"/>
      </w:pPr>
    </w:lvl>
    <w:lvl w:ilvl="3" w:tentative="1" w:tplc="080A000F">
      <w:start w:val="1"/>
      <w:numFmt w:val="decimal"/>
      <w:lvlText w:val="%4."/>
      <w:lvlJc w:val="left"/>
      <w:pPr>
        <w:ind w:hanging="360" w:left="4320"/>
      </w:pPr>
    </w:lvl>
    <w:lvl w:ilvl="4" w:tentative="1" w:tplc="080A0019">
      <w:start w:val="1"/>
      <w:numFmt w:val="lowerLetter"/>
      <w:lvlText w:val="%5."/>
      <w:lvlJc w:val="left"/>
      <w:pPr>
        <w:ind w:hanging="360" w:left="5040"/>
      </w:pPr>
    </w:lvl>
    <w:lvl w:ilvl="5" w:tentative="1" w:tplc="080A001B">
      <w:start w:val="1"/>
      <w:numFmt w:val="lowerRoman"/>
      <w:lvlText w:val="%6."/>
      <w:lvlJc w:val="right"/>
      <w:pPr>
        <w:ind w:hanging="180" w:left="5760"/>
      </w:pPr>
    </w:lvl>
    <w:lvl w:ilvl="6" w:tentative="1" w:tplc="080A000F">
      <w:start w:val="1"/>
      <w:numFmt w:val="decimal"/>
      <w:lvlText w:val="%7."/>
      <w:lvlJc w:val="left"/>
      <w:pPr>
        <w:ind w:hanging="360" w:left="6480"/>
      </w:pPr>
    </w:lvl>
    <w:lvl w:ilvl="7" w:tentative="1" w:tplc="080A0019">
      <w:start w:val="1"/>
      <w:numFmt w:val="lowerLetter"/>
      <w:lvlText w:val="%8."/>
      <w:lvlJc w:val="left"/>
      <w:pPr>
        <w:ind w:hanging="360" w:left="7200"/>
      </w:pPr>
    </w:lvl>
    <w:lvl w:ilvl="8" w:tentative="1" w:tplc="080A001B">
      <w:start w:val="1"/>
      <w:numFmt w:val="lowerRoman"/>
      <w:lvlText w:val="%9."/>
      <w:lvlJc w:val="right"/>
      <w:pPr>
        <w:ind w:hanging="180" w:left="7920"/>
      </w:pPr>
    </w:lvl>
  </w:abstractNum>
  <w:abstractNum w:abstractNumId="44">
    <w:nsid w:val="76DB703E"/>
    <w:multiLevelType w:val="hybridMultilevel"/>
    <w:tmpl w:val="99A602BE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45">
    <w:nsid w:val="77BD71E4"/>
    <w:multiLevelType w:val="hybridMultilevel"/>
    <w:tmpl w:val="F9DE49DE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46">
    <w:nsid w:val="77EE2721"/>
    <w:multiLevelType w:val="hybridMultilevel"/>
    <w:tmpl w:val="2B8C220E"/>
    <w:lvl w:ilvl="0" w:tplc="080A0017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080A0019">
      <w:start w:val="1"/>
      <w:numFmt w:val="lowerLetter"/>
      <w:lvlText w:val="%2."/>
      <w:lvlJc w:val="left"/>
      <w:pPr>
        <w:ind w:hanging="360" w:left="1440"/>
      </w:pPr>
    </w:lvl>
    <w:lvl w:ilvl="2" w:tentative="1" w:tplc="080A001B">
      <w:start w:val="1"/>
      <w:numFmt w:val="lowerRoman"/>
      <w:lvlText w:val="%3."/>
      <w:lvlJc w:val="right"/>
      <w:pPr>
        <w:ind w:hanging="180" w:left="2160"/>
      </w:pPr>
    </w:lvl>
    <w:lvl w:ilvl="3" w:tentative="1" w:tplc="080A000F">
      <w:start w:val="1"/>
      <w:numFmt w:val="decimal"/>
      <w:lvlText w:val="%4."/>
      <w:lvlJc w:val="left"/>
      <w:pPr>
        <w:ind w:hanging="360" w:left="2880"/>
      </w:pPr>
    </w:lvl>
    <w:lvl w:ilvl="4" w:tentative="1" w:tplc="080A0019">
      <w:start w:val="1"/>
      <w:numFmt w:val="lowerLetter"/>
      <w:lvlText w:val="%5."/>
      <w:lvlJc w:val="left"/>
      <w:pPr>
        <w:ind w:hanging="360" w:left="3600"/>
      </w:pPr>
    </w:lvl>
    <w:lvl w:ilvl="5" w:tentative="1" w:tplc="080A001B">
      <w:start w:val="1"/>
      <w:numFmt w:val="lowerRoman"/>
      <w:lvlText w:val="%6."/>
      <w:lvlJc w:val="right"/>
      <w:pPr>
        <w:ind w:hanging="180" w:left="4320"/>
      </w:pPr>
    </w:lvl>
    <w:lvl w:ilvl="6" w:tentative="1" w:tplc="080A000F">
      <w:start w:val="1"/>
      <w:numFmt w:val="decimal"/>
      <w:lvlText w:val="%7."/>
      <w:lvlJc w:val="left"/>
      <w:pPr>
        <w:ind w:hanging="360" w:left="5040"/>
      </w:pPr>
    </w:lvl>
    <w:lvl w:ilvl="7" w:tentative="1" w:tplc="080A0019">
      <w:start w:val="1"/>
      <w:numFmt w:val="lowerLetter"/>
      <w:lvlText w:val="%8."/>
      <w:lvlJc w:val="left"/>
      <w:pPr>
        <w:ind w:hanging="360" w:left="5760"/>
      </w:pPr>
    </w:lvl>
    <w:lvl w:ilvl="8" w:tentative="1" w:tplc="080A001B">
      <w:start w:val="1"/>
      <w:numFmt w:val="lowerRoman"/>
      <w:lvlText w:val="%9."/>
      <w:lvlJc w:val="right"/>
      <w:pPr>
        <w:ind w:hanging="180" w:left="6480"/>
      </w:pPr>
    </w:lvl>
  </w:abstractNum>
  <w:abstractNum w:abstractNumId="47">
    <w:nsid w:val="7A002AF3"/>
    <w:multiLevelType w:val="hybridMultilevel"/>
    <w:tmpl w:val="DE2E1D0E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48">
    <w:nsid w:val="7E456059"/>
    <w:multiLevelType w:val="hybridMultilevel"/>
    <w:tmpl w:val="F1E80866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49">
    <w:nsid w:val="7F182330"/>
    <w:multiLevelType w:val="hybridMultilevel"/>
    <w:tmpl w:val="6890D2C2"/>
    <w:lvl w:ilvl="0" w:tplc="D276A24A">
      <w:start w:val="1"/>
      <w:numFmt w:val="decimal"/>
      <w:lvlText w:val="%1."/>
      <w:lvlJc w:val="left"/>
      <w:pPr>
        <w:ind w:hanging="360" w:left="720"/>
      </w:pPr>
      <w:rPr>
        <w:i w:val="0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49"/>
  </w:num>
  <w:num w:numId="2">
    <w:abstractNumId w:val="26"/>
  </w:num>
  <w:num w:numId="3">
    <w:abstractNumId w:val="3"/>
  </w:num>
  <w:num w:numId="4">
    <w:abstractNumId w:val="7"/>
  </w:num>
  <w:num w:numId="5">
    <w:abstractNumId w:val="48"/>
  </w:num>
  <w:num w:numId="6">
    <w:abstractNumId w:val="8"/>
  </w:num>
  <w:num w:numId="7">
    <w:abstractNumId w:val="30"/>
  </w:num>
  <w:num w:numId="8">
    <w:abstractNumId w:val="44"/>
  </w:num>
  <w:num w:numId="9">
    <w:abstractNumId w:val="12"/>
  </w:num>
  <w:num w:numId="10">
    <w:abstractNumId w:val="39"/>
  </w:num>
  <w:num w:numId="11">
    <w:abstractNumId w:val="20"/>
  </w:num>
  <w:num w:numId="12">
    <w:abstractNumId w:val="36"/>
  </w:num>
  <w:num w:numId="13">
    <w:abstractNumId w:val="45"/>
  </w:num>
  <w:num w:numId="14">
    <w:abstractNumId w:val="10"/>
  </w:num>
  <w:num w:numId="15">
    <w:abstractNumId w:val="42"/>
  </w:num>
  <w:num w:numId="16">
    <w:abstractNumId w:val="43"/>
  </w:num>
  <w:num w:numId="17">
    <w:abstractNumId w:val="18"/>
  </w:num>
  <w:num w:numId="18">
    <w:abstractNumId w:val="22"/>
  </w:num>
  <w:num w:numId="19">
    <w:abstractNumId w:val="16"/>
  </w:num>
  <w:num w:numId="20">
    <w:abstractNumId w:val="21"/>
  </w:num>
  <w:num w:numId="21">
    <w:abstractNumId w:val="9"/>
  </w:num>
  <w:num w:numId="22">
    <w:abstractNumId w:val="34"/>
  </w:num>
  <w:num w:numId="23">
    <w:abstractNumId w:val="37"/>
  </w:num>
  <w:num w:numId="24">
    <w:abstractNumId w:val="1"/>
  </w:num>
  <w:num w:numId="25">
    <w:abstractNumId w:val="13"/>
  </w:num>
  <w:num w:numId="26">
    <w:abstractNumId w:val="33"/>
  </w:num>
  <w:num w:numId="27">
    <w:abstractNumId w:val="11"/>
  </w:num>
  <w:num w:numId="28">
    <w:abstractNumId w:val="15"/>
  </w:num>
  <w:num w:numId="29">
    <w:abstractNumId w:val="38"/>
  </w:num>
  <w:num w:numId="30">
    <w:abstractNumId w:val="31"/>
  </w:num>
  <w:num w:numId="31">
    <w:abstractNumId w:val="28"/>
  </w:num>
  <w:num w:numId="32">
    <w:abstractNumId w:val="41"/>
  </w:num>
  <w:num w:numId="33">
    <w:abstractNumId w:val="32"/>
  </w:num>
  <w:num w:numId="34">
    <w:abstractNumId w:val="35"/>
  </w:num>
  <w:num w:numId="35">
    <w:abstractNumId w:val="24"/>
  </w:num>
  <w:num w:numId="36">
    <w:abstractNumId w:val="40"/>
  </w:num>
  <w:num w:numId="37">
    <w:abstractNumId w:val="23"/>
  </w:num>
  <w:num w:numId="38">
    <w:abstractNumId w:val="27"/>
  </w:num>
  <w:num w:numId="39">
    <w:abstractNumId w:val="14"/>
  </w:num>
  <w:num w:numId="40">
    <w:abstractNumId w:val="2"/>
  </w:num>
  <w:num w:numId="41">
    <w:abstractNumId w:val="17"/>
  </w:num>
  <w:num w:numId="42">
    <w:abstractNumId w:val="19"/>
  </w:num>
  <w:num w:numId="43">
    <w:abstractNumId w:val="6"/>
  </w:num>
  <w:num w:numId="44">
    <w:abstractNumId w:val="25"/>
  </w:num>
  <w:num w:numId="45">
    <w:abstractNumId w:val="4"/>
  </w:num>
  <w:num w:numId="46">
    <w:abstractNumId w:val="47"/>
  </w:num>
  <w:num w:numId="47">
    <w:abstractNumId w:val="0"/>
  </w:num>
  <w:num w:numId="48">
    <w:abstractNumId w:val="5"/>
  </w:num>
  <w:num w:numId="49">
    <w:abstractNumId w:val="46"/>
  </w:num>
  <w:num w:numId="50">
    <w:abstractNumId w:val="2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0"/>
  <w:embedSystemFonts/>
  <w:proofState w:grammar="clean" w:spelling="clean"/>
  <w:stylePaneFormatFilter w:val="0004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3" v:ext="edit"/>
    <o:shapelayout v:ext="edit">
      <o:idmap data="2" v:ext="edit"/>
    </o:shapelayout>
  </w:hdrShapeDefaults>
  <w:compat/>
  <w:rsids>
    <w:rsidRoot w:val="00A37FDF"/>
    <w:rsid w:val="00007135"/>
    <w:rsid w:val="00013C0F"/>
    <w:rsid w:val="00015630"/>
    <w:rsid w:val="0002237F"/>
    <w:rsid w:val="00024262"/>
    <w:rsid w:val="000246C1"/>
    <w:rsid w:val="000409CC"/>
    <w:rsid w:val="000419AD"/>
    <w:rsid w:val="00053F20"/>
    <w:rsid w:val="000577DD"/>
    <w:rsid w:val="000661DB"/>
    <w:rsid w:val="00067BBB"/>
    <w:rsid w:val="00080A9A"/>
    <w:rsid w:val="00084A02"/>
    <w:rsid w:val="000A42E6"/>
    <w:rsid w:val="000B3EF4"/>
    <w:rsid w:val="000C185D"/>
    <w:rsid w:val="000E296B"/>
    <w:rsid w:val="000F2B0E"/>
    <w:rsid w:val="000F41AE"/>
    <w:rsid w:val="0010501D"/>
    <w:rsid w:val="00107F24"/>
    <w:rsid w:val="00111BDC"/>
    <w:rsid w:val="00133ECE"/>
    <w:rsid w:val="0013413E"/>
    <w:rsid w:val="00134151"/>
    <w:rsid w:val="00135307"/>
    <w:rsid w:val="00136C3A"/>
    <w:rsid w:val="00143459"/>
    <w:rsid w:val="00144F90"/>
    <w:rsid w:val="001459AF"/>
    <w:rsid w:val="00150E25"/>
    <w:rsid w:val="0015144C"/>
    <w:rsid w:val="00153B8D"/>
    <w:rsid w:val="00164A8E"/>
    <w:rsid w:val="0017557A"/>
    <w:rsid w:val="00176F02"/>
    <w:rsid w:val="00177C7F"/>
    <w:rsid w:val="00180C39"/>
    <w:rsid w:val="00193934"/>
    <w:rsid w:val="0019719B"/>
    <w:rsid w:val="001A2408"/>
    <w:rsid w:val="001A6903"/>
    <w:rsid w:val="001B222F"/>
    <w:rsid w:val="001C6F88"/>
    <w:rsid w:val="001D23A6"/>
    <w:rsid w:val="001E0792"/>
    <w:rsid w:val="002055DE"/>
    <w:rsid w:val="00205630"/>
    <w:rsid w:val="002105DF"/>
    <w:rsid w:val="00212FC3"/>
    <w:rsid w:val="002179EE"/>
    <w:rsid w:val="0022059D"/>
    <w:rsid w:val="00220D04"/>
    <w:rsid w:val="00223D0E"/>
    <w:rsid w:val="002274B9"/>
    <w:rsid w:val="00236E53"/>
    <w:rsid w:val="00250EB8"/>
    <w:rsid w:val="00252829"/>
    <w:rsid w:val="002600BC"/>
    <w:rsid w:val="0026302C"/>
    <w:rsid w:val="002747A3"/>
    <w:rsid w:val="00274B21"/>
    <w:rsid w:val="00277C5A"/>
    <w:rsid w:val="002845D7"/>
    <w:rsid w:val="0028666F"/>
    <w:rsid w:val="0029082E"/>
    <w:rsid w:val="0029657F"/>
    <w:rsid w:val="0029758D"/>
    <w:rsid w:val="00297C40"/>
    <w:rsid w:val="002A4EEE"/>
    <w:rsid w:val="002A53D7"/>
    <w:rsid w:val="002B199B"/>
    <w:rsid w:val="002B45E1"/>
    <w:rsid w:val="002C6153"/>
    <w:rsid w:val="002D4253"/>
    <w:rsid w:val="002D44CB"/>
    <w:rsid w:val="002D5888"/>
    <w:rsid w:val="002E0C9B"/>
    <w:rsid w:val="002E2AD0"/>
    <w:rsid w:val="002E42B1"/>
    <w:rsid w:val="002E514B"/>
    <w:rsid w:val="002F0536"/>
    <w:rsid w:val="002F5B56"/>
    <w:rsid w:val="00302EDB"/>
    <w:rsid w:val="00306EC5"/>
    <w:rsid w:val="0031106B"/>
    <w:rsid w:val="003232D8"/>
    <w:rsid w:val="003322A7"/>
    <w:rsid w:val="003327B8"/>
    <w:rsid w:val="00354C26"/>
    <w:rsid w:val="003550AE"/>
    <w:rsid w:val="00367889"/>
    <w:rsid w:val="00373DFA"/>
    <w:rsid w:val="00376D04"/>
    <w:rsid w:val="00380AAF"/>
    <w:rsid w:val="0039039E"/>
    <w:rsid w:val="00390E81"/>
    <w:rsid w:val="003A6FA8"/>
    <w:rsid w:val="003B12D5"/>
    <w:rsid w:val="003B20BD"/>
    <w:rsid w:val="003B6B67"/>
    <w:rsid w:val="003C0A2A"/>
    <w:rsid w:val="003C25F6"/>
    <w:rsid w:val="003D04F6"/>
    <w:rsid w:val="003D6751"/>
    <w:rsid w:val="003F072E"/>
    <w:rsid w:val="00404B68"/>
    <w:rsid w:val="00404F69"/>
    <w:rsid w:val="0040632E"/>
    <w:rsid w:val="0042190B"/>
    <w:rsid w:val="00424A8B"/>
    <w:rsid w:val="004323BF"/>
    <w:rsid w:val="00440962"/>
    <w:rsid w:val="00444354"/>
    <w:rsid w:val="00454B07"/>
    <w:rsid w:val="004552D1"/>
    <w:rsid w:val="00455334"/>
    <w:rsid w:val="00462D58"/>
    <w:rsid w:val="00464AD6"/>
    <w:rsid w:val="00467F21"/>
    <w:rsid w:val="00480978"/>
    <w:rsid w:val="00482B54"/>
    <w:rsid w:val="00490015"/>
    <w:rsid w:val="004A118E"/>
    <w:rsid w:val="004A1446"/>
    <w:rsid w:val="004A4E4C"/>
    <w:rsid w:val="004A55F3"/>
    <w:rsid w:val="004B10E0"/>
    <w:rsid w:val="004B5B67"/>
    <w:rsid w:val="004D3BC4"/>
    <w:rsid w:val="004E293A"/>
    <w:rsid w:val="004F05BC"/>
    <w:rsid w:val="004F6DB2"/>
    <w:rsid w:val="00504A99"/>
    <w:rsid w:val="00521EB2"/>
    <w:rsid w:val="005221FD"/>
    <w:rsid w:val="00522F66"/>
    <w:rsid w:val="00524C39"/>
    <w:rsid w:val="00530162"/>
    <w:rsid w:val="00533C11"/>
    <w:rsid w:val="00540535"/>
    <w:rsid w:val="00541107"/>
    <w:rsid w:val="005502B4"/>
    <w:rsid w:val="00557116"/>
    <w:rsid w:val="00567910"/>
    <w:rsid w:val="0057245C"/>
    <w:rsid w:val="005735E0"/>
    <w:rsid w:val="005744C8"/>
    <w:rsid w:val="005813F7"/>
    <w:rsid w:val="00587376"/>
    <w:rsid w:val="00596FCD"/>
    <w:rsid w:val="005A16CB"/>
    <w:rsid w:val="005A2357"/>
    <w:rsid w:val="005A5F2B"/>
    <w:rsid w:val="005C3E7F"/>
    <w:rsid w:val="005D0749"/>
    <w:rsid w:val="005D1ED1"/>
    <w:rsid w:val="005D73FA"/>
    <w:rsid w:val="005D7849"/>
    <w:rsid w:val="005E139F"/>
    <w:rsid w:val="005E6186"/>
    <w:rsid w:val="005E71CB"/>
    <w:rsid w:val="005E7D3F"/>
    <w:rsid w:val="005F2326"/>
    <w:rsid w:val="005F4926"/>
    <w:rsid w:val="00603240"/>
    <w:rsid w:val="00613918"/>
    <w:rsid w:val="006208A3"/>
    <w:rsid w:val="00622E4E"/>
    <w:rsid w:val="006368DB"/>
    <w:rsid w:val="00637ED1"/>
    <w:rsid w:val="00640DAC"/>
    <w:rsid w:val="0064629A"/>
    <w:rsid w:val="00661439"/>
    <w:rsid w:val="00661698"/>
    <w:rsid w:val="006716B5"/>
    <w:rsid w:val="00680590"/>
    <w:rsid w:val="00693BCA"/>
    <w:rsid w:val="006947F8"/>
    <w:rsid w:val="006C668A"/>
    <w:rsid w:val="006D597C"/>
    <w:rsid w:val="006E217C"/>
    <w:rsid w:val="006E6F55"/>
    <w:rsid w:val="006F0FF3"/>
    <w:rsid w:val="0070096E"/>
    <w:rsid w:val="00713681"/>
    <w:rsid w:val="00721000"/>
    <w:rsid w:val="007212C5"/>
    <w:rsid w:val="00725D00"/>
    <w:rsid w:val="00725D50"/>
    <w:rsid w:val="007331D8"/>
    <w:rsid w:val="0073489D"/>
    <w:rsid w:val="00743E2B"/>
    <w:rsid w:val="007444F9"/>
    <w:rsid w:val="00752823"/>
    <w:rsid w:val="00754D52"/>
    <w:rsid w:val="007606E8"/>
    <w:rsid w:val="00773AF2"/>
    <w:rsid w:val="0077776E"/>
    <w:rsid w:val="00781846"/>
    <w:rsid w:val="00785B94"/>
    <w:rsid w:val="00790153"/>
    <w:rsid w:val="007934B0"/>
    <w:rsid w:val="007A5E4E"/>
    <w:rsid w:val="007B774A"/>
    <w:rsid w:val="007C559D"/>
    <w:rsid w:val="007C6CB5"/>
    <w:rsid w:val="007C7D86"/>
    <w:rsid w:val="007F57D3"/>
    <w:rsid w:val="008005FD"/>
    <w:rsid w:val="00803E41"/>
    <w:rsid w:val="0082657F"/>
    <w:rsid w:val="00854729"/>
    <w:rsid w:val="00856773"/>
    <w:rsid w:val="008661D1"/>
    <w:rsid w:val="00871FCA"/>
    <w:rsid w:val="00874882"/>
    <w:rsid w:val="0088060C"/>
    <w:rsid w:val="0088479B"/>
    <w:rsid w:val="00893358"/>
    <w:rsid w:val="0089425C"/>
    <w:rsid w:val="008A0F09"/>
    <w:rsid w:val="008A3391"/>
    <w:rsid w:val="008B4F9D"/>
    <w:rsid w:val="008E51AD"/>
    <w:rsid w:val="008F0476"/>
    <w:rsid w:val="009033CA"/>
    <w:rsid w:val="009061BB"/>
    <w:rsid w:val="00927E31"/>
    <w:rsid w:val="009325FB"/>
    <w:rsid w:val="00937156"/>
    <w:rsid w:val="00941CB9"/>
    <w:rsid w:val="009420E9"/>
    <w:rsid w:val="00942E1E"/>
    <w:rsid w:val="00951D40"/>
    <w:rsid w:val="00952686"/>
    <w:rsid w:val="00963589"/>
    <w:rsid w:val="00967580"/>
    <w:rsid w:val="00976701"/>
    <w:rsid w:val="00990CB2"/>
    <w:rsid w:val="00993CBB"/>
    <w:rsid w:val="00995873"/>
    <w:rsid w:val="009A3A96"/>
    <w:rsid w:val="009A5F5F"/>
    <w:rsid w:val="009A7AFD"/>
    <w:rsid w:val="009B4945"/>
    <w:rsid w:val="009C50B3"/>
    <w:rsid w:val="009D0C66"/>
    <w:rsid w:val="009D6FFE"/>
    <w:rsid w:val="009D759B"/>
    <w:rsid w:val="009E6AEA"/>
    <w:rsid w:val="009F14E5"/>
    <w:rsid w:val="009F4998"/>
    <w:rsid w:val="00A06BCF"/>
    <w:rsid w:val="00A11E23"/>
    <w:rsid w:val="00A329E9"/>
    <w:rsid w:val="00A32D0A"/>
    <w:rsid w:val="00A37FDF"/>
    <w:rsid w:val="00A514A9"/>
    <w:rsid w:val="00A52B41"/>
    <w:rsid w:val="00A62C67"/>
    <w:rsid w:val="00A721B1"/>
    <w:rsid w:val="00A77558"/>
    <w:rsid w:val="00A803DC"/>
    <w:rsid w:val="00A83D7A"/>
    <w:rsid w:val="00A84CED"/>
    <w:rsid w:val="00A85CA4"/>
    <w:rsid w:val="00A90FD6"/>
    <w:rsid w:val="00AA3910"/>
    <w:rsid w:val="00AA7CC3"/>
    <w:rsid w:val="00AC0C56"/>
    <w:rsid w:val="00AC4B04"/>
    <w:rsid w:val="00AD2230"/>
    <w:rsid w:val="00AE0CE0"/>
    <w:rsid w:val="00AF058B"/>
    <w:rsid w:val="00B00D7A"/>
    <w:rsid w:val="00B11614"/>
    <w:rsid w:val="00B3535A"/>
    <w:rsid w:val="00B41811"/>
    <w:rsid w:val="00B778F6"/>
    <w:rsid w:val="00B84B3F"/>
    <w:rsid w:val="00B84E16"/>
    <w:rsid w:val="00B86F00"/>
    <w:rsid w:val="00B90FFD"/>
    <w:rsid w:val="00B94EFD"/>
    <w:rsid w:val="00BA7DE9"/>
    <w:rsid w:val="00BC7620"/>
    <w:rsid w:val="00BE13BC"/>
    <w:rsid w:val="00C029A1"/>
    <w:rsid w:val="00C038CB"/>
    <w:rsid w:val="00C17002"/>
    <w:rsid w:val="00C17A96"/>
    <w:rsid w:val="00C40258"/>
    <w:rsid w:val="00C41603"/>
    <w:rsid w:val="00C552D6"/>
    <w:rsid w:val="00C56546"/>
    <w:rsid w:val="00C60398"/>
    <w:rsid w:val="00C622CF"/>
    <w:rsid w:val="00C6285F"/>
    <w:rsid w:val="00C81FB6"/>
    <w:rsid w:val="00C82EBE"/>
    <w:rsid w:val="00C95A07"/>
    <w:rsid w:val="00C9720A"/>
    <w:rsid w:val="00CA316E"/>
    <w:rsid w:val="00CA32D4"/>
    <w:rsid w:val="00CC04AF"/>
    <w:rsid w:val="00CC0FFA"/>
    <w:rsid w:val="00CC2040"/>
    <w:rsid w:val="00CC22F4"/>
    <w:rsid w:val="00CD1770"/>
    <w:rsid w:val="00CE2ADB"/>
    <w:rsid w:val="00CE2CC4"/>
    <w:rsid w:val="00CE2D5C"/>
    <w:rsid w:val="00CE7882"/>
    <w:rsid w:val="00CE7D12"/>
    <w:rsid w:val="00CF20DA"/>
    <w:rsid w:val="00CF2FEB"/>
    <w:rsid w:val="00CF33F8"/>
    <w:rsid w:val="00D01BDD"/>
    <w:rsid w:val="00D06AD2"/>
    <w:rsid w:val="00D1500B"/>
    <w:rsid w:val="00D16E8C"/>
    <w:rsid w:val="00D20B47"/>
    <w:rsid w:val="00D215A4"/>
    <w:rsid w:val="00D23549"/>
    <w:rsid w:val="00D41DF5"/>
    <w:rsid w:val="00D43529"/>
    <w:rsid w:val="00D81A97"/>
    <w:rsid w:val="00D91087"/>
    <w:rsid w:val="00DB575F"/>
    <w:rsid w:val="00DB5B4F"/>
    <w:rsid w:val="00DC237F"/>
    <w:rsid w:val="00DC2659"/>
    <w:rsid w:val="00DC4B7A"/>
    <w:rsid w:val="00DD0622"/>
    <w:rsid w:val="00DD71E6"/>
    <w:rsid w:val="00DE2C89"/>
    <w:rsid w:val="00DE71AB"/>
    <w:rsid w:val="00E10924"/>
    <w:rsid w:val="00E240B0"/>
    <w:rsid w:val="00E256C0"/>
    <w:rsid w:val="00E26C76"/>
    <w:rsid w:val="00E3163B"/>
    <w:rsid w:val="00E32593"/>
    <w:rsid w:val="00E3773D"/>
    <w:rsid w:val="00E45F3E"/>
    <w:rsid w:val="00E50210"/>
    <w:rsid w:val="00E53516"/>
    <w:rsid w:val="00E620C3"/>
    <w:rsid w:val="00E8010D"/>
    <w:rsid w:val="00EA7A3C"/>
    <w:rsid w:val="00EB2188"/>
    <w:rsid w:val="00EB41A8"/>
    <w:rsid w:val="00EB64A9"/>
    <w:rsid w:val="00EC5B1F"/>
    <w:rsid w:val="00ED13AE"/>
    <w:rsid w:val="00EE3C6F"/>
    <w:rsid w:val="00EF158A"/>
    <w:rsid w:val="00EF41D5"/>
    <w:rsid w:val="00F039ED"/>
    <w:rsid w:val="00F12703"/>
    <w:rsid w:val="00F13916"/>
    <w:rsid w:val="00F20CBC"/>
    <w:rsid w:val="00F36011"/>
    <w:rsid w:val="00F3764E"/>
    <w:rsid w:val="00F37656"/>
    <w:rsid w:val="00F5265C"/>
    <w:rsid w:val="00F542C8"/>
    <w:rsid w:val="00F560D4"/>
    <w:rsid w:val="00F5677F"/>
    <w:rsid w:val="00F82C61"/>
    <w:rsid w:val="00F94D23"/>
    <w:rsid w:val="00FB0045"/>
    <w:rsid w:val="00FB1AF9"/>
    <w:rsid w:val="00FB5379"/>
    <w:rsid w:val="00FB6C23"/>
    <w:rsid w:val="00FC1E54"/>
    <w:rsid w:val="00FD2509"/>
    <w:rsid w:val="00FD3C1D"/>
    <w:rsid w:val="00FE02D0"/>
  </w:rsids>
  <w:themeFontLang w:val="es-E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3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HAnsi" w:hAnsi="Times New Roman"/>
        <w:sz w:val="24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uiPriority="39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4F6DB2"/>
    <w:rPr>
      <w:lang w:val="es-MX"/>
    </w:rPr>
  </w:style>
  <w:style w:styleId="Ttulo1" w:type="paragraph">
    <w:name w:val="heading 1"/>
    <w:basedOn w:val="Normal"/>
    <w:next w:val="Normal"/>
    <w:link w:val="Ttulo1Car"/>
    <w:autoRedefine/>
    <w:uiPriority w:val="9"/>
    <w:qFormat/>
    <w:rsid w:val="00587376"/>
    <w:pPr>
      <w:keepNext/>
      <w:keepLines/>
      <w:spacing w:after="0" w:before="240" w:line="480" w:lineRule="auto"/>
      <w:jc w:val="center"/>
      <w:outlineLvl w:val="0"/>
    </w:pPr>
    <w:rPr>
      <w:rFonts w:cs="Times New Roman" w:eastAsia="Times New Roman"/>
      <w:b/>
      <w:sz w:val="28"/>
      <w:szCs w:val="24"/>
    </w:rPr>
  </w:style>
  <w:style w:styleId="Ttulo2" w:type="paragraph">
    <w:name w:val="heading 2"/>
    <w:basedOn w:val="Normal"/>
    <w:next w:val="Normal"/>
    <w:link w:val="Ttulo2Car"/>
    <w:autoRedefine/>
    <w:uiPriority w:val="9"/>
    <w:unhideWhenUsed/>
    <w:qFormat/>
    <w:rsid w:val="00302EDB"/>
    <w:pPr>
      <w:keepNext/>
      <w:keepLines/>
      <w:spacing w:after="0" w:before="40" w:line="480" w:lineRule="auto"/>
      <w:outlineLvl w:val="1"/>
    </w:pPr>
    <w:rPr>
      <w:rFonts w:cs="Times New Roman" w:eastAsia="Times New Roman"/>
      <w:b/>
      <w:szCs w:val="26"/>
    </w:rPr>
  </w:style>
  <w:style w:styleId="Ttulo3" w:type="paragraph">
    <w:name w:val="heading 3"/>
    <w:basedOn w:val="Normal"/>
    <w:next w:val="Normal"/>
    <w:link w:val="Ttulo3Car"/>
    <w:uiPriority w:val="9"/>
    <w:unhideWhenUsed/>
    <w:qFormat/>
    <w:rsid w:val="00567910"/>
    <w:pPr>
      <w:keepNext/>
      <w:keepLines/>
      <w:spacing w:after="0" w:before="40"/>
      <w:outlineLvl w:val="2"/>
    </w:pPr>
    <w:rPr>
      <w:rFonts w:cstheme="majorBidi" w:eastAsiaTheme="majorEastAsia"/>
      <w:b/>
      <w:i/>
      <w:szCs w:val="24"/>
    </w:rPr>
  </w:style>
  <w:style w:styleId="Ttulo4" w:type="paragraph">
    <w:name w:val="heading 4"/>
    <w:basedOn w:val="Normal"/>
    <w:next w:val="Normal"/>
    <w:link w:val="Ttulo4Car"/>
    <w:uiPriority w:val="9"/>
    <w:unhideWhenUsed/>
    <w:qFormat/>
    <w:rsid w:val="00AE0CE0"/>
    <w:pPr>
      <w:keepNext/>
      <w:keepLines/>
      <w:spacing w:after="0" w:before="40"/>
      <w:ind w:left="1440"/>
      <w:outlineLvl w:val="3"/>
    </w:pPr>
    <w:rPr>
      <w:rFonts w:cstheme="majorBidi" w:eastAsiaTheme="majorEastAsia"/>
      <w:b/>
      <w:iCs/>
    </w:rPr>
  </w:style>
  <w:style w:styleId="Ttulo5" w:type="paragraph">
    <w:name w:val="heading 5"/>
    <w:basedOn w:val="Normal"/>
    <w:next w:val="Normal"/>
    <w:link w:val="Ttulo5Car"/>
    <w:uiPriority w:val="9"/>
    <w:unhideWhenUsed/>
    <w:qFormat/>
    <w:rsid w:val="004323BF"/>
    <w:pPr>
      <w:keepNext/>
      <w:keepLines/>
      <w:spacing w:after="0" w:before="40"/>
      <w:ind w:left="1440"/>
      <w:outlineLvl w:val="4"/>
    </w:pPr>
    <w:rPr>
      <w:rFonts w:cstheme="majorBidi" w:eastAsiaTheme="majorEastAsia"/>
      <w:b/>
      <w:i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link w:val="TextoindependienteCar"/>
    <w:uiPriority w:val="99"/>
    <w:semiHidden/>
    <w:unhideWhenUsed/>
    <w:rsid w:val="00781846"/>
    <w:pPr>
      <w:spacing w:after="120"/>
    </w:pPr>
  </w:style>
  <w:style w:customStyle="1" w:styleId="TextoindependienteCar" w:type="character">
    <w:name w:val="Texto independiente Car"/>
    <w:basedOn w:val="Fuentedeprrafopredeter"/>
    <w:link w:val="Textoindependiente"/>
    <w:uiPriority w:val="99"/>
    <w:semiHidden/>
    <w:rsid w:val="00781846"/>
  </w:style>
  <w:style w:styleId="Piedepgina" w:type="paragraph">
    <w:name w:val="footer"/>
    <w:basedOn w:val="Normal"/>
    <w:link w:val="PiedepginaCar"/>
    <w:uiPriority w:val="99"/>
    <w:unhideWhenUsed/>
    <w:rsid w:val="00781846"/>
    <w:pPr>
      <w:tabs>
        <w:tab w:pos="4680" w:val="center"/>
        <w:tab w:pos="9360" w:val="right"/>
      </w:tabs>
      <w:spacing w:after="0" w:line="240" w:lineRule="auto"/>
    </w:pPr>
  </w:style>
  <w:style w:customStyle="1" w:styleId="PiedepginaCar" w:type="character">
    <w:name w:val="Pie de página Car"/>
    <w:basedOn w:val="Fuentedeprrafopredeter"/>
    <w:link w:val="Piedepgina"/>
    <w:uiPriority w:val="99"/>
    <w:rsid w:val="00781846"/>
  </w:style>
  <w:style w:styleId="Encabezado" w:type="paragraph">
    <w:name w:val="header"/>
    <w:basedOn w:val="Normal"/>
    <w:link w:val="EncabezadoCar"/>
    <w:uiPriority w:val="99"/>
    <w:unhideWhenUsed/>
    <w:rsid w:val="00781846"/>
    <w:pPr>
      <w:tabs>
        <w:tab w:pos="4680" w:val="center"/>
        <w:tab w:pos="9360" w:val="right"/>
      </w:tabs>
      <w:spacing w:after="0" w:line="240" w:lineRule="auto"/>
    </w:pPr>
  </w:style>
  <w:style w:customStyle="1" w:styleId="EncabezadoCar" w:type="character">
    <w:name w:val="Encabezado Car"/>
    <w:basedOn w:val="Fuentedeprrafopredeter"/>
    <w:link w:val="Encabezado"/>
    <w:uiPriority w:val="99"/>
    <w:rsid w:val="00781846"/>
  </w:style>
  <w:style w:styleId="Textodeglobo" w:type="paragraph">
    <w:name w:val="Balloon Text"/>
    <w:basedOn w:val="Normal"/>
    <w:link w:val="TextodegloboCar"/>
    <w:uiPriority w:val="99"/>
    <w:semiHidden/>
    <w:unhideWhenUsed/>
    <w:rsid w:val="00D06AD2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TextodegloboCar" w:type="character">
    <w:name w:val="Texto de globo Car"/>
    <w:basedOn w:val="Fuentedeprrafopredeter"/>
    <w:link w:val="Textodeglobo"/>
    <w:uiPriority w:val="99"/>
    <w:semiHidden/>
    <w:rsid w:val="00D06AD2"/>
    <w:rPr>
      <w:rFonts w:ascii="Segoe UI" w:cs="Segoe UI" w:hAnsi="Segoe UI"/>
      <w:sz w:val="18"/>
      <w:szCs w:val="18"/>
    </w:rPr>
  </w:style>
  <w:style w:styleId="Hipervnculo" w:type="character">
    <w:name w:val="Hyperlink"/>
    <w:basedOn w:val="Fuentedeprrafopredeter"/>
    <w:uiPriority w:val="99"/>
    <w:unhideWhenUsed/>
    <w:rsid w:val="00721000"/>
    <w:rPr>
      <w:color w:themeColor="hyperlink" w:val="0563C1"/>
      <w:u w:val="single"/>
    </w:rPr>
  </w:style>
  <w:style w:styleId="Prrafodelista" w:type="paragraph">
    <w:name w:val="List Paragraph"/>
    <w:basedOn w:val="Normal"/>
    <w:uiPriority w:val="34"/>
    <w:qFormat/>
    <w:rsid w:val="008E51AD"/>
    <w:pPr>
      <w:ind w:left="720"/>
      <w:contextualSpacing/>
    </w:pPr>
  </w:style>
  <w:style w:styleId="Hipervnculovisitado" w:type="character">
    <w:name w:val="FollowedHyperlink"/>
    <w:basedOn w:val="Fuentedeprrafopredeter"/>
    <w:uiPriority w:val="99"/>
    <w:semiHidden/>
    <w:unhideWhenUsed/>
    <w:rsid w:val="00490015"/>
    <w:rPr>
      <w:color w:themeColor="followedHyperlink" w:val="954F72"/>
      <w:u w:val="single"/>
    </w:rPr>
  </w:style>
  <w:style w:styleId="Refdecomentario" w:type="character">
    <w:name w:val="annotation reference"/>
    <w:basedOn w:val="Fuentedeprrafopredeter"/>
    <w:uiPriority w:val="99"/>
    <w:semiHidden/>
    <w:unhideWhenUsed/>
    <w:rsid w:val="00CC0FFA"/>
    <w:rPr>
      <w:sz w:val="16"/>
      <w:szCs w:val="16"/>
    </w:rPr>
  </w:style>
  <w:style w:styleId="Textocomentario" w:type="paragraph">
    <w:name w:val="annotation text"/>
    <w:basedOn w:val="Normal"/>
    <w:link w:val="TextocomentarioCar"/>
    <w:uiPriority w:val="99"/>
    <w:semiHidden/>
    <w:unhideWhenUsed/>
    <w:rsid w:val="00CC0FFA"/>
    <w:pPr>
      <w:spacing w:line="240" w:lineRule="auto"/>
    </w:pPr>
    <w:rPr>
      <w:sz w:val="20"/>
      <w:szCs w:val="20"/>
    </w:rPr>
  </w:style>
  <w:style w:customStyle="1" w:styleId="TextocomentarioCar" w:type="character">
    <w:name w:val="Texto comentario Car"/>
    <w:basedOn w:val="Fuentedeprrafopredeter"/>
    <w:link w:val="Textocomentario"/>
    <w:uiPriority w:val="99"/>
    <w:semiHidden/>
    <w:rsid w:val="00CC0FFA"/>
    <w:rPr>
      <w:sz w:val="20"/>
      <w:szCs w:val="20"/>
    </w:rPr>
  </w:style>
  <w:style w:styleId="Asuntodelcomentario" w:type="paragraph">
    <w:name w:val="annotation subject"/>
    <w:basedOn w:val="Textocomentario"/>
    <w:next w:val="Textocomentario"/>
    <w:link w:val="AsuntodelcomentarioCar"/>
    <w:uiPriority w:val="99"/>
    <w:semiHidden/>
    <w:unhideWhenUsed/>
    <w:rsid w:val="00CC0FFA"/>
    <w:rPr>
      <w:b/>
      <w:bCs/>
    </w:rPr>
  </w:style>
  <w:style w:customStyle="1" w:styleId="AsuntodelcomentarioCar" w:type="character">
    <w:name w:val="Asunto del comentario Car"/>
    <w:basedOn w:val="TextocomentarioCar"/>
    <w:link w:val="Asuntodelcomentario"/>
    <w:uiPriority w:val="99"/>
    <w:semiHidden/>
    <w:rsid w:val="00CC0FFA"/>
    <w:rPr>
      <w:b/>
      <w:bCs/>
      <w:sz w:val="20"/>
      <w:szCs w:val="20"/>
    </w:rPr>
  </w:style>
  <w:style w:customStyle="1" w:styleId="TableNormal1" w:type="table">
    <w:name w:val="Table Normal1"/>
    <w:uiPriority w:val="2"/>
    <w:semiHidden/>
    <w:unhideWhenUsed/>
    <w:qFormat/>
    <w:rsid w:val="00967580"/>
    <w:pPr>
      <w:widowControl w:val="0"/>
      <w:spacing w:after="0" w:line="240" w:lineRule="auto"/>
    </w:pPr>
    <w:rPr>
      <w:rFonts w:ascii="Calibri" w:hAnsi="Calibri"/>
      <w:sz w:val="22"/>
    </w:rPr>
    <w:tblPr>
      <w:tblInd w:type="dxa" w:w="0"/>
      <w:tblCellMar>
        <w:top w:type="dxa" w:w="0"/>
        <w:left w:type="dxa" w:w="0"/>
        <w:bottom w:type="dxa" w:w="0"/>
        <w:right w:type="dxa" w:w="0"/>
      </w:tblCellMar>
    </w:tblPr>
  </w:style>
  <w:style w:customStyle="1" w:styleId="TableNormal10" w:type="table">
    <w:name w:val="Table Normal1"/>
    <w:uiPriority w:val="2"/>
    <w:semiHidden/>
    <w:unhideWhenUsed/>
    <w:qFormat/>
    <w:rsid w:val="00F82C61"/>
    <w:pPr>
      <w:widowControl w:val="0"/>
      <w:spacing w:after="0" w:line="240" w:lineRule="auto"/>
    </w:pPr>
    <w:rPr>
      <w:rFonts w:ascii="Calibri" w:hAnsi="Calibri"/>
      <w:sz w:val="22"/>
    </w:rPr>
    <w:tblPr>
      <w:tblInd w:type="dxa" w:w="0"/>
      <w:tblCellMar>
        <w:top w:type="dxa" w:w="0"/>
        <w:left w:type="dxa" w:w="0"/>
        <w:bottom w:type="dxa" w:w="0"/>
        <w:right w:type="dxa" w:w="0"/>
      </w:tblCellMar>
    </w:tblPr>
  </w:style>
  <w:style w:customStyle="1" w:styleId="Ttulo1Car" w:type="character">
    <w:name w:val="Título 1 Car"/>
    <w:basedOn w:val="Fuentedeprrafopredeter"/>
    <w:link w:val="Ttulo1"/>
    <w:uiPriority w:val="9"/>
    <w:rsid w:val="00587376"/>
    <w:rPr>
      <w:rFonts w:cs="Times New Roman" w:eastAsia="Times New Roman"/>
      <w:b/>
      <w:sz w:val="28"/>
      <w:szCs w:val="24"/>
      <w:lang w:val="es-MX"/>
    </w:rPr>
  </w:style>
  <w:style w:styleId="TtulodeTDC" w:type="paragraph">
    <w:name w:val="TOC Heading"/>
    <w:basedOn w:val="Ttulo1"/>
    <w:next w:val="Normal"/>
    <w:uiPriority w:val="39"/>
    <w:unhideWhenUsed/>
    <w:qFormat/>
    <w:rsid w:val="00A62C67"/>
    <w:pPr>
      <w:outlineLvl w:val="9"/>
    </w:pPr>
    <w:rPr>
      <w:lang w:eastAsia="es-MX"/>
    </w:rPr>
  </w:style>
  <w:style w:styleId="TDC3" w:type="paragraph">
    <w:name w:val="toc 3"/>
    <w:basedOn w:val="Normal"/>
    <w:next w:val="Normal"/>
    <w:autoRedefine/>
    <w:uiPriority w:val="39"/>
    <w:unhideWhenUsed/>
    <w:rsid w:val="00302EDB"/>
    <w:pPr>
      <w:spacing w:after="100" w:line="480" w:lineRule="auto"/>
      <w:ind w:left="482"/>
    </w:pPr>
  </w:style>
  <w:style w:styleId="TDC1" w:type="paragraph">
    <w:name w:val="toc 1"/>
    <w:basedOn w:val="Normal"/>
    <w:next w:val="Normal"/>
    <w:autoRedefine/>
    <w:uiPriority w:val="39"/>
    <w:unhideWhenUsed/>
    <w:rsid w:val="00302EDB"/>
    <w:pPr>
      <w:spacing w:after="100" w:line="480" w:lineRule="auto"/>
    </w:pPr>
  </w:style>
  <w:style w:customStyle="1" w:styleId="Ttulo2Car" w:type="character">
    <w:name w:val="Título 2 Car"/>
    <w:basedOn w:val="Fuentedeprrafopredeter"/>
    <w:link w:val="Ttulo2"/>
    <w:uiPriority w:val="9"/>
    <w:rsid w:val="00302EDB"/>
    <w:rPr>
      <w:rFonts w:cs="Times New Roman" w:eastAsia="Times New Roman"/>
      <w:b/>
      <w:szCs w:val="26"/>
      <w:lang w:val="es-MX"/>
    </w:rPr>
  </w:style>
  <w:style w:styleId="TDC2" w:type="paragraph">
    <w:name w:val="toc 2"/>
    <w:basedOn w:val="Normal"/>
    <w:next w:val="Normal"/>
    <w:autoRedefine/>
    <w:uiPriority w:val="39"/>
    <w:unhideWhenUsed/>
    <w:rsid w:val="00302EDB"/>
    <w:pPr>
      <w:spacing w:after="100" w:line="480" w:lineRule="auto"/>
      <w:ind w:left="238"/>
    </w:pPr>
  </w:style>
  <w:style w:customStyle="1" w:styleId="Ttulo3Car" w:type="character">
    <w:name w:val="Título 3 Car"/>
    <w:basedOn w:val="Fuentedeprrafopredeter"/>
    <w:link w:val="Ttulo3"/>
    <w:uiPriority w:val="9"/>
    <w:rsid w:val="00567910"/>
    <w:rPr>
      <w:rFonts w:cstheme="majorBidi" w:eastAsiaTheme="majorEastAsia"/>
      <w:b/>
      <w:i/>
      <w:szCs w:val="24"/>
      <w:lang w:val="es-MX"/>
    </w:rPr>
  </w:style>
  <w:style w:customStyle="1" w:styleId="Ttulo4Car" w:type="character">
    <w:name w:val="Título 4 Car"/>
    <w:basedOn w:val="Fuentedeprrafopredeter"/>
    <w:link w:val="Ttulo4"/>
    <w:uiPriority w:val="9"/>
    <w:rsid w:val="00AE0CE0"/>
    <w:rPr>
      <w:rFonts w:cstheme="majorBidi" w:eastAsiaTheme="majorEastAsia"/>
      <w:b/>
      <w:iCs/>
      <w:lang w:val="es-MX"/>
    </w:rPr>
  </w:style>
  <w:style w:customStyle="1" w:styleId="Ttulo5Car" w:type="character">
    <w:name w:val="Título 5 Car"/>
    <w:basedOn w:val="Fuentedeprrafopredeter"/>
    <w:link w:val="Ttulo5"/>
    <w:uiPriority w:val="9"/>
    <w:rsid w:val="004323BF"/>
    <w:rPr>
      <w:rFonts w:cstheme="majorBidi" w:eastAsiaTheme="majorEastAsia"/>
      <w:b/>
      <w:i/>
      <w:lang w:val="es-MX"/>
    </w:rPr>
  </w:style>
  <w:style w:styleId="Epgrafe" w:type="paragraph">
    <w:name w:val="caption"/>
    <w:basedOn w:val="Normal"/>
    <w:next w:val="Normal"/>
    <w:uiPriority w:val="35"/>
    <w:unhideWhenUsed/>
    <w:qFormat/>
    <w:rsid w:val="002105DF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Tabladeilustraciones" w:type="paragraph">
    <w:name w:val="table of figures"/>
    <w:basedOn w:val="Normal"/>
    <w:next w:val="Normal"/>
    <w:uiPriority w:val="99"/>
    <w:unhideWhenUsed/>
    <w:rsid w:val="00302EDB"/>
    <w:pPr>
      <w:spacing w:after="0" w:line="480" w:lineRule="auto"/>
    </w:pPr>
  </w:style>
  <w:style w:customStyle="1" w:styleId="APAReport" w:type="table">
    <w:name w:val="APA Report"/>
    <w:basedOn w:val="Tablanormal"/>
    <w:uiPriority w:val="99"/>
    <w:rsid w:val="00176F02"/>
    <w:pPr>
      <w:spacing w:after="0" w:line="240" w:lineRule="auto"/>
    </w:pPr>
    <w:rPr>
      <w:rFonts w:eastAsia="SimSun"/>
      <w:szCs w:val="24"/>
      <w:lang w:eastAsia="ja-JP"/>
    </w:rPr>
    <w:tblPr>
      <w:tblInd w:type="dxa" w:w="0"/>
      <w:tblBorders>
        <w:top w:color="auto" w:space="0" w:sz="12" w:val="single"/>
        <w:bottom w:color="auto" w:space="0" w:sz="1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="Times New Roman" w:hAnsi="Times New Roman"/>
      </w:rPr>
      <w:tblPr/>
      <w:trPr>
        <w:tblHeader/>
      </w:trPr>
      <w:tcPr>
        <w:tcBorders>
          <w:top w:color="auto" w:space="0" w:sz="12" w:val="single"/>
          <w:left w:val="nil"/>
          <w:bottom w:color="auto" w:space="0" w:sz="12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Mencinsinresolver1" w:type="character">
    <w:name w:val="Mención sin resolver1"/>
    <w:basedOn w:val="Fuentedeprrafopredeter"/>
    <w:uiPriority w:val="99"/>
    <w:semiHidden/>
    <w:unhideWhenUsed/>
    <w:rsid w:val="002D5888"/>
    <w:rPr>
      <w:color w:val="605E5C"/>
      <w:shd w:color="auto" w:fill="E1DFDD" w:val="clear"/>
    </w:rPr>
  </w:style>
  <w:style w:styleId="TDC4" w:type="paragraph">
    <w:name w:val="toc 4"/>
    <w:basedOn w:val="Normal"/>
    <w:next w:val="Normal"/>
    <w:autoRedefine/>
    <w:uiPriority w:val="39"/>
    <w:unhideWhenUsed/>
    <w:rsid w:val="00302EDB"/>
    <w:pPr>
      <w:spacing w:after="100" w:line="480" w:lineRule="auto"/>
      <w:ind w:left="720"/>
    </w:pPr>
  </w:style>
  <w:style w:styleId="TDC5" w:type="paragraph">
    <w:name w:val="toc 5"/>
    <w:basedOn w:val="Normal"/>
    <w:next w:val="Normal"/>
    <w:autoRedefine/>
    <w:uiPriority w:val="39"/>
    <w:unhideWhenUsed/>
    <w:rsid w:val="00302EDB"/>
    <w:pPr>
      <w:spacing w:after="100" w:line="480" w:lineRule="auto"/>
      <w:ind w:left="958"/>
    </w:pPr>
  </w:style>
  <w:style w:customStyle="1" w:styleId="Default" w:type="paragraph">
    <w:name w:val="Default"/>
    <w:rsid w:val="003C25F6"/>
    <w:pPr>
      <w:autoSpaceDE w:val="0"/>
      <w:autoSpaceDN w:val="0"/>
      <w:adjustRightInd w:val="0"/>
      <w:spacing w:after="0" w:line="240" w:lineRule="auto"/>
    </w:pPr>
    <w:rPr>
      <w:rFonts w:cs="Times New Roman"/>
      <w:color w:val="000000"/>
      <w:szCs w:val="24"/>
      <w:lang w:val="es-MX"/>
    </w:rPr>
  </w:style>
  <w:style w:customStyle="1" w:styleId="Encabezadoopiedepgina" w:type="character">
    <w:name w:val="Encabezado o pie de página_"/>
    <w:basedOn w:val="Fuentedeprrafopredeter"/>
    <w:link w:val="Encabezadoopiedepgina0"/>
    <w:rsid w:val="00FB6C23"/>
    <w:rPr>
      <w:rFonts w:cs="Times New Roman" w:eastAsia="Times New Roman"/>
      <w:shd w:color="auto" w:fill="FFFFFF" w:val="clear"/>
      <w:lang w:bidi="es-ES" w:eastAsia="es-ES" w:val="es-ES"/>
    </w:rPr>
  </w:style>
  <w:style w:customStyle="1" w:styleId="Encabezadoopiedepgina0" w:type="paragraph">
    <w:name w:val="Encabezado o pie de página"/>
    <w:basedOn w:val="Normal"/>
    <w:link w:val="Encabezadoopiedepgina"/>
    <w:rsid w:val="00FB6C23"/>
    <w:pPr>
      <w:widowControl w:val="0"/>
      <w:shd w:color="auto" w:fill="FFFFFF" w:val="clear"/>
      <w:spacing w:after="0" w:line="240" w:lineRule="auto"/>
    </w:pPr>
    <w:rPr>
      <w:rFonts w:cs="Times New Roman" w:eastAsia="Times New Roman"/>
      <w:lang w:bidi="es-ES" w:eastAsia="es-ES" w:val="es-ES"/>
    </w:rPr>
  </w:style>
  <w:style w:styleId="Textodelmarcadordeposicin" w:type="character">
    <w:name w:val="Placeholder Text"/>
    <w:basedOn w:val="Fuentedeprrafopredeter"/>
    <w:uiPriority w:val="99"/>
    <w:semiHidden/>
    <w:rsid w:val="000F41AE"/>
    <w:rPr>
      <w:color w:val="808080"/>
    </w:rPr>
  </w:style>
  <w:style w:styleId="Tablaconcuadrcula" w:type="table">
    <w:name w:val="Table Grid"/>
    <w:basedOn w:val="Tablanormal"/>
    <w:uiPriority w:val="39"/>
    <w:rsid w:val="000F41AE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710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1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9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7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7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8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1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38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48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86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2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01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4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3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62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28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7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2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2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40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0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4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95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4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2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21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0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67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7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1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45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9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8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7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41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19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31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5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76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3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1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0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32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5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9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1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6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2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77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49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44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2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25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85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96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86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8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0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41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56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83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6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2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8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8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3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15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29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8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0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67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3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6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9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77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9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40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3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5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0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86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26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86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4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2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55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8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69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5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41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7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8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6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8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8" Target="media/image1.jpeg" Type="http://schemas.openxmlformats.org/officeDocument/2006/relationships/image" /><Relationship Id="rId16" Target="header4.xml" Type="http://schemas.openxmlformats.org/officeDocument/2006/relationships/header" /><Relationship Id="rId15" Target="header3.xml" Type="http://schemas.openxmlformats.org/officeDocument/2006/relationships/header" /><Relationship Id="rId10" Target="header2.xml" Type="http://schemas.openxmlformats.org/officeDocument/2006/relationships/header" /><Relationship Id="rId9" Target="header1.xml" Type="http://schemas.openxmlformats.org/officeDocument/2006/relationships/header" /><Relationship Type="http://schemas.openxmlformats.org/officeDocument/2006/relationships/hyperlink" Id="rId89" Target="https://doi.org/10.1016/j.neucom.2024.128282" TargetMode="External" /><Relationship Type="http://schemas.openxmlformats.org/officeDocument/2006/relationships/hyperlink" Id="rId78" Target="https://doi.org/10.1109/INES59045.2023.1030000" TargetMode="External" /><Relationship Type="http://schemas.openxmlformats.org/officeDocument/2006/relationships/hyperlink" Id="rId92" Target="https://doi.org/10.1145/2939672.2939778" TargetMode="External" /><Relationship Type="http://schemas.openxmlformats.org/officeDocument/2006/relationships/hyperlink" Id="rId81" Target="https://doi.org/10.1145/3631700.3664911" TargetMode="External" /><Relationship Type="http://schemas.openxmlformats.org/officeDocument/2006/relationships/hyperlink" Id="rId83" Target="https://doi.org/10.1145/3737445" TargetMode="External" /><Relationship Type="http://schemas.openxmlformats.org/officeDocument/2006/relationships/hyperlink" Id="rId94" Target="https://doi.org/10.1609/aaai.v32i1.11491" TargetMode="External" /><Relationship Type="http://schemas.openxmlformats.org/officeDocument/2006/relationships/hyperlink" Id="rId86" Target="https://doi.org/10.48550/arxiv.1705.07874" TargetMode="External" /><Relationship Type="http://schemas.openxmlformats.org/officeDocument/2006/relationships/hyperlink" Id="rId96" Target="https://trustai4s-lab.github.io/ffide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https://doi.org/10.1016/j.neucom.2024.128282" TargetMode="External" /><Relationship Type="http://schemas.openxmlformats.org/officeDocument/2006/relationships/hyperlink" Id="rId78" Target="https://doi.org/10.1109/INES59045.2023.1030000" TargetMode="External" /><Relationship Type="http://schemas.openxmlformats.org/officeDocument/2006/relationships/hyperlink" Id="rId92" Target="https://doi.org/10.1145/2939672.2939778" TargetMode="External" /><Relationship Type="http://schemas.openxmlformats.org/officeDocument/2006/relationships/hyperlink" Id="rId81" Target="https://doi.org/10.1145/3631700.3664911" TargetMode="External" /><Relationship Type="http://schemas.openxmlformats.org/officeDocument/2006/relationships/hyperlink" Id="rId83" Target="https://doi.org/10.1145/3737445" TargetMode="External" /><Relationship Type="http://schemas.openxmlformats.org/officeDocument/2006/relationships/hyperlink" Id="rId94" Target="https://doi.org/10.1609/aaai.v32i1.11491" TargetMode="External" /><Relationship Type="http://schemas.openxmlformats.org/officeDocument/2006/relationships/hyperlink" Id="rId86" Target="https://doi.org/10.48550/arxiv.1705.07874" TargetMode="External" /><Relationship Type="http://schemas.openxmlformats.org/officeDocument/2006/relationships/hyperlink" Id="rId96" Target="https://trustai4s-lab.github.io/ffidelity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37</Pages>
  <Words>4983</Words>
  <Characters>27410</Characters>
  <Application>Microsoft Office Word</Application>
  <DocSecurity>0</DocSecurity>
  <Lines>228</Lines>
  <Paragraphs>64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32329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JHerrera_XAI_Tesis_Doctorado</dc:title>
  <dc:creator>J. Herrera</dc:creator>
  <cp:keywords/>
  <dcterms:created xsi:type="dcterms:W3CDTF">2026-04-18T21:03:17Z</dcterms:created>
  <dcterms:modified xsi:type="dcterms:W3CDTF">2026-04-18T21:03:17Z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2025-12-31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emplate-partials">
    <vt:lpwstr/>
  </property>
  <property fmtid="{D5CDD505-2E9C-101B-9397-08002B2CF9AE}" pid="15" name="toc-title">
    <vt:lpwstr>Table of contents</vt:lpwstr>
  </property>
</Properties>
</file>