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67.png" ContentType="image/png"/>
  <Override PartName="/word/media/rId163.png" ContentType="image/png"/>
  <Override PartName="/word/media/rId159.png" ContentType="image/png"/>
  <Override PartName="/word/media/rId155.png" ContentType="image/png"/>
  <Override PartName="/word/media/rId171.png" ContentType="image/png"/>
  <Override PartName="/word/media/rId151.png" ContentType="image/png"/>
  <Override PartName="/word/media/rId175.png" ContentType="image/png"/>
  <Override PartName="/word/media/rId211.png" ContentType="image/png"/>
  <Override PartName="/word/media/rId201.png" ContentType="image/png"/>
  <Override PartName="/word/media/rId222.png" ContentType="image/png"/>
  <Override PartName="/word/media/rId205.png" ContentType="image/png"/>
  <Override PartName="/word/media/rId217.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una segunda cohorte, con otro panel de jueces sobre los mismos casos, reproduce este resultado en la condición primaria. Por ello, su uso queda acotado a un papel exploratorio y de calibración instrumental. Cuatro trabajos de seguimiento, posteriores al plan confirmativo, delimitan el alcance de estos resultados: en el benchmark primario, la estabilidad de las explicaciones es menor cuando el modelo se equivoca; SHAP y LIME coinciden solo en parte al explicar la misma instancia; el orden de los métodos se conserva en la mayoría de dieciséis conjuntos de datos tabulares bajo un protocolo de evaluación fijo; y el acuerdo entre jueces recae sobre el método y la forma de la explicación, no sobre su corrección.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a second cohort, with a different judge panel on the same cases, reproduces this result in the primary condition. This confines such judges to an exploratory, instrument-calibration role. Four follow-up studies, conducted after the confirmatory plan, delimit the scope of these results: on the primary benchmark, explanations are less stable when the model is wrong; SHAP and LIME agree only in part when explaining the same instance; the ordering of the methods holds on most of sixteen tabular datasets under a fixed evaluation protocol; and agreement among judges concerns the method and the form of an explanation, not its correctness.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 Cuatro trabajos de</w:t>
      </w:r>
      <w:r>
        <w:t xml:space="preserve"> </w:t>
      </w:r>
      <w:r>
        <w:t xml:space="preserve">seguimiento, posteriores al plan confirmativo y declarados como tales, delimitan</w:t>
      </w:r>
      <w:r>
        <w:t xml:space="preserve"> </w:t>
      </w:r>
      <w:r>
        <w:t xml:space="preserve">después el alcance de validez de esos resultados: ante el error de</w:t>
      </w:r>
      <w:r>
        <w:t xml:space="preserve"> </w:t>
      </w:r>
      <w:r>
        <w:t xml:space="preserve">clasificación, ante el cambio de explicador, ante el cambio de conjunto de</w:t>
      </w:r>
      <w:r>
        <w:t xml:space="preserve"> </w:t>
      </w:r>
      <w:r>
        <w:t xml:space="preserve">datos y ante el instrumento de evaluación semántica.</w:t>
      </w:r>
    </w:p>
    <w:p>
      <w:pPr>
        <w:pStyle w:val="Textoindependiente"/>
        <w:spacing w:line="360" w:lineRule="auto"/>
        <w:jc w:val="both"/>
      </w:pPr>
      <w:r>
        <w:t xml:space="preserve">Para alcanzar estos objetivos, el documento se estructura en siete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reporta los estudios de seguimiento, que</w:t>
      </w:r>
      <w:r>
        <w:t xml:space="preserve"> </w:t>
      </w:r>
      <w:r>
        <w:t xml:space="preserve">examinan hasta dónde se sostienen las conclusiones del benchmark. El</w:t>
      </w:r>
      <w:r>
        <w:t xml:space="preserve"> </w:t>
      </w:r>
      <w:r>
        <w:rPr>
          <w:b/>
          <w:bCs/>
        </w:rPr>
        <w:t xml:space="preserve">Capítulo 7</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puede generar</w:t>
      </w:r>
      <w:r>
        <w:t xml:space="preserve"> </w:t>
      </w:r>
      <w:r>
        <w:t xml:space="preserve">instancias que el modelo nunca encontró durante el entrenamiento y sesgar las</w:t>
      </w:r>
      <w:r>
        <w:t xml:space="preserve"> </w:t>
      </w:r>
      <w:r>
        <w:t xml:space="preserve">puntuaciones de fidelidad resultantes</w:t>
      </w:r>
      <w:r>
        <w:t xml:space="preserve"> </w:t>
      </w:r>
      <w:r>
        <w:t xml:space="preserve">(Alvarez-Melis y Jaakkola 2018; Hooker et al. 2019; Rong et al. 2022; Zheng et al. 2025)</w:t>
      </w:r>
      <w:r>
        <w:t xml:space="preserve">. Por ello, un ordenamiento obtenido mediante</w:t>
      </w:r>
      <w:r>
        <w:t xml:space="preserve"> </w:t>
      </w:r>
      <w:r>
        <w:t xml:space="preserve">enmascaramiento debe interpretarse como evidencia comparativa bajo el operador</w:t>
      </w:r>
      <w:r>
        <w:t xml:space="preserve"> </w:t>
      </w:r>
      <w:r>
        <w:t xml:space="preserve">de perturbación declarado, no como validación irrestricta de la corrección de</w:t>
      </w:r>
      <w:r>
        <w:t xml:space="preserve"> </w:t>
      </w:r>
      <w:r>
        <w:t xml:space="preserve">las explicaciones.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principales y tres estudios de</w:t>
      </w:r>
      <w:r>
        <w:t xml:space="preserve"> </w:t>
      </w:r>
      <w:r>
        <w:t xml:space="preserve">seguimiento, cuya denominación se emplea de forma uniforme en el resto del</w:t>
      </w:r>
      <w:r>
        <w:t xml:space="preserve"> </w:t>
      </w:r>
      <w:r>
        <w:t xml:space="preserve">documento. Los objetivos 1 y 4 —formalización del protocolo FOM-7 y</w:t>
      </w:r>
      <w:r>
        <w:t xml:space="preserve"> </w:t>
      </w:r>
      <w:r>
        <w:t xml:space="preserve">caracterización de su reproducibilidad— son transversales a los dos estudios</w:t>
      </w:r>
      <w:r>
        <w:t xml:space="preserve"> </w:t>
      </w:r>
      <w:r>
        <w:t xml:space="preserve">empíricos principales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5 y 6</w:t>
                  </w:r>
                </w:p>
              </w:tc>
            </w:tr>
            <w:tr>
              <w:tc>
                <w:tcPr/>
                <w:p>
                  <w:pPr>
                    <w:pStyle w:val="Compact"/>
                    <w:jc w:val="both"/>
                    <w:jc w:val="center"/>
                    <w:spacing w:line="360" w:lineRule="auto"/>
                  </w:pPr>
                  <w:r>
                    <w:rPr>
                      <w:b/>
                      <w:bCs/>
                    </w:rPr>
                    <w:t xml:space="preserve">Estudio de Fiabilidad ante el Error</w:t>
                  </w:r>
                  <w:r>
                    <w:t xml:space="preserve"> </w:t>
                  </w:r>
                  <w:r>
                    <w:t xml:space="preserve">(seguimiento)</w:t>
                  </w:r>
                </w:p>
              </w:tc>
              <w:tc>
                <w:tcPr/>
                <w:p>
                  <w:pPr>
                    <w:pStyle w:val="Compact"/>
                    <w:jc w:val="both"/>
                    <w:jc w:val="center"/>
                    <w:spacing w:line="360" w:lineRule="auto"/>
                  </w:pPr>
                  <w:r>
                    <w:t xml:space="preserve">¿Son menos fiables las explicaciones cuando el modelo se equivoca?</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r>
              <w:tc>
                <w:tcPr/>
                <w:p>
                  <w:pPr>
                    <w:pStyle w:val="Compact"/>
                    <w:jc w:val="both"/>
                    <w:jc w:val="center"/>
                    <w:spacing w:line="360" w:lineRule="auto"/>
                  </w:pPr>
                  <w:r>
                    <w:rPr>
                      <w:b/>
                      <w:bCs/>
                    </w:rPr>
                    <w:t xml:space="preserve">Estudio de Concordancia entre Explicadores</w:t>
                  </w:r>
                  <w:r>
                    <w:t xml:space="preserve"> </w:t>
                  </w:r>
                  <w:r>
                    <w:t xml:space="preserve">(seguimiento)</w:t>
                  </w:r>
                </w:p>
              </w:tc>
              <w:tc>
                <w:tcPr/>
                <w:p>
                  <w:pPr>
                    <w:pStyle w:val="Compact"/>
                    <w:jc w:val="both"/>
                    <w:jc w:val="center"/>
                    <w:spacing w:line="360" w:lineRule="auto"/>
                  </w:pPr>
                  <w:r>
                    <w:t xml:space="preserve">¿Cuánto coinciden SHAP y LIME al explicar la misma instancia?</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r>
              <w:tc>
                <w:tcPr/>
                <w:p>
                  <w:pPr>
                    <w:pStyle w:val="Compact"/>
                    <w:jc w:val="both"/>
                    <w:jc w:val="center"/>
                    <w:spacing w:line="360" w:lineRule="auto"/>
                  </w:pPr>
                  <w:r>
                    <w:rPr>
                      <w:b/>
                      <w:bCs/>
                    </w:rPr>
                    <w:t xml:space="preserve">Estudio de Transferencia entre Conjuntos de Datos</w:t>
                  </w:r>
                  <w:r>
                    <w:t xml:space="preserve"> </w:t>
                  </w:r>
                  <w:r>
                    <w:t xml:space="preserve">(seguimiento)</w:t>
                  </w:r>
                </w:p>
              </w:tc>
              <w:tc>
                <w:tcPr/>
                <w:p>
                  <w:pPr>
                    <w:pStyle w:val="Compact"/>
                    <w:jc w:val="both"/>
                    <w:jc w:val="center"/>
                    <w:spacing w:line="360" w:lineRule="auto"/>
                  </w:pPr>
                  <w:r>
                    <w:t xml:space="preserve">¿Se mantiene el orden de los métodos al cambiar de conjunto de datos?</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p>
      <w:pPr>
        <w:pStyle w:val="Textoindependiente"/>
        <w:spacing w:line="360" w:lineRule="auto"/>
        <w:jc w:val="both"/>
      </w:pPr>
      <w:r>
        <w:t xml:space="preserve">Los tres estudios de seguimiento se realizaron después del plan confirmativo y</w:t>
      </w:r>
      <w:r>
        <w:t xml:space="preserve"> </w:t>
      </w:r>
      <w:r>
        <w:t xml:space="preserve">no añaden objetivos específicos ni hipótesis: se adscriben a la cláusula final</w:t>
      </w:r>
      <w:r>
        <w:t xml:space="preserve"> </w:t>
      </w:r>
      <w:r>
        <w:t xml:space="preserve">del objetivo general, que exige delimitar el alcance de validez de la evidencia</w:t>
      </w:r>
      <w:r>
        <w:t xml:space="preserve"> </w:t>
      </w:r>
      <w:r>
        <w:t xml:space="preserve">obtenida. Su estatuto se declara en §</w:t>
      </w:r>
      <w:hyperlink w:anchor="sec-seg-estatuto">
        <w:r>
          <w:rPr>
            <w:rStyle w:val="Hipervnculo"/>
          </w:rPr>
          <w:t xml:space="preserve">6.1</w:t>
        </w:r>
      </w:hyperlink>
      <w:r>
        <w:t xml:space="preserve">, y ninguno modifica la</w:t>
      </w:r>
      <w:r>
        <w:t xml:space="preserve"> </w:t>
      </w:r>
      <w:r>
        <w:t xml:space="preserve">resolución de H1–H3, P1 o P2.</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6 y 7).</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23"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w:t>
      </w:r>
      <w:r>
        <w:t xml:space="preserve"> </w:t>
      </w:r>
      <w:hyperlink w:anchor="tbl-model-performance">
        <w:r>
          <w:rPr>
            <w:rStyle w:val="Hipervnculo"/>
          </w:rPr>
          <w:t xml:space="preserve">3.1</w:t>
        </w:r>
      </w:hyperlink>
      <w:r>
        <w:t xml:space="preserve">.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0.064</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0.045</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w:t>
      </w:r>
      <w:r>
        <w:t xml:space="preserve"> </w:t>
      </w:r>
      <w:hyperlink w:anchor="sec-fom7">
        <w:r>
          <w:rPr>
            <w:rStyle w:val="Hipervnculo"/>
          </w:rPr>
          <w:t xml:space="preserve">3.6</w:t>
        </w:r>
      </w:hyperlink>
      <w:r>
        <w:t xml:space="preserve">.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1"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w:t>
      </w:r>
      <w:r>
        <w:t xml:space="preserve"> </w:t>
      </w:r>
      <w:hyperlink w:anchor="sec-muestreo">
        <w:r>
          <w:rPr>
            <w:rStyle w:val="Hipervnculo"/>
          </w:rPr>
          <w:t xml:space="preserve">3.4</w:t>
        </w:r>
      </w:hyperlink>
      <w:r>
        <w:t xml:space="preserve">.</w:t>
      </w:r>
    </w:p>
    <w:bookmarkEnd w:id="67"/>
    <w:bookmarkStart w:id="69"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 de la</w:t>
      </w:r>
      <w:r>
        <w:t xml:space="preserve"> </w:t>
      </w:r>
      <w:hyperlink w:anchor="eq-particion">
        <w:r>
          <w:rPr>
            <w:rStyle w:val="Hipervnculo"/>
          </w:rPr>
          <w:t xml:space="preserve">Ecuación 3.1</w:t>
        </w:r>
      </w:hyperlink>
      <w:r>
        <w:t xml:space="preserve">:</w:t>
      </w:r>
    </w:p>
    <w:p>
      <w:pPr>
        <w:pStyle w:val="Textoindependiente"/>
        <w:spacing w:line="360" w:lineRule="auto"/>
        <w:jc w:val="both"/>
      </w:pPr>
      <w:bookmarkStart w:id="68" w:name="eq-particion"/>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r>
            <ns1:t>  </ns1:t>
          </ns1:r>
          <ns1:r>
            <ns1:rPr>
              <ns1:sty ns1:val="p"/>
            </ns1:rPr>
            <ns1:t>(</ns1:t>
          </ns1:r>
          <ns1:r>
            <ns1:t>3.1</ns1:t>
          </ns1:r>
          <ns1:r>
            <ns1:rPr>
              <ns1:sty ns1:val="p"/>
            </ns1:rPr>
            <ns1:t>)</ns1:t>
          </ns1:r>
        </ns1:oMath>
      </ns1:oMathPara>
      <w:bookmarkEnd w:id="68"/>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9"/>
    <w:bookmarkStart w:id="70"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70"/>
    <w:bookmarkEnd w:id="71"/>
    <w:bookmarkStart w:id="75"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 (</w:t>
      </w:r>
      <w:hyperlink w:anchor="eq-diseno-factorial">
        <w:r>
          <w:rPr>
            <w:rStyle w:val="Hipervnculo"/>
          </w:rPr>
          <w:t xml:space="preserve">Ecuación 3.2</w:t>
        </w:r>
      </w:hyperlink>
      <w:r>
        <w:t xml:space="preserve">):</w:t>
      </w:r>
    </w:p>
    <w:p>
      <w:pPr>
        <w:pStyle w:val="Textoindependiente"/>
        <w:spacing w:line="360" w:lineRule="auto"/>
        <w:jc w:val="both"/>
      </w:pPr>
      <w:bookmarkStart w:id="72" w:name="eq-diseno-factorial"/>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t>  </ns1:t>
          </ns1:r>
          <ns1:r>
            <ns1:rPr>
              <ns1:sty ns1:val="p"/>
            </ns1:rPr>
            <ns1:t>(</ns1:t>
          </ns1:r>
          <ns1:r>
            <ns1:t>3.2</ns1:t>
          </ns1:r>
          <ns1:r>
            <ns1:rPr>
              <ns1:sty ns1:val="p"/>
            </ns1:rPr>
            <ns1:t>)</ns1:t>
          </ns1:r>
        </ns1:oMath>
      </ns1:oMathPara>
      <w:bookmarkEnd w:id="72"/>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 el de la</w:t>
      </w:r>
      <w:r>
        <w:t xml:space="preserve"> </w:t>
      </w:r>
      <w:hyperlink w:anchor="eq-tamano-diseno">
        <w:r>
          <w:rPr>
            <w:rStyle w:val="Hipervnculo"/>
          </w:rPr>
          <w:t xml:space="preserve">Ecuación 3.3</w:t>
        </w:r>
      </w:hyperlink>
      <w:r>
        <w:t xml:space="preserve">:</w:t>
      </w:r>
    </w:p>
    <w:p>
      <w:pPr>
        <w:pStyle w:val="Textoindependiente"/>
        <w:spacing w:line="360" w:lineRule="auto"/>
        <w:jc w:val="both"/>
      </w:pPr>
      <w:bookmarkStart w:id="73" w:name="eq-tamano-diseno"/>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r>
            <ns1:t>  </ns1:t>
          </ns1:r>
          <ns1:r>
            <ns1:rPr>
              <ns1:sty ns1:val="p"/>
            </ns1:rPr>
            <ns1:t>(</ns1:t>
          </ns1:r>
          <ns1:r>
            <ns1:t>3.3</ns1:t>
          </ns1:r>
          <ns1:r>
            <ns1:rPr>
              <ns1:sty ns1:val="p"/>
            </ns1:rPr>
            <ns1:t>)</ns1:t>
          </ns1:r>
        </ns1:oMath>
      </ns1:oMathPara>
      <w:bookmarkEnd w:id="73"/>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4"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4"/>
    <w:bookmarkEnd w:id="75"/>
    <w:bookmarkStart w:id="79" w:name="sec-muestreo"/>
    <w:p>
      <w:pPr>
        <w:pStyle w:val="Ttulo2"/>
        <w:spacing w:line="360" w:lineRule="auto"/>
        <w:jc w:val="both"/>
      </w:pPr>
      <w:r>
        <w:t xml:space="preserve">3.4 </w:t>
      </w:r>
      <w:r>
        <w:t xml:space="preserve">Protocolo de muestreo de instancias y configuración de explicadores</w:t>
      </w:r>
    </w:p>
    <w:bookmarkStart w:id="77"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 (</w:t>
      </w:r>
      <w:hyperlink w:anchor="eq-muestreo">
        <w:r>
          <w:rPr>
            <w:rStyle w:val="Hipervnculo"/>
          </w:rPr>
          <w:t xml:space="preserve">Ecuación 3.4</w:t>
        </w:r>
      </w:hyperlink>
      <w:r>
        <w:t xml:space="preserve">):</w:t>
      </w:r>
    </w:p>
    <w:p>
      <w:pPr>
        <w:pStyle w:val="Textoindependiente"/>
        <w:spacing w:line="360" w:lineRule="auto"/>
        <w:jc w:val="both"/>
      </w:pPr>
      <w:bookmarkStart w:id="76" w:name="eq-muestreo"/>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r>
            <ns1:t>  </ns1:t>
          </ns1:r>
          <ns1:r>
            <ns1:rPr>
              <ns1:sty ns1:val="p"/>
            </ns1:rPr>
            <ns1:t>(</ns1:t>
          </ns1:r>
          <ns1:r>
            <ns1:t>3.4</ns1:t>
          </ns1:r>
          <ns1:r>
            <ns1:rPr>
              <ns1:sty ns1:val="p"/>
            </ns1:rPr>
            <ns1:t>)</ns1:t>
          </ns1:r>
        </ns1:oMath>
      </ns1:oMathPara>
      <w:bookmarkEnd w:id="76"/>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7"/>
    <w:bookmarkStart w:id="78"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8"/>
    <w:bookmarkEnd w:id="79"/>
    <w:bookmarkStart w:id="91"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81"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r>
        <w:t xml:space="preserve"> </w:t>
      </w:r>
      <w:r>
        <w:t xml:space="preserve">(</w:t>
      </w:r>
      <w:hyperlink w:anchor="eq-fidelidad">
        <w:r>
          <w:rPr>
            <w:rStyle w:val="Hipervnculo"/>
          </w:rPr>
          <w:t xml:space="preserve">Ecuación 3.5</w:t>
        </w:r>
      </w:hyperlink>
      <w:r>
        <w:t xml:space="preserve">):</w:t>
      </w:r>
    </w:p>
    <w:p>
      <w:pPr>
        <w:pStyle w:val="Textoindependiente"/>
        <w:spacing w:line="360" w:lineRule="auto"/>
        <w:jc w:val="both"/>
      </w:pPr>
      <w:bookmarkStart w:id="80" w:name="eq-fidelidad"/>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r>
            <ns1:t>  </ns1:t>
          </ns1:r>
          <ns1:r>
            <ns1:rPr>
              <ns1:sty ns1:val="p"/>
            </ns1:rPr>
            <ns1:t>(</ns1:t>
          </ns1:r>
          <ns1:r>
            <ns1:t>3.5</ns1:t>
          </ns1:r>
          <ns1:r>
            <ns1:rPr>
              <ns1:sty ns1:val="p"/>
            </ns1:rPr>
            <ns1:t>)</ns1:t>
          </ns1:r>
        </ns1:oMath>
      </ns1:oMathPara>
      <w:bookmarkEnd w:id="80"/>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de manera independiente, la característica</w:t>
      </w:r>
      <w:r>
        <w:t xml:space="preserve"> </w:t>
      </w:r>
      <w:r>
        <w:t xml:space="preserve">transformada</w:t>
      </w:r>
      <w:r>
        <w:t xml:space="preserve"> </w:t>
      </w:r>
      <ns1:oMath>
        <ns1:r>
          <ns1:t>i</ns1:t>
        </ns1:r>
      </ns1:oMath>
      <w:r>
        <w:t xml:space="preserve"> </w:t>
      </w:r>
      <w:r>
        <w:t xml:space="preserve">por su media en el conjunto de entrenamiento. Este operador es</w:t>
      </w:r>
      <w:r>
        <w:t xml:space="preserve"> </w:t>
      </w:r>
      <w:r>
        <w:t xml:space="preserve">determinista y común a los cuatro métodos, pero no preserva la distribución</w:t>
      </w:r>
      <w:r>
        <w:t xml:space="preserve"> </w:t>
      </w:r>
      <w:r>
        <w:t xml:space="preserve">conjunta de las características: puede producir combinaciones implausibles u</w:t>
      </w:r>
      <w:r>
        <w:t xml:space="preserve"> </w:t>
      </w:r>
      <w:r>
        <w:t xml:space="preserve">OOD y, por tanto, introducir sesgo diferencial entre explicadores</w:t>
      </w:r>
      <w:r>
        <w:t xml:space="preserve"> </w:t>
      </w:r>
      <w:r>
        <w:t xml:space="preserve">(Hooker et al. 2019; Rong et al. 2022)</w:t>
      </w:r>
      <w:r>
        <w:t xml:space="preserve">. La métrica se interpreta como</w:t>
      </w:r>
      <w:r>
        <w:t xml:space="preserve"> </w:t>
      </w:r>
      <w:r>
        <w:t xml:space="preserve">respuesta del modelo bajo este enmascaramiento concreto, no como verdad de la</w:t>
      </w:r>
      <w:r>
        <w:t xml:space="preserve"> </w:t>
      </w:r>
      <w:r>
        <w:t xml:space="preserve">explicación. 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81"/>
    <w:bookmarkStart w:id="83"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i"/>
          </ns1:rPr>
          <ns1:t>I</ns1:t>
        </ns1:r>
        <ns1:r>
          <ns1:rPr>
            <ns1:sty ns1:val="p"/>
          </ns1:rPr>
          <ns1:t>)</ns1:t>
        </ns1:r>
      </ns1:oMath>
      <w:r>
        <w:t xml:space="preserve">,</w:t>
      </w:r>
      <w:r>
        <w:t xml:space="preserve"> </w:t>
      </w:r>
      <ns1:oMath>
        <ns1:r>
          <ns1:t>σ</ns1:t>
        </ns1:r>
        <ns1:r>
          <ns1:rPr>
            <ns1:sty ns1:val="p"/>
          </ns1:rPr>
          <ns1:t>=</ns1:t>
        </ns1:r>
        <ns1:r>
          <ns1:t>0.1</ns1:t>
        </ns1:r>
      </ns1:oMath>
      <w:r>
        <w:t xml:space="preserve"> </w:t>
      </w:r>
      <w:r>
        <w:t xml:space="preserve">(</w:t>
      </w:r>
      <w:hyperlink w:anchor="eq-estabilidad">
        <w:r>
          <w:rPr>
            <w:rStyle w:val="Hipervnculo"/>
          </w:rPr>
          <w:t xml:space="preserve">Ecuación 3.6</w:t>
        </w:r>
      </w:hyperlink>
      <w:r>
        <w:t xml:space="preserve">):</w:t>
      </w:r>
    </w:p>
    <w:p>
      <w:pPr>
        <w:pStyle w:val="Textoindependiente"/>
        <w:spacing w:line="360" w:lineRule="auto"/>
        <w:jc w:val="both"/>
      </w:pPr>
      <w:bookmarkStart w:id="82" w:name="eq-estabilidad"/>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r>
            <ns1:t>  </ns1:t>
          </ns1:r>
          <ns1:r>
            <ns1:rPr>
              <ns1:sty ns1:val="p"/>
            </ns1:rPr>
            <ns1:t>(</ns1:t>
          </ns1:r>
          <ns1:r>
            <ns1:t>3.6</ns1:t>
          </ns1:r>
          <ns1:r>
            <ns1:rPr>
              <ns1:sty ns1:val="p"/>
            </ns1:rPr>
            <ns1:t>)</ns1:t>
          </ns1:r>
        </ns1:oMath>
      </ns1:oMathPara>
      <w:bookmarkEnd w:id="82"/>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83"/>
    <w:bookmarkStart w:id="85"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r>
        <w:t xml:space="preserve"> </w:t>
      </w:r>
      <w:r>
        <w:t xml:space="preserve">(</w:t>
      </w:r>
      <w:hyperlink w:anchor="eq-parsimonia">
        <w:r>
          <w:rPr>
            <w:rStyle w:val="Hipervnculo"/>
          </w:rPr>
          <w:t xml:space="preserve">Ecuación 3.7</w:t>
        </w:r>
      </w:hyperlink>
      <w:r>
        <w:t xml:space="preserve">):</w:t>
      </w:r>
    </w:p>
    <w:p>
      <w:pPr>
        <w:pStyle w:val="Textoindependiente"/>
        <w:spacing w:line="360" w:lineRule="auto"/>
        <w:jc w:val="both"/>
      </w:pPr>
      <w:bookmarkStart w:id="84" w:name="eq-parsimonia"/>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r>
            <ns1:t>  </ns1:t>
          </ns1:r>
          <ns1:r>
            <ns1:rPr>
              <ns1:sty ns1:val="p"/>
            </ns1:rPr>
            <ns1:t>(</ns1:t>
          </ns1:r>
          <ns1:r>
            <ns1:t>3.7</ns1:t>
          </ns1:r>
          <ns1:r>
            <ns1:rPr>
              <ns1:sty ns1:val="p"/>
            </ns1:rPr>
            <ns1:t>)</ns1:t>
          </ns1:r>
        </ns1:oMath>
      </ns1:oMathPara>
      <w:bookmarkEnd w:id="84"/>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85"/>
    <w:bookmarkStart w:id="87"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r>
        <w:t xml:space="preserve"> </w:t>
      </w:r>
      <w:r>
        <w:t xml:space="preserve">(</w:t>
      </w:r>
      <w:hyperlink w:anchor="eq-brecha-fidelidad">
        <w:r>
          <w:rPr>
            <w:rStyle w:val="Hipervnculo"/>
          </w:rPr>
          <w:t xml:space="preserve">Ecuación 3.8</w:t>
        </w:r>
      </w:hyperlink>
      <w:r>
        <w:t xml:space="preserve">):</w:t>
      </w:r>
    </w:p>
    <w:p>
      <w:pPr>
        <w:pStyle w:val="Textoindependiente"/>
        <w:spacing w:line="360" w:lineRule="auto"/>
        <w:jc w:val="both"/>
      </w:pPr>
      <w:bookmarkStart w:id="86" w:name="eq-brecha-fidelidad"/>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r>
            <ns1:t>  </ns1:t>
          </ns1:r>
          <ns1:r>
            <ns1:rPr>
              <ns1:sty ns1:val="p"/>
            </ns1:rPr>
            <ns1:t>(</ns1:t>
          </ns1:r>
          <ns1:r>
            <ns1:t>3.8</ns1:t>
          </ns1:r>
          <ns1:r>
            <ns1:rPr>
              <ns1:sty ns1:val="p"/>
            </ns1:rPr>
            <ns1:t>)</ns1:t>
          </ns1:r>
        </ns1:oMath>
      </ns1:oMathPara>
      <w:bookmarkEnd w:id="86"/>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87"/>
    <w:bookmarkStart w:id="88"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8"/>
    <w:bookmarkStart w:id="90"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9"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r>
                    <w:t xml:space="preserve">​</w:t>
                  </w:r>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r>
                    <w:t xml:space="preserve">​</w:t>
                  </w:r>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r>
                    <w:t xml:space="preserve">​</w:t>
                  </w:r>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r>
                    <w:t xml:space="preserve">​</w:t>
                  </w:r>
                </w:p>
              </w:tc>
            </w:tr>
          </w:tbl>
          <w:bookmarkEnd w:id="89"/>
          <w:p>
            <w:pPr>
              <w:spacing w:line="360" w:lineRule="auto"/>
              <w:jc w:val="both"/>
            </w:pPr>
          </w:p>
        </w:tc>
      </w:tr>
    </w:tbl>
    <w:bookmarkEnd w:id="90"/>
    <w:bookmarkEnd w:id="91"/>
    <w:bookmarkStart w:id="94" w:name="sec-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w:t>
      </w:r>
      <w:r>
        <w:t xml:space="preserve"> </w:t>
      </w:r>
      <w:hyperlink w:anchor="sec-cobertura">
        <w:r>
          <w:rPr>
            <w:rStyle w:val="Hipervnculo"/>
          </w:rPr>
          <w:t xml:space="preserve">3.7</w:t>
        </w:r>
      </w:hyperlink>
      <w:r>
        <w:t xml:space="preserve">)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se resume en la</w:t>
      </w:r>
      <w:r>
        <w:t xml:space="preserve"> </w:t>
      </w:r>
      <w:hyperlink w:anchor="eq-flujo-fom7">
        <w:r>
          <w:rPr>
            <w:rStyle w:val="Hipervnculo"/>
          </w:rPr>
          <w:t xml:space="preserve">Ecuación 3.9</w:t>
        </w:r>
      </w:hyperlink>
      <w:r>
        <w:t xml:space="preserve">:</w:t>
      </w:r>
    </w:p>
    <w:p>
      <w:pPr>
        <w:pStyle w:val="Textoindependiente"/>
        <w:spacing w:line="360" w:lineRule="auto"/>
        <w:jc w:val="both"/>
      </w:pPr>
      <w:bookmarkStart w:id="92" w:name="eq-flujo-fom7"/>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r>
            <ns1:t>  </ns1:t>
          </ns1:r>
          <ns1:r>
            <ns1:rPr>
              <ns1:sty ns1:val="p"/>
            </ns1:rPr>
            <ns1:t>(</ns1:t>
          </ns1:r>
          <ns1:r>
            <ns1:t>3.9</ns1:t>
          </ns1:r>
          <ns1:r>
            <ns1:rPr>
              <ns1:sty ns1:val="p"/>
            </ns1:rPr>
            <ns1:t>)</ns1:t>
          </ns1:r>
        </ns1:oMath>
      </ns1:oMathPara>
      <w:bookmarkEnd w:id="92"/>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93"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93"/>
          <w:p>
            <w:pPr>
              <w:spacing w:line="360" w:lineRule="auto"/>
              <w:jc w:val="both"/>
            </w:pPr>
          </w:p>
        </w:tc>
      </w:tr>
    </w:tbl>
    <w:bookmarkEnd w:id="94"/>
    <w:bookmarkStart w:id="102" w:name="sec-cobertura"/>
    <w:p>
      <w:pPr>
        <w:pStyle w:val="Ttulo2"/>
        <w:spacing w:line="360" w:lineRule="auto"/>
        <w:jc w:val="both"/>
      </w:pPr>
      <w:r>
        <w:t xml:space="preserve">3.7 </w:t>
      </w:r>
      <w:r>
        <w:t xml:space="preserve">Cobertura de artefactos y análisis del impacto de datos faltantes</w:t>
      </w:r>
    </w:p>
    <w:bookmarkStart w:id="97"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95"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95"/>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96"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96"/>
          <w:p>
            <w:pPr>
              <w:spacing w:line="360" w:lineRule="auto"/>
              <w:jc w:val="both"/>
            </w:pPr>
          </w:p>
        </w:tc>
      </w:tr>
    </w:tbl>
    <w:bookmarkEnd w:id="97"/>
    <w:bookmarkStart w:id="101"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 la</w:t>
      </w:r>
      <w:r>
        <w:t xml:space="preserve"> </w:t>
      </w:r>
      <w:hyperlink w:anchor="eq-varianza-bloque">
        <w:r>
          <w:rPr>
            <w:rStyle w:val="Hipervnculo"/>
          </w:rPr>
          <w:t xml:space="preserve">Ecuación 3.10</w:t>
        </w:r>
      </w:hyperlink>
      <w:r>
        <w:t xml:space="preserve">:</w:t>
      </w:r>
    </w:p>
    <w:p>
      <w:pPr>
        <w:pStyle w:val="Textoindependiente"/>
        <w:spacing w:line="360" w:lineRule="auto"/>
        <w:jc w:val="both"/>
      </w:pPr>
      <w:bookmarkStart w:id="98" w:name="eq-varianza-bloque"/>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r>
            <ns1:t>  </ns1:t>
          </ns1:r>
          <ns1:r>
            <ns1:rPr>
              <ns1:sty ns1:val="p"/>
            </ns1:rPr>
            <ns1:t>(</ns1:t>
          </ns1:r>
          <ns1:r>
            <ns1:t>3.10</ns1:t>
          </ns1:r>
          <ns1:r>
            <ns1:rPr>
              <ns1:sty ns1:val="p"/>
            </ns1:rPr>
            <ns1:t>)</ns1:t>
          </ns1:r>
        </ns1:oMath>
      </ns1:oMathPara>
      <w:bookmarkEnd w:id="98"/>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 el de la</w:t>
      </w:r>
      <w:r>
        <w:t xml:space="preserve"> </w:t>
      </w:r>
      <w:hyperlink w:anchor="eq-margen-coste">
        <w:r>
          <w:rPr>
            <w:rStyle w:val="Hipervnculo"/>
          </w:rPr>
          <w:t xml:space="preserve">Ecuación 3.11</w:t>
        </w:r>
      </w:hyperlink>
      <w:r>
        <w:t xml:space="preserve">:</w:t>
      </w:r>
    </w:p>
    <w:p>
      <w:pPr>
        <w:pStyle w:val="Textoindependiente"/>
        <w:spacing w:line="360" w:lineRule="auto"/>
        <w:jc w:val="both"/>
      </w:pPr>
      <w:bookmarkStart w:id="99" w:name="eq-margen-coste"/>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r>
            <ns1:t>  </ns1:t>
          </ns1:r>
          <ns1:r>
            <ns1:rPr>
              <ns1:sty ns1:val="p"/>
            </ns1:rPr>
            <ns1:t>(</ns1:t>
          </ns1:r>
          <ns1:r>
            <ns1:t>3.11</ns1:t>
          </ns1:r>
          <ns1:r>
            <ns1:rPr>
              <ns1:sty ns1:val="p"/>
            </ns1:rPr>
            <ns1:t>)</ns1:t>
          </ns1:r>
        </ns1:oMath>
      </ns1:oMathPara>
      <w:bookmarkEnd w:id="99"/>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 (</w:t>
      </w:r>
      <w:hyperlink w:anchor="eq-prueba-esfuerzo">
        <w:r>
          <w:rPr>
            <w:rStyle w:val="Hipervnculo"/>
          </w:rPr>
          <w:t xml:space="preserve">Ecuación 3.12</w:t>
        </w:r>
      </w:hyperlink>
      <w:r>
        <w:t xml:space="preserve">):</w:t>
      </w:r>
    </w:p>
    <w:p>
      <w:pPr>
        <w:pStyle w:val="Textoindependiente"/>
        <w:spacing w:line="360" w:lineRule="auto"/>
        <w:jc w:val="both"/>
      </w:pPr>
      <w:bookmarkStart w:id="100" w:name="eq-prueba-esfuerzo"/>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r>
            <ns1:t>  </ns1:t>
          </ns1:r>
          <ns1:r>
            <ns1:rPr>
              <ns1:sty ns1:val="p"/>
            </ns1:rPr>
            <ns1:t>(</ns1:t>
          </ns1:r>
          <ns1:r>
            <ns1:t>3.12</ns1:t>
          </ns1:r>
          <ns1:r>
            <ns1:rPr>
              <ns1:sty ns1:val="p"/>
            </ns1:rPr>
            <ns1:t>)</ns1:t>
          </ns1:r>
        </ns1:oMath>
      </ns1:oMathPara>
      <w:bookmarkEnd w:id="100"/>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7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101"/>
    <w:bookmarkEnd w:id="102"/>
    <w:bookmarkStart w:id="116" w:name="plan-de-inferencia-estadística"/>
    <w:p>
      <w:pPr>
        <w:pStyle w:val="Ttulo2"/>
        <w:spacing w:line="360" w:lineRule="auto"/>
        <w:jc w:val="both"/>
      </w:pPr>
      <w:r>
        <w:t xml:space="preserve">3.8 </w:t>
      </w:r>
      <w:r>
        <w:t xml:space="preserve">Plan de inferencia estadística</w:t>
      </w:r>
    </w:p>
    <w:bookmarkStart w:id="106"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w:r>
        <w:t xml:space="preserve">Cada observación de método dentro de un bloque es primero la media de sus</w:t>
      </w:r>
      <w:r>
        <w:t xml:space="preserve"> </w:t>
      </w:r>
      <w:r>
        <w:t xml:space="preserve">semillas calificadas. Si</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 </w:t>
      </w:r>
      <w:r>
        <w:t xml:space="preserve">es la métrica</w:t>
      </w:r>
      <w:r>
        <w:t xml:space="preserve"> </w:t>
      </w:r>
      <ns1:oMath>
        <ns1:r>
          <ns1:t>m</ns1:t>
        </ns1:r>
      </ns1:oMath>
      <w:r>
        <w:t xml:space="preserve"> </w:t>
      </w:r>
      <w:r>
        <w:t xml:space="preserve">para el modelo</w:t>
      </w:r>
      <w:r>
        <w:t xml:space="preserve"> </w:t>
      </w:r>
      <ns1:oMath>
        <ns1:r>
          <ns1:t>g</ns1:t>
        </ns1:r>
      </ns1:oMath>
      <w:r>
        <w:t xml:space="preserve">,</w:t>
      </w:r>
      <w:r>
        <w:t xml:space="preserve"> </w:t>
      </w:r>
      <w:r>
        <w:t xml:space="preserve">el método</w:t>
      </w:r>
      <w:r>
        <w:t xml:space="preserve"> </w:t>
      </w:r>
      <ns1:oMath>
        <ns1:r>
          <ns1:t>k</ns1:t>
        </ns1:r>
      </ns1:oMath>
      <w:r>
        <w:t xml:space="preserve">, la semilla</w:t>
      </w:r>
      <w:r>
        <w:t xml:space="preserve"> </w:t>
      </w:r>
      <ns1:oMath>
        <ns1:r>
          <ns1:t>s</ns1:t>
        </ns1:r>
      </ns1:oMath>
      <w:r>
        <w:t xml:space="preserve"> </w:t>
      </w:r>
      <w:r>
        <w:t xml:space="preserve">y el tamaño</w:t>
      </w:r>
      <w:r>
        <w:t xml:space="preserve"> </w:t>
      </w:r>
      <ns1:oMath>
        <ns1:r>
          <ns1:t>n</ns1:t>
        </ns1:r>
      </ns1:oMath>
      <w:r>
        <w:t xml:space="preserve">, entonces la media de bloque es la de la</w:t>
      </w:r>
      <w:r>
        <w:t xml:space="preserve"> </w:t>
      </w:r>
      <w:hyperlink w:anchor="eq-media-bloque">
        <w:r>
          <w:rPr>
            <w:rStyle w:val="Hipervnculo"/>
          </w:rPr>
          <w:t xml:space="preserve">Ecuación 3.13</w:t>
        </w:r>
      </w:hyperlink>
      <w:r>
        <w:t xml:space="preserve">:</w:t>
      </w:r>
    </w:p>
    <w:p>
      <w:pPr>
        <w:pStyle w:val="Textoindependiente"/>
        <w:spacing w:line="360" w:lineRule="auto"/>
        <w:jc w:val="both"/>
      </w:pPr>
      <w:bookmarkStart w:id="103" w:name="eq-media-bloque"/>
      <ns1:oMathPara>
        <ns1:oMathParaPr>
          <ns1:jc ns1:val="center"/>
        </ns1:oMathParaPr>
        <ns1:oMath>
          <ns1:sSub>
            <ns1:e>
              <ns1:acc>
                <ns1:accPr>
                  <ns1:chr ns1:val="‾"/>
                </ns1:accPr>
                <ns1:e>
                  <ns1:r>
                    <ns1:t>y</ns1:t>
                  </ns1:r>
                </ns1:e>
              </ns1:acc>
            </ns1:e>
            <ns1:sub>
              <ns1:r>
                <ns1:t>g</ns1:t>
              </ns1:r>
              <ns1:r>
                <ns1:rPr>
                  <ns1:sty ns1:val="p"/>
                </ns1:rPr>
                <ns1:t>,</ns1:t>
              </ns1:r>
              <ns1:r>
                <ns1:t>k</ns1:t>
              </ns1:r>
              <ns1:r>
                <ns1:rPr>
                  <ns1:sty ns1:val="p"/>
                </ns1:rPr>
                <ns1:t>,</ns1:t>
              </ns1:r>
              <ns1:r>
                <ns1:t>n</ns1:t>
              </ns1:r>
              <ns1:r>
                <ns1:rPr>
                  <ns1:sty ns1:val="p"/>
                </ns1:rPr>
                <ns1:t>,</ns1:t>
              </ns1:r>
              <ns1:r>
                <ns1:t>m</ns1:t>
              </ns1:r>
            </ns1:sub>
          </ns1:sSub>
          <ns1:r>
            <ns1:rPr>
              <ns1:sty ns1:val="p"/>
            </ns1:rPr>
            <ns1:t>=</ns1:t>
          </ns1:r>
          <ns1:f>
            <ns1:fPr>
              <ns1:type ns1:val="bar"/>
            </ns1:fPr>
            <ns1:num>
              <ns1:r>
                <ns1:t>1</ns1:t>
              </ns1:r>
            </ns1:num>
            <ns1:den>
              <ns1:sSub>
                <ns1:e>
                  <ns1:r>
                    <ns1:t>r</ns1:t>
                  </ns1:r>
                </ns1:e>
                <ns1:sub>
                  <ns1:r>
                    <ns1:t>g</ns1:t>
                  </ns1:r>
                  <ns1:r>
                    <ns1:rPr>
                      <ns1:sty ns1:val="p"/>
                    </ns1:rPr>
                    <ns1:t>,</ns1:t>
                  </ns1:r>
                  <ns1:r>
                    <ns1:t>k</ns1:t>
                  </ns1:r>
                  <ns1:r>
                    <ns1:rPr>
                      <ns1:sty ns1:val="p"/>
                    </ns1:rPr>
                    <ns1:t>,</ns1:t>
                  </ns1:r>
                  <ns1:r>
                    <ns1:t>n</ns1:t>
                  </ns1:r>
                </ns1:sub>
              </ns1:sSub>
            </ns1:den>
          </ns1:f>
          <ns1:nary>
            <ns1:naryPr>
              <ns1:chr ns1:val="∑"/>
              <ns1:limLoc ns1:val="undOvr"/>
              <ns1:subHide ns1:val="off"/>
              <ns1:supHide ns1:val="on"/>
            </ns1:naryPr>
            <ns1:sub>
              <ns1:r>
                <ns1:t>s</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sub>
            <ns1:sup>
              <ns1:r>
                <ns1:t>​</ns1:t>
              </ns1:r>
            </ns1:sup>
            <ns1:e>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e>
          </ns1:nary>
          <ns1:r>
            <ns1:rPr>
              <ns1:sty ns1:val="p"/>
            </ns1:rPr>
            <ns1:t>,</ns1:t>
          </ns1:r>
          <ns1:r>
            <ns1:t>  </ns1:t>
          </ns1:r>
          <ns1:r>
            <ns1:rPr>
              <ns1:sty ns1:val="p"/>
            </ns1:rPr>
            <ns1:t>(</ns1:t>
          </ns1:r>
          <ns1:r>
            <ns1:t>3.13</ns1:t>
          </ns1:r>
          <ns1:r>
            <ns1:rPr>
              <ns1:sty ns1:val="p"/>
            </ns1:rPr>
            <ns1:t>)</ns1:t>
          </ns1:r>
        </ns1:oMath>
      </ns1:oMathPara>
      <w:bookmarkEnd w:id="103"/>
    </w:p>
    <w:p>
      <w:pPr>
        <w:pStyle w:val="FirstParagraph"/>
        <w:spacing w:line="360" w:lineRule="auto"/>
        <w:jc w:val="both"/>
      </w:pPr>
      <w:r>
        <w:t xml:space="preserve">donde</w:t>
      </w:r>
      <w:r>
        <w:t xml:space="preserve"> </w:t>
      </w:r>
      <ns1:oMath>
        <ns1:sSub>
          <ns1:e>
            <ns1:r>
              <ns1:rPr>
                <ns1:scr ns1:val="script"/>
                <ns1:sty ns1:val="p"/>
              </ns1:rPr>
              <ns1:t>S</ns1:t>
            </ns1:r>
          </ns1:e>
          <ns1:sub>
            <ns1:r>
              <ns1:t>g</ns1:t>
            </ns1:r>
            <ns1:r>
              <ns1:rPr>
                <ns1:sty ns1:val="p"/>
              </ns1:rPr>
              <ns1:t>,</ns1:t>
            </ns1:r>
            <ns1:r>
              <ns1:t>k</ns1:t>
            </ns1:r>
            <ns1:r>
              <ns1:rPr>
                <ns1:sty ns1:val="p"/>
              </ns1:rPr>
              <ns1:t>,</ns1:t>
            </ns1:r>
            <ns1:r>
              <ns1:t>n</ns1:t>
            </ns1:r>
          </ns1:sub>
        </ns1:sSub>
      </ns1:oMath>
      <w:r>
        <w:t xml:space="preserve"> </w:t>
      </w:r>
      <w:r>
        <w:t xml:space="preserve">contiene únicamente semillas calificadas y</w:t>
      </w:r>
      <w:r>
        <w:t xml:space="preserve"> </w:t>
      </w:r>
      <ns1:oMath>
        <ns1:sSub>
          <ns1:e>
            <ns1:r>
              <ns1:t>r</ns1:t>
            </ns1:r>
          </ns1:e>
          <ns1:sub>
            <ns1:r>
              <ns1:t>g</ns1:t>
            </ns1:r>
            <ns1:r>
              <ns1:rPr>
                <ns1:sty ns1:val="p"/>
              </ns1:rPr>
              <ns1:t>,</ns1:t>
            </ns1:r>
            <ns1:r>
              <ns1:t>k</ns1:t>
            </ns1:r>
            <ns1:r>
              <ns1:rPr>
                <ns1:sty ns1:val="p"/>
              </ns1:rPr>
              <ns1:t>,</ns1:t>
            </ns1:r>
            <ns1:r>
              <ns1:t>n</ns1:t>
            </ns1:r>
          </ns1:sub>
        </ns1:sSub>
        <ns1:r>
          <ns1:rPr>
            <ns1:sty ns1:val="p"/>
          </ns1:rPr>
          <ns1:t>=</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r>
          <ns1:rPr>
            <ns1:sty ns1:val="p"/>
          </ns1:rPr>
          <ns1:t>|</ns1:t>
        </ns1:r>
      </ns1:oMath>
      <w:r>
        <w:t xml:space="preserve">. SHAP y LIME aportan cinco semillas en cada</w:t>
      </w:r>
      <w:r>
        <w:t xml:space="preserve"> </w:t>
      </w:r>
      <w:r>
        <w:t xml:space="preserve">bloque; Anchors y DiCE aportan entre una y cinco según la cobertura documentada.</w:t>
      </w:r>
      <w:r>
        <w:t xml:space="preserve"> </w:t>
      </w:r>
      <w:r>
        <w:t xml:space="preserve">Las semillas reducen la incertidumbre de la puntuación del bloque, pero no se</w:t>
      </w:r>
      <w:r>
        <w:t xml:space="preserve"> </w:t>
      </w:r>
      <w:r>
        <w:t xml:space="preserve">tratan como 75 bloques Friedman independientes.</w:t>
      </w:r>
    </w:p>
    <w:p>
      <w:pPr>
        <w:pStyle w:val="Textoindependiente"/>
        <w:spacing w:line="360" w:lineRule="auto"/>
        <w:jc w:val="both"/>
      </w:pPr>
      <w:r>
        <w:t xml:space="preserve">Sobre esas medias de bloque, el estadístico de Friedman se calcula a partir de</w:t>
      </w:r>
      <w:r>
        <w:t xml:space="preserve"> </w:t>
      </w:r>
      <w:r>
        <w:t xml:space="preserve">los rangos medios de los</w:t>
      </w:r>
      <w:r>
        <w:t xml:space="preserve"> </w:t>
      </w:r>
      <ns1:oMath>
        <ns1:r>
          <ns1:t>k</ns1:t>
        </ns1:r>
      </ns1:oMath>
      <w:r>
        <w:t xml:space="preserve"> </w:t>
      </w:r>
      <w:r>
        <w:t xml:space="preserve">métodos en los</w:t>
      </w:r>
      <w:r>
        <w:t xml:space="preserve"> </w:t>
      </w:r>
      <ns1:oMath>
        <ns1:r>
          <ns1:t>B</ns1:t>
        </ns1:r>
      </ns1:oMath>
      <w:r>
        <w:t xml:space="preserve"> </w:t>
      </w:r>
      <w:r>
        <w:t xml:space="preserve">bloques (</w:t>
      </w:r>
      <w:hyperlink w:anchor="eq-friedman">
        <w:r>
          <w:rPr>
            <w:rStyle w:val="Hipervnculo"/>
          </w:rPr>
          <w:t xml:space="preserve">Ecuación 3.14</w:t>
        </w:r>
      </w:hyperlink>
      <w:r>
        <w:t xml:space="preserve">):</w:t>
      </w:r>
    </w:p>
    <w:p>
      <w:pPr>
        <w:pStyle w:val="Textoindependiente"/>
        <w:spacing w:line="360" w:lineRule="auto"/>
        <w:jc w:val="both"/>
      </w:pPr>
      <w:bookmarkStart w:id="104" w:name="eq-friedman"/>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r>
            <ns1:t>  </ns1:t>
          </ns1:r>
          <ns1:r>
            <ns1:rPr>
              <ns1:sty ns1:val="p"/>
            </ns1:rPr>
            <ns1:t>(</ns1:t>
          </ns1:r>
          <ns1:r>
            <ns1:t>3.14</ns1:t>
          </ns1:r>
          <ns1:r>
            <ns1:rPr>
              <ns1:sty ns1:val="p"/>
            </ns1:rPr>
            <ns1:t>)</ns1:t>
          </ns1:r>
        </ns1:oMath>
      </ns1:oMathPara>
      <w:bookmarkEnd w:id="104"/>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 (</w:t>
      </w:r>
      <w:hyperlink w:anchor="eq-kendall-w">
        <w:r>
          <w:rPr>
            <w:rStyle w:val="Hipervnculo"/>
          </w:rPr>
          <w:t xml:space="preserve">Ecuación 3.15</w:t>
        </w:r>
      </w:hyperlink>
      <w:r>
        <w:t xml:space="preserve">):</w:t>
      </w:r>
    </w:p>
    <w:p>
      <w:pPr>
        <w:pStyle w:val="Textoindependiente"/>
        <w:spacing w:line="360" w:lineRule="auto"/>
        <w:jc w:val="both"/>
      </w:pPr>
      <w:bookmarkStart w:id="105" w:name="eq-kendall-w"/>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r>
            <ns1:t>  </ns1:t>
          </ns1:r>
          <ns1:r>
            <ns1:rPr>
              <ns1:sty ns1:val="p"/>
            </ns1:rPr>
            <ns1:t>(</ns1:t>
          </ns1:r>
          <ns1:r>
            <ns1:t>3.15</ns1:t>
          </ns1:r>
          <ns1:r>
            <ns1:rPr>
              <ns1:sty ns1:val="p"/>
            </ns1:rPr>
            <ns1:t>)</ns1:t>
          </ns1:r>
        </ns1:oMath>
      </ns1:oMathPara>
      <w:bookmarkEnd w:id="105"/>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106"/>
    <w:bookmarkStart w:id="108"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 la de la</w:t>
      </w:r>
      <w:r>
        <w:t xml:space="preserve"> </w:t>
      </w:r>
      <w:hyperlink w:anchor="eq-diferencia-critica">
        <w:r>
          <w:rPr>
            <w:rStyle w:val="Hipervnculo"/>
          </w:rPr>
          <w:t xml:space="preserve">Ecuación 3.16</w:t>
        </w:r>
      </w:hyperlink>
      <w:r>
        <w:t xml:space="preserve">:</w:t>
      </w:r>
    </w:p>
    <w:p>
      <w:pPr>
        <w:pStyle w:val="Textoindependiente"/>
        <w:spacing w:line="360" w:lineRule="auto"/>
        <w:jc w:val="both"/>
      </w:pPr>
      <w:bookmarkStart w:id="107" w:name="eq-diferencia-critica"/>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r>
            <ns1:t>  </ns1:t>
          </ns1:r>
          <ns1:r>
            <ns1:rPr>
              <ns1:sty ns1:val="p"/>
            </ns1:rPr>
            <ns1:t>(</ns1:t>
          </ns1:r>
          <ns1:r>
            <ns1:t>3.16</ns1:t>
          </ns1:r>
          <ns1:r>
            <ns1:rPr>
              <ns1:sty ns1:val="p"/>
            </ns1:rPr>
            <ns1:t>)</ns1:t>
          </ns1:r>
        </ns1:oMath>
      </ns1:oMathPara>
      <w:bookmarkEnd w:id="107"/>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108"/>
    <w:bookmarkStart w:id="109" w:name="X08bdaeec7e5b5ab89fd5fd5e96115413f920248"/>
    <w:p>
      <w:pPr>
        <w:pStyle w:val="Ttulo3"/>
        <w:spacing w:line="360" w:lineRule="auto"/>
        <w:jc w:val="both"/>
      </w:pPr>
      <w:r>
        <w:t xml:space="preserve">3.8.3 </w:t>
      </w:r>
      <w:r>
        <w:t xml:space="preserve">Seguimiento dirigido SHAP–LIME sobre bloques agregados</w:t>
      </w:r>
    </w:p>
    <w:p>
      <w:pPr>
        <w:pStyle w:val="FirstParagraph"/>
        <w:spacing w:line="360" w:lineRule="auto"/>
        <w:jc w:val="both"/>
      </w:pPr>
      <w:r>
        <w:t xml:space="preserve">Para responder a la observación del revisor en la misma unidad de análisis que</w:t>
      </w:r>
      <w:r>
        <w:t xml:space="preserve"> </w:t>
      </w:r>
      <w:r>
        <w:t xml:space="preserve">Friedman, se añade un seguimiento dirigido, motivado por la revisión y no</w:t>
      </w:r>
      <w:r>
        <w:t xml:space="preserve"> </w:t>
      </w:r>
      <w:r>
        <w:t xml:space="preserve">preespecificado, sobre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En cada bloque se parean</w:t>
      </w:r>
      <w:r>
        <w:t xml:space="preserve"> </w:t>
      </w:r>
      <w:r>
        <w:t xml:space="preserve">las medias de semillas de SHAP y LIME y se aplica un Wilcoxon bilateral de</w:t>
      </w:r>
      <w:r>
        <w:t xml:space="preserve"> </w:t>
      </w:r>
      <w:r>
        <w:t xml:space="preserve">rangos con signo a las cinco métricas primarias. Los cinco valores</w:t>
      </w:r>
      <w:r>
        <w:t xml:space="preserve"> </w:t>
      </w:r>
      <ns1:oMath>
        <ns1:r>
          <ns1:t>p</ns1:t>
        </ns1:r>
      </ns1:oMath>
      <w:r>
        <w:t xml:space="preserve"> </w:t>
      </w:r>
      <w:r>
        <w:t xml:space="preserve">forman</w:t>
      </w:r>
      <w:r>
        <w:t xml:space="preserve"> </w:t>
      </w:r>
      <w:r>
        <w:t xml:space="preserve">una familia propia con corrección de Holm-Bonferroni. Para fidelidad se reporta</w:t>
      </w:r>
      <w:r>
        <w:t xml:space="preserve"> </w:t>
      </w:r>
      <w:r>
        <w:t xml:space="preserve">además una prueba exacta bilateral de signos como corroboración direccional.</w:t>
      </w:r>
    </w:p>
    <w:p>
      <w:pPr>
        <w:pStyle w:val="Textoindependiente"/>
        <w:spacing w:line="360" w:lineRule="auto"/>
        <w:jc w:val="both"/>
      </w:pPr>
      <w:r>
        <w:t xml:space="preserve">Este seguimiento no reemplaza a Friedman ni a Nemenyi: Friedman conserva la</w:t>
      </w:r>
      <w:r>
        <w:t xml:space="preserve"> </w:t>
      </w:r>
      <w:r>
        <w:t xml:space="preserve">decisión global de H1, Nemenyi conserva la localización simultánea entre los</w:t>
      </w:r>
      <w:r>
        <w:t xml:space="preserve"> </w:t>
      </w:r>
      <w:r>
        <w:t xml:space="preserve">cuatro métodos, y el nuevo contraste responde solamente a la diferencia</w:t>
      </w:r>
      <w:r>
        <w:t xml:space="preserve"> </w:t>
      </w:r>
      <w:r>
        <w:t xml:space="preserve">dirigida SHAP–LIME con puntuaciones agregadas por bloque. Tampoco reemplaza el</w:t>
      </w:r>
      <w:r>
        <w:t xml:space="preserve"> </w:t>
      </w:r>
      <w:r>
        <w:t xml:space="preserve">Wilcoxon de H3 sobre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cuya unidad inferencial conserva cada</w:t>
      </w:r>
      <w:r>
        <w:t xml:space="preserve"> </w:t>
      </w:r>
      <w:r>
        <w:t xml:space="preserve">semilla emparejada.</w:t>
      </w:r>
    </w:p>
    <w:bookmarkEnd w:id="109"/>
    <w:bookmarkStart w:id="111" w:name="X82a710d830240cc18776e0ef609d9e71b3f53e7"/>
    <w:p>
      <w:pPr>
        <w:pStyle w:val="Ttulo3"/>
        <w:spacing w:line="360" w:lineRule="auto"/>
        <w:jc w:val="both"/>
      </w:pPr>
      <w:r>
        <w:t xml:space="preserve">3.8.4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 definido en la</w:t>
      </w:r>
      <w:r>
        <w:t xml:space="preserve"> </w:t>
      </w:r>
      <w:hyperlink w:anchor="eq-dz">
        <w:r>
          <w:rPr>
            <w:rStyle w:val="Hipervnculo"/>
          </w:rPr>
          <w:t xml:space="preserve">Ecuación 3.17</w:t>
        </w:r>
      </w:hyperlink>
      <w:r>
        <w:t xml:space="preserve">:</w:t>
      </w:r>
    </w:p>
    <w:p>
      <w:pPr>
        <w:pStyle w:val="Textoindependiente"/>
        <w:spacing w:line="360" w:lineRule="auto"/>
        <w:jc w:val="both"/>
      </w:pPr>
      <w:bookmarkStart w:id="110" w:name="eq-dz"/>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r>
            <ns1:t>  </ns1:t>
          </ns1:r>
          <ns1:r>
            <ns1:rPr>
              <ns1:sty ns1:val="p"/>
            </ns1:rPr>
            <ns1:t>(</ns1:t>
          </ns1:r>
          <ns1:r>
            <ns1:t>3.17</ns1:t>
          </ns1:r>
          <ns1:r>
            <ns1:rPr>
              <ns1:sty ns1:val="p"/>
            </ns1:rPr>
            <ns1:t>)</ns1:t>
          </ns1:r>
        </ns1:oMath>
      </ns1:oMathPara>
      <w:bookmarkEnd w:id="110"/>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111"/>
    <w:bookmarkStart w:id="113" w:name="control-de-multiplicidad"/>
    <w:p>
      <w:pPr>
        <w:pStyle w:val="Ttulo3"/>
        <w:spacing w:line="360" w:lineRule="auto"/>
        <w:jc w:val="both"/>
      </w:pPr>
      <w:r>
        <w:t xml:space="preserve">3.8.5 </w:t>
      </w:r>
      <w:r>
        <w:t xml:space="preserve">Control de multiplicidad</w:t>
      </w:r>
    </w:p>
    <w:p>
      <w:pPr>
        <w:pStyle w:val="FirstParagraph"/>
        <w:spacing w:line="360" w:lineRule="auto"/>
        <w:jc w:val="both"/>
      </w:pPr>
      <w:r>
        <w:t xml:space="preserve">Las pruebas se organizan en cuatro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112"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Wilcoxon-15 (seguimiento dirigido)</w:t>
                  </w:r>
                </w:p>
              </w:tc>
              <w:tc>
                <w:tcPr/>
                <w:p>
                  <w:pPr>
                    <w:pStyle w:val="Compact"/>
                    <w:jc w:val="both"/>
                    <w:jc w:val="center"/>
                    <w:spacing w:line="360" w:lineRule="auto"/>
                  </w:pPr>
                  <w:r>
                    <w:t xml:space="preserve">5</w:t>
                  </w:r>
                </w:p>
              </w:tc>
              <w:tc>
                <w:tcPr/>
                <w:p>
                  <w:pPr>
                    <w:pStyle w:val="Compact"/>
                    <w:jc w:val="both"/>
                    <w:jc w:val="center"/>
                    <w:spacing w:line="360" w:lineRule="auto"/>
                  </w:pPr>
                  <w:r>
                    <w:t xml:space="preserve">15 bloques agregados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112"/>
          <w:p>
            <w:pPr>
              <w:spacing w:line="360" w:lineRule="auto"/>
              <w:jc w:val="both"/>
            </w:pPr>
          </w:p>
        </w:tc>
      </w:tr>
    </w:tbl>
    <w:bookmarkEnd w:id="113"/>
    <w:bookmarkStart w:id="115" w:name="X8d8a6fe44143f1c1b581a8bcb7389a6bd938df3"/>
    <w:p>
      <w:pPr>
        <w:pStyle w:val="Ttulo3"/>
        <w:spacing w:line="360" w:lineRule="auto"/>
        <w:jc w:val="both"/>
      </w:pPr>
      <w:r>
        <w:t xml:space="preserve">3.8.6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114"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 contraste dirigido sobre las mismas medias de bloque</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114"/>
          <w:p>
            <w:pPr>
              <w:spacing w:line="360" w:lineRule="auto"/>
              <w:jc w:val="both"/>
            </w:pPr>
          </w:p>
        </w:tc>
      </w:tr>
    </w:tbl>
    <w:bookmarkEnd w:id="115"/>
    <w:bookmarkEnd w:id="116"/>
    <w:bookmarkStart w:id="118"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117"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 enmascaramiento independiente potencialmente OOD</w:t>
                  </w:r>
                </w:p>
              </w:tc>
              <w:tc>
                <w:tcPr/>
                <w:p>
                  <w:pPr>
                    <w:pStyle w:val="Compact"/>
                    <w:jc w:val="both"/>
                    <w:jc w:val="center"/>
                    <w:spacing w:line="360" w:lineRule="auto"/>
                  </w:pPr>
                  <w:r>
                    <w:t xml:space="preserve">Definición previa de las métricas como proxies functionally-grounded; mismo operador de media de entrenamiento para todos los métodos; alcance declarado</w:t>
                  </w:r>
                </w:p>
              </w:tc>
              <w:tc>
                <w:tcPr/>
                <w:p>
                  <w:pPr>
                    <w:pStyle w:val="Compact"/>
                    <w:jc w:val="both"/>
                    <w:jc w:val="center"/>
                    <w:spacing w:line="360" w:lineRule="auto"/>
                  </w:pPr>
                  <w:r>
                    <w:t xml:space="preserve">No se preserva la distribución conjunta y puede persistir sesgo diferencial entre explicadores; 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 estudio de seguimiento sobre 16 conjuntos de datos tabulares (§</w:t>
                  </w:r>
                  <w:hyperlink w:anchor="sec-seg-transferencia">
                    <w:r>
                      <w:rPr>
                        <w:rStyle w:val="Hipervnculo"/>
                      </w:rPr>
                      <w:t xml:space="preserve">6.4</w:t>
                    </w:r>
                  </w:hyperlink>
                  <w:r>
                    <w:t xml:space="preserve">)</w:t>
                  </w:r>
                </w:p>
              </w:tc>
              <w:tc>
                <w:tcPr/>
                <w:p>
                  <w:pPr>
                    <w:pStyle w:val="Compact"/>
                    <w:jc w:val="both"/>
                    <w:jc w:val="center"/>
                    <w:spacing w:line="360" w:lineRule="auto"/>
                  </w:pPr>
                  <w:r>
                    <w:t xml:space="preserve">El seguimiento cubre el orden de los métodos bajo un protocolo propio, no los valores de este benchmark; 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17"/>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18"/>
    <w:bookmarkStart w:id="119"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scripts/run_exp2_block_paired_analysis.py</w:t>
      </w:r>
      <w:r>
        <w:t xml:space="preserve"> </w:t>
      </w:r>
      <w:r>
        <w:t xml:space="preserve">— seguimiento dirigido</w:t>
      </w:r>
      <w:r>
        <w:t xml:space="preserve"> </w:t>
      </w:r>
      <w:r>
        <w:t xml:space="preserve">SHAP–LIME sobre los 15 bloques agregados y prueba exacta de signos.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19"/>
    <w:bookmarkStart w:id="122"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p>
      <w:pPr>
        <w:pStyle w:val="Textoindependiente"/>
        <w:spacing w:line="360" w:lineRule="auto"/>
        <w:jc w:val="both"/>
      </w:pPr>
      <w:r>
        <w:t xml:space="preserve">Con posterioridad se realizaron tres estudios de seguimiento, que no forman</w:t>
      </w:r>
      <w:r>
        <w:t xml:space="preserve"> </w:t>
      </w:r>
      <w:r>
        <w:t xml:space="preserve">parte del plan descrito en este capítulo y cuyo diseño se expone junto a sus</w:t>
      </w:r>
      <w:r>
        <w:t xml:space="preserve"> </w:t>
      </w:r>
      <w:r>
        <w:t xml:space="preserve">resultados en el Capítulo 6 (§</w:t>
      </w:r>
      <w:hyperlink w:anchor="sec-seguimiento">
        <w:r>
          <w:rPr>
            <w:rStyle w:val="Hipervnculo"/>
          </w:rPr>
          <w:t xml:space="preserve">6</w:t>
        </w:r>
      </w:hyperlink>
      <w:r>
        <w:t xml:space="preserve">). El muestreo por cuadrante de</w:t>
      </w:r>
      <w:r>
        <w:t xml:space="preserve"> </w:t>
      </w:r>
      <w:r>
        <w:t xml:space="preserve">error de §</w:t>
      </w:r>
      <w:hyperlink w:anchor="sec-muestreo">
        <w:r>
          <w:rPr>
            <w:rStyle w:val="Hipervnculo"/>
          </w:rPr>
          <w:t xml:space="preserve">3.4</w:t>
        </w:r>
      </w:hyperlink>
      <w:r>
        <w:t xml:space="preserve"> </w:t>
      </w:r>
      <w:r>
        <w:t xml:space="preserve">es el que permite uno de ellos, el reanálisis por</w:t>
      </w:r>
      <w:r>
        <w:t xml:space="preserve"> </w:t>
      </w:r>
      <w:r>
        <w:t xml:space="preserve">corrección de la predicción.</w:t>
      </w:r>
    </w:p>
    <w:bookmarkStart w:id="120"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20"/>
    <w:bookmarkStart w:id="121"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 los corpus</w:t>
      </w:r>
      <w:r>
        <w:t xml:space="preserve"> </w:t>
      </w:r>
      <w:r>
        <w:t xml:space="preserve">experimentales de EXP2 y EXP3.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El inventario de EXP4 comprende</w:t>
      </w:r>
      <w:r>
        <w:t xml:space="preserve"> </w:t>
      </w:r>
      <ns1:oMath>
        <ns1:r>
          <ns1:t>n</ns1:t>
        </ns1:r>
        <ns1:r>
          <ns1:rPr>
            <ns1:sty ns1:val="p"/>
          </ns1:rPr>
          <ns1:t>=</ns1:t>
        </ns1:r>
        <ns1:r>
          <ns1:t>192</ns1:t>
        </ns1:r>
      </ns1:oMath>
      <w:r>
        <w:t xml:space="preserve"> </w:t>
      </w:r>
      <w:r>
        <w:t xml:space="preserve">casos. Cada caso es una</w:t>
      </w:r>
      <w:r>
        <w:t xml:space="preserve"> </w:t>
      </w:r>
      <w:r>
        <w:t xml:space="preserve">explicación individual de una instancia, no un par de explicaciones: 96 casos</w:t>
      </w:r>
      <w:r>
        <w:t xml:space="preserve"> </w:t>
      </w:r>
      <w:r>
        <w:t xml:space="preserve">proceden de EXP2 (Adult Income) y 96 de EXP3 (53 de German Credit y 43 de</w:t>
      </w:r>
      <w:r>
        <w:t xml:space="preserve"> </w:t>
      </w:r>
      <w:r>
        <w:t xml:space="preserve">Breast Cancer). Cubren cuatro familias de modelos (regresión logística, MLP,</w:t>
      </w:r>
      <w:r>
        <w:t xml:space="preserve"> </w:t>
      </w:r>
      <w:r>
        <w:t xml:space="preserve">Random Forest y XGBoost) y los cuatro métodos explicadores (76 casos de</w:t>
      </w:r>
      <w:r>
        <w:t xml:space="preserve"> </w:t>
      </w:r>
      <w:r>
        <w:t xml:space="preserve">Anchors, 52 de SHAP, 32 de DiCE y 32 de LIME). El ICC exige que los tres jueces</w:t>
      </w:r>
      <w:r>
        <w:t xml:space="preserve"> </w:t>
      </w:r>
      <w:r>
        <w:t xml:space="preserve">hayan puntuado el caso; en la cohorte original ese subconjunto completo fue de</w:t>
      </w:r>
      <w:r>
        <w:t xml:space="preserve"> </w:t>
      </w:r>
      <ns1:oMath>
        <ns1:r>
          <ns1:t>n</ns1:t>
        </ns1:r>
        <ns1:r>
          <ns1:rPr>
            <ns1:sty ns1:val="p"/>
          </ns1:rPr>
          <ns1:t>=</ns1:t>
        </ns1:r>
        <ns1:r>
          <ns1:t>147</ns1:t>
        </ns1:r>
      </ns1:oMath>
      <w:r>
        <w:t xml:space="preserve"> </w:t>
      </w:r>
      <w:r>
        <w:t xml:space="preserve">casos (§</w:t>
      </w:r>
      <w:hyperlink w:anchor="sec-exp4-fiabilidad">
        <w:r>
          <w:rPr>
            <w:rStyle w:val="Hipervnculo"/>
          </w:rPr>
          <w:t xml:space="preserve">5.8</w:t>
        </w:r>
      </w:hyperlink>
      <w:r>
        <w:t xml:space="preserve">).</w:t>
      </w:r>
    </w:p>
    <w:p>
      <w:pPr>
        <w:pStyle w:val="Textoindependiente"/>
        <w:spacing w:line="360" w:lineRule="auto"/>
        <w:jc w:val="both"/>
      </w:pPr>
      <w:r>
        <w:rPr>
          <w:b/>
          <w:bCs/>
        </w:rPr>
        <w:t xml:space="preserve">Jueces.</w:t>
      </w:r>
      <w:r>
        <w:t xml:space="preserve"> </w:t>
      </w:r>
      <w:r>
        <w:t xml:space="preserve">Tres jueces LLM independientes puntuaron cada caso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diseño prevé tres condiciones de consigna, con tres réplicas por caso y</w:t>
      </w:r>
      <w:r>
        <w:t xml:space="preserve"> </w:t>
      </w:r>
      <w:r>
        <w:t xml:space="preserve">juez: la condición primaria, con la etiqueta verdadera oculta; una sonda de</w:t>
      </w:r>
      <w:r>
        <w:t xml:space="preserve"> </w:t>
      </w:r>
      <w:r>
        <w:t xml:space="preserve">sesgo, con la etiqueta visible; y una sonda de sensibilidad, con una redacción</w:t>
      </w:r>
      <w:r>
        <w:t xml:space="preserve"> </w:t>
      </w:r>
      <w:r>
        <w:t xml:space="preserve">alternativa de la rúbrica. Una revisión posterior encontró que el registro</w:t>
      </w:r>
      <w:r>
        <w:t xml:space="preserve"> </w:t>
      </w:r>
      <w:r>
        <w:t xml:space="preserve">entregado a los jueces permitía deducir la etiqueta también en la condición</w:t>
      </w:r>
      <w:r>
        <w:t xml:space="preserve"> </w:t>
      </w:r>
      <w:r>
        <w:t xml:space="preserve">primaria; §</w:t>
      </w:r>
      <w:hyperlink w:anchor="sec-seg-jueces">
        <w:r>
          <w:rPr>
            <w:rStyle w:val="Hipervnculo"/>
          </w:rPr>
          <w:t xml:space="preserve">6.5</w:t>
        </w:r>
      </w:hyperlink>
      <w:r>
        <w:t xml:space="preserve"> </w:t>
      </w:r>
      <w:r>
        <w:t xml:space="preserve">lo documenta y añade una condición sin esa</w:t>
      </w:r>
      <w:r>
        <w:t xml:space="preserve"> </w:t>
      </w:r>
      <w:r>
        <w:t xml:space="preserve">información.</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6 y 7.</w:t>
      </w:r>
    </w:p>
    <w:p>
      <w:pPr>
        <w:pStyle w:val="Textoindependiente"/>
        <w:spacing w:line="360" w:lineRule="auto"/>
        <w:jc w:val="both"/>
      </w:pPr>
      <w:r>
        <w:rPr>
          <w:b/>
          <w:bCs/>
        </w:rPr>
        <w:t xml:space="preserve">Cohorte de replicación.</w:t>
      </w:r>
      <w:r>
        <w:t xml:space="preserve"> </w:t>
      </w:r>
      <w:r>
        <w:t xml:space="preserve">De la cohorte original se conservan los agregados</w:t>
      </w:r>
      <w:r>
        <w:t xml:space="preserve"> </w:t>
      </w:r>
      <w:r>
        <w:t xml:space="preserve">de fiabilidad, pero no las respuestas brutas de los jueces ni las plantillas de</w:t>
      </w:r>
      <w:r>
        <w:t xml:space="preserve"> </w:t>
      </w:r>
      <w:r>
        <w:t xml:space="preserve">consigna. Para disponer de datos brutos, EXP4 se ejecutó de nuevo en</w:t>
      </w:r>
      <w:r>
        <w:t xml:space="preserve"> </w:t>
      </w:r>
      <w:r>
        <w:t xml:space="preserve">septiembre de 2026 (cohorte 2) sobre los mismos 192 casos, recuperados por su</w:t>
      </w:r>
      <w:r>
        <w:t xml:space="preserve"> </w:t>
      </w:r>
      <w:r>
        <w:t xml:space="preserve">identificador a partir de la lista de casos de la cohorte original. El panel de</w:t>
      </w:r>
      <w:r>
        <w:t xml:space="preserve"> </w:t>
      </w:r>
      <w:r>
        <w:t xml:space="preserve">jueces es nuevo (GPT-5.4 mini, Claude Haiku 4.5 y Gemini 3.8 Flash), porque los</w:t>
      </w:r>
      <w:r>
        <w:t xml:space="preserve"> </w:t>
      </w:r>
      <w:r>
        <w:t xml:space="preserve">modelos originales ya no están todos disponibles. Las plantillas se</w:t>
      </w:r>
      <w:r>
        <w:t xml:space="preserve"> </w:t>
      </w:r>
      <w:r>
        <w:t xml:space="preserve">reconstruyeron a partir de la rúbrica documentada, y la redacción de la rúbrica</w:t>
      </w:r>
      <w:r>
        <w:t xml:space="preserve"> </w:t>
      </w:r>
      <w:r>
        <w:t xml:space="preserve">alternativa es nueva. La cohorte 2 cubre las tres condiciones con tres réplicas</w:t>
      </w:r>
      <w:r>
        <w:t xml:space="preserve"> </w:t>
      </w:r>
      <w:r>
        <w:t xml:space="preserve">y conserva todas las respuestas brutas. Es una replicación con otro panel, no</w:t>
      </w:r>
      <w:r>
        <w:t xml:space="preserve"> </w:t>
      </w:r>
      <w:r>
        <w:t xml:space="preserve">una reproducción: sus valores se reportan junto a los de la cohorte original,</w:t>
      </w:r>
      <w:r>
        <w:t xml:space="preserve"> </w:t>
      </w:r>
      <w:r>
        <w:t xml:space="preserve">sin sustituirlos. La estimación primaria de fiabilidad es el ICC(1,1) de la</w:t>
      </w:r>
      <w:r>
        <w:t xml:space="preserve"> </w:t>
      </w:r>
      <w:r>
        <w:t xml:space="preserve">condición primaria. La estimación que agrega todas las condiciones y réplicas,</w:t>
      </w:r>
      <w:r>
        <w:t xml:space="preserve"> </w:t>
      </w:r>
      <w:r>
        <w:t xml:space="preserve">que es la opción por defecto del código de análisis, y las estimaciones por</w:t>
      </w:r>
      <w:r>
        <w:t xml:space="preserve"> </w:t>
      </w:r>
      <w:r>
        <w:t xml:space="preserve">condición se reportan como análisis de sensibilidad.</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 el</w:t>
      </w:r>
      <w:r>
        <w:t xml:space="preserve"> </w:t>
      </w:r>
      <w:r>
        <w:t xml:space="preserve">Capítulo 6 reporta los estudios de seguimiento.</w:t>
      </w:r>
    </w:p>
    <w:bookmarkEnd w:id="121"/>
    <w:bookmarkEnd w:id="122"/>
    <w:bookmarkEnd w:id="123"/>
    <w:bookmarkStart w:id="184"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25"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24"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r>
                    <w:t xml:space="preserve">; Wilcoxon</w:t>
                  </w:r>
                  <w:r>
                    <w:t xml:space="preserve"> </w:t>
                  </w:r>
                  <ns1:oMath>
                    <ns1:r>
                      <ns1:t>W</ns1:t>
                    </ns1:r>
                    <ns1:r>
                      <ns1:rPr>
                        <ns1:sty ns1:val="p"/>
                      </ns1:rPr>
                      <ns1:t>=</ns1:t>
                    </ns1:r>
                    <ns1:r>
                      <ns1:t>0</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 </w:t>
                  </w:r>
                  <w:r>
                    <w:t xml:space="preserve">(Friedman);</w:t>
                  </w:r>
                  <w:r>
                    <w:t xml:space="preserve"> </w:t>
                  </w:r>
                  <ns1:oMath>
                    <ns1:r>
                      <ns1:t>3.05</ns1:t>
                    </ns1:r>
                    <ns1:r>
                      <ns1:rPr>
                        <ns1:sty ns1:val="p"/>
                      </ns1:rPr>
                      <ns1:t>×</ns1:t>
                    </ns1:r>
                    <ns1:sSup>
                      <ns1:e>
                        <ns1:r>
                          <ns1:t>10</ns1:t>
                        </ns1:r>
                      </ns1:e>
                      <ns1:sup>
                        <ns1:r>
                          <ns1:rPr>
                            <ns1:sty ns1:val="p"/>
                          </ns1:rPr>
                          <ns1:t>−</ns1:t>
                        </ns1:r>
                        <ns1:r>
                          <ns1:t>4</ns1:t>
                        </ns1:r>
                      </ns1:sup>
                    </ns1:sSup>
                  </ns1:oMath>
                  <w:r>
                    <w:t xml:space="preserve"> </w:t>
                  </w:r>
                  <w:r>
                    <w:t xml:space="preserve">(seguimiento)</w:t>
                  </w:r>
                </w:p>
              </w:tc>
              <w:tc>
                <w:tcPr/>
                <w:p>
                  <w:pPr>
                    <w:pStyle w:val="Compact"/>
                    <w:jc w:val="both"/>
                    <w:jc w:val="center"/>
                    <w:spacing w:line="360" w:lineRule="auto"/>
                  </w:pPr>
                  <w:r>
                    <w:t xml:space="preserve">Kendall</w:t>
                  </w:r>
                  <w:r>
                    <w:t xml:space="preserve"> </w:t>
                  </w:r>
                  <ns1:oMath>
                    <ns1:r>
                      <ns1:t>W</ns1:t>
                    </ns1:r>
                    <ns1:r>
                      <ns1:rPr>
                        <ns1:sty ns1:val="p"/>
                      </ns1:rPr>
                      <ns1:t>=</ns1:t>
                    </ns1:r>
                    <ns1:r>
                      <ns1:t>0.936</ns1:t>
                    </ns1:r>
                  </ns1:oMath>
                  <w:r>
                    <w:t xml:space="preserve">; diferencia media SHAP–LIME</w:t>
                  </w:r>
                  <w:r>
                    <w:t xml:space="preserve"> </w:t>
                  </w:r>
                  <ns1:oMath>
                    <ns1:r>
                      <ns1:rPr>
                        <ns1:sty ns1:val="p"/>
                      </ns1:rPr>
                      <ns1:t>+</ns1:t>
                    </ns1:r>
                    <ns1:r>
                      <ns1:t>0.2479</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Nemenyi localiza tres pares y el seguimiento distingue SHAP de LIME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ns1:oMath>
                    <ns1:r>
                      <ns1:t>W</ns1:t>
                    </ns1:r>
                    <ns1:r>
                      <ns1:rPr>
                        <ns1:sty ns1:val="p"/>
                      </ns1:rPr>
                      <ns1:t>=</ns1:t>
                    </ns1:r>
                    <ns1:r>
                      <ns1:t>0.904</ns1:t>
                    </ns1:r>
                  </ns1:oMath>
                  <w:r>
                    <w:t xml:space="preserve">​</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24"/>
          <w:p>
            <w:pPr>
              <w:spacing w:line="360" w:lineRule="auto"/>
              <w:jc w:val="both"/>
            </w:pPr>
          </w:p>
        </w:tc>
      </w:tr>
    </w:tbl>
    <w:bookmarkEnd w:id="125"/>
    <w:bookmarkStart w:id="134" w:name="sec-estudio-a"/>
    <w:p>
      <w:pPr>
        <w:pStyle w:val="Ttulo2"/>
        <w:spacing w:line="360" w:lineRule="auto"/>
        <w:jc w:val="both"/>
      </w:pPr>
      <w:r>
        <w:t xml:space="preserve">4.2 </w:t>
      </w:r>
      <w:r>
        <w:t xml:space="preserve">Estudio Omnibus Multimétrico: H1 y H2</w:t>
      </w:r>
    </w:p>
    <w:bookmarkStart w:id="13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 el de la</w:t>
      </w:r>
      <w:r>
        <w:t xml:space="preserve"> </w:t>
      </w:r>
      <w:hyperlink w:anchor="eq-margen-fidelidad">
        <w:r>
          <w:rPr>
            <w:rStyle w:val="Hipervnculo"/>
          </w:rPr>
          <w:t xml:space="preserve">Ecuación 4.1</w:t>
        </w:r>
      </w:hyperlink>
      <w:r>
        <w:t xml:space="preserve">:</w:t>
      </w:r>
    </w:p>
    <w:p>
      <w:pPr>
        <w:pStyle w:val="Textoindependiente"/>
        <w:spacing w:line="360" w:lineRule="auto"/>
        <w:jc w:val="both"/>
      </w:pPr>
      <w:bookmarkStart w:id="126" w:name="eq-margen-fidelidad"/>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r>
            <ns1:t>  </ns1:t>
          </ns1:r>
          <ns1:r>
            <ns1:rPr>
              <ns1:sty ns1:val="p"/>
            </ns1:rPr>
            <ns1:t>(</ns1:t>
          </ns1:r>
          <ns1:r>
            <ns1:t>4.1</ns1:t>
          </ns1:r>
          <ns1:r>
            <ns1:rPr>
              <ns1:sty ns1:val="p"/>
            </ns1:rPr>
            <ns1:t>)</ns1:t>
          </ns1:r>
        </ns1:oMath>
      </ns1:oMathPara>
      <w:bookmarkEnd w:id="126"/>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27"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27"/>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t xml:space="preserve">Estas magnitudes describen el comportamiento bajo el operador declarado:</w:t>
      </w:r>
      <w:r>
        <w:t xml:space="preserve"> </w:t>
      </w:r>
      <w:r>
        <w:t xml:space="preserve">reemplazo independiente por la media de entrenamiento en el espacio</w:t>
      </w:r>
      <w:r>
        <w:t xml:space="preserve"> </w:t>
      </w:r>
      <w:r>
        <w:t xml:space="preserve">transformado. Aplicar el mismo operador mejora la comparabilidad interna, pero</w:t>
      </w:r>
      <w:r>
        <w:t xml:space="preserve"> </w:t>
      </w:r>
      <w:r>
        <w:t xml:space="preserve">no preserva la distribución conjunta ni elimina el riesgo de observaciones OOD</w:t>
      </w:r>
      <w:r>
        <w:t xml:space="preserve"> </w:t>
      </w:r>
      <w:r>
        <w:t xml:space="preserve">(Hooker et al. 2019; Rong et al. 2022)</w:t>
      </w:r>
      <w:r>
        <w:t xml:space="preserve">. Por ello, el ordenamiento se acota</w:t>
      </w:r>
      <w:r>
        <w:t xml:space="preserve"> </w:t>
      </w:r>
      <w:r>
        <w:t xml:space="preserve">a esta operacionalización y no constituye por sí solo una prueba irrestricta de</w:t>
      </w:r>
      <w:r>
        <w:t xml:space="preserve"> </w:t>
      </w:r>
      <w:r>
        <w:t xml:space="preserve">corrección de las atribuciones.</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definida en la</w:t>
      </w:r>
      <w:r>
        <w:t xml:space="preserve"> </w:t>
      </w:r>
      <w:hyperlink w:anchor="eq-diferencia-critica">
        <w:r>
          <w:rPr>
            <w:rStyle w:val="Hipervnculo"/>
          </w:rPr>
          <w:t xml:space="preserve">Ecuación 3.16</w:t>
        </w:r>
      </w:hyperlink>
      <w:r>
        <w:t xml:space="preserve">, se calcula en la</w:t>
      </w:r>
      <w:r>
        <w:t xml:space="preserve"> </w:t>
      </w:r>
      <w:hyperlink w:anchor="eq-diferencia-critica-calculo">
        <w:r>
          <w:rPr>
            <w:rStyle w:val="Hipervnculo"/>
          </w:rPr>
          <w:t xml:space="preserve">Ecuación 4.2</w:t>
        </w:r>
      </w:hyperlink>
      <w:r>
        <w:t xml:space="preserve">:</w:t>
      </w:r>
    </w:p>
    <w:p>
      <w:pPr>
        <w:pStyle w:val="Textoindependiente"/>
        <w:spacing w:line="360" w:lineRule="auto"/>
        <w:jc w:val="both"/>
      </w:pPr>
      <w:bookmarkStart w:id="128" w:name="eq-diferencia-critica-calculo"/>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r>
            <ns1:t>  </ns1:t>
          </ns1:r>
          <ns1:r>
            <ns1:rPr>
              <ns1:sty ns1:val="p"/>
            </ns1:rPr>
            <ns1:t>(</ns1:t>
          </ns1:r>
          <ns1:r>
            <ns1:t>4.2</ns1:t>
          </ns1:r>
          <ns1:r>
            <ns1:rPr>
              <ns1:sty ns1:val="p"/>
            </ns1:rPr>
            <ns1:t>)</ns1:t>
          </ns1:r>
        </ns1:oMath>
      </ns1:oMathPara>
      <w:bookmarkEnd w:id="128"/>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Tres de las seis diferencias en rangos</w:t>
      </w:r>
      <w:r>
        <w:t xml:space="preserve"> </w:t>
      </w:r>
      <w:r>
        <w:t xml:space="preserve">medios superan la diferencia crítica: SHAP–Anchors, SHAP–DiCE y LIME–DiCE:</w:t>
      </w:r>
    </w:p>
    <w:tbl>
      <w:tblPr>
        <w:tblStyle w:val="Table"/>
        <w:tblW w:type="pct" w:w="5000"/>
        <w:jc w:val="center"/>
        <w:tblLayout w:type="fixed"/>
        <w:tblLook w:firstRow="0" w:lastRow="0" w:firstColumn="0" w:lastColumn="0" w:noHBand="0" w:noVBand="0" w:val="0000"/>
      </w:tblPr>
      <w:tblGrid>
        <w:gridCol w:w="7920"/>
      </w:tblGrid>
      <w:tr>
        <w:tc>
          <w:tcPr/>
          <w:bookmarkStart w:id="12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r>
                    <w:rPr>
                      <w:bCs/>
                      <w:b/>
                    </w:rPr>
                    <w:t xml:space="preserve">​</w:t>
                  </w:r>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2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w:t>
      </w:r>
    </w:p>
    <w:p>
      <w:pPr>
        <w:pStyle w:val="Textoindependiente"/>
        <w:spacing w:line="360" w:lineRule="auto"/>
        <w:jc w:val="both"/>
      </w:pPr>
      <w:r>
        <w:rPr>
          <w:b/>
          <w:bCs/>
        </w:rPr>
        <w:t xml:space="preserve">Seguimiento dirigido SHAP–LIME.</w:t>
      </w:r>
      <w:r>
        <w:t xml:space="preserve"> </w:t>
      </w:r>
      <w:r>
        <w:t xml:space="preserve">Para evaluar esa diferencia con la misma</w:t>
      </w:r>
      <w:r>
        <w:t xml:space="preserve"> </w:t>
      </w:r>
      <w:r>
        <w:t xml:space="preserve">agregación que Friedman, se realizó un contraste bilateral de Wilcoxon sobre</w:t>
      </w:r>
      <w:r>
        <w:t xml:space="preserve"> </w:t>
      </w:r>
      <w:r>
        <w:t xml:space="preserve">los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cada uno construido como media de las cinco</w:t>
      </w:r>
      <w:r>
        <w:t xml:space="preserve"> </w:t>
      </w:r>
      <w:r>
        <w:t xml:space="preserve">semillas calificadas de cada método. SHAP superó a LIME en fidelidad en los 15</w:t>
      </w:r>
      <w:r>
        <w:t xml:space="preserve"> </w:t>
      </w:r>
      <w:r>
        <w:t xml:space="preserve">bloques: diferencia media por bloque de</w:t>
      </w:r>
      <w:r>
        <w:t xml:space="preserve"> </w:t>
      </w:r>
      <ns1:oMath>
        <ns1:r>
          <ns1:rPr>
            <ns1:sty ns1:val="p"/>
          </ns1:rPr>
          <ns1:t>+</ns1:t>
        </ns1:r>
        <ns1:r>
          <ns1:t>0.2479</ns1:t>
        </ns1:r>
      </ns1:oMath>
      <w:r>
        <w:t xml:space="preserve">, estadístico de rangos</w:t>
      </w:r>
      <w:r>
        <w:t xml:space="preserve"> </w:t>
      </w:r>
      <ns1:oMath>
        <ns1:r>
          <ns1:t>W</ns1:t>
        </ns1:r>
        <ns1:r>
          <ns1:rPr>
            <ns1:sty ns1:val="p"/>
          </ns1:rPr>
          <ns1:t>=</ns1:t>
        </ns1:r>
        <ns1:r>
          <ns1:t>0</ns1:t>
        </ns1:r>
      </ns1:oMath>
      <w:r>
        <w:t xml:space="preserve">,</w:t>
      </w:r>
      <w:r>
        <w:t xml:space="preserve"> </w:t>
      </w:r>
      <ns1:oMath>
        <ns1:sSub>
          <ns1:e>
            <ns1:r>
              <ns1:t>p</ns1:t>
            </ns1:r>
          </ns1:e>
          <ns1:sub>
            <ns1:r>
              <ns1:rPr>
                <ns1:sty ns1:val="p"/>
              </ns1:rPr>
              <ns1:t>r</ns1:t>
            </ns1:r>
            <ns1:r>
              <ns1:rPr>
                <ns1:sty ns1:val="p"/>
              </ns1:rPr>
              <ns1:t>a</ns1:t>
            </ns1:r>
            <ns1:r>
              <ns1:rPr>
                <ns1:sty ns1:val="p"/>
              </ns1:rPr>
              <ns1:t>w</ns1:t>
            </ns1:r>
          </ns1:sub>
        </ns1:sSub>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w:t>
      </w:r>
      <w:r>
        <w:t xml:space="preserve">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r>
        <w:t xml:space="preserve"> </w:t>
      </w:r>
      <w:r>
        <w:t xml:space="preserve">dentro de la familia de cinco</w:t>
      </w:r>
      <w:r>
        <w:t xml:space="preserve"> </w:t>
      </w:r>
      <w:r>
        <w:t xml:space="preserve">métricas. Las diferencias tuvieron 15 positivas, 0 negativas y 0 empates; la</w:t>
      </w:r>
      <w:r>
        <w:t xml:space="preserve"> </w:t>
      </w:r>
      <w:r>
        <w:t xml:space="preserve">prueba exacta bilateral de signos (</w:t>
      </w:r>
      <ns1:oMath>
        <ns1:r>
          <ns1:t>p</ns1:t>
        </ns1:r>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confirma que la</w:t>
      </w:r>
      <w:r>
        <w:t xml:space="preserve"> </w:t>
      </w:r>
      <w:r>
        <w:t xml:space="preserve">dirección no depende de unos pocos bloques extremos.</w:t>
      </w:r>
    </w:p>
    <w:p>
      <w:pPr>
        <w:pStyle w:val="Textoindependiente"/>
        <w:spacing w:line="360" w:lineRule="auto"/>
        <w:jc w:val="both"/>
      </w:pPr>
      <w:r>
        <w:t xml:space="preserve">Este análisis es un seguimiento motivado por la revisión, no una prueba</w:t>
      </w:r>
      <w:r>
        <w:t xml:space="preserve"> </w:t>
      </w:r>
      <w:r>
        <w:t xml:space="preserve">preespecificada de H1. Nemenyi pregunta qué pares se separan bajo una</w:t>
      </w:r>
      <w:r>
        <w:t xml:space="preserve"> </w:t>
      </w:r>
      <w:r>
        <w:t xml:space="preserve">localización simultánea de cuatro métodos basada en rangos y, con solo 15</w:t>
      </w:r>
      <w:r>
        <w:t xml:space="preserve"> </w:t>
      </w:r>
      <w:r>
        <w:t xml:space="preserve">bloques, no separa SHAP de LIME. El seguimiento pregunta directamente si la</w:t>
      </w:r>
      <w:r>
        <w:t xml:space="preserve"> </w:t>
      </w:r>
      <w:r>
        <w:t xml:space="preserve">diferencia SHAP–LIME de magnitud es sistemática en esos mismos bloques y</w:t>
      </w:r>
      <w:r>
        <w:t xml:space="preserve"> </w:t>
      </w:r>
      <w:r>
        <w:t xml:space="preserve">controla multiplicidad sobre las cinco métricas. El Wilcoxon de H3 que se</w:t>
      </w:r>
      <w:r>
        <w:t xml:space="preserve"> </w:t>
      </w:r>
      <w:r>
        <w:t xml:space="preserve">presenta más adelante conserva otra unidad: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emparejadas.</w:t>
      </w:r>
    </w:p>
    <w:bookmarkEnd w:id="130"/>
    <w:bookmarkStart w:id="133"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el margen de seguridad de la</w:t>
      </w:r>
      <w:r>
        <w:t xml:space="preserve"> </w:t>
      </w:r>
      <w:hyperlink w:anchor="eq-margen-estabilidad">
        <w:r>
          <w:rPr>
            <w:rStyle w:val="Hipervnculo"/>
          </w:rPr>
          <w:t xml:space="preserve">Ecuación 4.3</w:t>
        </w:r>
      </w:hyperlink>
      <w:r>
        <w:t xml:space="preserve">:</w:t>
      </w:r>
    </w:p>
    <w:p>
      <w:pPr>
        <w:pStyle w:val="Textoindependiente"/>
        <w:spacing w:line="360" w:lineRule="auto"/>
        <w:jc w:val="both"/>
      </w:pPr>
      <w:bookmarkStart w:id="131" w:name="eq-margen-estabilidad"/>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r>
            <ns1:t>  </ns1:t>
          </ns1:r>
          <ns1:r>
            <ns1:rPr>
              <ns1:sty ns1:val="p"/>
            </ns1:rPr>
            <ns1:t>(</ns1:t>
          </ns1:r>
          <ns1:r>
            <ns1:t>4.3</ns1:t>
          </ns1:r>
          <ns1:r>
            <ns1:rPr>
              <ns1:sty ns1:val="p"/>
            </ns1:rPr>
            <ns1:t>)</ns1:t>
          </ns1:r>
        </ns1:oMath>
      </ns1:oMathPara>
      <w:bookmarkEnd w:id="131"/>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32"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3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33"/>
    <w:bookmarkEnd w:id="134"/>
    <w:bookmarkStart w:id="138"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36"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35"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r>
                    <w:rPr>
                      <w:bCs/>
                      <w:b/>
                    </w:rPr>
                    <w:t xml:space="preserve">​</w:t>
                  </w:r>
                </w:p>
              </w:tc>
              <w:tc>
                <w:tcPr/>
                <w:p>
                  <w:pPr>
                    <w:pStyle w:val="Compact"/>
                    <w:jc w:val="both"/>
                    <w:spacing w:line="360" w:lineRule="auto"/>
                  </w:pPr>
                  <ns1:oMath>
                    <ns1:sSub>
                      <ns1:e>
                        <ns1:r>
                          <ns1:t>s</ns1:t>
                        </ns1:r>
                      </ns1:e>
                      <ns1:sub>
                        <ns1:r>
                          <ns1:t>d</ns1:t>
                        </ns1:r>
                      </ns1:sub>
                    </ns1:sSub>
                  </ns1:oMath>
                  <w:r>
                    <w:rPr>
                      <w:bCs/>
                      <w:b/>
                    </w:rPr>
                    <w:t xml:space="preserve">​</w:t>
                  </w:r>
                </w:p>
              </w:tc>
              <w:tc>
                <w:tcPr/>
                <w:p>
                  <w:pPr>
                    <w:pStyle w:val="Compact"/>
                    <w:jc w:val="both"/>
                    <w:spacing w:line="360" w:lineRule="auto"/>
                  </w:pPr>
                  <ns1:oMath>
                    <ns1:sSub>
                      <ns1:e>
                        <ns1:r>
                          <ns1:t>d</ns1:t>
                        </ns1:r>
                      </ns1:e>
                      <ns1:sub>
                        <ns1:r>
                          <ns1:t>z</ns1:t>
                        </ns1:r>
                      </ns1:sub>
                    </ns1:sSub>
                  </ns1:oMath>
                  <w:r>
                    <w:rPr>
                      <w:bCs/>
                      <w:b/>
                    </w:rPr>
                    <w:t xml:space="preserve">​</w:t>
                  </w:r>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r>
                    <w:rPr>
                      <w:bCs/>
                      <w:b/>
                    </w:rPr>
                    <w:t xml:space="preserve">​</w:t>
                  </w:r>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3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36"/>
    <w:bookmarkStart w:id="137"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37"/>
    <w:bookmarkEnd w:id="138"/>
    <w:bookmarkStart w:id="140"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39"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3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40"/>
    <w:bookmarkStart w:id="145"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41"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41"/>
    <w:bookmarkStart w:id="142"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42"/>
    <w:bookmarkStart w:id="143"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43"/>
    <w:bookmarkStart w:id="144"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44"/>
    <w:bookmarkEnd w:id="145"/>
    <w:bookmarkStart w:id="148" w:name="sec-transversal"/>
    <w:p>
      <w:pPr>
        <w:pStyle w:val="Ttulo2"/>
        <w:spacing w:line="360" w:lineRule="auto"/>
        <w:jc w:val="both"/>
      </w:pPr>
      <w:r>
        <w:t xml:space="preserve">4.6 </w:t>
      </w:r>
      <w:r>
        <w:t xml:space="preserve">Análisis transversal: efecto del modelo base y del tamaño de muestra</w:t>
      </w:r>
    </w:p>
    <w:bookmarkStart w:id="146"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46"/>
    <w:bookmarkStart w:id="147"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47"/>
    <w:bookmarkEnd w:id="148"/>
    <w:bookmarkStart w:id="150"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49"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SHAP supera a LIME en fidelidad en la agregación del análisis global</w:t>
                  </w:r>
                </w:p>
              </w:tc>
              <w:tc>
                <w:tcPr/>
                <w:p>
                  <w:pPr>
                    <w:pStyle w:val="Compact"/>
                    <w:jc w:val="both"/>
                    <w:jc w:val="center"/>
                    <w:spacing w:line="360" w:lineRule="auto"/>
                  </w:pPr>
                  <w:r>
                    <w:t xml:space="preserve">Seguimiento dirigido tras la Tabla</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paired_blocks_shap_lime.csv</w:t>
                  </w:r>
                  <w:r>
                    <w:t xml:space="preserve">,</w:t>
                  </w:r>
                  <w:r>
                    <w:t xml:space="preserve"> </w:t>
                  </w:r>
                  <w:r>
                    <w:rPr>
                      <w:rStyle w:val="VerbatimChar"/>
                    </w:rPr>
                    <w:t xml:space="preserve">wilcoxon_shap_lime_blocks.csv</w:t>
                  </w:r>
                  <w:r>
                    <w:t xml:space="preserve">,</w:t>
                  </w:r>
                  <w:r>
                    <w:t xml:space="preserve"> </w:t>
                  </w:r>
                  <w:r>
                    <w:rPr>
                      <w:rStyle w:val="VerbatimChar"/>
                    </w:rPr>
                    <w:t xml:space="preserve">sign_test_shap_lime_blocks.csv</w:t>
                  </w:r>
                </w:p>
              </w:tc>
              <w:tc>
                <w:tcPr/>
                <w:p>
                  <w:pPr>
                    <w:pStyle w:val="Compact"/>
                    <w:jc w:val="both"/>
                    <w:jc w:val="center"/>
                    <w:spacing w:line="360" w:lineRule="auto"/>
                  </w:pPr>
                  <w:r>
                    <w:rPr>
                      <w:rStyle w:val="VerbatimChar"/>
                    </w:rPr>
                    <w:t xml:space="preserve">scripts/run_exp2_block_paired_analysis.py</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r>
                    <w:t xml:space="preserve">; análisis motivado por revisión, distinto del H3 de 75 celdas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49"/>
          <w:p>
            <w:pPr>
              <w:spacing w:line="360" w:lineRule="auto"/>
              <w:jc w:val="both"/>
            </w:pPr>
          </w:p>
        </w:tc>
      </w:tr>
    </w:tbl>
    <w:bookmarkEnd w:id="150"/>
    <w:bookmarkStart w:id="179"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 La</w:t>
      </w:r>
      <w:r>
        <w:t xml:space="preserve"> </w:t>
      </w:r>
      <w:hyperlink w:anchor="fig-cobertura-exp2">
        <w:r>
          <w:rPr>
            <w:rStyle w:val="Hipervnculo"/>
          </w:rPr>
          <w:t xml:space="preserve">Figura 4.3</w:t>
        </w:r>
      </w:hyperlink>
      <w:r>
        <w:t xml:space="preserve"> </w:t>
      </w:r>
      <w:r>
        <w:t xml:space="preserve">muestra la</w:t>
      </w:r>
      <w:r>
        <w:t xml:space="preserve"> </w:t>
      </w:r>
      <w:r>
        <w:t xml:space="preserve">cobertura de artefactos que condiciona todos los análisis. La</w:t>
      </w:r>
      <w:r>
        <w:t xml:space="preserve"> </w:t>
      </w:r>
      <w:hyperlink w:anchor="fig-cd-diagram">
        <w:r>
          <w:rPr>
            <w:rStyle w:val="Hipervnculo"/>
          </w:rPr>
          <w:t xml:space="preserve">Figura 4.4</w:t>
        </w:r>
      </w:hyperlink>
      <w:r>
        <w:t xml:space="preserve"> </w:t>
      </w:r>
      <w:r>
        <w:t xml:space="preserve">y</w:t>
      </w:r>
      <w:r>
        <w:t xml:space="preserve"> </w:t>
      </w:r>
      <w:r>
        <w:t xml:space="preserve">la</w:t>
      </w:r>
      <w:r>
        <w:t xml:space="preserve"> </w:t>
      </w:r>
      <w:hyperlink w:anchor="fig-boxplots-metricas">
        <w:r>
          <w:rPr>
            <w:rStyle w:val="Hipervnculo"/>
          </w:rPr>
          <w:t xml:space="preserve">Figura 4.5</w:t>
        </w:r>
      </w:hyperlink>
      <w:r>
        <w:t xml:space="preserve"> </w:t>
      </w:r>
      <w:r>
        <w:t xml:space="preserve">acompañan a H1 y H2: la primera resume la</w:t>
      </w:r>
      <w:r>
        <w:t xml:space="preserve"> </w:t>
      </w:r>
      <w:r>
        <w:t xml:space="preserve">localización de Nemenyi y la segunda, la distribución por bloques de la que</w:t>
      </w:r>
      <w:r>
        <w:t xml:space="preserve"> </w:t>
      </w:r>
      <w:r>
        <w:t xml:space="preserve">proceden los rangos. La</w:t>
      </w:r>
      <w:r>
        <w:t xml:space="preserve"> </w:t>
      </w:r>
      <w:hyperlink w:anchor="fig-diferencias-pareadas">
        <w:r>
          <w:rPr>
            <w:rStyle w:val="Hipervnculo"/>
          </w:rPr>
          <w:t xml:space="preserve">Figura 4.6</w:t>
        </w:r>
      </w:hyperlink>
      <w:r>
        <w:t xml:space="preserve"> </w:t>
      </w:r>
      <w:r>
        <w:t xml:space="preserve">acompaña a H3. La</w:t>
      </w:r>
      <w:r>
        <w:t xml:space="preserve"> </w:t>
      </w:r>
      <w:hyperlink w:anchor="fig-estabilidad-coste">
        <w:r>
          <w:rPr>
            <w:rStyle w:val="Hipervnculo"/>
          </w:rPr>
          <w:t xml:space="preserve">Figura 4.1</w:t>
        </w:r>
      </w:hyperlink>
      <w:r>
        <w:t xml:space="preserve">, la</w:t>
      </w:r>
      <w:r>
        <w:t xml:space="preserve"> </w:t>
      </w:r>
      <w:hyperlink w:anchor="fig-correlacion-metricas">
        <w:r>
          <w:rPr>
            <w:rStyle w:val="Hipervnculo"/>
          </w:rPr>
          <w:t xml:space="preserve">Figura 4.2</w:t>
        </w:r>
      </w:hyperlink>
      <w:r>
        <w:t xml:space="preserve"> </w:t>
      </w:r>
      <w:r>
        <w:t xml:space="preserve">y la</w:t>
      </w:r>
      <w:r>
        <w:t xml:space="preserve"> </w:t>
      </w:r>
      <w:hyperlink w:anchor="fig-radar-metodos">
        <w:r>
          <w:rPr>
            <w:rStyle w:val="Hipervnculo"/>
          </w:rPr>
          <w:t xml:space="preserve">Figura 4.7</w:t>
        </w:r>
      </w:hyperlink>
      <w:r>
        <w:t xml:space="preserve"> </w:t>
      </w:r>
      <w:r>
        <w:t xml:space="preserve">resumen la relación entre métricas que sustenta el perfil multidimensional de</w:t>
      </w:r>
      <w:r>
        <w:t xml:space="preserve"> </w:t>
      </w:r>
      <w:r>
        <w:t xml:space="preserve">§</w:t>
      </w:r>
      <w:hyperlink w:anchor="sec-perfiles">
        <w:r>
          <w:rPr>
            <w:rStyle w:val="Hipervnculo"/>
          </w:rPr>
          <w:t xml:space="preserve">4.5</w:t>
        </w:r>
      </w:hyperlink>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54" w:name="fig-estabilidad-coste"/>
          <w:p>
            <w:pPr>
              <w:pStyle w:val="Compact"/>
              <w:jc w:val="center"/>
              <w:spacing w:line="360" w:lineRule="auto"/>
            </w:pPr>
            <w:r>
              <w:drawing>
                <ns2:inline>
                  <ns2:extent cx="5052060" cy="3285017"/>
                  <ns2:effectExtent b="0" l="0" r="0" t="0"/>
                  <ns2:docPr descr="" title="" id="152" name="Picture"/>
                  <ns3:graphic>
                    <ns3:graphicData uri="http://schemas.openxmlformats.org/drawingml/2006/picture">
                      <ns4:pic>
                        <ns4:nvPicPr>
                          <ns4:cNvPr descr="assets/figures/fig_estabilidad_coste_es.png" id="153" name="Picture"/>
                          <ns4:cNvPicPr>
                            <ns3:picLocks noChangeArrowheads="1" noChangeAspect="1"/>
                          </ns4:cNvPicPr>
                        </ns4:nvPicPr>
                        <ns4:blipFill>
                          <ns3:blip ns5:embed="rId151"/>
                          <ns3:stretch>
                            <ns3:fillRect/>
                          </ns3:stretch>
                        </ns4:blipFill>
                        <ns4:spPr bwMode="auto">
                          <ns3:xfrm>
                            <ns3:off x="0" y="0"/>
                            <ns3:ext cx="5052060" cy="328501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Cada punto es la mediana de los</w:t>
            </w:r>
            <w:r>
              <w:t xml:space="preserve"> </w:t>
            </w:r>
            <w:r>
              <w:t xml:space="preserve">15 bloques y las barras, el rango intercuartílico; el tamaño del punto es</w:t>
            </w:r>
            <w:r>
              <w:t xml:space="preserve"> </w:t>
            </w:r>
            <w:r>
              <w:t xml:space="preserve">proporcional a la fidelidad mediana. El coste se muestra en escala logarítmica</w:t>
            </w:r>
            <w:r>
              <w:t xml:space="preserve"> </w:t>
            </w:r>
            <w:r>
              <w:t xml:space="preserve">porque varía en órdenes de magnitud entre familias de modelos. SHAP combina la</w:t>
            </w:r>
            <w:r>
              <w:t xml:space="preserve"> </w:t>
            </w:r>
            <w:r>
              <w:t xml:space="preserve">mayor estabilidad con un coste intermedio; LIME es el más rápido, con una</w:t>
            </w:r>
            <w:r>
              <w:t xml:space="preserve"> </w:t>
            </w:r>
            <w:r>
              <w:t xml:space="preserve">estabilidad cercana a cero, como la de Anchors.</w:t>
            </w:r>
          </w:p>
          <w:bookmarkEnd w:id="15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8" w:name="fig-correlacion-metricas"/>
          <w:p>
            <w:pPr>
              <w:pStyle w:val="Compact"/>
              <w:jc w:val="center"/>
              <w:spacing w:line="360" w:lineRule="auto"/>
            </w:pPr>
            <w:r>
              <w:drawing>
                <ns2:inline>
                  <ns2:extent cx="5052060" cy="3771160"/>
                  <ns2:effectExtent b="0" l="0" r="0" t="0"/>
                  <ns2:docPr descr="" title="" id="156" name="Picture"/>
                  <ns3:graphic>
                    <ns3:graphicData uri="http://schemas.openxmlformats.org/drawingml/2006/picture">
                      <ns4:pic>
                        <ns4:nvPicPr>
                          <ns4:cNvPr descr="assets/figures/fig_correlacion_metricas_es.png" id="157" name="Picture"/>
                          <ns4:cNvPicPr>
                            <ns3:picLocks noChangeArrowheads="1" noChangeAspect="1"/>
                          </ns4:cNvPicPr>
                        </ns4:nvPicPr>
                        <ns4:blipFill>
                          <ns3:blip ns5:embed="rId155"/>
                          <ns3:stretch>
                            <ns3:fillRect/>
                          </ns3:stretch>
                        </ns4:blipFill>
                        <ns4:spPr bwMode="auto">
                          <ns3:xfrm>
                            <ns3:off x="0" y="0"/>
                            <ns3:ext cx="5052060" cy="3771160"/>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58"/>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62" w:name="fig-cobertura-exp2"/>
          <w:p>
            <w:pPr>
              <w:pStyle w:val="Compact"/>
              <w:jc w:val="center"/>
              <w:spacing w:line="360" w:lineRule="auto"/>
            </w:pPr>
            <w:r>
              <w:drawing>
                <ns2:inline>
                  <ns2:extent cx="5052060" cy="3573315"/>
                  <ns2:effectExtent b="0" l="0" r="0" t="0"/>
                  <ns2:docPr descr="" title="" id="160" name="Picture"/>
                  <ns3:graphic>
                    <ns3:graphicData uri="http://schemas.openxmlformats.org/drawingml/2006/picture">
                      <ns4:pic>
                        <ns4:nvPicPr>
                          <ns4:cNvPr descr="assets/figures/fig_cobertura_exp2_es.png" id="161" name="Picture"/>
                          <ns4:cNvPicPr>
                            <ns3:picLocks noChangeArrowheads="1" noChangeAspect="1"/>
                          </ns4:cNvPicPr>
                        </ns4:nvPicPr>
                        <ns4:blipFill>
                          <ns3:blip ns5:embed="rId159"/>
                          <ns3:stretch>
                            <ns3:fillRect/>
                          </ns3:stretch>
                        </ns4:blipFill>
                        <ns4:spPr bwMode="auto">
                          <ns3:xfrm>
                            <ns3:off x="0" y="0"/>
                            <ns3:ext cx="5052060" cy="3573315"/>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son analizables tras la auditoría de</w:t>
            </w:r>
            <w:r>
              <w:t xml:space="preserve"> </w:t>
            </w:r>
            <w:r>
              <w:t xml:space="preserve">integridad FOM-7 y la superposición de recuperación documentada (275</w:t>
            </w:r>
            <w:r>
              <w:t xml:space="preserve"> </w:t>
            </w:r>
            <w:r>
              <w:t xml:space="preserve">ejecuciones en total, las mismas de la</w:t>
            </w:r>
            <w:r>
              <w:t xml:space="preserve"> </w:t>
            </w:r>
            <w:hyperlink w:anchor="tbl-coverage-method">
              <w:r>
                <w:rPr>
                  <w:rStyle w:val="Hipervnculo"/>
                </w:rPr>
                <w:t xml:space="preserve">Tabla 3.5</w:t>
              </w:r>
            </w:hyperlink>
            <w:r>
              <w:t xml:space="preserve">).</w:t>
            </w:r>
          </w:p>
          <w:bookmarkEnd w:id="162"/>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66" w:name="fig-cd-diagram"/>
          <w:p>
            <w:pPr>
              <w:pStyle w:val="Compact"/>
              <w:jc w:val="center"/>
              <w:spacing w:line="360" w:lineRule="auto"/>
            </w:pPr>
            <w:r>
              <w:drawing>
                <ns2:inline>
                  <ns2:extent cx="5646420" cy="2061021"/>
                  <ns2:effectExtent b="0" l="0" r="0" t="0"/>
                  <ns2:docPr descr="" title="" id="164" name="Picture"/>
                  <ns3:graphic>
                    <ns3:graphicData uri="http://schemas.openxmlformats.org/drawingml/2006/picture">
                      <ns4:pic>
                        <ns4:nvPicPr>
                          <ns4:cNvPr descr="assets/figures/fig_cd_diagram_es.png" id="165" name="Picture"/>
                          <ns4:cNvPicPr>
                            <ns3:picLocks noChangeArrowheads="1" noChangeAspect="1"/>
                          </ns4:cNvPicPr>
                        </ns4:nvPicPr>
                        <ns4:blipFill>
                          <ns3:blip ns5:embed="rId163"/>
                          <ns3:stretch>
                            <ns3:fillRect/>
                          </ns3:stretch>
                        </ns4:blipFill>
                        <ns4:spPr bwMode="auto">
                          <ns3:xfrm>
                            <ns3:off x="0" y="0"/>
                            <ns3:ext cx="5646420" cy="206102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las barras se encadenan: SHAP y</w:t>
            </w:r>
            <w:r>
              <w:t xml:space="preserve"> </w:t>
            </w:r>
            <w:r>
              <w:t xml:space="preserve">LIME no se distinguen entre sí, tampoco LIME y Anchors, ni Anchors y DiCE; sí</w:t>
            </w:r>
            <w:r>
              <w:t xml:space="preserve"> </w:t>
            </w:r>
            <w:r>
              <w:t xml:space="preserve">se distinguen SHAP de Anchors y de DiCE, y LIME de DiCE, como recoge la</w:t>
            </w:r>
            <w:r>
              <w:t xml:space="preserve"> </w:t>
            </w:r>
            <w:hyperlink w:anchor="tbl-nemenyi-fidelity">
              <w:r>
                <w:rPr>
                  <w:rStyle w:val="Hipervnculo"/>
                </w:rPr>
                <w:t xml:space="preserve">Tabla 4.3</w:t>
              </w:r>
            </w:hyperlink>
            <w:r>
              <w:t xml:space="preserve">. En estabilidad, el reordenamiento es notable: SHAP y</w:t>
            </w:r>
            <w:r>
              <w:t xml:space="preserve"> </w:t>
            </w:r>
            <w:r>
              <w:t xml:space="preserve">DiCE forman el grupo estable, mientras LIME y Anchors son indistinguibles entre</w:t>
            </w:r>
            <w:r>
              <w:t xml:space="preserve"> </w:t>
            </w:r>
            <w:r>
              <w:t xml:space="preserve">sí pero claramente inferiores.</w:t>
            </w:r>
          </w:p>
          <w:bookmarkEnd w:id="166"/>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0" w:name="fig-boxplots-metricas"/>
          <w:p>
            <w:pPr>
              <w:pStyle w:val="Compact"/>
              <w:jc w:val="center"/>
              <w:spacing w:line="360" w:lineRule="auto"/>
            </w:pPr>
            <w:r>
              <w:drawing>
                <ns2:inline>
                  <ns2:extent cx="5646420" cy="2646298"/>
                  <ns2:effectExtent b="0" l="0" r="0" t="0"/>
                  <ns2:docPr descr="" title="" id="168" name="Picture"/>
                  <ns3:graphic>
                    <ns3:graphicData uri="http://schemas.openxmlformats.org/drawingml/2006/picture">
                      <ns4:pic>
                        <ns4:nvPicPr>
                          <ns4:cNvPr descr="assets/figures/fig_boxplots_metricas_es.png" id="169" name="Picture"/>
                          <ns4:cNvPicPr>
                            <ns3:picLocks noChangeArrowheads="1" noChangeAspect="1"/>
                          </ns4:cNvPicPr>
                        </ns4:nvPicPr>
                        <ns4:blipFill>
                          <ns3:blip ns5:embed="rId167"/>
                          <ns3:stretch>
                            <ns3:fillRect/>
                          </ns3:stretch>
                        </ns4:blipFill>
                        <ns4:spPr bwMode="auto">
                          <ns3:xfrm>
                            <ns3:off x="0" y="0"/>
                            <ns3:ext cx="5646420" cy="2646298"/>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 ≈ 0.014),</w:t>
            </w:r>
            <w:r>
              <w:t xml:space="preserve"> </w:t>
            </w:r>
            <w:r>
              <w:t xml:space="preserve">confirmando que la inestabilidad afecta a todos los bloques del</w:t>
            </w:r>
            <w:r>
              <w:t xml:space="preserve"> </w:t>
            </w:r>
            <w:r>
              <w:t xml:space="preserve">benchmark y no a un subconjunto de modelos.</w:t>
            </w:r>
          </w:p>
          <w:bookmarkEnd w:id="170"/>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4" w:name="fig-diferencias-pareadas"/>
          <w:p>
            <w:pPr>
              <w:pStyle w:val="Compact"/>
              <w:jc w:val="center"/>
              <w:spacing w:line="360" w:lineRule="auto"/>
            </w:pPr>
            <w:r>
              <w:drawing>
                <ns2:inline>
                  <ns2:extent cx="5646420" cy="2293858"/>
                  <ns2:effectExtent b="0" l="0" r="0" t="0"/>
                  <ns2:docPr descr="" title="" id="172" name="Picture"/>
                  <ns3:graphic>
                    <ns3:graphicData uri="http://schemas.openxmlformats.org/drawingml/2006/picture">
                      <ns4:pic>
                        <ns4:nvPicPr>
                          <ns4:cNvPr descr="assets/figures/fig_diferencias_pareadas_es.png" id="173" name="Picture"/>
                          <ns4:cNvPicPr>
                            <ns3:picLocks noChangeArrowheads="1" noChangeAspect="1"/>
                          </ns4:cNvPicPr>
                        </ns4:nvPicPr>
                        <ns4:blipFill>
                          <ns3:blip ns5:embed="rId171"/>
                          <ns3:stretch>
                            <ns3:fillRect/>
                          </ns3:stretch>
                        </ns4:blipFill>
                        <ns4:spPr bwMode="auto">
                          <ns3:xfrm>
                            <ns3:off x="0" y="0"/>
                            <ns3:ext cx="5646420" cy="2293858"/>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rojas indican ventaja de SHAP; las azules,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azules confirma que la</w:t>
            </w:r>
            <w:r>
              <w:t xml:space="preserve"> </w:t>
            </w:r>
            <w:r>
              <w:t xml:space="preserve">ventaja de SHAP no es un artefacto de valores</w:t>
            </w:r>
            <w:r>
              <w:t xml:space="preserve"> </w:t>
            </w:r>
            <w:r>
              <w:t xml:space="preserve">atípicos.</w:t>
            </w:r>
          </w:p>
          <w:bookmarkEnd w:id="17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8" w:name="fig-radar-metodos"/>
          <w:p>
            <w:pPr>
              <w:pStyle w:val="Compact"/>
              <w:jc w:val="center"/>
              <w:spacing w:line="360" w:lineRule="auto"/>
            </w:pPr>
            <w:r>
              <w:drawing>
                <ns2:inline>
                  <ns2:extent cx="4160520" cy="3822776"/>
                  <ns2:effectExtent b="0" l="0" r="0" t="0"/>
                  <ns2:docPr descr="" title="" id="176" name="Picture"/>
                  <ns3:graphic>
                    <ns3:graphicData uri="http://schemas.openxmlformats.org/drawingml/2006/picture">
                      <ns4:pic>
                        <ns4:nvPicPr>
                          <ns4:cNvPr descr="assets/figures/fig_radar_metodos_es.png" id="177" name="Picture"/>
                          <ns4:cNvPicPr>
                            <ns3:picLocks noChangeArrowheads="1" noChangeAspect="1"/>
                          </ns4:cNvPicPr>
                        </ns4:nvPicPr>
                        <ns4:blipFill>
                          <ns3:blip ns5:embed="rId175"/>
                          <ns3:stretch>
                            <ns3:fillRect/>
                          </ns3:stretch>
                        </ns4:blipFill>
                        <ns4:spPr bwMode="auto">
                          <ns3:xfrm>
                            <ns3:off x="0" y="0"/>
                            <ns3:ext cx="4160520" cy="382277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DiCE en parsimonia y LIME en eficiencia de coste; DiCE es además intermedio en</w:t>
            </w:r>
            <w:r>
              <w:t xml:space="preserve"> </w:t>
            </w:r>
            <w:r>
              <w:t xml:space="preserve">estabilidad pero muy bajo en fidelidad. Este patrón valida la necesidad del enfoque</w:t>
            </w:r>
            <w:r>
              <w:t xml:space="preserve"> </w:t>
            </w:r>
            <w:r>
              <w:t xml:space="preserve">multi-métrico de FOM-7.</w:t>
            </w:r>
          </w:p>
          <w:bookmarkEnd w:id="178"/>
        </w:tc>
      </w:tr>
    </w:tbl>
    <w:bookmarkEnd w:id="179"/>
    <w:bookmarkStart w:id="183" w:name="sec-discusion"/>
    <w:p>
      <w:pPr>
        <w:pStyle w:val="Ttulo2"/>
        <w:spacing w:line="360" w:lineRule="auto"/>
        <w:jc w:val="both"/>
      </w:pPr>
      <w:r>
        <w:t xml:space="preserve">4.9 </w:t>
      </w:r>
      <w:r>
        <w:t xml:space="preserve">Discusión</w:t>
      </w:r>
    </w:p>
    <w:bookmarkStart w:id="180"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80"/>
    <w:bookmarkStart w:id="181"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81"/>
    <w:bookmarkStart w:id="182"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w:t>
      </w:r>
      <w:r>
        <w:t xml:space="preserve"> </w:t>
      </w:r>
      <w:r>
        <w:t xml:space="preserve">operacionalizaciones específicas de los constructos de calidad. La fidelidad</w:t>
      </w:r>
      <w:r>
        <w:t xml:space="preserve"> </w:t>
      </w:r>
      <w:r>
        <w:t xml:space="preserve">sustituye cada característica de forma independiente por su media de</w:t>
      </w:r>
      <w:r>
        <w:t xml:space="preserve"> </w:t>
      </w:r>
      <w:r>
        <w:t xml:space="preserve">entrenamiento; este enmascaramiento puede romper dependencias, producir</w:t>
      </w:r>
      <w:r>
        <w:t xml:space="preserve"> </w:t>
      </w:r>
      <w:r>
        <w:t xml:space="preserve">instancias OOD y sesgar diferencialmente la comparación entre explicadores</w:t>
      </w:r>
      <w:r>
        <w:t xml:space="preserve"> </w:t>
      </w:r>
      <w:r>
        <w:t xml:space="preserve">(Hooker et al. 2019; Rong et al. 2022)</w:t>
      </w:r>
      <w:r>
        <w:t xml:space="preserve">. El uso de un operador común</w:t>
      </w:r>
      <w:r>
        <w:t xml:space="preserve"> </w:t>
      </w:r>
      <w:r>
        <w:t xml:space="preserve">asegura comparabilidad procedimental, no validez distribucional. Otras</w:t>
      </w:r>
      <w:r>
        <w:t xml:space="preserve"> </w:t>
      </w:r>
      <w:r>
        <w:t xml:space="preserve">operacionalizaciones, como</w:t>
      </w:r>
      <w:r>
        <w:t xml:space="preserve"> </w:t>
      </w:r>
      <w:r>
        <w:rPr>
          <w:i/>
          <w:iCs/>
        </w:rPr>
        <w:t xml:space="preserve">remove-and-retrain</w:t>
      </w:r>
      <w:r>
        <w:t xml:space="preserve"> </w:t>
      </w:r>
      <w:r>
        <w:t xml:space="preserve">o perturbaciones condicionadas,</w:t>
      </w:r>
      <w:r>
        <w:t xml:space="preserve"> </w:t>
      </w:r>
      <w:r>
        <w:t xml:space="preserve">pueden producir ordenamientos distintos; el alcance se desarrolla en</w:t>
      </w:r>
      <w:r>
        <w:t xml:space="preserve"> </w:t>
      </w:r>
      <w:r>
        <w:t xml:space="preserve">§</w:t>
      </w:r>
      <w:hyperlink w:anchor="sec-limitaciones">
        <w:r>
          <w:rPr>
            <w:rStyle w:val="Hipervnculo"/>
          </w:rPr>
          <w:t xml:space="preserve">7.4</w:t>
        </w:r>
      </w:hyperlink>
      <w:r>
        <w:t xml:space="preserve">.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82"/>
    <w:bookmarkEnd w:id="183"/>
    <w:bookmarkEnd w:id="184"/>
    <w:bookmarkStart w:id="197"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7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85"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85"/>
    <w:bookmarkStart w:id="186"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86"/>
    <w:bookmarkStart w:id="187"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87"/>
    <w:bookmarkStart w:id="189"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88"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88"/>
          <w:p>
            <w:pPr>
              <w:spacing w:line="360" w:lineRule="auto"/>
              <w:jc w:val="both"/>
            </w:pPr>
          </w:p>
        </w:tc>
      </w:tr>
    </w:tbl>
    <w:bookmarkEnd w:id="189"/>
    <w:bookmarkStart w:id="191"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90"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9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91"/>
    <w:bookmarkStart w:id="192"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92"/>
    <w:bookmarkStart w:id="193"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93"/>
    <w:bookmarkStart w:id="196"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de la cohorte original.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94" w:name="tbl-exp4-icc"/>
          <w:p>
            <w:pPr>
              <w:pStyle w:val="ImageCaption"/>
              <w:spacing w:before="200" w:line="360" w:lineRule="auto"/>
              <w:jc w:val="center"/>
            </w:pPr>
            <w:r>
              <w:t xml:space="preserve">Tabla 5.3: Fiabilidad inter-juez LLM en siete dimensiones semánticas (EXP4, cohorte original;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9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Replicación con un segundo panel de jueces.</w:t>
      </w:r>
      <w:r>
        <w:t xml:space="preserve"> </w:t>
      </w:r>
      <w:r>
        <w:t xml:space="preserve">La cohorte 2 (§</w:t>
      </w:r>
      <w:hyperlink w:anchor="sec-exp4-diseno">
        <w:r>
          <w:rPr>
            <w:rStyle w:val="Hipervnculo"/>
          </w:rPr>
          <w:t xml:space="preserve">3.11.2</w:t>
        </w:r>
      </w:hyperlink>
      <w:r>
        <w:t xml:space="preserve">)</w:t>
      </w:r>
      <w:r>
        <w:t xml:space="preserve"> </w:t>
      </w:r>
      <w:r>
        <w:t xml:space="preserve">puntuó los mismos 192 casos con un panel de jueces distinto. Todos los casos</w:t>
      </w:r>
      <w:r>
        <w:t xml:space="preserve"> </w:t>
      </w:r>
      <w:r>
        <w:t xml:space="preserve">quedaron puntuados por los tres jueces, de modo que el ICC y el</w:t>
      </w:r>
      <w:r>
        <w:t xml:space="preserve"> </w:t>
      </w:r>
      <ns1:oMath>
        <ns1:r>
          <ns1:t>α</ns1:t>
        </ns1:r>
      </ns1:oMath>
      <w:r>
        <w:t xml:space="preserve"> </w:t>
      </w:r>
      <w:r>
        <w:t xml:space="preserve">se</w:t>
      </w:r>
      <w:r>
        <w:t xml:space="preserve"> </w:t>
      </w:r>
      <w:r>
        <w:t xml:space="preserve">calculan sobre</w:t>
      </w:r>
      <w:r>
        <w:t xml:space="preserve"> </w:t>
      </w:r>
      <ns1:oMath>
        <ns1:r>
          <ns1:t>n</ns1:t>
        </ns1:r>
        <ns1:r>
          <ns1:rPr>
            <ns1:sty ns1:val="p"/>
          </ns1:rPr>
          <ns1:t>=</ns1:t>
        </ns1:r>
        <ns1:r>
          <ns1:t>192</ns1:t>
        </ns1:r>
      </ns1:oMath>
      <w:r>
        <w:t xml:space="preserve"> </w:t>
      </w:r>
      <w:r>
        <w:t xml:space="preserve">casos. La Tabla</w:t>
      </w:r>
      <w:r>
        <w:t xml:space="preserve"> </w:t>
      </w:r>
      <w:hyperlink w:anchor="tbl-exp4-icc-c2">
        <w:r>
          <w:rPr>
            <w:rStyle w:val="Hipervnculo"/>
          </w:rPr>
          <w:t xml:space="preserve">5.4</w:t>
        </w:r>
      </w:hyperlink>
      <w:r>
        <w:t xml:space="preserve"> </w:t>
      </w:r>
      <w:r>
        <w:t xml:space="preserve">reporta la condición</w:t>
      </w:r>
      <w:r>
        <w:t xml:space="preserve"> </w:t>
      </w:r>
      <w:r>
        <w:t xml:space="preserve">primaria, con la etiqueta oculta, y la estimación agregada sobre todas las</w:t>
      </w:r>
      <w:r>
        <w:t xml:space="preserve"> </w:t>
      </w:r>
      <w:r>
        <w:t xml:space="preserve">condiciones y réplicas.</w:t>
      </w:r>
    </w:p>
    <w:tbl>
      <w:tblPr>
        <w:tblStyle w:val="Table"/>
        <w:tblW w:type="pct" w:w="5000"/>
        <w:jc w:val="center"/>
        <w:tblLayout w:type="fixed"/>
        <w:tblLook w:firstRow="0" w:lastRow="0" w:firstColumn="0" w:lastColumn="0" w:noHBand="0" w:noVBand="0" w:val="0000"/>
      </w:tblPr>
      <w:tblGrid>
        <w:gridCol w:w="7920"/>
      </w:tblGrid>
      <w:tr>
        <w:tc>
          <w:tcPr/>
          <w:bookmarkStart w:id="195" w:name="tbl-exp4-icc-c2"/>
          <w:p>
            <w:pPr>
              <w:pStyle w:val="ImageCaption"/>
              <w:spacing w:before="200" w:line="360" w:lineRule="auto"/>
              <w:jc w:val="center"/>
            </w:pPr>
            <w:r>
              <w:t xml:space="preserve">Tabla 5.4: Fiabilidad inter-juez LLM en la cohorte de replicación (EXP4, cohorte 2;</w:t>
            </w:r>
            <w:r>
              <w:t xml:space="preserve"> </w:t>
            </w:r>
            <ns1:oMath>
              <ns1:r>
                <ns1:t>n</ns1:t>
              </ns1:r>
              <ns1:r>
                <ns1:rPr>
                  <ns1:sty ns1:val="p"/>
                </ns1:rPr>
                <ns1:t>=</ns1:t>
              </ns1:r>
              <ns1:r>
                <ns1:t>192</ns1:t>
              </ns1:r>
            </ns1:oMath>
            <w:r>
              <w:t xml:space="preserve"> </w:t>
            </w:r>
            <w:r>
              <w:t xml:space="preserve">casos, 3 jueces LLM distintos de los originales). Las tres primeras</w:t>
            </w:r>
            <w:r>
              <w:t xml:space="preserve"> </w:t>
            </w:r>
            <w:r>
              <w:t xml:space="preserve">columnas corresponden a la condición primaria. La última promedia cada par caso</w:t>
            </w:r>
            <w:r>
              <w:t xml:space="preserve"> </w:t>
            </w:r>
            <ns1:oMath>
              <ns1:r>
                <ns1:rPr>
                  <ns1:sty ns1:val="p"/>
                </ns1:rPr>
                <ns1:t>×</ns1:t>
              </ns1:r>
            </ns1:oMath>
            <w:r>
              <w:t xml:space="preserve"> </w:t>
            </w:r>
            <w:r>
              <w:t xml:space="preserve">juez sobre las tres condiciones y las tres réplicas antes de calcular</w:t>
            </w:r>
            <w:r>
              <w:t xml:space="preserve"> </w:t>
            </w:r>
            <w:r>
              <w:t xml:space="preserve">el ICC, que es la opción por defecto del código de análisis. Ninguna dimensión</w:t>
            </w:r>
            <w:r>
              <w:t xml:space="preserve"> </w:t>
            </w:r>
            <w:r>
              <w:t xml:space="preserve">alcanza 0.75 en la condición primaria.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93"/>
              <w:gridCol w:w="2169"/>
              <w:gridCol w:w="2495"/>
              <w:gridCol w:w="2061"/>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 [IC 95 %]</w:t>
                  </w:r>
                </w:p>
              </w:tc>
              <w:tc>
                <w:tcPr/>
                <w:p>
                  <w:pPr>
                    <w:pStyle w:val="Compact"/>
                    <w:jc w:val="both"/>
                    <w:jc w:val="center"/>
                    <w:spacing w:line="360" w:lineRule="auto"/>
                  </w:pPr>
                  <w:r>
                    <w:rPr>
                      <w:bCs/>
                      <w:b/>
                    </w:rPr>
                    <w:t xml:space="preserve">Krippendorff</w:t>
                  </w:r>
                  <w:r>
                    <w:rPr>
                      <w:bCs/>
                      <w:b/>
                    </w:rPr>
                    <w:t xml:space="preserve"> </w:t>
                  </w:r>
                  <ns1:oMath>
                    <ns1:r>
                      <ns1:t>α</ns1:t>
                    </ns1:r>
                  </ns1:oMath>
                </w:p>
              </w:tc>
              <w:tc>
                <w:tcPr/>
                <w:p>
                  <w:pPr>
                    <w:pStyle w:val="Compact"/>
                    <w:jc w:val="both"/>
                    <w:jc w:val="center"/>
                    <w:spacing w:line="360" w:lineRule="auto"/>
                  </w:pPr>
                  <w:r>
                    <w:rPr>
                      <w:bCs/>
                      <w:b/>
                    </w:rPr>
                    <w:t xml:space="preserve">ICC(1,1) agregado</w:t>
                  </w:r>
                </w:p>
              </w:tc>
            </w:tr>
            <w:tr>
              <w:tc>
                <w:tcPr/>
                <w:p>
                  <w:pPr>
                    <w:pStyle w:val="Compact"/>
                    <w:jc w:val="both"/>
                    <w:jc w:val="center"/>
                    <w:spacing w:line="360" w:lineRule="auto"/>
                  </w:pPr>
                  <w:r>
                    <w:t xml:space="preserve">Claridad</w:t>
                  </w:r>
                </w:p>
              </w:tc>
              <w:tc>
                <w:tcPr/>
                <w:p>
                  <w:pPr>
                    <w:pStyle w:val="Compact"/>
                    <w:jc w:val="both"/>
                    <w:jc w:val="center"/>
                    <w:spacing w:line="360" w:lineRule="auto"/>
                  </w:pPr>
                  <ns1:oMath>
                    <ns1:r>
                      <ns1:rPr>
                        <ns1:sty ns1:val="p"/>
                      </ns1:rPr>
                      <ns1:t>−</ns1:t>
                    </ns1:r>
                    <ns1:r>
                      <ns1:t>0.019</ns1:t>
                    </ns1:r>
                  </ns1:oMath>
                  <w:r>
                    <w:t xml:space="preserve"> </w:t>
                  </w:r>
                  <w:r>
                    <w:t xml:space="preserve">[</w:t>
                  </w:r>
                  <ns1:oMath>
                    <ns1:r>
                      <ns1:rPr>
                        <ns1:sty ns1:val="p"/>
                      </ns1:rPr>
                      <ns1:t>−</ns1:t>
                    </ns1:r>
                    <ns1:r>
                      <ns1:t>0.160</ns1:t>
                    </ns1:r>
                  </ns1:oMath>
                  <w:r>
                    <w:t xml:space="preserve">, 0.123]</w:t>
                  </w:r>
                </w:p>
              </w:tc>
              <w:tc>
                <w:tcPr/>
                <w:p>
                  <w:pPr>
                    <w:pStyle w:val="Compact"/>
                    <w:jc w:val="both"/>
                    <w:jc w:val="center"/>
                    <w:spacing w:line="360" w:lineRule="auto"/>
                  </w:pPr>
                  <ns1:oMath>
                    <ns1:r>
                      <ns1:rPr>
                        <ns1:sty ns1:val="p"/>
                      </ns1:rPr>
                      <ns1:t>−</ns1:t>
                    </ns1:r>
                    <ns1:r>
                      <ns1:t>0.019</ns1:t>
                    </ns1:r>
                  </ns1:oMath>
                  <w:r>
                    <w:t xml:space="preserve">​</w:t>
                  </w:r>
                </w:p>
              </w:tc>
              <w:tc>
                <w:tcPr/>
                <w:p>
                  <w:pPr>
                    <w:pStyle w:val="Compact"/>
                    <w:jc w:val="both"/>
                    <w:jc w:val="center"/>
                    <w:spacing w:line="360" w:lineRule="auto"/>
                  </w:pPr>
                  <ns1:oMath>
                    <ns1:r>
                      <ns1:rPr>
                        <ns1:sty ns1:val="p"/>
                      </ns1:rPr>
                      <ns1:t>−</ns1:t>
                    </ns1:r>
                    <ns1:r>
                      <ns1:t>0.090</ns1:t>
                    </ns1:r>
                  </ns1:oMath>
                  <w:r>
                    <w:t xml:space="preserve">​</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0.373 [0.244, 0.489]</w:t>
                  </w:r>
                </w:p>
              </w:tc>
              <w:tc>
                <w:tcPr/>
                <w:p>
                  <w:pPr>
                    <w:pStyle w:val="Compact"/>
                    <w:jc w:val="both"/>
                    <w:jc w:val="center"/>
                    <w:spacing w:line="360" w:lineRule="auto"/>
                  </w:pPr>
                  <w:r>
                    <w:t xml:space="preserve">0.372</w:t>
                  </w:r>
                </w:p>
              </w:tc>
              <w:tc>
                <w:tcPr/>
                <w:p>
                  <w:pPr>
                    <w:pStyle w:val="Compact"/>
                    <w:jc w:val="both"/>
                    <w:jc w:val="center"/>
                    <w:spacing w:line="360" w:lineRule="auto"/>
                  </w:pPr>
                  <w:r>
                    <w:t xml:space="preserve">0.524</w:t>
                  </w:r>
                </w:p>
              </w:tc>
            </w:tr>
            <w:tr>
              <w:tc>
                <w:tcPr/>
                <w:p>
                  <w:pPr>
                    <w:pStyle w:val="Compact"/>
                    <w:jc w:val="both"/>
                    <w:jc w:val="center"/>
                    <w:spacing w:line="360" w:lineRule="auto"/>
                  </w:pPr>
                  <w:r>
                    <w:t xml:space="preserve">Accionabilidad</w:t>
                  </w:r>
                </w:p>
              </w:tc>
              <w:tc>
                <w:tcPr/>
                <w:p>
                  <w:pPr>
                    <w:pStyle w:val="Compact"/>
                    <w:jc w:val="both"/>
                    <w:jc w:val="center"/>
                    <w:spacing w:line="360" w:lineRule="auto"/>
                  </w:pPr>
                  <ns1:oMath>
                    <ns1:r>
                      <ns1:rPr>
                        <ns1:sty ns1:val="p"/>
                      </ns1:rPr>
                      <ns1:t>−</ns1:t>
                    </ns1:r>
                    <ns1:r>
                      <ns1:t>0.025</ns1:t>
                    </ns1:r>
                  </ns1:oMath>
                  <w:r>
                    <w:t xml:space="preserve"> </w:t>
                  </w:r>
                  <w:r>
                    <w:t xml:space="preserve">[</w:t>
                  </w:r>
                  <ns1:oMath>
                    <ns1:r>
                      <ns1:rPr>
                        <ns1:sty ns1:val="p"/>
                      </ns1:rPr>
                      <ns1:t>−</ns1:t>
                    </ns1:r>
                    <ns1:r>
                      <ns1:t>0.166</ns1:t>
                    </ns1:r>
                  </ns1:oMath>
                  <w:r>
                    <w:t xml:space="preserve">, 0.117]</w:t>
                  </w:r>
                </w:p>
              </w:tc>
              <w:tc>
                <w:tcPr/>
                <w:p>
                  <w:pPr>
                    <w:pStyle w:val="Compact"/>
                    <w:jc w:val="both"/>
                    <w:jc w:val="center"/>
                    <w:spacing w:line="360" w:lineRule="auto"/>
                  </w:pPr>
                  <ns1:oMath>
                    <ns1:r>
                      <ns1:rPr>
                        <ns1:sty ns1:val="p"/>
                      </ns1:rPr>
                      <ns1:t>−</ns1:t>
                    </ns1:r>
                    <ns1:r>
                      <ns1:t>0.025</ns1:t>
                    </ns1:r>
                  </ns1:oMath>
                  <w:r>
                    <w:t xml:space="preserve">​</w:t>
                  </w:r>
                </w:p>
              </w:tc>
              <w:tc>
                <w:tcPr/>
                <w:p>
                  <w:pPr>
                    <w:pStyle w:val="Compact"/>
                    <w:jc w:val="both"/>
                    <w:jc w:val="center"/>
                    <w:spacing w:line="360" w:lineRule="auto"/>
                  </w:pPr>
                  <w:r>
                    <w:t xml:space="preserve">0.039</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0.699 [0.619, 0.765]</w:t>
                  </w:r>
                </w:p>
              </w:tc>
              <w:tc>
                <w:tcPr/>
                <w:p>
                  <w:pPr>
                    <w:pStyle w:val="Compact"/>
                    <w:jc w:val="both"/>
                    <w:jc w:val="center"/>
                    <w:spacing w:line="360" w:lineRule="auto"/>
                  </w:pPr>
                  <w:r>
                    <w:t xml:space="preserve">0.699</w:t>
                  </w:r>
                </w:p>
              </w:tc>
              <w:tc>
                <w:tcPr/>
                <w:p>
                  <w:pPr>
                    <w:pStyle w:val="Compact"/>
                    <w:jc w:val="both"/>
                    <w:jc w:val="center"/>
                    <w:spacing w:line="360" w:lineRule="auto"/>
                  </w:pPr>
                  <w:r>
                    <w:t xml:space="preserve">0.820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0.731 [0.657, 0.791]</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0.839</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0.604 [0.506, 0.687]</w:t>
                  </w:r>
                </w:p>
              </w:tc>
              <w:tc>
                <w:tcPr/>
                <w:p>
                  <w:pPr>
                    <w:pStyle w:val="Compact"/>
                    <w:jc w:val="both"/>
                    <w:jc w:val="center"/>
                    <w:spacing w:line="360" w:lineRule="auto"/>
                  </w:pPr>
                  <w:r>
                    <w:t xml:space="preserve">0.603</w:t>
                  </w:r>
                </w:p>
              </w:tc>
              <w:tc>
                <w:tcPr/>
                <w:p>
                  <w:pPr>
                    <w:pStyle w:val="Compact"/>
                    <w:jc w:val="both"/>
                    <w:jc w:val="center"/>
                    <w:spacing w:line="360" w:lineRule="auto"/>
                  </w:pPr>
                  <w:r>
                    <w:t xml:space="preserve">0.664</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0.660 [0.571, 0.733]</w:t>
                  </w:r>
                </w:p>
              </w:tc>
              <w:tc>
                <w:tcPr/>
                <w:p>
                  <w:pPr>
                    <w:pStyle w:val="Compact"/>
                    <w:jc w:val="both"/>
                    <w:jc w:val="center"/>
                    <w:spacing w:line="360" w:lineRule="auto"/>
                  </w:pPr>
                  <w:r>
                    <w:t xml:space="preserve">0.659</w:t>
                  </w:r>
                </w:p>
              </w:tc>
              <w:tc>
                <w:tcPr/>
                <w:p>
                  <w:pPr>
                    <w:pStyle w:val="Compact"/>
                    <w:jc w:val="both"/>
                    <w:jc w:val="center"/>
                    <w:spacing w:line="360" w:lineRule="auto"/>
                  </w:pPr>
                  <w:r>
                    <w:t xml:space="preserve">0.706</w:t>
                  </w:r>
                </w:p>
              </w:tc>
            </w:tr>
          </w:tbl>
          <w:bookmarkEnd w:id="195"/>
          <w:p>
            <w:pPr>
              <w:spacing w:line="360" w:lineRule="auto"/>
              <w:jc w:val="both"/>
            </w:pPr>
          </w:p>
        </w:tc>
      </w:tr>
    </w:tbl>
    <w:p>
      <w:pPr>
        <w:pStyle w:val="Textoindependiente"/>
        <w:spacing w:line="360" w:lineRule="auto"/>
        <w:jc w:val="both"/>
      </w:pPr>
      <w:r>
        <w:t xml:space="preserve">La replicación confirma el resultado negativo en la condición primaria: ninguna</w:t>
      </w:r>
      <w:r>
        <w:t xml:space="preserve"> </w:t>
      </w:r>
      <w:r>
        <w:t xml:space="preserve">dimensión alcanza 0.75, y el máximo corresponde a Completitud (0.731). No</w:t>
      </w:r>
      <w:r>
        <w:t xml:space="preserve"> </w:t>
      </w:r>
      <w:r>
        <w:t xml:space="preserve">replica, en cambio, el margen respecto del umbral. Los límites superiores del</w:t>
      </w:r>
      <w:r>
        <w:t xml:space="preserve"> </w:t>
      </w:r>
      <w:r>
        <w:t xml:space="preserve">intervalo de Completitud (0.791) y de Utilidad para auditoría (0.765) superan</w:t>
      </w:r>
      <w:r>
        <w:t xml:space="preserve"> </w:t>
      </w:r>
      <w:r>
        <w:t xml:space="preserve">0.75. En dos vistas secundarias el umbral llega a cruzarse:</w:t>
      </w:r>
    </w:p>
    <w:p>
      <w:pPr>
        <w:pStyle w:val="Compact"/>
        <w:numPr>
          <w:ilvl w:val="0"/>
          <w:numId w:val="1018"/>
        </w:numPr>
        <w:spacing w:line="360" w:lineRule="auto"/>
        <w:jc w:val="both"/>
      </w:pPr>
      <w:r>
        <w:t xml:space="preserve">con la rúbrica alternativa, Completitud alcanza 0.753;</w:t>
      </w:r>
    </w:p>
    <w:p>
      <w:pPr>
        <w:pStyle w:val="Compact"/>
        <w:numPr>
          <w:ilvl w:val="0"/>
          <w:numId w:val="1018"/>
        </w:numPr>
        <w:spacing w:line="360" w:lineRule="auto"/>
        <w:jc w:val="both"/>
      </w:pPr>
      <w:r>
        <w:t xml:space="preserve">en la estimación agregada, Completitud (0.839) y Utilidad para auditoría</w:t>
      </w:r>
      <w:r>
        <w:t xml:space="preserve"> </w:t>
      </w:r>
      <w:r>
        <w:t xml:space="preserve">(0.820) superan 0.75.</w:t>
      </w:r>
    </w:p>
    <w:p>
      <w:pPr>
        <w:pStyle w:val="FirstParagraph"/>
        <w:spacing w:line="360" w:lineRule="auto"/>
        <w:jc w:val="both"/>
      </w:pPr>
      <w:r>
        <w:t xml:space="preserve">Promediar nueve respuestas por caso y juez atenúa el ruido de respuesta y eleva</w:t>
      </w:r>
      <w:r>
        <w:t xml:space="preserve"> </w:t>
      </w:r>
      <w:r>
        <w:t xml:space="preserve">el ICC. Por eso la estimación primaria es la de la condición primaria, y la</w:t>
      </w:r>
      <w:r>
        <w:t xml:space="preserve"> </w:t>
      </w:r>
      <w:r>
        <w:t xml:space="preserve">agregación debe declararse siempre que se reporte. Mostrar la etiqueta</w:t>
      </w:r>
      <w:r>
        <w:t xml:space="preserve"> </w:t>
      </w:r>
      <w:r>
        <w:t xml:space="preserve">verdadera apenas altera las puntuaciones: el desplazamiento medio máximo es de</w:t>
      </w:r>
      <w:r>
        <w:t xml:space="preserve"> </w:t>
      </w:r>
      <w:r>
        <w:t xml:space="preserve">0.14 puntos. La redacción de la rúbrica pesa más: desplaza las puntuaciones</w:t>
      </w:r>
      <w:r>
        <w:t xml:space="preserve"> </w:t>
      </w:r>
      <w:r>
        <w:t xml:space="preserve">hasta 0.50 puntos y modifica la fiabilidad en ambos sentidos.</w:t>
      </w:r>
    </w:p>
    <w:p>
      <w:pPr>
        <w:pStyle w:val="Textoindependiente"/>
        <w:spacing w:line="360" w:lineRule="auto"/>
        <w:jc w:val="both"/>
      </w:pPr>
      <w:r>
        <w:rPr>
          <w:b/>
          <w:bCs/>
        </w:rPr>
        <w:t xml:space="preserve">Interpretación.</w:t>
      </w:r>
      <w:r>
        <w:t xml:space="preserve"> </w:t>
      </w:r>
      <w:r>
        <w:t xml:space="preserve">En la cohorte original, el gradiente relativo es</w:t>
      </w:r>
      <w:r>
        <w:t xml:space="preserve"> </w:t>
      </w:r>
      <w:r>
        <w:t xml:space="preserve">consistente con una mayor convergencia cuando la dimensión dispone de</w:t>
      </w:r>
      <w:r>
        <w:t xml:space="preserve"> </w:t>
      </w:r>
      <w:r>
        <w:t xml:space="preserve">referentes semánticos verificables: Completitud y Plausibilidad Semántica</w:t>
      </w:r>
      <w:r>
        <w:t xml:space="preserve"> </w:t>
      </w:r>
      <w:r>
        <w:t xml:space="preserve">preguntan si se cubren factores relevantes y si la explicación es coherente con</w:t>
      </w:r>
      <w:r>
        <w:t xml:space="preserve"> </w:t>
      </w:r>
      <w:r>
        <w:t xml:space="preserve">el dominio, mientras que Claridad y Utilidad para auditoría dependen más del</w:t>
      </w:r>
      <w:r>
        <w:t xml:space="preserve"> </w:t>
      </w:r>
      <w:r>
        <w:t xml:space="preserve">perfil del destinatario y del contexto de uso, que la rúbrica no especificó. La</w:t>
      </w:r>
      <w:r>
        <w:t xml:space="preserve"> </w:t>
      </w:r>
      <w:r>
        <w:t xml:space="preserve">replicación sostiene ese gradiente solo en parte:</w:t>
      </w:r>
    </w:p>
    <w:p>
      <w:pPr>
        <w:pStyle w:val="Compact"/>
        <w:numPr>
          <w:ilvl w:val="0"/>
          <w:numId w:val="1019"/>
        </w:numPr>
        <w:spacing w:line="360" w:lineRule="auto"/>
        <w:jc w:val="both"/>
      </w:pPr>
      <w:r>
        <w:t xml:space="preserve">Completitud y Plausibilidad Semántica siguen entre las dimensiones de mayor</w:t>
      </w:r>
      <w:r>
        <w:t xml:space="preserve"> </w:t>
      </w:r>
      <w:r>
        <w:t xml:space="preserve">acuerdo, y Claridad sigue siendo la de menor acuerdo.</w:t>
      </w:r>
    </w:p>
    <w:p>
      <w:pPr>
        <w:pStyle w:val="Compact"/>
        <w:numPr>
          <w:ilvl w:val="0"/>
          <w:numId w:val="1019"/>
        </w:numPr>
        <w:spacing w:line="360" w:lineRule="auto"/>
        <w:jc w:val="both"/>
      </w:pPr>
      <w:r>
        <w:t xml:space="preserve">Utilidad para auditoría pasa a figurar entre las de mayor acuerdo, lo que no</w:t>
      </w:r>
      <w:r>
        <w:t xml:space="preserve"> </w:t>
      </w:r>
      <w:r>
        <w:t xml:space="preserve">apoya su clasificación como dimensión dependiente del destinatario.</w:t>
      </w:r>
    </w:p>
    <w:p>
      <w:pPr>
        <w:pStyle w:val="Compact"/>
        <w:numPr>
          <w:ilvl w:val="0"/>
          <w:numId w:val="1019"/>
        </w:numPr>
        <w:spacing w:line="360" w:lineRule="auto"/>
        <w:jc w:val="both"/>
      </w:pPr>
      <w:r>
        <w:t xml:space="preserve">Accionabilidad cae a un acuerdo prácticamente nulo por efecto suelo: casi</w:t>
      </w:r>
      <w:r>
        <w:t xml:space="preserve"> </w:t>
      </w:r>
      <w:r>
        <w:t xml:space="preserve">todas las puntuaciones son 1, de modo que apenas queda varianza que acordar.</w:t>
      </w:r>
    </w:p>
    <w:p>
      <w:pPr>
        <w:pStyle w:val="FirstParagraph"/>
        <w:spacing w:line="360" w:lineRule="auto"/>
        <w:jc w:val="both"/>
      </w:pPr>
      <w:r>
        <w:t xml:space="preserve">El patrón sigue siendo generador de hipótesis, no una demostración causal de</w:t>
      </w:r>
      <w:r>
        <w:t xml:space="preserve"> </w:t>
      </w:r>
      <w:r>
        <w:t xml:space="preserve">que el tipo de criterio explique las diferencias de acuerdo. La replicación</w:t>
      </w:r>
      <w:r>
        <w:t xml:space="preserve"> </w:t>
      </w:r>
      <w:r>
        <w:t xml:space="preserve">añade una observación propia: el orden de las dimensiones depende del panel de</w:t>
      </w:r>
      <w:r>
        <w:t xml:space="preserve"> </w:t>
      </w:r>
      <w:r>
        <w:t xml:space="preserve">jueces y de la redacción de la rúbrica, no solo del constructo evaluado.</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 La prioridad es calibrar</w:t>
      </w:r>
      <w:r>
        <w:t xml:space="preserve"> </w:t>
      </w:r>
      <w:r>
        <w:t xml:space="preserve">por dimensión: formalizar primero criterios verificables y añadir información</w:t>
      </w:r>
      <w:r>
        <w:t xml:space="preserve"> </w:t>
      </w:r>
      <w:r>
        <w:t xml:space="preserve">del stakeholder en las dimensiones dependientes del contexto. El gradiente no</w:t>
      </w:r>
      <w:r>
        <w:t xml:space="preserve"> </w:t>
      </w:r>
      <w:r>
        <w:t xml:space="preserve">autoriza un uso confirmativo, ni siquiera restringido a las dimensiones con</w:t>
      </w:r>
      <w:r>
        <w:t xml:space="preserve"> </w:t>
      </w:r>
      <w:r>
        <w:t xml:space="preserve">mayor acuerdo. En la condición primaria, el ICC(1,1) queda por debajo de 0.75</w:t>
      </w:r>
      <w:r>
        <w:t xml:space="preserve"> </w:t>
      </w:r>
      <w:r>
        <w:t xml:space="preserve">en todas las dimensiones y en ambas cohortes. Los cruces del umbral en las</w:t>
      </w:r>
      <w:r>
        <w:t xml:space="preserve"> </w:t>
      </w:r>
      <w:r>
        <w:t xml:space="preserve">vistas secundarias dependen de la redacción de la rúbrica y de la agregación, y</w:t>
      </w:r>
      <w:r>
        <w:t xml:space="preserve"> </w:t>
      </w:r>
      <w:r>
        <w:t xml:space="preserve">el orden de las dimensiones cambia de un panel a otro.</w:t>
      </w:r>
    </w:p>
    <w:p>
      <w:pPr>
        <w:pStyle w:val="Textoindependiente"/>
        <w:spacing w:line="360" w:lineRule="auto"/>
        <w:jc w:val="both"/>
      </w:pPr>
      <w:r>
        <w:rPr>
          <w:b/>
          <w:bCs/>
        </w:rPr>
        <w:t xml:space="preserve">Controles posteriores.</w:t>
      </w:r>
      <w:r>
        <w:t xml:space="preserve"> </w:t>
      </w:r>
      <w:r>
        <w:t xml:space="preserve">Tres análisis realizados después sobre la cohorte 2</w:t>
      </w:r>
      <w:r>
        <w:t xml:space="preserve"> </w:t>
      </w:r>
      <w:r>
        <w:t xml:space="preserve">examinan sobre qué recae el acuerdo observado, y una revisión del material</w:t>
      </w:r>
      <w:r>
        <w:t xml:space="preserve"> </w:t>
      </w:r>
      <w:r>
        <w:t xml:space="preserve">entregado a los jueces encontró que la condición primaria no ocultaba la</w:t>
      </w:r>
      <w:r>
        <w:t xml:space="preserve"> </w:t>
      </w:r>
      <w:r>
        <w:t xml:space="preserve">etiqueta de forma efectiva. Ambos puntos se reportan en §</w:t>
      </w:r>
      <w:hyperlink w:anchor="sec-seg-jueces">
        <w:r>
          <w:rPr>
            <w:rStyle w:val="Hipervnculo"/>
          </w:rPr>
          <w:t xml:space="preserve">6.5</w:t>
        </w:r>
      </w:hyperlink>
      <w:r>
        <w:t xml:space="preserve">.</w:t>
      </w:r>
      <w:r>
        <w:t xml:space="preserve"> </w:t>
      </w:r>
      <w:r>
        <w:t xml:space="preserve">Precisan la lectura del gradiente entre dimensiones y no modifican el resultado</w:t>
      </w:r>
      <w:r>
        <w:t xml:space="preserve"> </w:t>
      </w:r>
      <w:r>
        <w:t xml:space="preserve">negativo.</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reporta los estudios de seguimiento, que examinan</w:t>
      </w:r>
      <w:r>
        <w:t xml:space="preserve"> </w:t>
      </w:r>
      <w:r>
        <w:t xml:space="preserve">el alcance de validez de estas conclusiones ante el error de clasificación, el</w:t>
      </w:r>
      <w:r>
        <w:t xml:space="preserve"> </w:t>
      </w:r>
      <w:r>
        <w:t xml:space="preserve">cambio de explicador y el cambio de conjunto de datos, y añade controles al</w:t>
      </w:r>
      <w:r>
        <w:t xml:space="preserve"> </w:t>
      </w:r>
      <w:r>
        <w:t xml:space="preserve">estudio de fiabilidad inter-juez. El Capítulo 7 cierra la tesis sintetizando las</w:t>
      </w:r>
      <w:r>
        <w:t xml:space="preserve"> </w:t>
      </w:r>
      <w:r>
        <w:t xml:space="preserve">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96"/>
    <w:bookmarkEnd w:id="197"/>
    <w:bookmarkStart w:id="229" w:name="sec-seguimiento"/>
    <w:p>
      <w:pPr>
        <w:pStyle w:val="Ttulo1"/>
        <w:spacing w:line="360" w:lineRule="auto"/>
        <w:jc w:val="both"/>
      </w:pPr>
      <w:r>
        <w:t xml:space="preserve">Capítulo 6. </w:t>
      </w:r>
      <w:r>
        <w:t xml:space="preserve">Estudios de seguimiento: alcance de validez de las conclusiones</w:t>
      </w:r>
    </w:p>
    <w:p>
      <w:pPr>
        <w:pStyle w:val="FirstParagraph"/>
        <w:spacing w:line="360" w:lineRule="auto"/>
        <w:jc w:val="both"/>
      </w:pPr>
      <w:r>
        <w:t xml:space="preserve">Los capítulos anteriores responden a las hipótesis y proposiciones fijadas en el</w:t>
      </w:r>
      <w:r>
        <w:t xml:space="preserve"> </w:t>
      </w:r>
      <w:r>
        <w:t xml:space="preserve">plan confirmativo. Este capítulo reúne cuatro trabajos realizados después de ese</w:t>
      </w:r>
      <w:r>
        <w:t xml:space="preserve"> </w:t>
      </w:r>
      <w:r>
        <w:t xml:space="preserve">plan. Tres son estudios nuevos y el cuarto añade controles al Estudio de</w:t>
      </w:r>
      <w:r>
        <w:t xml:space="preserve"> </w:t>
      </w:r>
      <w:r>
        <w:t xml:space="preserve">Fiabilidad Inter-juez. Todos atienden a la cláusula final del objetivo general:</w:t>
      </w:r>
      <w:r>
        <w:t xml:space="preserve"> </w:t>
      </w:r>
      <w:r>
        <w:t xml:space="preserve">delimitar el alcance de validez de la evidencia obtenida. Cada uno examina un</w:t>
      </w:r>
      <w:r>
        <w:t xml:space="preserve"> </w:t>
      </w:r>
      <w:r>
        <w:t xml:space="preserve">eje sobre el cual una conclusión del benchmark podría no sostenerse: que la</w:t>
      </w:r>
      <w:r>
        <w:t xml:space="preserve"> </w:t>
      </w:r>
      <w:r>
        <w:t xml:space="preserve">predicción explicada sea errónea, que se cambie de explicador para la misma</w:t>
      </w:r>
      <w:r>
        <w:t xml:space="preserve"> </w:t>
      </w:r>
      <w:r>
        <w:t xml:space="preserve">instancia, que se cambie de conjunto de datos, y que el juez semántico acuerde</w:t>
      </w:r>
      <w:r>
        <w:t xml:space="preserve"> </w:t>
      </w:r>
      <w:r>
        <w:t xml:space="preserve">sobre algo distinto de la calidad de la explicación.</w:t>
      </w:r>
    </w:p>
    <w:bookmarkStart w:id="199" w:name="sec-seg-estatuto"/>
    <w:p>
      <w:pPr>
        <w:pStyle w:val="Ttulo2"/>
        <w:spacing w:line="360" w:lineRule="auto"/>
        <w:jc w:val="both"/>
      </w:pPr>
      <w:r>
        <w:t xml:space="preserve">6.1 </w:t>
      </w:r>
      <w:r>
        <w:t xml:space="preserve">Estatuto de estos estudios</w:t>
      </w:r>
    </w:p>
    <w:p>
      <w:pPr>
        <w:pStyle w:val="FirstParagraph"/>
        <w:spacing w:line="360" w:lineRule="auto"/>
        <w:jc w:val="both"/>
      </w:pPr>
      <w:r>
        <w:t xml:space="preserve">El estatuto de estos trabajos es distinto del de H1–H3 y P1, y se declara aquí</w:t>
      </w:r>
      <w:r>
        <w:t xml:space="preserve"> </w:t>
      </w:r>
      <w:r>
        <w:t xml:space="preserve">antes de reportar ningún resultado, por la misma razón que el Capítulo 1 lo</w:t>
      </w:r>
      <w:r>
        <w:t xml:space="preserve"> </w:t>
      </w:r>
      <w:r>
        <w:t xml:space="preserve">hace para P2.</w:t>
      </w:r>
    </w:p>
    <w:p>
      <w:pPr>
        <w:pStyle w:val="Compact"/>
        <w:numPr>
          <w:ilvl w:val="0"/>
          <w:numId w:val="1020"/>
        </w:numPr>
        <w:spacing w:line="360" w:lineRule="auto"/>
        <w:jc w:val="both"/>
      </w:pPr>
      <w:r>
        <w:rPr>
          <w:b/>
          <w:bCs/>
        </w:rPr>
        <w:t xml:space="preserve">Son posteriores.</w:t>
      </w:r>
      <w:r>
        <w:t xml:space="preserve"> </w:t>
      </w:r>
      <w:r>
        <w:t xml:space="preserve">Ninguno forma parte del plan inferencial congelado en la</w:t>
      </w:r>
      <w:r>
        <w:t xml:space="preserve"> </w:t>
      </w:r>
      <w:r>
        <w:t xml:space="preserve">puerta 1 del protocolo FOM-7. Se formularon después de conocer los resultados</w:t>
      </w:r>
      <w:r>
        <w:t xml:space="preserve"> </w:t>
      </w:r>
      <w:r>
        <w:t xml:space="preserve">de los estudios principales.</w:t>
      </w:r>
    </w:p>
    <w:p>
      <w:pPr>
        <w:pStyle w:val="Compact"/>
        <w:numPr>
          <w:ilvl w:val="0"/>
          <w:numId w:val="1020"/>
        </w:numPr>
        <w:spacing w:line="360" w:lineRule="auto"/>
        <w:jc w:val="both"/>
      </w:pPr>
      <w:r>
        <w:rPr>
          <w:b/>
          <w:bCs/>
        </w:rPr>
        <w:t xml:space="preserve">No añaden objetivos ni hipótesis a la tesis.</w:t>
      </w:r>
      <w:r>
        <w:t xml:space="preserve"> </w:t>
      </w:r>
      <w:r>
        <w:t xml:space="preserve">No se enuncia para ellos</w:t>
      </w:r>
      <w:r>
        <w:t xml:space="preserve"> </w:t>
      </w:r>
      <w:r>
        <w:t xml:space="preserve">ningún objetivo específico nuevo, porque un objetivo se formula antes de su</w:t>
      </w:r>
      <w:r>
        <w:t xml:space="preserve"> </w:t>
      </w:r>
      <w:r>
        <w:t xml:space="preserve">resultado. Se adscriben al objetivo general.</w:t>
      </w:r>
    </w:p>
    <w:p>
      <w:pPr>
        <w:pStyle w:val="Compact"/>
        <w:numPr>
          <w:ilvl w:val="0"/>
          <w:numId w:val="1020"/>
        </w:numPr>
        <w:spacing w:line="360" w:lineRule="auto"/>
        <w:jc w:val="both"/>
      </w:pPr>
      <w:r>
        <w:rPr>
          <w:b/>
          <w:bCs/>
        </w:rPr>
        <w:t xml:space="preserve">Cada uno tuvo su propio plan.</w:t>
      </w:r>
      <w:r>
        <w:t xml:space="preserve"> </w:t>
      </w:r>
      <w:r>
        <w:t xml:space="preserve">El plan de análisis de cada estudio se</w:t>
      </w:r>
      <w:r>
        <w:t xml:space="preserve"> </w:t>
      </w:r>
      <w:r>
        <w:t xml:space="preserve">registró en el repositorio antes de calcular sus resultados. Los análisis</w:t>
      </w:r>
      <w:r>
        <w:t xml:space="preserve"> </w:t>
      </w:r>
      <w:r>
        <w:t xml:space="preserve">añadidos después de ver resultados se señalan como</w:t>
      </w:r>
      <w:r>
        <w:t xml:space="preserve"> </w:t>
      </w:r>
      <w:r>
        <w:rPr>
          <w:i/>
          <w:iCs/>
        </w:rPr>
        <w:t xml:space="preserve">post hoc</w:t>
      </w:r>
      <w:r>
        <w:t xml:space="preserve"> </w:t>
      </w:r>
      <w:r>
        <w:t xml:space="preserve">en el texto.</w:t>
      </w:r>
    </w:p>
    <w:p>
      <w:pPr>
        <w:pStyle w:val="Compact"/>
        <w:numPr>
          <w:ilvl w:val="0"/>
          <w:numId w:val="1020"/>
        </w:numPr>
        <w:spacing w:line="360" w:lineRule="auto"/>
        <w:jc w:val="both"/>
      </w:pPr>
      <w:r>
        <w:rPr>
          <w:b/>
          <w:bCs/>
        </w:rPr>
        <w:t xml:space="preserve">No modifican la resolución de las hipótesis.</w:t>
      </w:r>
      <w:r>
        <w:t xml:space="preserve"> </w:t>
      </w:r>
      <w:r>
        <w:t xml:space="preserve">El resultado de H1, H2, H3,</w:t>
      </w:r>
      <w:r>
        <w:t xml:space="preserve"> </w:t>
      </w:r>
      <w:r>
        <w:t xml:space="preserve">P1 y P2 es el reportado en los capítulos anteriores. Lo que estos estudios</w:t>
      </w:r>
      <w:r>
        <w:t xml:space="preserve"> </w:t>
      </w:r>
      <w:r>
        <w:t xml:space="preserve">cambian es la extensión con que esos resultados pueden generalizarse.</w:t>
      </w:r>
    </w:p>
    <w:tbl>
      <w:tblPr>
        <w:tblStyle w:val="Table"/>
        <w:tblW w:type="pct" w:w="5000"/>
        <w:jc w:val="center"/>
        <w:tblLayout w:type="fixed"/>
        <w:tblLook w:firstRow="0" w:lastRow="0" w:firstColumn="0" w:lastColumn="0" w:noHBand="0" w:noVBand="0" w:val="0000"/>
      </w:tblPr>
      <w:tblGrid>
        <w:gridCol w:w="7920"/>
      </w:tblGrid>
      <w:tr>
        <w:tc>
          <w:tcPr/>
          <w:bookmarkStart w:id="198" w:name="tbl-seg-estudios"/>
          <w:p>
            <w:pPr>
              <w:pStyle w:val="ImageCaption"/>
              <w:spacing w:before="200" w:line="360" w:lineRule="auto"/>
              <w:jc w:val="center"/>
            </w:pPr>
            <w:r>
              <w:t xml:space="preserve">Tabla 6.1: Estudios de seguimiento, pregunta y eje de validez que examina cada uno.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96"/>
              <w:gridCol w:w="3312"/>
              <w:gridCol w:w="2304"/>
              <w:gridCol w:w="1007"/>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Eje de validez</w:t>
                  </w:r>
                </w:p>
              </w:tc>
              <w:tc>
                <w:tcPr/>
                <w:p>
                  <w:pPr>
                    <w:pStyle w:val="Compact"/>
                    <w:jc w:val="both"/>
                    <w:jc w:val="center"/>
                    <w:spacing w:line="360" w:lineRule="auto"/>
                  </w:pPr>
                  <w:r>
                    <w:rPr>
                      <w:bCs/>
                      <w:b/>
                    </w:rPr>
                    <w:t xml:space="preserve">Datos</w:t>
                  </w:r>
                </w:p>
              </w:tc>
            </w:tr>
            <w:tr>
              <w:tc>
                <w:tcPr/>
                <w:p>
                  <w:pPr>
                    <w:pStyle w:val="Compact"/>
                    <w:jc w:val="both"/>
                    <w:jc w:val="center"/>
                    <w:spacing w:line="360" w:lineRule="auto"/>
                  </w:pPr>
                  <w:r>
                    <w:rPr>
                      <w:b/>
                      <w:bCs/>
                    </w:rPr>
                    <w:t xml:space="preserve">Estudio de Fiabilidad ante el Error</w:t>
                  </w:r>
                </w:p>
              </w:tc>
              <w:tc>
                <w:tcPr/>
                <w:p>
                  <w:pPr>
                    <w:pStyle w:val="Compact"/>
                    <w:jc w:val="both"/>
                    <w:jc w:val="center"/>
                    <w:spacing w:line="360" w:lineRule="auto"/>
                  </w:pPr>
                  <w:r>
                    <w:t xml:space="preserve">¿Son menos fiables las explicaciones cuando el modelo se equivoca?</w:t>
                  </w:r>
                </w:p>
              </w:tc>
              <w:tc>
                <w:tcPr/>
                <w:p>
                  <w:pPr>
                    <w:pStyle w:val="Compact"/>
                    <w:jc w:val="both"/>
                    <w:jc w:val="center"/>
                    <w:spacing w:line="360" w:lineRule="auto"/>
                  </w:pPr>
                  <w:r>
                    <w:t xml:space="preserve">Corrección de la predicción</w:t>
                  </w:r>
                </w:p>
              </w:tc>
              <w:tc>
                <w:tcPr/>
                <w:p>
                  <w:pPr>
                    <w:pStyle w:val="Compact"/>
                    <w:jc w:val="both"/>
                    <w:jc w:val="center"/>
                    <w:spacing w:line="360" w:lineRule="auto"/>
                  </w:pPr>
                  <w:r>
                    <w:t xml:space="preserve">Reanálisis de las ejecuciones del benchmark primario</w:t>
                  </w:r>
                </w:p>
              </w:tc>
            </w:tr>
            <w:tr>
              <w:tc>
                <w:tcPr/>
                <w:p>
                  <w:pPr>
                    <w:pStyle w:val="Compact"/>
                    <w:jc w:val="both"/>
                    <w:jc w:val="center"/>
                    <w:spacing w:line="360" w:lineRule="auto"/>
                  </w:pPr>
                  <w:r>
                    <w:rPr>
                      <w:b/>
                      <w:bCs/>
                    </w:rPr>
                    <w:t xml:space="preserve">Estudio de Concordancia entre Explicadores</w:t>
                  </w:r>
                </w:p>
              </w:tc>
              <w:tc>
                <w:tcPr/>
                <w:p>
                  <w:pPr>
                    <w:pStyle w:val="Compact"/>
                    <w:jc w:val="both"/>
                    <w:jc w:val="center"/>
                    <w:spacing w:line="360" w:lineRule="auto"/>
                  </w:pPr>
                  <w:r>
                    <w:t xml:space="preserve">¿Cuánto coinciden SHAP y LIME al explicar la misma instancia?</w:t>
                  </w:r>
                </w:p>
              </w:tc>
              <w:tc>
                <w:tcPr/>
                <w:p>
                  <w:pPr>
                    <w:pStyle w:val="Compact"/>
                    <w:jc w:val="both"/>
                    <w:jc w:val="center"/>
                    <w:spacing w:line="360" w:lineRule="auto"/>
                  </w:pPr>
                  <w:r>
                    <w:t xml:space="preserve">Elección del explicador</w:t>
                  </w:r>
                </w:p>
              </w:tc>
              <w:tc>
                <w:tcPr/>
                <w:p>
                  <w:pPr>
                    <w:pStyle w:val="Compact"/>
                    <w:jc w:val="both"/>
                    <w:jc w:val="center"/>
                    <w:spacing w:line="360" w:lineRule="auto"/>
                  </w:pPr>
                  <w:r>
                    <w:t xml:space="preserve">Benchmark primario y EXP3, con una cohorte nueva de LIME</w:t>
                  </w:r>
                </w:p>
              </w:tc>
            </w:tr>
            <w:tr>
              <w:tc>
                <w:tcPr/>
                <w:p>
                  <w:pPr>
                    <w:pStyle w:val="Compact"/>
                    <w:jc w:val="both"/>
                    <w:jc w:val="center"/>
                    <w:spacing w:line="360" w:lineRule="auto"/>
                  </w:pPr>
                  <w:r>
                    <w:rPr>
                      <w:b/>
                      <w:bCs/>
                    </w:rPr>
                    <w:t xml:space="preserve">Estudio de Transferencia entre Conjuntos de Datos</w:t>
                  </w:r>
                </w:p>
              </w:tc>
              <w:tc>
                <w:tcPr/>
                <w:p>
                  <w:pPr>
                    <w:pStyle w:val="Compact"/>
                    <w:jc w:val="both"/>
                    <w:jc w:val="center"/>
                    <w:spacing w:line="360" w:lineRule="auto"/>
                  </w:pPr>
                  <w:r>
                    <w:t xml:space="preserve">¿Se mantiene el orden de los métodos al cambiar de conjunto de datos?</w:t>
                  </w:r>
                </w:p>
              </w:tc>
              <w:tc>
                <w:tcPr/>
                <w:p>
                  <w:pPr>
                    <w:pStyle w:val="Compact"/>
                    <w:jc w:val="both"/>
                    <w:jc w:val="center"/>
                    <w:spacing w:line="360" w:lineRule="auto"/>
                  </w:pPr>
                  <w:r>
                    <w:t xml:space="preserve">Conjunto de datos</w:t>
                  </w:r>
                </w:p>
              </w:tc>
              <w:tc>
                <w:tcPr/>
                <w:p>
                  <w:pPr>
                    <w:pStyle w:val="Compact"/>
                    <w:jc w:val="both"/>
                    <w:jc w:val="center"/>
                    <w:spacing w:line="360" w:lineRule="auto"/>
                  </w:pPr>
                  <w:r>
                    <w:t xml:space="preserve">Experimento nuevo sobre 16 conjuntos de datos</w:t>
                  </w:r>
                </w:p>
              </w:tc>
            </w:tr>
            <w:tr>
              <w:tc>
                <w:tcPr/>
                <w:p>
                  <w:pPr>
                    <w:pStyle w:val="Compact"/>
                    <w:jc w:val="both"/>
                    <w:jc w:val="center"/>
                    <w:spacing w:line="360" w:lineRule="auto"/>
                  </w:pPr>
                  <w:r>
                    <w:rPr>
                      <w:b/>
                      <w:bCs/>
                    </w:rPr>
                    <w:t xml:space="preserve">Controles posteriores del Estudio de Fiabilidad Inter-juez</w:t>
                  </w:r>
                </w:p>
              </w:tc>
              <w:tc>
                <w:tcPr/>
                <w:p>
                  <w:pPr>
                    <w:pStyle w:val="Compact"/>
                    <w:jc w:val="both"/>
                    <w:jc w:val="center"/>
                    <w:spacing w:line="360" w:lineRule="auto"/>
                  </w:pPr>
                  <w:r>
                    <w:t xml:space="preserve">¿Sobre qué acuerdan los jueces cuando acuerdan?</w:t>
                  </w:r>
                </w:p>
              </w:tc>
              <w:tc>
                <w:tcPr/>
                <w:p>
                  <w:pPr>
                    <w:pStyle w:val="Compact"/>
                    <w:jc w:val="both"/>
                    <w:jc w:val="center"/>
                    <w:spacing w:line="360" w:lineRule="auto"/>
                  </w:pPr>
                  <w:r>
                    <w:t xml:space="preserve">Instrumento semántico</w:t>
                  </w:r>
                </w:p>
              </w:tc>
              <w:tc>
                <w:tcPr/>
                <w:p>
                  <w:pPr>
                    <w:pStyle w:val="Compact"/>
                    <w:jc w:val="both"/>
                    <w:jc w:val="center"/>
                    <w:spacing w:line="360" w:lineRule="auto"/>
                  </w:pPr>
                  <w:r>
                    <w:t xml:space="preserve">Segunda cohorte de EXP4</w:t>
                  </w:r>
                </w:p>
              </w:tc>
            </w:tr>
          </w:tbl>
          <w:bookmarkEnd w:id="198"/>
          <w:p>
            <w:pPr>
              <w:spacing w:line="360" w:lineRule="auto"/>
              <w:jc w:val="both"/>
            </w:pPr>
          </w:p>
        </w:tc>
      </w:tr>
    </w:tbl>
    <w:bookmarkEnd w:id="199"/>
    <w:bookmarkStart w:id="209" w:name="sec-seg-error"/>
    <w:p>
      <w:pPr>
        <w:pStyle w:val="Ttulo2"/>
        <w:spacing w:line="360" w:lineRule="auto"/>
        <w:jc w:val="both"/>
      </w:pPr>
      <w:r>
        <w:t xml:space="preserve">6.2 </w:t>
      </w:r>
      <w:r>
        <w:t xml:space="preserve">Estudio de Fiabilidad ante el Error</w:t>
      </w:r>
    </w:p>
    <w:p>
      <w:pPr>
        <w:pStyle w:val="FirstParagraph"/>
        <w:spacing w:line="360" w:lineRule="auto"/>
        <w:jc w:val="both"/>
      </w:pPr>
      <w:r>
        <w:rPr>
          <w:b/>
          <w:bCs/>
        </w:rPr>
        <w:t xml:space="preserve">Pregunta.</w:t>
      </w:r>
      <w:r>
        <w:t xml:space="preserve"> </w:t>
      </w:r>
      <w:r>
        <w:t xml:space="preserve">Una explicación se consulta sobre todo cuando la predicción está</w:t>
      </w:r>
      <w:r>
        <w:t xml:space="preserve"> </w:t>
      </w:r>
      <w:r>
        <w:t xml:space="preserve">en duda. Las métricas del Capítulo 4, en cambio, son promedios sobre todas las</w:t>
      </w:r>
      <w:r>
        <w:t xml:space="preserve"> </w:t>
      </w:r>
      <w:r>
        <w:t xml:space="preserve">instancias. Este estudio pregunta si la calidad de la explicación difiere entre</w:t>
      </w:r>
      <w:r>
        <w:t xml:space="preserve"> </w:t>
      </w:r>
      <w:r>
        <w:t xml:space="preserve">las instancias bien clasificadas y las mal clasificadas.</w:t>
      </w:r>
    </w:p>
    <w:p>
      <w:pPr>
        <w:pStyle w:val="Textoindependiente"/>
        <w:spacing w:line="360" w:lineRule="auto"/>
        <w:jc w:val="both"/>
      </w:pPr>
      <w:r>
        <w:rPr>
          <w:b/>
          <w:bCs/>
        </w:rPr>
        <w:t xml:space="preserve">Diseño.</w:t>
      </w:r>
      <w:r>
        <w:t xml:space="preserve"> </w:t>
      </w:r>
      <w:r>
        <w:t xml:space="preserve">Es un reanálisis de las ejecuciones del benchmark primario, cuyo</w:t>
      </w:r>
      <w:r>
        <w:t xml:space="preserve"> </w:t>
      </w:r>
      <w:r>
        <w:t xml:space="preserve">muestreo por cuadrante de error (§</w:t>
      </w:r>
      <w:hyperlink w:anchor="sec-muestreo">
        <w:r>
          <w:rPr>
            <w:rStyle w:val="Hipervnculo"/>
          </w:rPr>
          <w:t xml:space="preserve">3.4</w:t>
        </w:r>
      </w:hyperlink>
      <w:r>
        <w:t xml:space="preserve">) deja representadas en</w:t>
      </w:r>
      <w:r>
        <w:t xml:space="preserve"> </w:t>
      </w:r>
      <w:r>
        <w:t xml:space="preserve">proporción similar las predicciones correctas y las erróneas. De las 299</w:t>
      </w:r>
      <w:r>
        <w:t xml:space="preserve"> </w:t>
      </w:r>
      <w:r>
        <w:t xml:space="preserve">ejecuciones se analizaron 265, que contienen 122,529 instancias explicadas. La</w:t>
      </w:r>
      <w:r>
        <w:t xml:space="preserve"> </w:t>
      </w:r>
      <w:r>
        <w:t xml:space="preserve">unidad de inferencia es la ejecución: para cada una se calcula la diferencia</w:t>
      </w:r>
      <w:r>
        <w:t xml:space="preserve"> </w:t>
      </w:r>
      <ns1:oMath>
        <ns1:r>
          <ns1:rPr>
            <ns1:sty ns1:val="p"/>
          </ns1:rPr>
          <ns1:t>Δ</ns1:t>
        </ns1:r>
      </ns1:oMath>
      <w:r>
        <w:t xml:space="preserve"> </w:t>
      </w:r>
      <w:r>
        <w:t xml:space="preserve">entre la media de la métrica en las instancias mal clasificadas y en</w:t>
      </w:r>
      <w:r>
        <w:t xml:space="preserve"> </w:t>
      </w:r>
      <w:r>
        <w:t xml:space="preserve">las bien clasificadas, de modo que un valor negativo indica menor calidad en</w:t>
      </w:r>
      <w:r>
        <w:t xml:space="preserve"> </w:t>
      </w:r>
      <w:r>
        <w:t xml:space="preserve">los errores. El contraste es una prueba de Wilcoxon bilateral por explicador y</w:t>
      </w:r>
      <w:r>
        <w:t xml:space="preserve"> </w:t>
      </w:r>
      <w:r>
        <w:t xml:space="preserve">métrica, con corrección de Holm sobre las doce pruebas</w:t>
      </w:r>
      <w:r>
        <w:t xml:space="preserve"> </w:t>
      </w:r>
      <w:r>
        <w:t xml:space="preserve">(Wilcoxon 1945)</w:t>
      </w:r>
      <w:r>
        <w:t xml:space="preserve"> </w:t>
      </w:r>
      <w:r>
        <w:t xml:space="preserve">y tamaño</w:t>
      </w:r>
      <w:r>
        <w:t xml:space="preserve"> </w:t>
      </w:r>
      <w:r>
        <w:t xml:space="preserve">de efecto</w:t>
      </w:r>
      <w:r>
        <w:t xml:space="preserve"> </w:t>
      </w:r>
      <ns1:oMath>
        <ns1:sSub>
          <ns1:e>
            <ns1:r>
              <ns1:t>d</ns1:t>
            </ns1:r>
          </ns1:e>
          <ns1:sub>
            <ns1:r>
              <ns1:t>z</ns1:t>
            </ns1:r>
          </ns1:sub>
        </ns1:sSub>
      </ns1:oMath>
      <w:r>
        <w:t xml:space="preserve"> </w:t>
      </w:r>
      <w:r>
        <w:t xml:space="preserve">(Lakens 2013)</w:t>
      </w:r>
      <w:r>
        <w:t xml:space="preserve">. Como los errores se concentran cerca de la</w:t>
      </w:r>
      <w:r>
        <w:t xml:space="preserve"> </w:t>
      </w:r>
      <w:r>
        <w:t xml:space="preserve">frontera de decisión, un segundo análisis ajusta por el margen de predicción</w:t>
      </w:r>
      <w:r>
        <w:t xml:space="preserve"> </w:t>
      </w:r>
      <ns1:oMath>
        <ns1:r>
          <ns1:rPr>
            <ns1:sty ns1:val="p"/>
          </ns1:rPr>
          <ns1:t>|</ns1:t>
        </ns1:r>
        <ns1:acc>
          <ns1:accPr>
            <ns1:chr ns1:val="̂"/>
          </ns1:accPr>
          <ns1:e>
            <ns1:r>
              <ns1:t>p</ns1:t>
            </ns1:r>
          </ns1:e>
        </ns1:acc>
        <ns1:r>
          <ns1:rPr>
            <ns1:sty ns1:val="p"/>
          </ns1:rPr>
          <ns1:t>−</ns1:t>
        </ns1:r>
        <ns1:r>
          <ns1:t>0.5</ns1:t>
        </ns1:r>
        <ns1:r>
          <ns1:rPr>
            <ns1:sty ns1:val="p"/>
          </ns1:rPr>
          <ns1:t>|</ns1:t>
        </ns1:r>
      </ns1:oMath>
      <w:r>
        <w:t xml:space="preserve"> </w:t>
      </w:r>
      <w:r>
        <w:t xml:space="preserve">mediante una regresión con efectos fijos de ejecución y</w:t>
      </w:r>
      <w:r>
        <w:t xml:space="preserve"> </w:t>
      </w:r>
      <w:r>
        <w:t xml:space="preserve">errores estándar agrupados por ejecución. German Credit sirve de contraste</w:t>
      </w:r>
      <w:r>
        <w:t xml:space="preserve"> </w:t>
      </w:r>
      <w:r>
        <w:t xml:space="preserve">externo descriptivo.</w:t>
      </w:r>
    </w:p>
    <w:p>
      <w:pPr>
        <w:pStyle w:val="Textoindependiente"/>
        <w:spacing w:line="360" w:lineRule="auto"/>
        <w:jc w:val="both"/>
      </w:pPr>
      <w:r>
        <w:rPr>
          <w:b/>
          <w:bCs/>
        </w:rPr>
        <w:t xml:space="preserve">Resultados.</w:t>
      </w:r>
      <w:r>
        <w:t xml:space="preserve"> </w:t>
      </w:r>
      <w:r>
        <w:t xml:space="preserve">La estabilidad fue menor en las instancias mal clasificadas para</w:t>
      </w:r>
      <w:r>
        <w:t xml:space="preserve"> </w:t>
      </w:r>
      <w:r>
        <w:t xml:space="preserve">los cuatro explicadores (</w:t>
      </w:r>
      <w:hyperlink w:anchor="tbl-seg-error">
        <w:r>
          <w:rPr>
            <w:rStyle w:val="Hipervnculo"/>
          </w:rPr>
          <w:t xml:space="preserve">Tabla 6.2</w:t>
        </w:r>
      </w:hyperlink>
      <w:r>
        <w:t xml:space="preserve"> </w:t>
      </w:r>
      <w:r>
        <w:t xml:space="preserve">y</w:t>
      </w:r>
      <w:r>
        <w:t xml:space="preserve"> </w:t>
      </w:r>
      <w:hyperlink w:anchor="fig-seg-error">
        <w:r>
          <w:rPr>
            <w:rStyle w:val="Hipervnculo"/>
          </w:rPr>
          <w:t xml:space="preserve">Figura 6.1</w:t>
        </w:r>
      </w:hyperlink>
      <w:r>
        <w:t xml:space="preserve">). El déficit fue grande para SHAP, en</w:t>
      </w:r>
      <w:r>
        <w:t xml:space="preserve"> </w:t>
      </w:r>
      <w:r>
        <w:t xml:space="preserve">las 65 ejecuciones, y para DiCE, en 67 de 68. Para LIME fue consistente pero</w:t>
      </w:r>
      <w:r>
        <w:t xml:space="preserve"> </w:t>
      </w:r>
      <w:r>
        <w:t xml:space="preserve">pequeño, porque su estabilidad en estos datos es cercana a cero. La fidelidad</w:t>
      </w:r>
      <w:r>
        <w:t xml:space="preserve"> </w:t>
      </w:r>
      <w:r>
        <w:t xml:space="preserve">cambió poco y en sentidos opuestos según el explicador. De las doce pruebas,</w:t>
      </w:r>
      <w:r>
        <w:t xml:space="preserve"> </w:t>
      </w:r>
      <w:r>
        <w:t xml:space="preserve">nueve fueron significativas y tres alcanzaron además el criterio de relevancia</w:t>
      </w:r>
      <w:r>
        <w:t xml:space="preserve"> </w:t>
      </w:r>
      <w:r>
        <w:t xml:space="preserve">práctica fijado en el plan: la estabilidad de SHAP, y la estabilidad y la</w:t>
      </w:r>
      <w:r>
        <w:t xml:space="preserve"> </w:t>
      </w:r>
      <w:r>
        <w:t xml:space="preserve">fidelidad de DiCE.</w:t>
      </w:r>
    </w:p>
    <w:tbl>
      <w:tblPr>
        <w:tblStyle w:val="Table"/>
        <w:tblW w:type="pct" w:w="5000"/>
        <w:jc w:val="center"/>
        <w:tblLayout w:type="fixed"/>
        <w:tblLook w:firstRow="0" w:lastRow="0" w:firstColumn="0" w:lastColumn="0" w:noHBand="0" w:noVBand="0" w:val="0000"/>
      </w:tblPr>
      <w:tblGrid>
        <w:gridCol w:w="7920"/>
      </w:tblGrid>
      <w:tr>
        <w:tc>
          <w:tcPr/>
          <w:bookmarkStart w:id="200" w:name="tbl-seg-error"/>
          <w:p>
            <w:pPr>
              <w:pStyle w:val="ImageCaption"/>
              <w:spacing w:before="200" w:line="360" w:lineRule="auto"/>
              <w:jc w:val="center"/>
            </w:pPr>
            <w:r>
              <w:t xml:space="preserve">Tabla 6.2: Estabilidad en instancias mal clasificadas frente a bien clasificadas (UCI</w:t>
            </w:r>
            <w:r>
              <w:t xml:space="preserve"> </w:t>
            </w:r>
            <w:r>
              <w:t xml:space="preserve">Adult).</w:t>
            </w:r>
            <w:r>
              <w:t xml:space="preserve"> </w:t>
            </w:r>
            <ns1:oMath>
              <ns1:r>
                <ns1:rPr>
                  <ns1:sty ns1:val="p"/>
                </ns1:rPr>
                <ns1:t>Δ</ns1:t>
              </ns1:r>
            </ns1:oMath>
            <w:r>
              <w:t xml:space="preserve">: diferencia por ejecución, mal clasificadas menos bien</w:t>
            </w:r>
            <w:r>
              <w:t xml:space="preserve"> </w:t>
            </w:r>
            <w:r>
              <w:t xml:space="preserve">clasificadas; las cuatro diferencias son significativas tras la corrección de</w:t>
            </w:r>
            <w:r>
              <w:t xml:space="preserve"> </w:t>
            </w:r>
            <w:r>
              <w:t xml:space="preserve">Holm.</w:t>
            </w:r>
            <w:r>
              <w:t xml:space="preserve"> </w:t>
            </w:r>
            <ns1:oMath>
              <ns1:r>
                <ns1:t>β</ns1:t>
              </ns1:r>
            </ns1:oMath>
            <w:r>
              <w:t xml:space="preserve">: coeficiente de la clasificación errónea en la regresión con</w:t>
            </w:r>
            <w:r>
              <w:t xml:space="preserve"> </w:t>
            </w:r>
            <w:r>
              <w:t xml:space="preserve">efectos fijos de ejecución, sin y con el margen de predicción, sobre las 223</w:t>
            </w:r>
            <w:r>
              <w:t xml:space="preserve"> </w:t>
            </w:r>
            <w:r>
              <w:t xml:space="preserve">ejecuciones cuyo modelo almacenado reproduce las predicciones registradas.</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021"/>
              <w:gridCol w:w="1107"/>
              <w:gridCol w:w="1788"/>
              <w:gridCol w:w="596"/>
              <w:gridCol w:w="1703"/>
              <w:gridCol w:w="1703"/>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Ejecuciones</w:t>
                  </w:r>
                </w:p>
              </w:tc>
              <w:tc>
                <w:tcPr/>
                <w:p>
                  <w:pPr>
                    <w:pStyle w:val="Compact"/>
                    <w:jc w:val="both"/>
                    <w:jc w:val="center"/>
                    <w:spacing w:line="360" w:lineRule="auto"/>
                  </w:pPr>
                  <w:r>
                    <w:rPr>
                      <w:bCs/>
                      <w:b/>
                    </w:rPr>
                    <w:t xml:space="preserve">Mediana de</w:t>
                  </w:r>
                  <w:r>
                    <w:rPr>
                      <w:bCs/>
                      <w:b/>
                    </w:rPr>
                    <w:t xml:space="preserve"> </w:t>
                  </w:r>
                  <ns1:oMath>
                    <ns1:r>
                      <ns1:rPr>
                        <ns1:sty ns1:val="p"/>
                      </ns1:rPr>
                      <ns1:t>Δ</ns1:t>
                    </ns1:r>
                  </ns1:oMath>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β</ns1:t>
                    </ns1:r>
                  </ns1:oMath>
                  <w:r>
                    <w:rPr>
                      <w:bCs/>
                      <w:b/>
                    </w:rPr>
                    <w:t xml:space="preserve"> </w:t>
                  </w:r>
                  <w:r>
                    <w:rPr>
                      <w:bCs/>
                      <w:b/>
                    </w:rPr>
                    <w:t xml:space="preserve">sin margen</w:t>
                  </w:r>
                </w:p>
              </w:tc>
              <w:tc>
                <w:tcPr/>
                <w:p>
                  <w:pPr>
                    <w:pStyle w:val="Compact"/>
                    <w:jc w:val="both"/>
                    <w:jc w:val="center"/>
                    <w:spacing w:line="360" w:lineRule="auto"/>
                  </w:pPr>
                  <ns1:oMath>
                    <ns1:r>
                      <ns1:t>β</ns1:t>
                    </ns1:r>
                  </ns1:oMath>
                  <w:r>
                    <w:rPr>
                      <w:bCs/>
                      <w:b/>
                    </w:rPr>
                    <w:t xml:space="preserve"> </w:t>
                  </w:r>
                  <w:r>
                    <w:rPr>
                      <w:bCs/>
                      <w:b/>
                    </w:rPr>
                    <w:t xml:space="preserve">con margen</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65</w:t>
                  </w:r>
                </w:p>
              </w:tc>
              <w:tc>
                <w:tcPr/>
                <w:p>
                  <w:pPr>
                    <w:pStyle w:val="Compact"/>
                    <w:jc w:val="both"/>
                    <w:jc w:val="center"/>
                    <w:spacing w:line="360" w:lineRule="auto"/>
                  </w:pPr>
                  <ns1:oMath>
                    <ns1:r>
                      <ns1:rPr>
                        <ns1:sty ns1:val="p"/>
                      </ns1:rPr>
                      <ns1:t>−</ns1:t>
                    </ns1:r>
                    <ns1:r>
                      <ns1:t>0.076</ns1:t>
                    </ns1:r>
                  </ns1:oMath>
                  <w:r>
                    <w:t xml:space="preserve">​</w:t>
                  </w:r>
                </w:p>
              </w:tc>
              <w:tc>
                <w:tcPr/>
                <w:p>
                  <w:pPr>
                    <w:pStyle w:val="Compact"/>
                    <w:jc w:val="both"/>
                    <w:jc w:val="center"/>
                    <w:spacing w:line="360" w:lineRule="auto"/>
                  </w:pPr>
                  <ns1:oMath>
                    <ns1:r>
                      <ns1:rPr>
                        <ns1:sty ns1:val="p"/>
                      </ns1:rPr>
                      <ns1:t>−</ns1:t>
                    </ns1:r>
                    <ns1:r>
                      <ns1:t>1.36</ns1:t>
                    </ns1:r>
                  </ns1:oMath>
                  <w:r>
                    <w:t xml:space="preserve">​</w:t>
                  </w:r>
                </w:p>
              </w:tc>
              <w:tc>
                <w:tcPr/>
                <w:p>
                  <w:pPr>
                    <w:pStyle w:val="Compact"/>
                    <w:jc w:val="both"/>
                    <w:jc w:val="center"/>
                    <w:spacing w:line="360" w:lineRule="auto"/>
                  </w:pPr>
                  <ns1:oMath>
                    <ns1:r>
                      <ns1:rPr>
                        <ns1:sty ns1:val="p"/>
                      </ns1:rPr>
                      <ns1:t>−</ns1:t>
                    </ns1:r>
                    <ns1:r>
                      <ns1:t>0.146</ns1:t>
                    </ns1:r>
                  </ns1:oMath>
                  <w:r>
                    <w:t xml:space="preserve">​</w:t>
                  </w:r>
                </w:p>
              </w:tc>
              <w:tc>
                <w:tcPr/>
                <w:p>
                  <w:pPr>
                    <w:pStyle w:val="Compact"/>
                    <w:jc w:val="both"/>
                    <w:jc w:val="center"/>
                    <w:spacing w:line="360" w:lineRule="auto"/>
                  </w:pPr>
                  <ns1:oMath>
                    <ns1:r>
                      <ns1:rPr>
                        <ns1:sty ns1:val="p"/>
                      </ns1:rPr>
                      <ns1:t>−</ns1:t>
                    </ns1:r>
                    <ns1:r>
                      <ns1:t>0.042</ns1:t>
                    </ns1:r>
                  </ns1:oMath>
                  <w:r>
                    <w:t xml:space="preserve">​</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ns1:oMath>
                    <ns1:r>
                      <ns1:rPr>
                        <ns1:sty ns1:val="p"/>
                      </ns1:rPr>
                      <ns1:t>−</ns1:t>
                    </ns1:r>
                    <ns1:r>
                      <ns1:t>0.003</ns1:t>
                    </ns1:r>
                  </ns1:oMath>
                  <w:r>
                    <w:t xml:space="preserve">​</w:t>
                  </w:r>
                </w:p>
              </w:tc>
              <w:tc>
                <w:tcPr/>
                <w:p>
                  <w:pPr>
                    <w:pStyle w:val="Compact"/>
                    <w:jc w:val="both"/>
                    <w:jc w:val="center"/>
                    <w:spacing w:line="360" w:lineRule="auto"/>
                  </w:pPr>
                  <ns1:oMath>
                    <ns1:r>
                      <ns1:rPr>
                        <ns1:sty ns1:val="p"/>
                      </ns1:rPr>
                      <ns1:t>−</ns1:t>
                    </ns1:r>
                    <ns1:r>
                      <ns1:t>1.06</ns1:t>
                    </ns1:r>
                  </ns1:oMath>
                  <w:r>
                    <w:t xml:space="preserve">​</w:t>
                  </w:r>
                </w:p>
              </w:tc>
              <w:tc>
                <w:tcPr/>
                <w:p>
                  <w:pPr>
                    <w:pStyle w:val="Compact"/>
                    <w:jc w:val="both"/>
                    <w:jc w:val="center"/>
                    <w:spacing w:line="360" w:lineRule="auto"/>
                  </w:pPr>
                  <ns1:oMath>
                    <ns1:r>
                      <ns1:rPr>
                        <ns1:sty ns1:val="p"/>
                      </ns1:rPr>
                      <ns1:t>−</ns1:t>
                    </ns1:r>
                    <ns1:r>
                      <ns1:t>0.008</ns1:t>
                    </ns1:r>
                  </ns1:oMath>
                  <w:r>
                    <w:t xml:space="preserve">​</w:t>
                  </w:r>
                </w:p>
              </w:tc>
              <w:tc>
                <w:tcPr/>
                <w:p>
                  <w:pPr>
                    <w:pStyle w:val="Compact"/>
                    <w:jc w:val="both"/>
                    <w:jc w:val="center"/>
                    <w:spacing w:line="360" w:lineRule="auto"/>
                  </w:pPr>
                  <ns1:oMath>
                    <ns1:r>
                      <ns1:rPr>
                        <ns1:sty ns1:val="p"/>
                      </ns1:rPr>
                      <ns1:t>−</ns1:t>
                    </ns1:r>
                    <ns1:r>
                      <ns1:t>0.003</ns1:t>
                    </ns1:r>
                  </ns1:oMath>
                  <w:r>
                    <w:t xml:space="preserve">​</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57</w:t>
                  </w:r>
                </w:p>
              </w:tc>
              <w:tc>
                <w:tcPr/>
                <w:p>
                  <w:pPr>
                    <w:pStyle w:val="Compact"/>
                    <w:jc w:val="both"/>
                    <w:jc w:val="center"/>
                    <w:spacing w:line="360" w:lineRule="auto"/>
                  </w:pPr>
                  <ns1:oMath>
                    <ns1:r>
                      <ns1:t>0.000</ns1:t>
                    </ns1:r>
                  </ns1:oMath>
                  <w:r>
                    <w:t xml:space="preserve">​</w:t>
                  </w:r>
                </w:p>
              </w:tc>
              <w:tc>
                <w:tcPr/>
                <w:p>
                  <w:pPr>
                    <w:pStyle w:val="Compact"/>
                    <w:jc w:val="both"/>
                    <w:jc w:val="center"/>
                    <w:spacing w:line="360" w:lineRule="auto"/>
                  </w:pPr>
                  <ns1:oMath>
                    <ns1:r>
                      <ns1:rPr>
                        <ns1:sty ns1:val="p"/>
                      </ns1:rPr>
                      <ns1:t>−</ns1:t>
                    </ns1:r>
                    <ns1:r>
                      <ns1:t>0.28</ns1:t>
                    </ns1:r>
                  </ns1:oMath>
                  <w:r>
                    <w:t xml:space="preserve">​</w:t>
                  </w:r>
                </w:p>
              </w:tc>
              <w:tc>
                <w:tcPr/>
                <w:p>
                  <w:pPr>
                    <w:pStyle w:val="Compact"/>
                    <w:jc w:val="both"/>
                    <w:jc w:val="center"/>
                    <w:spacing w:line="360" w:lineRule="auto"/>
                  </w:pPr>
                  <ns1:oMath>
                    <ns1:r>
                      <ns1:rPr>
                        <ns1:sty ns1:val="p"/>
                      </ns1:rPr>
                      <ns1:t>−</ns1:t>
                    </ns1:r>
                    <ns1:r>
                      <ns1:t>0.030</ns1:t>
                    </ns1:r>
                  </ns1:oMath>
                  <w:r>
                    <w:t xml:space="preserve">​</w:t>
                  </w:r>
                </w:p>
              </w:tc>
              <w:tc>
                <w:tcPr/>
                <w:p>
                  <w:pPr>
                    <w:pStyle w:val="Compact"/>
                    <w:jc w:val="both"/>
                    <w:jc w:val="center"/>
                    <w:spacing w:line="360" w:lineRule="auto"/>
                  </w:pPr>
                  <ns1:oMath>
                    <ns1:r>
                      <ns1:rPr>
                        <ns1:sty ns1:val="p"/>
                      </ns1:rPr>
                      <ns1:t>−</ns1:t>
                    </ns1:r>
                    <ns1:r>
                      <ns1:t>0.025</ns1:t>
                    </ns1:r>
                  </ns1:oMath>
                  <w:r>
                    <w:t xml:space="preserv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68</w:t>
                  </w:r>
                </w:p>
              </w:tc>
              <w:tc>
                <w:tcPr/>
                <w:p>
                  <w:pPr>
                    <w:pStyle w:val="Compact"/>
                    <w:jc w:val="both"/>
                    <w:jc w:val="center"/>
                    <w:spacing w:line="360" w:lineRule="auto"/>
                  </w:pPr>
                  <ns1:oMath>
                    <ns1:r>
                      <ns1:rPr>
                        <ns1:sty ns1:val="p"/>
                      </ns1:rPr>
                      <ns1:t>−</ns1:t>
                    </ns1:r>
                    <ns1:r>
                      <ns1:t>0.210</ns1:t>
                    </ns1:r>
                  </ns1:oMath>
                  <w:r>
                    <w:t xml:space="preserve">​</w:t>
                  </w:r>
                </w:p>
              </w:tc>
              <w:tc>
                <w:tcPr/>
                <w:p>
                  <w:pPr>
                    <w:pStyle w:val="Compact"/>
                    <w:jc w:val="both"/>
                    <w:jc w:val="center"/>
                    <w:spacing w:line="360" w:lineRule="auto"/>
                  </w:pPr>
                  <ns1:oMath>
                    <ns1:r>
                      <ns1:rPr>
                        <ns1:sty ns1:val="p"/>
                      </ns1:rPr>
                      <ns1:t>−</ns1:t>
                    </ns1:r>
                    <ns1:r>
                      <ns1:t>2.15</ns1:t>
                    </ns1:r>
                  </ns1:oMath>
                  <w:r>
                    <w:t xml:space="preserve">​</w:t>
                  </w:r>
                </w:p>
              </w:tc>
              <w:tc>
                <w:tcPr/>
                <w:p>
                  <w:pPr>
                    <w:pStyle w:val="Compact"/>
                    <w:jc w:val="both"/>
                    <w:jc w:val="center"/>
                    <w:spacing w:line="360" w:lineRule="auto"/>
                  </w:pPr>
                  <ns1:oMath>
                    <ns1:r>
                      <ns1:rPr>
                        <ns1:sty ns1:val="p"/>
                      </ns1:rPr>
                      <ns1:t>−</ns1:t>
                    </ns1:r>
                    <ns1:r>
                      <ns1:t>0.191</ns1:t>
                    </ns1:r>
                  </ns1:oMath>
                  <w:r>
                    <w:t xml:space="preserve">​</w:t>
                  </w:r>
                </w:p>
              </w:tc>
              <w:tc>
                <w:tcPr/>
                <w:p>
                  <w:pPr>
                    <w:pStyle w:val="Compact"/>
                    <w:jc w:val="both"/>
                    <w:jc w:val="center"/>
                    <w:spacing w:line="360" w:lineRule="auto"/>
                  </w:pPr>
                  <ns1:oMath>
                    <ns1:r>
                      <ns1:rPr>
                        <ns1:sty ns1:val="p"/>
                      </ns1:rPr>
                      <ns1:t>−</ns1:t>
                    </ns1:r>
                    <ns1:r>
                      <ns1:t>0.014</ns1:t>
                    </ns1:r>
                  </ns1:oMath>
                  <w:r>
                    <w:t xml:space="preserve">​</w:t>
                  </w:r>
                </w:p>
              </w:tc>
            </w:tr>
          </w:tbl>
          <w:bookmarkEnd w:id="200"/>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204" w:name="fig-seg-error"/>
          <w:p>
            <w:pPr>
              <w:pStyle w:val="Compact"/>
              <w:jc w:val="center"/>
              <w:spacing w:line="360" w:lineRule="auto"/>
            </w:pPr>
            <w:r>
              <w:drawing>
                <ns2:inline>
                  <ns2:extent cx="5646420" cy="1953023"/>
                  <ns2:effectExtent b="0" l="0" r="0" t="0"/>
                  <ns2:docPr descr="" title="" id="202" name="Picture"/>
                  <ns3:graphic>
                    <ns3:graphicData uri="http://schemas.openxmlformats.org/drawingml/2006/picture">
                      <ns4:pic>
                        <ns4:nvPicPr>
                          <ns4:cNvPr descr="assets/figures/fig_seg_error_es.png" id="203" name="Picture"/>
                          <ns4:cNvPicPr>
                            <ns3:picLocks noChangeArrowheads="1" noChangeAspect="1"/>
                          </ns4:cNvPicPr>
                        </ns4:nvPicPr>
                        <ns4:blipFill>
                          <ns3:blip ns5:embed="rId201"/>
                          <ns3:stretch>
                            <ns3:fillRect/>
                          </ns3:stretch>
                        </ns4:blipFill>
                        <ns4:spPr bwMode="auto">
                          <ns3:xfrm>
                            <ns3:off x="0" y="0"/>
                            <ns3:ext cx="5646420" cy="1953023"/>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6.1: Diferencia de calidad entre instancias mal clasificadas y bien clasificadas,</w:t>
            </w:r>
            <w:r>
              <w:t xml:space="preserve"> </w:t>
            </w:r>
            <w:r>
              <w:t xml:space="preserve">por explicador y métrica (UCI Adult). Cada punto es la media por ejecución de la</w:t>
            </w:r>
            <w:r>
              <w:t xml:space="preserve"> </w:t>
            </w:r>
            <w:r>
              <w:t xml:space="preserve">diferencia, con su intervalo del 95 %; el marcador relleno indica una diferencia</w:t>
            </w:r>
            <w:r>
              <w:t xml:space="preserve"> </w:t>
            </w:r>
            <w:r>
              <w:t xml:space="preserve">significativa tras la corrección de Holm. Los valores negativos indican menor</w:t>
            </w:r>
            <w:r>
              <w:t xml:space="preserve"> </w:t>
            </w:r>
            <w:r>
              <w:t xml:space="preserve">calidad en los errores. El panel central muestra el resultado principal: la</w:t>
            </w:r>
            <w:r>
              <w:t xml:space="preserve"> </w:t>
            </w:r>
            <w:r>
              <w:t xml:space="preserve">estabilidad es menor en los errores para los cuatro</w:t>
            </w:r>
            <w:r>
              <w:t xml:space="preserve"> </w:t>
            </w:r>
            <w:r>
              <w:t xml:space="preserve">explicadores.</w:t>
            </w:r>
          </w:p>
          <w:bookmarkEnd w:id="204"/>
        </w:tc>
      </w:tr>
    </w:tbl>
    <w:p>
      <w:pPr>
        <w:pStyle w:val="Textoindependiente"/>
        <w:spacing w:line="360" w:lineRule="auto"/>
        <w:jc w:val="both"/>
      </w:pPr>
      <w:r>
        <w:t xml:space="preserve">El ajuste por el margen separa dos causas (</w:t>
      </w:r>
      <w:hyperlink w:anchor="fig-seg-margen">
        <w:r>
          <w:rPr>
            <w:rStyle w:val="Hipervnculo"/>
          </w:rPr>
          <w:t xml:space="preserve">Figura 6.2</w:t>
        </w:r>
      </w:hyperlink>
      <w:r>
        <w:t xml:space="preserve">). Los errores están más cerca de la</w:t>
      </w:r>
      <w:r>
        <w:t xml:space="preserve"> </w:t>
      </w:r>
      <w:r>
        <w:t xml:space="preserve">frontera: en las ejecuciones de SHAP, la mediana del margen es 0.18 en los</w:t>
      </w:r>
      <w:r>
        <w:t xml:space="preserve"> </w:t>
      </w:r>
      <w:r>
        <w:t xml:space="preserve">errores frente a 0.43 en los aciertos. Con el margen controlado, el déficit de</w:t>
      </w:r>
      <w:r>
        <w:t xml:space="preserve"> </w:t>
      </w:r>
      <w:r>
        <w:t xml:space="preserve">DiCE casi desaparece (</w:t>
      </w:r>
      <ns1:oMath>
        <ns1:r>
          <ns1:rPr>
            <ns1:sty ns1:val="p"/>
          </ns1:rPr>
          <ns1:t>−</ns1:t>
        </ns1:r>
        <ns1:r>
          <ns1:t>0.014</ns1:t>
        </ns1:r>
      </ns1:oMath>
      <w:r>
        <w:t xml:space="preserve">): cerca de la frontera un contrafactual requiere</w:t>
      </w:r>
      <w:r>
        <w:t xml:space="preserve"> </w:t>
      </w:r>
      <w:r>
        <w:t xml:space="preserve">un cambio pequeño, que varía más bajo ruido, sea correcta o no la predicción.</w:t>
      </w:r>
      <w:r>
        <w:t xml:space="preserve"> </w:t>
      </w:r>
      <w:r>
        <w:t xml:space="preserve">El déficit de SHAP se reduce pero permanece (</w:t>
      </w:r>
      <ns1:oMath>
        <ns1:r>
          <ns1:rPr>
            <ns1:sty ns1:val="p"/>
          </ns1:rPr>
          <ns1:t>−</ns1:t>
        </ns1:r>
        <ns1:r>
          <ns1:t>0.042</ns1:t>
        </ns1:r>
      </ns1:oMath>
      <w:r>
        <w:t xml:space="preserve">). A igual margen, además,</w:t>
      </w:r>
      <w:r>
        <w:t xml:space="preserve"> </w:t>
      </w:r>
      <w:r>
        <w:t xml:space="preserve">las características que SHAP sitúa primero sostienen una parte menor de una</w:t>
      </w:r>
      <w:r>
        <w:t xml:space="preserve"> </w:t>
      </w:r>
      <w:r>
        <w:t xml:space="preserve">predicción errónea.</w:t>
      </w:r>
    </w:p>
    <w:tbl>
      <w:tblPr>
        <w:tblStyle w:val="Table"/>
        <w:tblW w:type="pct" w:w="5000"/>
        <w:jc w:val="center"/>
        <w:tblLayout w:type="fixed"/>
        <w:tblLook w:firstRow="0" w:lastRow="0" w:firstColumn="0" w:lastColumn="0" w:noHBand="0" w:noVBand="0" w:val="0000"/>
      </w:tblPr>
      <w:tblGrid>
        <w:gridCol w:w="7920"/>
      </w:tblGrid>
      <w:tr>
        <w:tc>
          <w:tcPr/>
          <w:bookmarkStart w:id="208" w:name="fig-seg-margen"/>
          <w:p>
            <w:pPr>
              <w:pStyle w:val="Compact"/>
              <w:jc w:val="center"/>
              <w:spacing w:line="360" w:lineRule="auto"/>
            </w:pPr>
            <w:r>
              <w:drawing>
                <ns2:inline>
                  <ns2:extent cx="5646420" cy="1964215"/>
                  <ns2:effectExtent b="0" l="0" r="0" t="0"/>
                  <ns2:docPr descr="" title="" id="206" name="Picture"/>
                  <ns3:graphic>
                    <ns3:graphicData uri="http://schemas.openxmlformats.org/drawingml/2006/picture">
                      <ns4:pic>
                        <ns4:nvPicPr>
                          <ns4:cNvPr descr="assets/figures/fig_seg_margen_es.png" id="207" name="Picture"/>
                          <ns4:cNvPicPr>
                            <ns3:picLocks noChangeArrowheads="1" noChangeAspect="1"/>
                          </ns4:cNvPicPr>
                        </ns4:nvPicPr>
                        <ns4:blipFill>
                          <ns3:blip ns5:embed="rId205"/>
                          <ns3:stretch>
                            <ns3:fillRect/>
                          </ns3:stretch>
                        </ns4:blipFill>
                        <ns4:spPr bwMode="auto">
                          <ns3:xfrm>
                            <ns3:off x="0" y="0"/>
                            <ns3:ext cx="5646420" cy="1964215"/>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6.2: Estabilidad media según el margen de predicción, para instancias bien y mal</w:t>
            </w:r>
            <w:r>
              <w:t xml:space="preserve"> </w:t>
            </w:r>
            <w:r>
              <w:t xml:space="preserve">clasificadas (UCI Adult). En SHAP, la línea de las instancias mal clasificadas</w:t>
            </w:r>
            <w:r>
              <w:t xml:space="preserve"> </w:t>
            </w:r>
            <w:r>
              <w:t xml:space="preserve">queda por debajo en todos los intervalos de margen: el déficit no se debe solo a</w:t>
            </w:r>
            <w:r>
              <w:t xml:space="preserve"> </w:t>
            </w:r>
            <w:r>
              <w:t xml:space="preserve">la cercanía a la frontera. En DiCE, las dos líneas coinciden hasta márgenes</w:t>
            </w:r>
            <w:r>
              <w:t xml:space="preserve"> </w:t>
            </w:r>
            <w:r>
              <w:t xml:space="preserve">altos: a igual margen, el déficit casi</w:t>
            </w:r>
            <w:r>
              <w:t xml:space="preserve"> </w:t>
            </w:r>
            <w:r>
              <w:t xml:space="preserve">desaparece.</w:t>
            </w:r>
          </w:p>
          <w:bookmarkEnd w:id="208"/>
        </w:tc>
      </w:tr>
    </w:tbl>
    <w:p>
      <w:pPr>
        <w:pStyle w:val="Textoindependiente"/>
        <w:spacing w:line="360" w:lineRule="auto"/>
        <w:jc w:val="both"/>
      </w:pPr>
      <w:r>
        <w:t xml:space="preserve">Una comprobación se añadió</w:t>
      </w:r>
      <w:r>
        <w:t xml:space="preserve"> </w:t>
      </w:r>
      <w:r>
        <w:rPr>
          <w:i/>
          <w:iCs/>
        </w:rPr>
        <w:t xml:space="preserve">post hoc</w:t>
      </w:r>
      <w:r>
        <w:t xml:space="preserve">. Parte de las instancias explicadas</w:t>
      </w:r>
      <w:r>
        <w:t xml:space="preserve"> </w:t>
      </w:r>
      <w:r>
        <w:t xml:space="preserve">pertenece a los datos de entrenamiento de los modelos (70,788 de las</w:t>
      </w:r>
      <w:r>
        <w:t xml:space="preserve"> </w:t>
      </w:r>
      <w:r>
        <w:t xml:space="preserve">analizadas). Sobre las instancias fuera de entrenamiento, el déficit de</w:t>
      </w:r>
      <w:r>
        <w:t xml:space="preserve"> </w:t>
      </w:r>
      <w:r>
        <w:t xml:space="preserve">estabilidad se mantiene: la mediana es</w:t>
      </w:r>
      <w:r>
        <w:t xml:space="preserve"> </w:t>
      </w:r>
      <ns1:oMath>
        <ns1:r>
          <ns1:rPr>
            <ns1:sty ns1:val="p"/>
          </ns1:rPr>
          <ns1:t>−</ns1:t>
        </ns1:r>
        <ns1:r>
          <ns1:t>0.068</ns1:t>
        </ns1:r>
      </ns1:oMath>
      <w:r>
        <w:t xml:space="preserve"> </w:t>
      </w:r>
      <w:r>
        <w:t xml:space="preserve">para SHAP y</w:t>
      </w:r>
      <w:r>
        <w:t xml:space="preserve"> </w:t>
      </w:r>
      <ns1:oMath>
        <ns1:r>
          <ns1:rPr>
            <ns1:sty ns1:val="p"/>
          </ns1:rPr>
          <ns1:t>−</ns1:t>
        </ns1:r>
        <ns1:r>
          <ns1:t>0.212</ns1:t>
        </ns1:r>
      </ns1:oMath>
      <w:r>
        <w:t xml:space="preserve"> </w:t>
      </w:r>
      <w:r>
        <w:t xml:space="preserve">para DiCE.</w:t>
      </w:r>
    </w:p>
    <w:p>
      <w:pPr>
        <w:pStyle w:val="Textoindependiente"/>
        <w:spacing w:line="360" w:lineRule="auto"/>
        <w:jc w:val="both"/>
      </w:pPr>
      <w:r>
        <w:rPr>
          <w:b/>
          <w:bCs/>
        </w:rPr>
        <w:t xml:space="preserve">Límites.</w:t>
      </w:r>
      <w:r>
        <w:t xml:space="preserve"> </w:t>
      </w:r>
      <w:r>
        <w:t xml:space="preserve">El patrón depende de la familia de modelos. El contraste externo</w:t>
      </w:r>
      <w:r>
        <w:t xml:space="preserve"> </w:t>
      </w:r>
      <w:r>
        <w:t xml:space="preserve">no reproduce el déficit de estabilidad de SHAP: en German Credit, la estabilidad</w:t>
      </w:r>
      <w:r>
        <w:t xml:space="preserve"> </w:t>
      </w:r>
      <w:r>
        <w:t xml:space="preserve">de SHAP fue mayor en los errores en cuatro de seis ejecuciones (mediana</w:t>
      </w:r>
      <w:r>
        <w:t xml:space="preserve"> </w:t>
      </w:r>
      <ns1:oMath>
        <ns1:r>
          <ns1:rPr>
            <ns1:sty ns1:val="p"/>
          </ns1:rPr>
          <ns1:t>+</ns1:t>
        </ns1:r>
        <ns1:r>
          <ns1:t>0.025</ns1:t>
        </ns1:r>
      </ns1:oMath>
      <w:r>
        <w:t xml:space="preserve">), y la causa de esa inversión no se conoce. El contraste externo</w:t>
      </w:r>
      <w:r>
        <w:t xml:space="preserve"> </w:t>
      </w:r>
      <w:r>
        <w:t xml:space="preserve">dispone de seis ejecuciones por explicador y solo de modelos de árboles. Las</w:t>
      </w:r>
      <w:r>
        <w:t xml:space="preserve"> </w:t>
      </w:r>
      <w:r>
        <w:t xml:space="preserve">métricas son las</w:t>
      </w:r>
      <w:r>
        <w:t xml:space="preserve"> </w:t>
      </w:r>
      <w:r>
        <w:rPr>
          <w:i/>
          <w:iCs/>
        </w:rPr>
        <w:t xml:space="preserve">proxies</w:t>
      </w:r>
      <w:r>
        <w:t xml:space="preserve"> </w:t>
      </w:r>
      <w:r>
        <w:t xml:space="preserve">del Capítulo 3: que un usuario resulte engañado por</w:t>
      </w:r>
      <w:r>
        <w:t xml:space="preserve"> </w:t>
      </w:r>
      <w:r>
        <w:t xml:space="preserve">la explicación de una predicción errónea no se ha medido.</w:t>
      </w:r>
    </w:p>
    <w:p>
      <w:pPr>
        <w:pStyle w:val="Textoindependiente"/>
        <w:spacing w:line="360" w:lineRule="auto"/>
        <w:jc w:val="both"/>
      </w:pPr>
      <w:r>
        <w:rPr>
          <w:b/>
          <w:bCs/>
        </w:rPr>
        <w:t xml:space="preserve">Consecuencia.</w:t>
      </w:r>
      <w:r>
        <w:t xml:space="preserve"> </w:t>
      </w:r>
      <w:r>
        <w:t xml:space="preserve">Los promedios del Capítulo 4 describen mejor las explicaciones</w:t>
      </w:r>
      <w:r>
        <w:t xml:space="preserve"> </w:t>
      </w:r>
      <w:r>
        <w:t xml:space="preserve">de las predicciones correctas que las de las erróneas. Una auditoría que use</w:t>
      </w:r>
      <w:r>
        <w:t xml:space="preserve"> </w:t>
      </w:r>
      <w:r>
        <w:t xml:space="preserve">estos métodos debería reportar la calidad de la explicación por separado para</w:t>
      </w:r>
      <w:r>
        <w:t xml:space="preserve"> </w:t>
      </w:r>
      <w:r>
        <w:t xml:space="preserve">aciertos y errores, y comprobar la estabilidad de la explicación concreta que</w:t>
      </w:r>
      <w:r>
        <w:t xml:space="preserve"> </w:t>
      </w:r>
      <w:r>
        <w:t xml:space="preserve">se emplee para impugnar o justificar una decisión.</w:t>
      </w:r>
    </w:p>
    <w:bookmarkEnd w:id="209"/>
    <w:bookmarkStart w:id="215" w:name="sec-seg-concordancia"/>
    <w:p>
      <w:pPr>
        <w:pStyle w:val="Ttulo2"/>
        <w:spacing w:line="360" w:lineRule="auto"/>
        <w:jc w:val="both"/>
      </w:pPr>
      <w:r>
        <w:t xml:space="preserve">6.3 </w:t>
      </w:r>
      <w:r>
        <w:t xml:space="preserve">Estudio de Concordancia entre Explicadores</w:t>
      </w:r>
    </w:p>
    <w:p>
      <w:pPr>
        <w:pStyle w:val="FirstParagraph"/>
        <w:spacing w:line="360" w:lineRule="auto"/>
        <w:jc w:val="both"/>
      </w:pPr>
      <w:r>
        <w:rPr>
          <w:b/>
          <w:bCs/>
        </w:rPr>
        <w:t xml:space="preserve">Pregunta.</w:t>
      </w:r>
      <w:r>
        <w:t xml:space="preserve"> </w:t>
      </w:r>
      <w:r>
        <w:t xml:space="preserve">El Estudio Pareado LIME–SHAP compara los dos métodos por sus</w:t>
      </w:r>
      <w:r>
        <w:t xml:space="preserve"> </w:t>
      </w:r>
      <w:r>
        <w:t xml:space="preserve">métricas de calidad. No dice si, para una misma predicción, ambos señalan las</w:t>
      </w:r>
      <w:r>
        <w:t xml:space="preserve"> </w:t>
      </w:r>
      <w:r>
        <w:t xml:space="preserve">mismas características. Este estudio mide esa concordancia instancia por</w:t>
      </w:r>
      <w:r>
        <w:t xml:space="preserve"> </w:t>
      </w:r>
      <w:r>
        <w:t xml:space="preserve">instancia.</w:t>
      </w:r>
    </w:p>
    <w:p>
      <w:pPr>
        <w:pStyle w:val="Textoindependiente"/>
        <w:spacing w:line="360" w:lineRule="auto"/>
        <w:jc w:val="both"/>
      </w:pPr>
      <w:r>
        <w:rPr>
          <w:b/>
          <w:bCs/>
        </w:rPr>
        <w:t xml:space="preserve">Diseño.</w:t>
      </w:r>
      <w:r>
        <w:t xml:space="preserve"> </w:t>
      </w:r>
      <w:r>
        <w:t xml:space="preserve">SHAP y LIME explicaron las mismas instancias de los mismos modelos</w:t>
      </w:r>
      <w:r>
        <w:t xml:space="preserve"> </w:t>
      </w:r>
      <w:r>
        <w:t xml:space="preserve">en tres conjuntos de datos: Adult, German Credit y Breast Cancer Wisconsin. Para</w:t>
      </w:r>
      <w:r>
        <w:t xml:space="preserve"> </w:t>
      </w:r>
      <w:r>
        <w:t xml:space="preserve">los dos últimos se produjo una cohorte nueva de LIME sobre exactamente las</w:t>
      </w:r>
      <w:r>
        <w:t xml:space="preserve"> </w:t>
      </w:r>
      <w:r>
        <w:t xml:space="preserve">instancias almacenadas en las ejecuciones de SHAP de EXP3. El resultado son</w:t>
      </w:r>
      <w:r>
        <w:t xml:space="preserve"> </w:t>
      </w:r>
      <w:r>
        <w:t xml:space="preserve">31,411 explicaciones pareadas en 86 ejecuciones. La medida primaria es el</w:t>
      </w:r>
      <w:r>
        <w:t xml:space="preserve"> </w:t>
      </w:r>
      <w:r>
        <w:t xml:space="preserve">solapamiento de Jaccard entre las cinco características de mayor peso absoluto</w:t>
      </w:r>
      <w:r>
        <w:t xml:space="preserve"> </w:t>
      </w:r>
      <w:r>
        <w:t xml:space="preserve">de cada método,</w:t>
      </w:r>
      <w:r>
        <w:t xml:space="preserve"> </w:t>
      </w:r>
      <ns1:oMath>
        <ns1:sSub>
          <ns1:e>
            <ns1:r>
              <ns1:t>J</ns1:t>
            </ns1:r>
          </ns1:e>
          <ns1:sub>
            <ns1:r>
              <ns1:t>5</ns1:t>
            </ns1:r>
          </ns1:sub>
        </ns1:sSub>
      </ns1:oMath>
      <w:r>
        <w:t xml:space="preserve">. Cada medida se promedia primero dentro de la ejecución,</w:t>
      </w:r>
      <w:r>
        <w:t xml:space="preserve"> </w:t>
      </w:r>
      <w:r>
        <w:t xml:space="preserve">y los intervalos remuestrean semillas, no instancias. El plan no preveía</w:t>
      </w:r>
      <w:r>
        <w:t xml:space="preserve"> </w:t>
      </w:r>
      <w:r>
        <w:t xml:space="preserve">pruebas de hipótesis y no se reporta ningún valor</w:t>
      </w:r>
      <w:r>
        <w:t xml:space="preserve"> </w:t>
      </w:r>
      <ns1:oMath>
        <ns1:r>
          <ns1:t>p</ns1:t>
        </ns1:r>
      </ns1:oMath>
      <w:r>
        <w:t xml:space="preserve">.</w:t>
      </w:r>
    </w:p>
    <w:p>
      <w:pPr>
        <w:pStyle w:val="Textoindependiente"/>
        <w:spacing w:line="360" w:lineRule="auto"/>
        <w:jc w:val="both"/>
      </w:pPr>
      <w:r>
        <w:rPr>
          <w:b/>
          <w:bCs/>
        </w:rPr>
        <w:t xml:space="preserve">Resultados.</w:t>
      </w:r>
      <w:r>
        <w:t xml:space="preserve"> </w:t>
      </w:r>
      <w:r>
        <w:t xml:space="preserve">La concordancia es parcial (</w:t>
      </w:r>
      <w:hyperlink w:anchor="tbl-seg-concordancia">
        <w:r>
          <w:rPr>
            <w:rStyle w:val="Hipervnculo"/>
          </w:rPr>
          <w:t xml:space="preserve">Tabla 6.3</w:t>
        </w:r>
      </w:hyperlink>
      <w:r>
        <w:t xml:space="preserve">). En Adult y</w:t>
      </w:r>
      <w:r>
        <w:t xml:space="preserve"> </w:t>
      </w:r>
      <w:r>
        <w:t xml:space="preserve">en German Credit, los dos métodos comparten de media menos de tres de sus cinco</w:t>
      </w:r>
      <w:r>
        <w:t xml:space="preserve"> </w:t>
      </w:r>
      <w:r>
        <w:t xml:space="preserve">características principales.</w:t>
      </w:r>
    </w:p>
    <w:tbl>
      <w:tblPr>
        <w:tblStyle w:val="Table"/>
        <w:tblW w:type="pct" w:w="5000"/>
        <w:jc w:val="center"/>
        <w:tblLayout w:type="fixed"/>
        <w:tblLook w:firstRow="0" w:lastRow="0" w:firstColumn="0" w:lastColumn="0" w:noHBand="0" w:noVBand="0" w:val="0000"/>
      </w:tblPr>
      <w:tblGrid>
        <w:gridCol w:w="7920"/>
      </w:tblGrid>
      <w:tr>
        <w:tc>
          <w:tcPr/>
          <w:bookmarkStart w:id="210" w:name="tbl-seg-concordancia"/>
          <w:p>
            <w:pPr>
              <w:pStyle w:val="ImageCaption"/>
              <w:spacing w:before="200" w:line="360" w:lineRule="auto"/>
              <w:jc w:val="center"/>
            </w:pPr>
            <w:r>
              <w:t xml:space="preserve">Tabla 6.3: Solapamiento medio de las cinco características principales de SHAP y LIME</w:t>
            </w:r>
            <w:r>
              <w:t xml:space="preserve"> </w:t>
            </w:r>
            <w:r>
              <w:t xml:space="preserve">para la misma instancia, y solapamiento entre la lista de SHAP de una instancia</w:t>
            </w:r>
            <w:r>
              <w:t xml:space="preserve"> </w:t>
            </w:r>
            <w:r>
              <w:t xml:space="preserve">y la lista de LIME de otra instancia de la misma ejecución (referencia de</w:t>
            </w:r>
            <w:r>
              <w:t xml:space="preserve"> </w:t>
            </w:r>
            <w:r>
              <w:t xml:space="preserve">permutación,</w:t>
            </w:r>
            <w:r>
              <w:t xml:space="preserve"> </w:t>
            </w:r>
            <w:r>
              <w:rPr>
                <w:i/>
                <w:iCs/>
              </w:rPr>
              <w:t xml:space="preserve">post hoc</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770"/>
              <w:gridCol w:w="652"/>
              <w:gridCol w:w="2329"/>
              <w:gridCol w:w="3168"/>
            </w:tblGrid>
            <w:tr>
              <w:trPr>
                <w:tblHeader w:val="on"/>
              </w:trPr>
              <w:tc>
                <w:tcPr/>
                <w:p>
                  <w:pPr>
                    <w:pStyle w:val="Compact"/>
                    <w:jc w:val="both"/>
                    <w:jc w:val="center"/>
                    <w:spacing w:line="360" w:lineRule="auto"/>
                  </w:pPr>
                  <w:r>
                    <w:rPr>
                      <w:bCs/>
                      <w:b/>
                    </w:rPr>
                    <w:t xml:space="preserve">Conjunto de datos</w:t>
                  </w:r>
                </w:p>
              </w:tc>
              <w:tc>
                <w:tcPr/>
                <w:p>
                  <w:pPr>
                    <w:pStyle w:val="Compact"/>
                    <w:jc w:val="both"/>
                    <w:jc w:val="center"/>
                    <w:spacing w:line="360" w:lineRule="auto"/>
                  </w:pPr>
                  <w:r>
                    <w:rPr>
                      <w:bCs/>
                      <w:b/>
                    </w:rPr>
                    <w:t xml:space="preserve">Pares</w:t>
                  </w:r>
                </w:p>
              </w:tc>
              <w:tc>
                <w:tcPr/>
                <w:p>
                  <w:pPr>
                    <w:pStyle w:val="Compact"/>
                    <w:jc w:val="both"/>
                    <w:jc w:val="center"/>
                    <w:spacing w:line="360" w:lineRule="auto"/>
                  </w:pPr>
                  <ns1:oMath>
                    <ns1:sSub>
                      <ns1:e>
                        <ns1:r>
                          <ns1:t>J</ns1:t>
                        </ns1:r>
                      </ns1:e>
                      <ns1:sub>
                        <ns1:r>
                          <ns1:t>5</ns1:t>
                        </ns1:r>
                      </ns1:sub>
                    </ns1:sSub>
                  </ns1:oMath>
                  <w:r>
                    <w:rPr>
                      <w:bCs/>
                      <w:b/>
                    </w:rPr>
                    <w:t xml:space="preserve"> </w:t>
                  </w:r>
                  <w:r>
                    <w:rPr>
                      <w:bCs/>
                      <w:b/>
                    </w:rPr>
                    <w:t xml:space="preserve">entre SHAP y LIME</w:t>
                  </w:r>
                </w:p>
              </w:tc>
              <w:tc>
                <w:tcPr/>
                <w:p>
                  <w:pPr>
                    <w:pStyle w:val="Compact"/>
                    <w:jc w:val="both"/>
                    <w:jc w:val="center"/>
                    <w:spacing w:line="360" w:lineRule="auto"/>
                  </w:pPr>
                  <ns1:oMath>
                    <ns1:sSub>
                      <ns1:e>
                        <ns1:r>
                          <ns1:t>J</ns1:t>
                        </ns1:r>
                      </ns1:e>
                      <ns1:sub>
                        <ns1:r>
                          <ns1:t>5</ns1:t>
                        </ns1:r>
                      </ns1:sub>
                    </ns1:sSub>
                  </ns1:oMath>
                  <w:r>
                    <w:rPr>
                      <w:bCs/>
                      <w:b/>
                    </w:rPr>
                    <w:t xml:space="preserve"> </w:t>
                  </w:r>
                  <w:r>
                    <w:rPr>
                      <w:bCs/>
                      <w:b/>
                    </w:rPr>
                    <w:t xml:space="preserve">entre instancias distintas</w:t>
                  </w:r>
                </w:p>
              </w:tc>
            </w:tr>
            <w:tr>
              <w:tc>
                <w:tcPr/>
                <w:p>
                  <w:pPr>
                    <w:pStyle w:val="Compact"/>
                    <w:jc w:val="both"/>
                    <w:jc w:val="center"/>
                    <w:spacing w:line="360" w:lineRule="auto"/>
                  </w:pPr>
                  <w:r>
                    <w:t xml:space="preserve">Adult</w:t>
                  </w:r>
                </w:p>
              </w:tc>
              <w:tc>
                <w:tcPr/>
                <w:p>
                  <w:pPr>
                    <w:pStyle w:val="Compact"/>
                    <w:jc w:val="both"/>
                    <w:jc w:val="center"/>
                    <w:spacing w:line="360" w:lineRule="auto"/>
                  </w:pPr>
                  <w:r>
                    <w:t xml:space="preserve">29,667</w:t>
                  </w:r>
                </w:p>
              </w:tc>
              <w:tc>
                <w:tcPr/>
                <w:p>
                  <w:pPr>
                    <w:pStyle w:val="Compact"/>
                    <w:jc w:val="both"/>
                    <w:jc w:val="center"/>
                    <w:spacing w:line="360" w:lineRule="auto"/>
                  </w:pPr>
                  <w:r>
                    <w:t xml:space="preserve">0.393</w:t>
                  </w:r>
                </w:p>
              </w:tc>
              <w:tc>
                <w:tcPr/>
                <w:p>
                  <w:pPr>
                    <w:pStyle w:val="Compact"/>
                    <w:jc w:val="both"/>
                    <w:jc w:val="center"/>
                    <w:spacing w:line="360" w:lineRule="auto"/>
                  </w:pPr>
                  <w:r>
                    <w:t xml:space="preserve">0.203</w:t>
                  </w:r>
                </w:p>
              </w:tc>
            </w:tr>
            <w:tr>
              <w:tc>
                <w:tcPr/>
                <w:p>
                  <w:pPr>
                    <w:pStyle w:val="Compact"/>
                    <w:jc w:val="both"/>
                    <w:jc w:val="center"/>
                    <w:spacing w:line="360" w:lineRule="auto"/>
                  </w:pPr>
                  <w:r>
                    <w:t xml:space="preserve">German Credit</w:t>
                  </w:r>
                </w:p>
              </w:tc>
              <w:tc>
                <w:tcPr/>
                <w:p>
                  <w:pPr>
                    <w:pStyle w:val="Compact"/>
                    <w:jc w:val="both"/>
                    <w:jc w:val="center"/>
                    <w:spacing w:line="360" w:lineRule="auto"/>
                  </w:pPr>
                  <w:r>
                    <w:t xml:space="preserve">1,060</w:t>
                  </w:r>
                </w:p>
              </w:tc>
              <w:tc>
                <w:tcPr/>
                <w:p>
                  <w:pPr>
                    <w:pStyle w:val="Compact"/>
                    <w:jc w:val="both"/>
                    <w:jc w:val="center"/>
                    <w:spacing w:line="360" w:lineRule="auto"/>
                  </w:pPr>
                  <w:r>
                    <w:t xml:space="preserve">0.387</w:t>
                  </w:r>
                </w:p>
              </w:tc>
              <w:tc>
                <w:tcPr/>
                <w:p>
                  <w:pPr>
                    <w:pStyle w:val="Compact"/>
                    <w:jc w:val="both"/>
                    <w:jc w:val="center"/>
                    <w:spacing w:line="360" w:lineRule="auto"/>
                  </w:pPr>
                  <w:r>
                    <w:t xml:space="preserve">0.287</w:t>
                  </w:r>
                </w:p>
              </w:tc>
            </w:tr>
            <w:tr>
              <w:tc>
                <w:tcPr/>
                <w:p>
                  <w:pPr>
                    <w:pStyle w:val="Compact"/>
                    <w:jc w:val="both"/>
                    <w:jc w:val="center"/>
                    <w:spacing w:line="360" w:lineRule="auto"/>
                  </w:pPr>
                  <w:r>
                    <w:t xml:space="preserve">Breast Cancer</w:t>
                  </w:r>
                </w:p>
              </w:tc>
              <w:tc>
                <w:tcPr/>
                <w:p>
                  <w:pPr>
                    <w:pStyle w:val="Compact"/>
                    <w:jc w:val="both"/>
                    <w:jc w:val="center"/>
                    <w:spacing w:line="360" w:lineRule="auto"/>
                  </w:pPr>
                  <w:r>
                    <w:t xml:space="preserve">684</w:t>
                  </w:r>
                </w:p>
              </w:tc>
              <w:tc>
                <w:tcPr/>
                <w:p>
                  <w:pPr>
                    <w:pStyle w:val="Compact"/>
                    <w:jc w:val="both"/>
                    <w:jc w:val="center"/>
                    <w:spacing w:line="360" w:lineRule="auto"/>
                  </w:pPr>
                  <w:r>
                    <w:t xml:space="preserve">0.714</w:t>
                  </w:r>
                </w:p>
              </w:tc>
              <w:tc>
                <w:tcPr/>
                <w:p>
                  <w:pPr>
                    <w:pStyle w:val="Compact"/>
                    <w:jc w:val="both"/>
                    <w:jc w:val="center"/>
                    <w:spacing w:line="360" w:lineRule="auto"/>
                  </w:pPr>
                  <w:r>
                    <w:t xml:space="preserve">0.648</w:t>
                  </w:r>
                </w:p>
              </w:tc>
            </w:tr>
          </w:tbl>
          <w:bookmarkEnd w:id="210"/>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214" w:name="fig-seg-concordancia"/>
          <w:p>
            <w:pPr>
              <w:pStyle w:val="Compact"/>
              <w:jc w:val="center"/>
              <w:spacing w:line="360" w:lineRule="auto"/>
            </w:pPr>
            <w:r>
              <w:drawing>
                <ns2:inline>
                  <ns2:extent cx="5349240" cy="2985338"/>
                  <ns2:effectExtent b="0" l="0" r="0" t="0"/>
                  <ns2:docPr descr="" title="" id="212" name="Picture"/>
                  <ns3:graphic>
                    <ns3:graphicData uri="http://schemas.openxmlformats.org/drawingml/2006/picture">
                      <ns4:pic>
                        <ns4:nvPicPr>
                          <ns4:cNvPr descr="assets/figures/fig_seg_concordancia_es.png" id="213" name="Picture"/>
                          <ns4:cNvPicPr>
                            <ns3:picLocks noChangeArrowheads="1" noChangeAspect="1"/>
                          </ns4:cNvPicPr>
                        </ns4:nvPicPr>
                        <ns4:blipFill>
                          <ns3:blip ns5:embed="rId211"/>
                          <ns3:stretch>
                            <ns3:fillRect/>
                          </ns3:stretch>
                        </ns4:blipFill>
                        <ns4:spPr bwMode="auto">
                          <ns3:xfrm>
                            <ns3:off x="0" y="0"/>
                            <ns3:ext cx="5349240" cy="2985338"/>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6.3: Solapamiento de las cinco características principales de SHAP y LIME, por</w:t>
            </w:r>
            <w:r>
              <w:t xml:space="preserve"> </w:t>
            </w:r>
            <w:r>
              <w:t xml:space="preserve">conjunto de datos y modelo. El punto relleno compara las dos explicaciones de la</w:t>
            </w:r>
            <w:r>
              <w:t xml:space="preserve"> </w:t>
            </w:r>
            <w:r>
              <w:t xml:space="preserve">misma instancia; el punto hueco, la lista de SHAP de una instancia con la lista</w:t>
            </w:r>
            <w:r>
              <w:t xml:space="preserve"> </w:t>
            </w:r>
            <w:r>
              <w:t xml:space="preserve">de LIME de otra instancia de la misma ejecución. La barra gris entre ambos es la</w:t>
            </w:r>
            <w:r>
              <w:t xml:space="preserve"> </w:t>
            </w:r>
            <w:r>
              <w:t xml:space="preserve">parte del solapamiento propia de la instancia: amplia en Adult, pequeña en</w:t>
            </w:r>
            <w:r>
              <w:t xml:space="preserve"> </w:t>
            </w:r>
            <w:r>
              <w:t xml:space="preserve">Breast Cancer.</w:t>
            </w:r>
          </w:p>
          <w:bookmarkEnd w:id="214"/>
        </w:tc>
      </w:tr>
    </w:tbl>
    <w:p>
      <w:pPr>
        <w:pStyle w:val="Textoindependiente"/>
        <w:spacing w:line="360" w:lineRule="auto"/>
        <w:jc w:val="both"/>
      </w:pPr>
      <w:r>
        <w:t xml:space="preserve">Tres análisis</w:t>
      </w:r>
      <w:r>
        <w:t xml:space="preserve"> </w:t>
      </w:r>
      <w:r>
        <w:rPr>
          <w:i/>
          <w:iCs/>
        </w:rPr>
        <w:t xml:space="preserve">post hoc</w:t>
      </w:r>
      <w:r>
        <w:t xml:space="preserve"> </w:t>
      </w:r>
      <w:r>
        <w:t xml:space="preserve">precisan la lectura de esa cifra; el primero se</w:t>
      </w:r>
      <w:r>
        <w:t xml:space="preserve"> </w:t>
      </w:r>
      <w:r>
        <w:t xml:space="preserve">aprecia en la</w:t>
      </w:r>
      <w:r>
        <w:t xml:space="preserve"> </w:t>
      </w:r>
      <w:hyperlink w:anchor="fig-seg-concordancia">
        <w:r>
          <w:rPr>
            <w:rStyle w:val="Hipervnculo"/>
          </w:rPr>
          <w:t xml:space="preserve">Figura 6.3</w:t>
        </w:r>
      </w:hyperlink>
      <w:r>
        <w:t xml:space="preserve">.</w:t>
      </w:r>
    </w:p>
    <w:p>
      <w:pPr>
        <w:pStyle w:val="Compact"/>
        <w:numPr>
          <w:ilvl w:val="0"/>
          <w:numId w:val="1021"/>
        </w:numPr>
        <w:spacing w:line="360" w:lineRule="auto"/>
        <w:jc w:val="both"/>
      </w:pPr>
      <w:r>
        <w:rPr>
          <w:b/>
          <w:bCs/>
        </w:rPr>
        <w:t xml:space="preserve">Una parte del solapamiento no depende de la instancia.</w:t>
      </w:r>
      <w:r>
        <w:t xml:space="preserve"> </w:t>
      </w:r>
      <w:r>
        <w:t xml:space="preserve">La lista de SHAP</w:t>
      </w:r>
      <w:r>
        <w:t xml:space="preserve"> </w:t>
      </w:r>
      <w:r>
        <w:t xml:space="preserve">de una instancia y la lista de LIME de otra instancia distinta ya se solapan</w:t>
      </w:r>
      <w:r>
        <w:t xml:space="preserve"> </w:t>
      </w:r>
      <w:r>
        <w:t xml:space="preserve">de forma apreciable (última columna). La parte propia de la instancia es</w:t>
      </w:r>
      <w:r>
        <w:t xml:space="preserve"> </w:t>
      </w:r>
      <w:r>
        <w:t xml:space="preserve">0.191 en Adult y menor en los otros dos conjuntos. El solapamiento alto de</w:t>
      </w:r>
      <w:r>
        <w:t xml:space="preserve"> </w:t>
      </w:r>
      <w:r>
        <w:t xml:space="preserve">Breast Cancer refleja sobre todo un orden de las características común a</w:t>
      </w:r>
      <w:r>
        <w:t xml:space="preserve"> </w:t>
      </w:r>
      <w:r>
        <w:t xml:space="preserve">casi todas las instancias.</w:t>
      </w:r>
    </w:p>
    <w:p>
      <w:pPr>
        <w:pStyle w:val="Compact"/>
        <w:numPr>
          <w:ilvl w:val="0"/>
          <w:numId w:val="1021"/>
        </w:numPr>
        <w:spacing w:line="360" w:lineRule="auto"/>
        <w:jc w:val="both"/>
      </w:pPr>
      <w:r>
        <w:rPr>
          <w:b/>
          <w:bCs/>
        </w:rPr>
        <w:t xml:space="preserve">Ningún método se reproduce por completo a sí mismo.</w:t>
      </w:r>
      <w:r>
        <w:t xml:space="preserve"> </w:t>
      </w:r>
      <w:r>
        <w:t xml:space="preserve">Al repetir la</w:t>
      </w:r>
      <w:r>
        <w:t xml:space="preserve"> </w:t>
      </w:r>
      <w:r>
        <w:t xml:space="preserve">explicación con otro estado aleatorio, el solapamiento entre las dos</w:t>
      </w:r>
      <w:r>
        <w:t xml:space="preserve"> </w:t>
      </w:r>
      <w:r>
        <w:t xml:space="preserve">repeticiones en Adult fue 0.690 para LIME y 0.782 para SHAP. La concordancia</w:t>
      </w:r>
      <w:r>
        <w:t xml:space="preserve"> </w:t>
      </w:r>
      <w:r>
        <w:t xml:space="preserve">entre métodos quedó por debajo de esa autoconcordancia en todos los modelos</w:t>
      </w:r>
      <w:r>
        <w:t xml:space="preserve"> </w:t>
      </w:r>
      <w:r>
        <w:t xml:space="preserve">probados. El desacuerdo entre métodos es, por tanto, real, pero una</w:t>
      </w:r>
      <w:r>
        <w:t xml:space="preserve"> </w:t>
      </w:r>
      <w:r>
        <w:t xml:space="preserve">comparación que ignore la repetibilidad de cada uno lo sobrestima.</w:t>
      </w:r>
    </w:p>
    <w:p>
      <w:pPr>
        <w:pStyle w:val="Compact"/>
        <w:numPr>
          <w:ilvl w:val="0"/>
          <w:numId w:val="1021"/>
        </w:numPr>
        <w:spacing w:line="360" w:lineRule="auto"/>
        <w:jc w:val="both"/>
      </w:pPr>
      <w:r>
        <w:rPr>
          <w:b/>
          <w:bCs/>
        </w:rPr>
        <w:t xml:space="preserve">Los signos requieren la misma magnitud.</w:t>
      </w:r>
      <w:r>
        <w:t xml:space="preserve"> </w:t>
      </w:r>
      <w:r>
        <w:t xml:space="preserve">LIME sin discretización devuelve</w:t>
      </w:r>
      <w:r>
        <w:t xml:space="preserve"> </w:t>
      </w:r>
      <w:r>
        <w:t xml:space="preserve">pendientes locales, y SHAP devuelve contribuciones respecto de una referencia.</w:t>
      </w:r>
      <w:r>
        <w:t xml:space="preserve"> </w:t>
      </w:r>
      <w:r>
        <w:t xml:space="preserve">Convertidas las pendientes en contribuciones, los signos de las</w:t>
      </w:r>
      <w:r>
        <w:t xml:space="preserve"> </w:t>
      </w:r>
      <w:r>
        <w:t xml:space="preserve">características compartidas coinciden entre 0.945 y 0.990 de los casos, un</w:t>
      </w:r>
      <w:r>
        <w:t xml:space="preserve"> </w:t>
      </w:r>
      <w:r>
        <w:t xml:space="preserve">nivel que también alcanza una dirección fija por característica.</w:t>
      </w:r>
    </w:p>
    <w:p>
      <w:pPr>
        <w:pStyle w:val="FirstParagraph"/>
        <w:spacing w:line="360" w:lineRule="auto"/>
        <w:jc w:val="both"/>
      </w:pPr>
      <w:r>
        <w:t xml:space="preserve">La concordancia varió con el modelo y con el conjunto de datos, y no fue</w:t>
      </w:r>
      <w:r>
        <w:t xml:space="preserve"> </w:t>
      </w:r>
      <w:r>
        <w:t xml:space="preserve">sistemáticamente menor en las instancias mal clasificadas.</w:t>
      </w:r>
    </w:p>
    <w:p>
      <w:pPr>
        <w:pStyle w:val="Textoindependiente"/>
        <w:spacing w:line="360" w:lineRule="auto"/>
        <w:jc w:val="both"/>
      </w:pPr>
      <w:r>
        <w:rPr>
          <w:b/>
          <w:bCs/>
        </w:rPr>
        <w:t xml:space="preserve">Límites.</w:t>
      </w:r>
      <w:r>
        <w:t xml:space="preserve"> </w:t>
      </w:r>
      <w:r>
        <w:t xml:space="preserve">Tres conjuntos de datos tabulares y una configuración por</w:t>
      </w:r>
      <w:r>
        <w:t xml:space="preserve"> </w:t>
      </w:r>
      <w:r>
        <w:t xml:space="preserve">explicador; LIME se usó con ancho de kernel 3.0, el mismo del benchmark</w:t>
      </w:r>
      <w:r>
        <w:t xml:space="preserve"> </w:t>
      </w:r>
      <w:r>
        <w:t xml:space="preserve">primario. Cinco semillas en Adult y tres en los otros dos conjuntos, de modo</w:t>
      </w:r>
      <w:r>
        <w:t xml:space="preserve"> </w:t>
      </w:r>
      <w:r>
        <w:t xml:space="preserve">que los intervalos describen la dispersión entre semillas. El experimento de</w:t>
      </w:r>
      <w:r>
        <w:t xml:space="preserve"> </w:t>
      </w:r>
      <w:r>
        <w:t xml:space="preserve">autoconcordancia usó una submuestra. Las ejecuciones de SHAP sobre SVM están</w:t>
      </w:r>
      <w:r>
        <w:t xml:space="preserve"> </w:t>
      </w:r>
      <w:r>
        <w:t xml:space="preserve">incompletas y esa familia aporta menos pares.</w:t>
      </w:r>
    </w:p>
    <w:p>
      <w:pPr>
        <w:pStyle w:val="Textoindependiente"/>
        <w:spacing w:line="360" w:lineRule="auto"/>
        <w:jc w:val="both"/>
      </w:pPr>
      <w:r>
        <w:rPr>
          <w:b/>
          <w:bCs/>
        </w:rPr>
        <w:t xml:space="preserve">Consecuencia.</w:t>
      </w:r>
      <w:r>
        <w:t xml:space="preserve"> </w:t>
      </w:r>
      <w:r>
        <w:t xml:space="preserve">SHAP y LIME no son intercambiables a nivel de instancia. Una</w:t>
      </w:r>
      <w:r>
        <w:t xml:space="preserve"> </w:t>
      </w:r>
      <w:r>
        <w:t xml:space="preserve">explicación mostrada a un usuario debe nombrar el explicador que la produjo, y</w:t>
      </w:r>
      <w:r>
        <w:t xml:space="preserve"> </w:t>
      </w:r>
      <w:r>
        <w:t xml:space="preserve">un informe de concordancia entre explicadores debe indicar el modelo, el</w:t>
      </w:r>
      <w:r>
        <w:t xml:space="preserve"> </w:t>
      </w:r>
      <w:r>
        <w:t xml:space="preserve">conjunto de datos, la configuración y la repetibilidad de cada método.</w:t>
      </w:r>
    </w:p>
    <w:bookmarkEnd w:id="215"/>
    <w:bookmarkStart w:id="221" w:name="sec-seg-transferencia"/>
    <w:p>
      <w:pPr>
        <w:pStyle w:val="Ttulo2"/>
        <w:spacing w:line="360" w:lineRule="auto"/>
        <w:jc w:val="both"/>
      </w:pPr>
      <w:r>
        <w:t xml:space="preserve">6.4 </w:t>
      </w:r>
      <w:r>
        <w:t xml:space="preserve">Estudio de Transferencia entre Conjuntos de Datos</w:t>
      </w:r>
    </w:p>
    <w:p>
      <w:pPr>
        <w:pStyle w:val="FirstParagraph"/>
        <w:spacing w:line="360" w:lineRule="auto"/>
        <w:jc w:val="both"/>
      </w:pPr>
      <w:r>
        <w:rPr>
          <w:b/>
          <w:bCs/>
        </w:rPr>
        <w:t xml:space="preserve">Pregunta.</w:t>
      </w:r>
      <w:r>
        <w:t xml:space="preserve"> </w:t>
      </w:r>
      <w:r>
        <w:t xml:space="preserve">La limitación de validez externa declarada en el Capítulo 3 es que</w:t>
      </w:r>
      <w:r>
        <w:t xml:space="preserve"> </w:t>
      </w:r>
      <w:r>
        <w:t xml:space="preserve">el benchmark opera sobre un solo conjunto de datos, con una extensión parcial a</w:t>
      </w:r>
      <w:r>
        <w:t xml:space="preserve"> </w:t>
      </w:r>
      <w:r>
        <w:t xml:space="preserve">otros dos (EXP3). Este estudio pregunta si el orden de los cuatro métodos,</w:t>
      </w:r>
      <w:r>
        <w:t xml:space="preserve"> </w:t>
      </w:r>
      <w:r>
        <w:t xml:space="preserve">obtenido en un conjunto de datos tabular, se mantiene en otros.</w:t>
      </w:r>
    </w:p>
    <w:p>
      <w:pPr>
        <w:pStyle w:val="Textoindependiente"/>
        <w:spacing w:line="360" w:lineRule="auto"/>
        <w:jc w:val="both"/>
      </w:pPr>
      <w:r>
        <w:rPr>
          <w:b/>
          <w:bCs/>
        </w:rPr>
        <w:t xml:space="preserve">Diseño.</w:t>
      </w:r>
      <w:r>
        <w:t xml:space="preserve"> </w:t>
      </w:r>
      <w:r>
        <w:t xml:space="preserve">Es un experimento nuevo, con protocolo propio. Dieciséis conjuntos</w:t>
      </w:r>
      <w:r>
        <w:t xml:space="preserve"> </w:t>
      </w:r>
      <w:r>
        <w:t xml:space="preserve">de datos públicos, tabulares y de clasificación binaria, se eligieron con una</w:t>
      </w:r>
      <w:r>
        <w:t xml:space="preserve"> </w:t>
      </w:r>
      <w:r>
        <w:t xml:space="preserve">regla fijada antes de calcular ninguna explicación. Sobre cada uno se entrenaron</w:t>
      </w:r>
      <w:r>
        <w:t xml:space="preserve"> </w:t>
      </w:r>
      <w:r>
        <w:t xml:space="preserve">cuatro clasificadores (regresión logística, bosque aleatorio, XGBoost y</w:t>
      </w:r>
      <w:r>
        <w:t xml:space="preserve"> </w:t>
      </w:r>
      <w:r>
        <w:t xml:space="preserve">perceptrón multicapa) y se aplicaron los cuatro métodos con una única</w:t>
      </w:r>
      <w:r>
        <w:t xml:space="preserve"> </w:t>
      </w:r>
      <w:r>
        <w:t xml:space="preserve">configuración, sin ajuste por conjunto de datos, con cinco semillas y 200</w:t>
      </w:r>
      <w:r>
        <w:t xml:space="preserve"> </w:t>
      </w:r>
      <w:r>
        <w:t xml:space="preserve">instancias por ejecución. El diseño factorial completo comprende 1,280</w:t>
      </w:r>
      <w:r>
        <w:t xml:space="preserve"> </w:t>
      </w:r>
      <w:r>
        <w:t xml:space="preserve">ejecuciones y 256,000 instancias explicadas; dentro de cada bloque, los cuatro</w:t>
      </w:r>
      <w:r>
        <w:t xml:space="preserve"> </w:t>
      </w:r>
      <w:r>
        <w:t xml:space="preserve">métodos explican las mismas instancias del mismo clasificador.</w:t>
      </w:r>
    </w:p>
    <w:p>
      <w:pPr>
        <w:pStyle w:val="Textoindependiente"/>
        <w:spacing w:line="360" w:lineRule="auto"/>
        <w:jc w:val="both"/>
      </w:pPr>
      <w:r>
        <w:t xml:space="preserve">Los métodos se ordenan en cuatro medidas definidas sobre las características que</w:t>
      </w:r>
      <w:r>
        <w:t xml:space="preserve"> </w:t>
      </w:r>
      <w:r>
        <w:t xml:space="preserve">una explicación nombra: una brecha de fidelidad por enmascaramiento, la</w:t>
      </w:r>
      <w:r>
        <w:t xml:space="preserve"> </w:t>
      </w:r>
      <w:r>
        <w:t xml:space="preserve">estabilidad, la parsimonia y el coste. Sus definiciones operativas no son las</w:t>
      </w:r>
      <w:r>
        <w:t xml:space="preserve"> </w:t>
      </w:r>
      <w:r>
        <w:t xml:space="preserve">del Capítulo 3 —la estabilidad, por ejemplo, es aquí el solapamiento de las</w:t>
      </w:r>
      <w:r>
        <w:t xml:space="preserve"> </w:t>
      </w:r>
      <w:r>
        <w:t xml:space="preserve">cinco características principales bajo ruido, y no la similitud coseno de la</w:t>
      </w:r>
      <w:r>
        <w:t xml:space="preserve"> </w:t>
      </w:r>
      <w:hyperlink w:anchor="eq-estabilidad">
        <w:r>
          <w:rPr>
            <w:rStyle w:val="Hipervnculo"/>
          </w:rPr>
          <w:t xml:space="preserve">Ecuación 3.6</w:t>
        </w:r>
      </w:hyperlink>
      <w:r>
        <w:t xml:space="preserve">—, de modo que este estudio no</w:t>
      </w:r>
      <w:r>
        <w:t xml:space="preserve"> </w:t>
      </w:r>
      <w:r>
        <w:t xml:space="preserve">replica las cifras del Capítulo 4. La unidad de análisis es el conjunto de</w:t>
      </w:r>
      <w:r>
        <w:t xml:space="preserve"> </w:t>
      </w:r>
      <w:r>
        <w:t xml:space="preserve">datos. La concordancia entre conjuntos de datos es la correlación de rangos</w:t>
      </w:r>
      <w:r>
        <w:t xml:space="preserve"> </w:t>
      </w:r>
      <w:r>
        <w:t xml:space="preserve">media entre los órdenes de todos los pares de conjuntos, con intervalo</w:t>
      </w:r>
      <w:r>
        <w:t xml:space="preserve"> </w:t>
      </w:r>
      <w:r>
        <w:rPr>
          <w:i/>
          <w:iCs/>
        </w:rPr>
        <w:t xml:space="preserve">bootstrap</w:t>
      </w:r>
      <w:r>
        <w:t xml:space="preserve"> </w:t>
      </w:r>
      <w:r>
        <w:t xml:space="preserve">y prueba de permutación corregida por Holm. La regla de decisión se</w:t>
      </w:r>
      <w:r>
        <w:t xml:space="preserve"> </w:t>
      </w:r>
      <w:r>
        <w:t xml:space="preserve">fijó de antemano: el orden «generaliza» si el intervalo queda por encima de</w:t>
      </w:r>
      <w:r>
        <w:t xml:space="preserve"> </w:t>
      </w:r>
      <w:r>
        <w:t xml:space="preserve">0.5.</w:t>
      </w:r>
    </w:p>
    <w:p>
      <w:pPr>
        <w:pStyle w:val="Textoindependiente"/>
        <w:spacing w:line="360" w:lineRule="auto"/>
        <w:jc w:val="both"/>
      </w:pPr>
      <w:r>
        <w:rPr>
          <w:b/>
          <w:bCs/>
        </w:rPr>
        <w:t xml:space="preserve">Resultados.</w:t>
      </w:r>
      <w:r>
        <w:t xml:space="preserve"> </w:t>
      </w:r>
      <w:r>
        <w:t xml:space="preserve">El orden de los métodos coincide entre conjuntos de datos mucho</w:t>
      </w:r>
      <w:r>
        <w:t xml:space="preserve"> </w:t>
      </w:r>
      <w:r>
        <w:t xml:space="preserve">más de lo esperable por azar en las cuatro medidas (</w:t>
      </w:r>
      <w:hyperlink w:anchor="tbl-seg-transferencia">
        <w:r>
          <w:rPr>
            <w:rStyle w:val="Hipervnculo"/>
          </w:rPr>
          <w:t xml:space="preserve">Tabla 6.4</w:t>
        </w:r>
      </w:hyperlink>
      <w:r>
        <w:t xml:space="preserve">;</w:t>
      </w:r>
      <w:r>
        <w:t xml:space="preserve"> </w:t>
      </w:r>
      <ns1:oMath>
        <ns1:r>
          <ns1:t>p</ns1:t>
        </ns1:r>
        <ns1:r>
          <ns1:rPr>
            <ns1:sty ns1:val="p"/>
          </ns1:rPr>
          <ns1:t>&lt;</ns1:t>
        </ns1:r>
        <ns1:r>
          <ns1:t>0.001</ns1:t>
        </ns1:r>
      </ns1:oMath>
      <w:r>
        <w:t xml:space="preserve"> </w:t>
      </w:r>
      <w:r>
        <w:t xml:space="preserve">en todas).</w:t>
      </w:r>
    </w:p>
    <w:tbl>
      <w:tblPr>
        <w:tblStyle w:val="Table"/>
        <w:tblW w:type="pct" w:w="5000"/>
        <w:jc w:val="center"/>
        <w:tblLayout w:type="fixed"/>
        <w:tblLook w:firstRow="0" w:lastRow="0" w:firstColumn="0" w:lastColumn="0" w:noHBand="0" w:noVBand="0" w:val="0000"/>
      </w:tblPr>
      <w:tblGrid>
        <w:gridCol w:w="7920"/>
      </w:tblGrid>
      <w:tr>
        <w:tc>
          <w:tcPr/>
          <w:bookmarkStart w:id="216" w:name="tbl-seg-transferencia"/>
          <w:p>
            <w:pPr>
              <w:pStyle w:val="ImageCaption"/>
              <w:spacing w:before="200" w:line="360" w:lineRule="auto"/>
              <w:jc w:val="center"/>
            </w:pPr>
            <w:r>
              <w:t xml:space="preserve">Tabla 6.4: Rango medio de cada método en los 16 conjuntos de datos (1 = mejor),</w:t>
            </w:r>
            <w:r>
              <w:t xml:space="preserve"> </w:t>
            </w:r>
            <w:r>
              <w:t xml:space="preserve">concordancia de los órdenes entre conjuntos de datos y concordancia entre</w:t>
            </w:r>
            <w:r>
              <w:t xml:space="preserve"> </w:t>
            </w:r>
            <w:r>
              <w:t xml:space="preserve">semillas dentro de un mismo conjunto.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44"/>
              <w:gridCol w:w="633"/>
              <w:gridCol w:w="633"/>
              <w:gridCol w:w="950"/>
              <w:gridCol w:w="633"/>
              <w:gridCol w:w="2534"/>
              <w:gridCol w:w="1689"/>
            </w:tblGrid>
            <w:tr>
              <w:trPr>
                <w:tblHeader w:val="on"/>
              </w:trPr>
              <w:tc>
                <w:tcPr/>
                <w:p>
                  <w:pPr>
                    <w:pStyle w:val="Compact"/>
                    <w:jc w:val="both"/>
                    <w:jc w:val="center"/>
                    <w:spacing w:line="360" w:lineRule="auto"/>
                  </w:pPr>
                  <w:r>
                    <w:rPr>
                      <w:bCs/>
                      <w:b/>
                    </w:rPr>
                    <w:t xml:space="preserve">Medida</w:t>
                  </w:r>
                </w:p>
              </w:tc>
              <w:tc>
                <w:tcPr/>
                <w:p>
                  <w:pPr>
                    <w:pStyle w:val="Compact"/>
                    <w:jc w:val="both"/>
                    <w:jc w:val="center"/>
                    <w:spacing w:line="360" w:lineRule="auto"/>
                  </w:pPr>
                  <w:r>
                    <w:rPr>
                      <w:bCs/>
                      <w:b/>
                    </w:rPr>
                    <w:t xml:space="preserve">LIME</w:t>
                  </w:r>
                </w:p>
              </w:tc>
              <w:tc>
                <w:tcPr/>
                <w:p>
                  <w:pPr>
                    <w:pStyle w:val="Compact"/>
                    <w:jc w:val="both"/>
                    <w:jc w:val="center"/>
                    <w:spacing w:line="360" w:lineRule="auto"/>
                  </w:pPr>
                  <w:r>
                    <w:rPr>
                      <w:bCs/>
                      <w:b/>
                    </w:rPr>
                    <w:t xml:space="preserve">SHAP</w:t>
                  </w:r>
                </w:p>
              </w:tc>
              <w:tc>
                <w:tcPr/>
                <w:p>
                  <w:pPr>
                    <w:pStyle w:val="Compact"/>
                    <w:jc w:val="both"/>
                    <w:jc w:val="center"/>
                    <w:spacing w:line="360" w:lineRule="auto"/>
                  </w:pPr>
                  <w:r>
                    <w:rPr>
                      <w:bCs/>
                      <w:b/>
                    </w:rPr>
                    <w:t xml:space="preserve">Anchors</w:t>
                  </w:r>
                </w:p>
              </w:tc>
              <w:tc>
                <w:tcPr/>
                <w:p>
                  <w:pPr>
                    <w:pStyle w:val="Compact"/>
                    <w:jc w:val="both"/>
                    <w:jc w:val="center"/>
                    <w:spacing w:line="360" w:lineRule="auto"/>
                  </w:pPr>
                  <w:r>
                    <w:rPr>
                      <w:bCs/>
                      <w:b/>
                    </w:rPr>
                    <w:t xml:space="preserve">DiCE</w:t>
                  </w:r>
                </w:p>
              </w:tc>
              <w:tc>
                <w:tcPr/>
                <w:p>
                  <w:pPr>
                    <w:pStyle w:val="Compact"/>
                    <w:jc w:val="both"/>
                    <w:jc w:val="center"/>
                    <w:spacing w:line="360" w:lineRule="auto"/>
                  </w:pPr>
                  <w:r>
                    <w:rPr>
                      <w:bCs/>
                      <w:b/>
                    </w:rPr>
                    <w:t xml:space="preserve">Concordancia [IC 95 %]</w:t>
                  </w:r>
                </w:p>
              </w:tc>
              <w:tc>
                <w:tcPr/>
                <w:p>
                  <w:pPr>
                    <w:pStyle w:val="Compact"/>
                    <w:jc w:val="both"/>
                    <w:jc w:val="center"/>
                    <w:spacing w:line="360" w:lineRule="auto"/>
                  </w:pPr>
                  <w:r>
                    <w:rPr>
                      <w:bCs/>
                      <w:b/>
                    </w:rPr>
                    <w:t xml:space="preserve">Entre semillas</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w:r>
                    <w:t xml:space="preserve">2.12</w:t>
                  </w:r>
                </w:p>
              </w:tc>
              <w:tc>
                <w:tcPr/>
                <w:p>
                  <w:pPr>
                    <w:pStyle w:val="Compact"/>
                    <w:jc w:val="both"/>
                    <w:jc w:val="center"/>
                    <w:spacing w:line="360" w:lineRule="auto"/>
                  </w:pPr>
                  <w:r>
                    <w:t xml:space="preserve">1.19</w:t>
                  </w:r>
                </w:p>
              </w:tc>
              <w:tc>
                <w:tcPr/>
                <w:p>
                  <w:pPr>
                    <w:pStyle w:val="Compact"/>
                    <w:jc w:val="both"/>
                    <w:jc w:val="center"/>
                    <w:spacing w:line="360" w:lineRule="auto"/>
                  </w:pPr>
                  <w:r>
                    <w:t xml:space="preserve">3.06</w:t>
                  </w:r>
                </w:p>
              </w:tc>
              <w:tc>
                <w:tcPr/>
                <w:p>
                  <w:pPr>
                    <w:pStyle w:val="Compact"/>
                    <w:jc w:val="both"/>
                    <w:jc w:val="center"/>
                    <w:spacing w:line="360" w:lineRule="auto"/>
                  </w:pPr>
                  <w:r>
                    <w:t xml:space="preserve">3.62</w:t>
                  </w:r>
                </w:p>
              </w:tc>
              <w:tc>
                <w:tcPr/>
                <w:p>
                  <w:pPr>
                    <w:pStyle w:val="Compact"/>
                    <w:jc w:val="both"/>
                    <w:jc w:val="center"/>
                    <w:spacing w:line="360" w:lineRule="auto"/>
                  </w:pPr>
                  <w:r>
                    <w:t xml:space="preserve">0.67 [0.49, 0.85]</w:t>
                  </w:r>
                </w:p>
              </w:tc>
              <w:tc>
                <w:tcPr/>
                <w:p>
                  <w:pPr>
                    <w:pStyle w:val="Compact"/>
                    <w:jc w:val="both"/>
                    <w:jc w:val="center"/>
                    <w:spacing w:line="360" w:lineRule="auto"/>
                  </w:pPr>
                  <w:r>
                    <w:t xml:space="preserve">0.948</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2.06</w:t>
                  </w:r>
                </w:p>
              </w:tc>
              <w:tc>
                <w:tcPr/>
                <w:p>
                  <w:pPr>
                    <w:pStyle w:val="Compact"/>
                    <w:jc w:val="both"/>
                    <w:jc w:val="center"/>
                    <w:spacing w:line="360" w:lineRule="auto"/>
                  </w:pPr>
                  <w:r>
                    <w:t xml:space="preserve">1.12</w:t>
                  </w:r>
                </w:p>
              </w:tc>
              <w:tc>
                <w:tcPr/>
                <w:p>
                  <w:pPr>
                    <w:pStyle w:val="Compact"/>
                    <w:jc w:val="both"/>
                    <w:jc w:val="center"/>
                    <w:spacing w:line="360" w:lineRule="auto"/>
                  </w:pPr>
                  <w:r>
                    <w:t xml:space="preserve">2.81</w:t>
                  </w:r>
                </w:p>
              </w:tc>
              <w:tc>
                <w:tcPr/>
                <w:p>
                  <w:pPr>
                    <w:pStyle w:val="Compact"/>
                    <w:jc w:val="both"/>
                    <w:jc w:val="center"/>
                    <w:spacing w:line="360" w:lineRule="auto"/>
                  </w:pPr>
                  <w:r>
                    <w:t xml:space="preserve">4.00</w:t>
                  </w:r>
                </w:p>
              </w:tc>
              <w:tc>
                <w:tcPr/>
                <w:p>
                  <w:pPr>
                    <w:pStyle w:val="Compact"/>
                    <w:jc w:val="both"/>
                    <w:jc w:val="center"/>
                    <w:spacing w:line="360" w:lineRule="auto"/>
                  </w:pPr>
                  <w:r>
                    <w:t xml:space="preserve">0.88 [0.79, 0.95]</w:t>
                  </w:r>
                </w:p>
              </w:tc>
              <w:tc>
                <w:tcPr/>
                <w:p>
                  <w:pPr>
                    <w:pStyle w:val="Compact"/>
                    <w:jc w:val="both"/>
                    <w:jc w:val="center"/>
                    <w:spacing w:line="360" w:lineRule="auto"/>
                  </w:pPr>
                  <w:r>
                    <w:t xml:space="preserve">0.973</w:t>
                  </w:r>
                </w:p>
              </w:tc>
            </w:tr>
            <w:tr>
              <w:tc>
                <w:tcPr/>
                <w:p>
                  <w:pPr>
                    <w:pStyle w:val="Compact"/>
                    <w:jc w:val="both"/>
                    <w:jc w:val="center"/>
                    <w:spacing w:line="360" w:lineRule="auto"/>
                  </w:pPr>
                  <w:r>
                    <w:t xml:space="preserve">Parsimonia</w:t>
                  </w:r>
                </w:p>
              </w:tc>
              <w:tc>
                <w:tcPr/>
                <w:p>
                  <w:pPr>
                    <w:pStyle w:val="Compact"/>
                    <w:jc w:val="both"/>
                    <w:jc w:val="center"/>
                    <w:spacing w:line="360" w:lineRule="auto"/>
                  </w:pPr>
                  <w:r>
                    <w:t xml:space="preserve">2.97</w:t>
                  </w:r>
                </w:p>
              </w:tc>
              <w:tc>
                <w:tcPr/>
                <w:p>
                  <w:pPr>
                    <w:pStyle w:val="Compact"/>
                    <w:jc w:val="both"/>
                    <w:jc w:val="center"/>
                    <w:spacing w:line="360" w:lineRule="auto"/>
                  </w:pPr>
                  <w:r>
                    <w:t xml:space="preserve">3.91</w:t>
                  </w:r>
                </w:p>
              </w:tc>
              <w:tc>
                <w:tcPr/>
                <w:p>
                  <w:pPr>
                    <w:pStyle w:val="Compact"/>
                    <w:jc w:val="both"/>
                    <w:jc w:val="center"/>
                    <w:spacing w:line="360" w:lineRule="auto"/>
                  </w:pPr>
                  <w:r>
                    <w:t xml:space="preserve">1.69</w:t>
                  </w:r>
                </w:p>
              </w:tc>
              <w:tc>
                <w:tcPr/>
                <w:p>
                  <w:pPr>
                    <w:pStyle w:val="Compact"/>
                    <w:jc w:val="both"/>
                    <w:jc w:val="center"/>
                    <w:spacing w:line="360" w:lineRule="auto"/>
                  </w:pPr>
                  <w:r>
                    <w:t xml:space="preserve">1.44</w:t>
                  </w:r>
                </w:p>
              </w:tc>
              <w:tc>
                <w:tcPr/>
                <w:p>
                  <w:pPr>
                    <w:pStyle w:val="Compact"/>
                    <w:jc w:val="both"/>
                    <w:jc w:val="center"/>
                    <w:spacing w:line="360" w:lineRule="auto"/>
                  </w:pPr>
                  <w:r>
                    <w:t xml:space="preserve">0.79 [0.66, 0.92]</w:t>
                  </w:r>
                </w:p>
              </w:tc>
              <w:tc>
                <w:tcPr/>
                <w:p>
                  <w:pPr>
                    <w:pStyle w:val="Compact"/>
                    <w:jc w:val="both"/>
                    <w:jc w:val="center"/>
                    <w:spacing w:line="360" w:lineRule="auto"/>
                  </w:pPr>
                  <w:r>
                    <w:t xml:space="preserve">0.995</w:t>
                  </w:r>
                </w:p>
              </w:tc>
            </w:tr>
            <w:tr>
              <w:tc>
                <w:tcPr/>
                <w:p>
                  <w:pPr>
                    <w:pStyle w:val="Compact"/>
                    <w:jc w:val="both"/>
                    <w:jc w:val="center"/>
                    <w:spacing w:line="360" w:lineRule="auto"/>
                  </w:pPr>
                  <w:r>
                    <w:t xml:space="preserve">Coste</w:t>
                  </w:r>
                </w:p>
              </w:tc>
              <w:tc>
                <w:tcPr/>
                <w:p>
                  <w:pPr>
                    <w:pStyle w:val="Compact"/>
                    <w:jc w:val="both"/>
                    <w:jc w:val="center"/>
                    <w:spacing w:line="360" w:lineRule="auto"/>
                  </w:pPr>
                  <w:r>
                    <w:t xml:space="preserve">1.06</w:t>
                  </w:r>
                </w:p>
              </w:tc>
              <w:tc>
                <w:tcPr/>
                <w:p>
                  <w:pPr>
                    <w:pStyle w:val="Compact"/>
                    <w:jc w:val="both"/>
                    <w:jc w:val="center"/>
                    <w:spacing w:line="360" w:lineRule="auto"/>
                  </w:pPr>
                  <w:r>
                    <w:t xml:space="preserve">1.94</w:t>
                  </w:r>
                </w:p>
              </w:tc>
              <w:tc>
                <w:tcPr/>
                <w:p>
                  <w:pPr>
                    <w:pStyle w:val="Compact"/>
                    <w:jc w:val="both"/>
                    <w:jc w:val="center"/>
                    <w:spacing w:line="360" w:lineRule="auto"/>
                  </w:pPr>
                  <w:r>
                    <w:t xml:space="preserve">3.50</w:t>
                  </w:r>
                </w:p>
              </w:tc>
              <w:tc>
                <w:tcPr/>
                <w:p>
                  <w:pPr>
                    <w:pStyle w:val="Compact"/>
                    <w:jc w:val="both"/>
                    <w:jc w:val="center"/>
                    <w:spacing w:line="360" w:lineRule="auto"/>
                  </w:pPr>
                  <w:r>
                    <w:t xml:space="preserve">3.50</w:t>
                  </w:r>
                </w:p>
              </w:tc>
              <w:tc>
                <w:tcPr/>
                <w:p>
                  <w:pPr>
                    <w:pStyle w:val="Compact"/>
                    <w:jc w:val="both"/>
                    <w:jc w:val="center"/>
                    <w:spacing w:line="360" w:lineRule="auto"/>
                  </w:pPr>
                  <w:r>
                    <w:t xml:space="preserve">0.87 [0.82, 0.91]</w:t>
                  </w:r>
                </w:p>
              </w:tc>
              <w:tc>
                <w:tcPr/>
                <w:p>
                  <w:pPr>
                    <w:pStyle w:val="Compact"/>
                    <w:jc w:val="both"/>
                    <w:jc w:val="center"/>
                    <w:spacing w:line="360" w:lineRule="auto"/>
                  </w:pPr>
                  <w:r>
                    <w:t xml:space="preserve">0.975</w:t>
                  </w:r>
                </w:p>
              </w:tc>
            </w:tr>
          </w:tbl>
          <w:bookmarkEnd w:id="216"/>
          <w:p>
            <w:pPr>
              <w:spacing w:line="360" w:lineRule="auto"/>
              <w:jc w:val="both"/>
            </w:pPr>
          </w:p>
        </w:tc>
      </w:tr>
    </w:tbl>
    <w:p>
      <w:pPr>
        <w:pStyle w:val="Textoindependiente"/>
        <w:spacing w:line="360" w:lineRule="auto"/>
        <w:jc w:val="both"/>
      </w:pPr>
      <w:r>
        <w:t xml:space="preserve">Según la regla fijada, el orden generaliza en estabilidad, parsimonia y coste.</w:t>
      </w:r>
      <w:r>
        <w:t xml:space="preserve"> </w:t>
      </w:r>
      <w:r>
        <w:t xml:space="preserve">En la brecha de fidelidad el orden es compartido, pero su fuerza queda</w:t>
      </w:r>
      <w:r>
        <w:t xml:space="preserve"> </w:t>
      </w:r>
      <w:r>
        <w:t xml:space="preserve">indeterminada, porque el intervalo alcanza un valor inferior a 0.5. En todas las</w:t>
      </w:r>
      <w:r>
        <w:t xml:space="preserve"> </w:t>
      </w:r>
      <w:r>
        <w:t xml:space="preserve">medidas, la concordancia entre conjuntos de datos es menor que la concordancia</w:t>
      </w:r>
      <w:r>
        <w:t xml:space="preserve"> </w:t>
      </w:r>
      <w:r>
        <w:t xml:space="preserve">entre semillas: el conjunto de datos sí desplaza el orden, y lo desplaza más en</w:t>
      </w:r>
      <w:r>
        <w:t xml:space="preserve"> </w:t>
      </w:r>
      <w:r>
        <w:t xml:space="preserve">las posiciones intermedias y bajas que en la primera.</w:t>
      </w:r>
    </w:p>
    <w:tbl>
      <w:tblPr>
        <w:tblStyle w:val="Table"/>
        <w:tblW w:type="pct" w:w="5000"/>
        <w:jc w:val="center"/>
        <w:tblLayout w:type="fixed"/>
        <w:tblLook w:firstRow="0" w:lastRow="0" w:firstColumn="0" w:lastColumn="0" w:noHBand="0" w:noVBand="0" w:val="0000"/>
      </w:tblPr>
      <w:tblGrid>
        <w:gridCol w:w="7920"/>
      </w:tblGrid>
      <w:tr>
        <w:tc>
          <w:tcPr/>
          <w:bookmarkStart w:id="220" w:name="fig-seg-transferencia"/>
          <w:p>
            <w:pPr>
              <w:pStyle w:val="Compact"/>
              <w:jc w:val="center"/>
              <w:spacing w:line="360" w:lineRule="auto"/>
            </w:pPr>
            <w:r>
              <w:drawing>
                <ns2:inline>
                  <ns2:extent cx="5646420" cy="5021034"/>
                  <ns2:effectExtent b="0" l="0" r="0" t="0"/>
                  <ns2:docPr descr="" title="" id="218" name="Picture"/>
                  <ns3:graphic>
                    <ns3:graphicData uri="http://schemas.openxmlformats.org/drawingml/2006/picture">
                      <ns4:pic>
                        <ns4:nvPicPr>
                          <ns4:cNvPr descr="assets/figures/fig_seg_transferencia_es.png" id="219" name="Picture"/>
                          <ns4:cNvPicPr>
                            <ns3:picLocks noChangeArrowheads="1" noChangeAspect="1"/>
                          </ns4:cNvPicPr>
                        </ns4:nvPicPr>
                        <ns4:blipFill>
                          <ns3:blip ns5:embed="rId217"/>
                          <ns3:stretch>
                            <ns3:fillRect/>
                          </ns3:stretch>
                        </ns4:blipFill>
                        <ns4:spPr bwMode="auto">
                          <ns3:xfrm>
                            <ns3:off x="0" y="0"/>
                            <ns3:ext cx="5646420" cy="5021034"/>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6.4: Rango de cada método en cada uno de los 16 conjuntos de datos, por medida (1 =</w:t>
            </w:r>
            <w:r>
              <w:t xml:space="preserve"> </w:t>
            </w:r>
            <w:r>
              <w:t xml:space="preserve">mejor). Adult, a la izquierda, es el conjunto de referencia. Las líneas de SHAP</w:t>
            </w:r>
            <w:r>
              <w:t xml:space="preserve"> </w:t>
            </w:r>
            <w:r>
              <w:t xml:space="preserve">y LIME rara vez se cruzan con las de Anchors y DiCE; las de Anchors y DiCE se</w:t>
            </w:r>
            <w:r>
              <w:t xml:space="preserve"> </w:t>
            </w:r>
            <w:r>
              <w:t xml:space="preserve">cruzan entre sí con frecuencia en la brecha de fidelidad, la parsimonia y el</w:t>
            </w:r>
            <w:r>
              <w:t xml:space="preserve"> </w:t>
            </w:r>
            <w:r>
              <w:t xml:space="preserve">coste.</w:t>
            </w:r>
          </w:p>
          <w:bookmarkEnd w:id="220"/>
        </w:tc>
      </w:tr>
    </w:tbl>
    <w:p>
      <w:pPr>
        <w:pStyle w:val="Textoindependiente"/>
        <w:spacing w:line="360" w:lineRule="auto"/>
        <w:jc w:val="both"/>
      </w:pPr>
      <w:r>
        <w:t xml:space="preserve">La</w:t>
      </w:r>
      <w:r>
        <w:t xml:space="preserve"> </w:t>
      </w:r>
      <w:hyperlink w:anchor="fig-seg-transferencia">
        <w:r>
          <w:rPr>
            <w:rStyle w:val="Hipervnculo"/>
          </w:rPr>
          <w:t xml:space="preserve">Figura 6.4</w:t>
        </w:r>
      </w:hyperlink>
      <w:r>
        <w:t xml:space="preserve"> </w:t>
      </w:r>
      <w:r>
        <w:t xml:space="preserve">muestra dónde se conserva el orden y dónde no.</w:t>
      </w:r>
      <w:r>
        <w:t xml:space="preserve"> </w:t>
      </w:r>
      <w:r>
        <w:t xml:space="preserve">Tomando Adult como referencia, de las 24 comparaciones entre pares de métodos,</w:t>
      </w:r>
      <w:r>
        <w:t xml:space="preserve"> </w:t>
      </w:r>
      <w:r>
        <w:t xml:space="preserve">12 conservan su orden en los otros 15 conjuntos de datos y 21 lo conservan en al</w:t>
      </w:r>
      <w:r>
        <w:t xml:space="preserve"> </w:t>
      </w:r>
      <w:r>
        <w:t xml:space="preserve">menos 12. Las tres débiles son todas entre Anchors y DiCE; en coste, ese par</w:t>
      </w:r>
      <w:r>
        <w:t xml:space="preserve"> </w:t>
      </w:r>
      <w:r>
        <w:t xml:space="preserve">mantiene el orden de Adult en 7 de 15 conjuntos. SHAP ocupa la primera posición</w:t>
      </w:r>
      <w:r>
        <w:t xml:space="preserve"> </w:t>
      </w:r>
      <w:r>
        <w:t xml:space="preserve">en la brecha de fidelidad en 13 de los 16 conjuntos y en estabilidad en 14.</w:t>
      </w:r>
    </w:p>
    <w:p>
      <w:pPr>
        <w:pStyle w:val="Textoindependiente"/>
        <w:spacing w:line="360" w:lineRule="auto"/>
        <w:jc w:val="both"/>
      </w:pPr>
      <w:r>
        <w:rPr>
          <w:b/>
          <w:bCs/>
        </w:rPr>
        <w:t xml:space="preserve">Límites.</w:t>
      </w:r>
      <w:r>
        <w:t xml:space="preserve"> </w:t>
      </w:r>
      <w:r>
        <w:t xml:space="preserve">Tres límites condicionan la lectura, y los tres se establecieron</w:t>
      </w:r>
      <w:r>
        <w:t xml:space="preserve"> </w:t>
      </w:r>
      <w:r>
        <w:t xml:space="preserve">tras revisar los resultados.</w:t>
      </w:r>
    </w:p>
    <w:p>
      <w:pPr>
        <w:pStyle w:val="Compact"/>
        <w:numPr>
          <w:ilvl w:val="0"/>
          <w:numId w:val="1022"/>
        </w:numPr>
        <w:spacing w:line="360" w:lineRule="auto"/>
        <w:jc w:val="both"/>
      </w:pPr>
      <w:r>
        <w:t xml:space="preserve">Buena parte de la concordancia se sigue del formato de salida y de la</w:t>
      </w:r>
      <w:r>
        <w:t xml:space="preserve"> </w:t>
      </w:r>
      <w:r>
        <w:t xml:space="preserve">configuración de cada método —el número de características que nombra, el</w:t>
      </w:r>
      <w:r>
        <w:t xml:space="preserve"> </w:t>
      </w:r>
      <w:r>
        <w:t xml:space="preserve">algoritmo, los parámetros fijados—, no de una propiedad de las explicaciones.</w:t>
      </w:r>
    </w:p>
    <w:p>
      <w:pPr>
        <w:pStyle w:val="Compact"/>
        <w:numPr>
          <w:ilvl w:val="0"/>
          <w:numId w:val="1022"/>
        </w:numPr>
        <w:spacing w:line="360" w:lineRule="auto"/>
        <w:jc w:val="both"/>
      </w:pPr>
      <w:r>
        <w:t xml:space="preserve">Las medidas son</w:t>
      </w:r>
      <w:r>
        <w:t xml:space="preserve"> </w:t>
      </w:r>
      <w:r>
        <w:rPr>
          <w:i/>
          <w:iCs/>
        </w:rPr>
        <w:t xml:space="preserve">proxies</w:t>
      </w:r>
      <w:r>
        <w:t xml:space="preserve"> </w:t>
      </w:r>
      <w:r>
        <w:t xml:space="preserve">comunes que descartan lo propio de cada salida: el</w:t>
      </w:r>
      <w:r>
        <w:t xml:space="preserve"> </w:t>
      </w:r>
      <w:r>
        <w:t xml:space="preserve">signo de una atribución, la regla como condición suficiente y la dirección</w:t>
      </w:r>
      <w:r>
        <w:t xml:space="preserve"> </w:t>
      </w:r>
      <w:r>
        <w:t xml:space="preserve">del cambio que propone un contrafactual.</w:t>
      </w:r>
    </w:p>
    <w:p>
      <w:pPr>
        <w:pStyle w:val="Compact"/>
        <w:numPr>
          <w:ilvl w:val="0"/>
          <w:numId w:val="1022"/>
        </w:numPr>
        <w:spacing w:line="360" w:lineRule="auto"/>
        <w:jc w:val="both"/>
      </w:pPr>
      <w:r>
        <w:t xml:space="preserve">Fallaron 1,425 de las instancias (0.56 %), casi todas de DiCE; repetir el</w:t>
      </w:r>
      <w:r>
        <w:t xml:space="preserve"> </w:t>
      </w:r>
      <w:r>
        <w:t xml:space="preserve">análisis sobre las instancias que los cuatro métodos explicaron conduce a</w:t>
      </w:r>
      <w:r>
        <w:t xml:space="preserve"> </w:t>
      </w:r>
      <w:r>
        <w:t xml:space="preserve">las mismas cuatro decisiones.</w:t>
      </w:r>
    </w:p>
    <w:p>
      <w:pPr>
        <w:pStyle w:val="FirstParagraph"/>
        <w:spacing w:line="360" w:lineRule="auto"/>
        <w:jc w:val="both"/>
      </w:pPr>
      <w:r>
        <w:t xml:space="preserve">En consecuencia, el resultado describe la concordancia de órdenes bajo un</w:t>
      </w:r>
      <w:r>
        <w:t xml:space="preserve"> </w:t>
      </w:r>
      <w:r>
        <w:t xml:space="preserve">protocolo de evaluación fijo. No constituye un ordenamiento de la calidad de</w:t>
      </w:r>
      <w:r>
        <w:t xml:space="preserve"> </w:t>
      </w:r>
      <w:r>
        <w:t xml:space="preserve">las explicaciones en general.</w:t>
      </w:r>
    </w:p>
    <w:p>
      <w:pPr>
        <w:pStyle w:val="Textoindependiente"/>
        <w:spacing w:line="360" w:lineRule="auto"/>
        <w:jc w:val="both"/>
      </w:pPr>
      <w:r>
        <w:rPr>
          <w:b/>
          <w:bCs/>
        </w:rPr>
        <w:t xml:space="preserve">Consecuencia.</w:t>
      </w:r>
      <w:r>
        <w:t xml:space="preserve"> </w:t>
      </w:r>
      <w:r>
        <w:t xml:space="preserve">El orden relativo observado en el benchmark primario no es</w:t>
      </w:r>
      <w:r>
        <w:t xml:space="preserve"> </w:t>
      </w:r>
      <w:r>
        <w:t xml:space="preserve">una particularidad de Adult: bajo un protocolo común, la posición de SHAP y de</w:t>
      </w:r>
      <w:r>
        <w:t xml:space="preserve"> </w:t>
      </w:r>
      <w:r>
        <w:t xml:space="preserve">LIME respecto de Anchors y DiCE se mantiene en la mayoría de los conjuntos de</w:t>
      </w:r>
      <w:r>
        <w:t xml:space="preserve"> </w:t>
      </w:r>
      <w:r>
        <w:t xml:space="preserve">datos. No se transfiere, en cambio, el orden entre Anchors y DiCE, ni la</w:t>
      </w:r>
      <w:r>
        <w:t xml:space="preserve"> </w:t>
      </w:r>
      <w:r>
        <w:t xml:space="preserve">magnitud de las diferencias. La limitación de validez externa se reduce para el</w:t>
      </w:r>
      <w:r>
        <w:t xml:space="preserve"> </w:t>
      </w:r>
      <w:r>
        <w:t xml:space="preserve">orden de los métodos y permanece para los valores absolutos y para los dominios</w:t>
      </w:r>
      <w:r>
        <w:t xml:space="preserve"> </w:t>
      </w:r>
      <w:r>
        <w:t xml:space="preserve">no tabulares.</w:t>
      </w:r>
    </w:p>
    <w:bookmarkEnd w:id="221"/>
    <w:bookmarkStart w:id="226" w:name="sec-seg-jueces"/>
    <w:p>
      <w:pPr>
        <w:pStyle w:val="Ttulo2"/>
        <w:spacing w:line="360" w:lineRule="auto"/>
        <w:jc w:val="both"/>
      </w:pPr>
      <w:r>
        <w:t xml:space="preserve">6.5 </w:t>
      </w:r>
      <w:r>
        <w:t xml:space="preserve">Controles posteriores del Estudio de Fiabilidad Inter-juez</w:t>
      </w:r>
    </w:p>
    <w:p>
      <w:pPr>
        <w:pStyle w:val="FirstParagraph"/>
        <w:spacing w:line="360" w:lineRule="auto"/>
        <w:jc w:val="both"/>
      </w:pPr>
      <w:r>
        <w:t xml:space="preserve">El Capítulo 5 reporta que los jueces basados en modelos de lenguaje no alcanzan</w:t>
      </w:r>
      <w:r>
        <w:t xml:space="preserve"> </w:t>
      </w:r>
      <w:r>
        <w:t xml:space="preserve">la fiabilidad aceptable en ninguna de las dos cohortes (§</w:t>
      </w:r>
      <w:hyperlink w:anchor="sec-exp4-fiabilidad">
        <w:r>
          <w:rPr>
            <w:rStyle w:val="Hipervnculo"/>
          </w:rPr>
          <w:t xml:space="preserve">5.8</w:t>
        </w:r>
      </w:hyperlink>
      <w:r>
        <w:t xml:space="preserve">).</w:t>
      </w:r>
      <w:r>
        <w:t xml:space="preserve"> </w:t>
      </w:r>
      <w:r>
        <w:t xml:space="preserve">Tras ese resultado se hicieron tres análisis sobre la segunda cohorte, cada uno</w:t>
      </w:r>
      <w:r>
        <w:t xml:space="preserve"> </w:t>
      </w:r>
      <w:r>
        <w:t xml:space="preserve">anotado con su fecha antes de calcularlo. Preguntan sobre qué recae el acuerdo</w:t>
      </w:r>
      <w:r>
        <w:t xml:space="preserve"> </w:t>
      </w:r>
      <w:r>
        <w:t xml:space="preserve">que sí existe.</w:t>
      </w:r>
    </w:p>
    <w:p>
      <w:pPr>
        <w:pStyle w:val="Textoindependiente"/>
        <w:spacing w:line="360" w:lineRule="auto"/>
        <w:jc w:val="both"/>
      </w:pPr>
      <w:r>
        <w:rPr>
          <w:b/>
          <w:bCs/>
        </w:rPr>
        <w:t xml:space="preserve">Dos precisiones sobre el diseño original.</w:t>
      </w:r>
      <w:r>
        <w:t xml:space="preserve"> </w:t>
      </w:r>
      <w:r>
        <w:t xml:space="preserve">La revisión posterior del</w:t>
      </w:r>
      <w:r>
        <w:t xml:space="preserve"> </w:t>
      </w:r>
      <w:r>
        <w:t xml:space="preserve">material entregado a los jueces encontró dos hechos que acotan la lectura del</w:t>
      </w:r>
      <w:r>
        <w:t xml:space="preserve"> </w:t>
      </w:r>
      <w:r>
        <w:t xml:space="preserve">Capítulo 5.</w:t>
      </w:r>
    </w:p>
    <w:p>
      <w:pPr>
        <w:pStyle w:val="Compact"/>
        <w:numPr>
          <w:ilvl w:val="0"/>
          <w:numId w:val="1023"/>
        </w:numPr>
        <w:spacing w:line="360" w:lineRule="auto"/>
        <w:jc w:val="both"/>
      </w:pPr>
      <w:r>
        <w:t xml:space="preserve">En las tres condiciones de la segunda cohorte, el registro de cada caso</w:t>
      </w:r>
      <w:r>
        <w:t xml:space="preserve"> </w:t>
      </w:r>
      <w:r>
        <w:t xml:space="preserve">contenía las métricas técnicas de la explicación y el resultado de la</w:t>
      </w:r>
      <w:r>
        <w:t xml:space="preserve"> </w:t>
      </w:r>
      <w:r>
        <w:t xml:space="preserve">predicción, que junto con la predicción permite deducir la etiqueta</w:t>
      </w:r>
      <w:r>
        <w:t xml:space="preserve"> </w:t>
      </w:r>
      <w:r>
        <w:t xml:space="preserve">verdadera. La condición llamada «con la etiqueta oculta» no la ocultaba, por</w:t>
      </w:r>
      <w:r>
        <w:t xml:space="preserve"> </w:t>
      </w:r>
      <w:r>
        <w:t xml:space="preserve">tanto, de forma efectiva. Se añadió una condición</w:t>
      </w:r>
      <w:r>
        <w:t xml:space="preserve"> </w:t>
      </w:r>
      <w:r>
        <w:rPr>
          <w:i/>
          <w:iCs/>
        </w:rPr>
        <w:t xml:space="preserve">limpia</w:t>
      </w:r>
      <w:r>
        <w:t xml:space="preserve">, sin métricas, sin</w:t>
      </w:r>
      <w:r>
        <w:t xml:space="preserve"> </w:t>
      </w:r>
      <w:r>
        <w:t xml:space="preserve">resultado y sin etiqueta, con una llamada por juez.</w:t>
      </w:r>
    </w:p>
    <w:p>
      <w:pPr>
        <w:pStyle w:val="Compact"/>
        <w:numPr>
          <w:ilvl w:val="0"/>
          <w:numId w:val="1023"/>
        </w:numPr>
        <w:spacing w:line="360" w:lineRule="auto"/>
        <w:jc w:val="both"/>
      </w:pPr>
      <w:r>
        <w:t xml:space="preserve">El formato común con que el benchmark presenta las explicaciones es una lista</w:t>
      </w:r>
      <w:r>
        <w:t xml:space="preserve"> </w:t>
      </w:r>
      <w:r>
        <w:t xml:space="preserve">de diez características con un peso. Para SHAP y LIME, esa lista contiene las</w:t>
      </w:r>
      <w:r>
        <w:t xml:space="preserve"> </w:t>
      </w:r>
      <w:r>
        <w:t xml:space="preserve">atribuciones del método. Para Anchors y DiCE no contiene la explicación en su</w:t>
      </w:r>
      <w:r>
        <w:t xml:space="preserve"> </w:t>
      </w:r>
      <w:r>
        <w:t xml:space="preserve">forma propia: la regla aparece sin umbrales y el contrafactual sin dirección</w:t>
      </w:r>
      <w:r>
        <w:t xml:space="preserve"> </w:t>
      </w:r>
      <w:r>
        <w:t xml:space="preserve">ni valor nuevo. El análisis principal de estos controles se restringe por</w:t>
      </w:r>
      <w:r>
        <w:t xml:space="preserve"> </w:t>
      </w:r>
      <w:r>
        <w:t xml:space="preserve">ello a los casos de SHAP y LIME.</w:t>
      </w:r>
    </w:p>
    <w:p>
      <w:pPr>
        <w:pStyle w:val="FirstParagraph"/>
        <w:spacing w:line="360" w:lineRule="auto"/>
        <w:jc w:val="both"/>
      </w:pPr>
      <w:r>
        <w:rPr>
          <w:b/>
          <w:bCs/>
        </w:rPr>
        <w:t xml:space="preserve">El acuerdo recae sobre el método.</w:t>
      </w:r>
      <w:r>
        <w:t xml:space="preserve"> </w:t>
      </w:r>
      <w:r>
        <w:t xml:space="preserve">Hasta el 67 % de la varianza de las</w:t>
      </w:r>
      <w:r>
        <w:t xml:space="preserve"> </w:t>
      </w:r>
      <w:r>
        <w:t xml:space="preserve">puntuaciones se sitúa entre métodos explicadores. Dentro de un método, donde un</w:t>
      </w:r>
      <w:r>
        <w:t xml:space="preserve"> </w:t>
      </w:r>
      <w:r>
        <w:t xml:space="preserve">usuario querría que el juez distinguiera una explicación mejor de una peor, el</w:t>
      </w:r>
      <w:r>
        <w:t xml:space="preserve"> </w:t>
      </w:r>
      <w:r>
        <w:t xml:space="preserve">acuerdo es bajo: entre los casos de SHAP y LIME con algún peso no nulo, el</w:t>
      </w:r>
      <w:r>
        <w:t xml:space="preserve"> </w:t>
      </w:r>
      <w:r>
        <w:t xml:space="preserve">ICC(1,1) más alto es 0.41, y entre los casos de SHAP ninguno supera 0.22,</w:t>
      </w:r>
      <w:r>
        <w:t xml:space="preserve"> </w:t>
      </w:r>
      <w:r>
        <w:t xml:space="preserve">porque los casos reciben casi la misma puntuación.</w:t>
      </w:r>
    </w:p>
    <w:p>
      <w:pPr>
        <w:pStyle w:val="Textoindependiente"/>
        <w:spacing w:line="360" w:lineRule="auto"/>
        <w:jc w:val="both"/>
      </w:pPr>
      <w:r>
        <w:rPr>
          <w:b/>
          <w:bCs/>
        </w:rPr>
        <w:t xml:space="preserve">Control positivo.</w:t>
      </w:r>
      <w:r>
        <w:t xml:space="preserve"> </w:t>
      </w:r>
      <w:r>
        <w:t xml:space="preserve">Los 79 casos de SHAP y LIME con peso no nulo se puntuaron</w:t>
      </w:r>
      <w:r>
        <w:t xml:space="preserve"> </w:t>
      </w:r>
      <w:r>
        <w:t xml:space="preserve">de nuevo en dos versiones degradadas de forma conocida. Cuando se eliminaron</w:t>
      </w:r>
      <w:r>
        <w:t xml:space="preserve"> </w:t>
      </w:r>
      <w:r>
        <w:t xml:space="preserve">siete de los diez elementos, los tres jueces redujeron la Completitud y su ICC</w:t>
      </w:r>
      <w:r>
        <w:t xml:space="preserve"> </w:t>
      </w:r>
      <w:r>
        <w:t xml:space="preserve">subió de 0.18 a 0.60: los jueces sí acuerdan cuando la diferencia es visible en</w:t>
      </w:r>
      <w:r>
        <w:t xml:space="preserve"> </w:t>
      </w:r>
      <w:r>
        <w:t xml:space="preserve">la forma del texto. Cuando los pesos se asignaron a características</w:t>
      </w:r>
      <w:r>
        <w:t xml:space="preserve"> </w:t>
      </w:r>
      <w:r>
        <w:t xml:space="preserve">equivocadas, lo que deja intacta la forma y vuelve erróneo el contenido, solo</w:t>
      </w:r>
      <w:r>
        <w:t xml:space="preserve"> </w:t>
      </w:r>
      <w:r>
        <w:t xml:space="preserve">uno de los tres jueces redujo la Plausibilidad semántica, y el acuerdo no</w:t>
      </w:r>
      <w:r>
        <w:t xml:space="preserve"> </w:t>
      </w:r>
      <w:r>
        <w:t xml:space="preserve">aumentó (</w:t>
      </w:r>
      <w:hyperlink w:anchor="fig-seg-jueces">
        <w:r>
          <w:rPr>
            <w:rStyle w:val="Hipervnculo"/>
          </w:rPr>
          <w:t xml:space="preserve">Figura 6.5</w:t>
        </w:r>
      </w:hyperlink>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225" w:name="fig-seg-jueces"/>
          <w:p>
            <w:pPr>
              <w:pStyle w:val="Compact"/>
              <w:jc w:val="center"/>
              <w:spacing w:line="360" w:lineRule="auto"/>
            </w:pPr>
            <w:r>
              <w:drawing>
                <ns2:inline>
                  <ns2:extent cx="5052060" cy="2325230"/>
                  <ns2:effectExtent b="0" l="0" r="0" t="0"/>
                  <ns2:docPr descr="" title="" id="223" name="Picture"/>
                  <ns3:graphic>
                    <ns3:graphicData uri="http://schemas.openxmlformats.org/drawingml/2006/picture">
                      <ns4:pic>
                        <ns4:nvPicPr>
                          <ns4:cNvPr descr="assets/figures/fig_seg_jueces_es.png" id="224" name="Picture"/>
                          <ns4:cNvPicPr>
                            <ns3:picLocks noChangeArrowheads="1" noChangeAspect="1"/>
                          </ns4:cNvPicPr>
                        </ns4:nvPicPr>
                        <ns4:blipFill>
                          <ns3:blip ns5:embed="rId222"/>
                          <ns3:stretch>
                            <ns3:fillRect/>
                          </ns3:stretch>
                        </ns4:blipFill>
                        <ns4:spPr bwMode="auto">
                          <ns3:xfrm>
                            <ns3:off x="0" y="0"/>
                            <ns3:ext cx="5052060" cy="2325230"/>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6.5: Acuerdo entre los tres jueces en el control positivo, para los casos de SHAP y</w:t>
            </w:r>
            <w:r>
              <w:t xml:space="preserve"> </w:t>
            </w:r>
            <w:r>
              <w:t xml:space="preserve">LIME con algún peso no nulo. Se compara el ICC(1,1) sobre los textos</w:t>
            </w:r>
            <w:r>
              <w:t xml:space="preserve"> </w:t>
            </w:r>
            <w:r>
              <w:t xml:space="preserve">almacenados con el obtenido al añadir cada versión degradada. Truncar el texto</w:t>
            </w:r>
            <w:r>
              <w:t xml:space="preserve"> </w:t>
            </w:r>
            <w:r>
              <w:t xml:space="preserve">eleva el acuerdo en Completitud; reasignar los pesos a características</w:t>
            </w:r>
            <w:r>
              <w:t xml:space="preserve"> </w:t>
            </w:r>
            <w:r>
              <w:t xml:space="preserve">equivocadas no eleva el acuerdo en ninguna de las dos dimensiones. Ningún valor</w:t>
            </w:r>
            <w:r>
              <w:t xml:space="preserve"> </w:t>
            </w:r>
            <w:r>
              <w:t xml:space="preserve">alcanza el umbral de fiabilidad</w:t>
            </w:r>
            <w:r>
              <w:t xml:space="preserve"> </w:t>
            </w:r>
            <w:r>
              <w:t xml:space="preserve">aceptable.</w:t>
            </w:r>
          </w:p>
          <w:bookmarkEnd w:id="225"/>
        </w:tc>
      </w:tr>
    </w:tbl>
    <w:p>
      <w:pPr>
        <w:pStyle w:val="Textoindependiente"/>
        <w:spacing w:line="360" w:lineRule="auto"/>
        <w:jc w:val="both"/>
      </w:pPr>
      <w:r>
        <w:rPr>
          <w:b/>
          <w:bCs/>
        </w:rPr>
        <w:t xml:space="preserve">Efecto del contenido de la consigna.</w:t>
      </w:r>
      <w:r>
        <w:t xml:space="preserve"> </w:t>
      </w:r>
      <w:r>
        <w:t xml:space="preserve">Con las métricas técnicas en la</w:t>
      </w:r>
      <w:r>
        <w:t xml:space="preserve"> </w:t>
      </w:r>
      <w:r>
        <w:t xml:space="preserve">consigna, uno de los jueces nombró una métrica en el 80 % de sus respuestas. Sin</w:t>
      </w:r>
      <w:r>
        <w:t xml:space="preserve"> </w:t>
      </w:r>
      <w:r>
        <w:t xml:space="preserve">ellas, ese juez puntuó más alto, y el acuerdo en Utilidad para auditoría bajó</w:t>
      </w:r>
      <w:r>
        <w:t xml:space="preserve"> </w:t>
      </w:r>
      <w:r>
        <w:t xml:space="preserve">de 0.66 a 0.42, comparando en ambos casos una sola llamada por juez. Lo que se</w:t>
      </w:r>
      <w:r>
        <w:t xml:space="preserve"> </w:t>
      </w:r>
      <w:r>
        <w:t xml:space="preserve">incluye en la consigna pasa a formar parte de lo que se mide.</w:t>
      </w:r>
    </w:p>
    <w:p>
      <w:pPr>
        <w:pStyle w:val="Textoindependiente"/>
        <w:spacing w:line="360" w:lineRule="auto"/>
        <w:jc w:val="both"/>
      </w:pPr>
      <w:r>
        <w:rPr>
          <w:b/>
          <w:bCs/>
        </w:rPr>
        <w:t xml:space="preserve">Consecuencia.</w:t>
      </w:r>
      <w:r>
        <w:t xml:space="preserve"> </w:t>
      </w:r>
      <w:r>
        <w:t xml:space="preserve">Estos controles refuerzan y precisan el resultado negativo de</w:t>
      </w:r>
      <w:r>
        <w:t xml:space="preserve"> </w:t>
      </w:r>
      <w:r>
        <w:t xml:space="preserve">P2, sin modificarlo. Los jueces de esta clase acuerdan sobre el método y sobre</w:t>
      </w:r>
      <w:r>
        <w:t xml:space="preserve"> </w:t>
      </w:r>
      <w:r>
        <w:t xml:space="preserve">la forma visible de una explicación, no sobre si es correcta. El gradiente</w:t>
      </w:r>
      <w:r>
        <w:t xml:space="preserve"> </w:t>
      </w:r>
      <w:r>
        <w:t xml:space="preserve">entre dimensiones descrito en el Capítulo 5 debe leerse con esta precisión: una</w:t>
      </w:r>
      <w:r>
        <w:t xml:space="preserve"> </w:t>
      </w:r>
      <w:r>
        <w:t xml:space="preserve">dimensión con mayor acuerdo no es por ello una dimensión mejor medida. Los</w:t>
      </w:r>
      <w:r>
        <w:t xml:space="preserve"> </w:t>
      </w:r>
      <w:r>
        <w:t xml:space="preserve">límites son los del estudio original —no hay puntuaciones humanas y los dos</w:t>
      </w:r>
      <w:r>
        <w:t xml:space="preserve"> </w:t>
      </w:r>
      <w:r>
        <w:t xml:space="preserve">paneles son modelos pequeños—, a los que se añade que la condición limpia y el</w:t>
      </w:r>
      <w:r>
        <w:t xml:space="preserve"> </w:t>
      </w:r>
      <w:r>
        <w:t xml:space="preserve">control disponen de una sola llamada por juez.</w:t>
      </w:r>
    </w:p>
    <w:bookmarkEnd w:id="226"/>
    <w:bookmarkStart w:id="228" w:name="sec-seg-sintesis"/>
    <w:p>
      <w:pPr>
        <w:pStyle w:val="Ttulo2"/>
        <w:spacing w:line="360" w:lineRule="auto"/>
        <w:jc w:val="both"/>
      </w:pPr>
      <w:r>
        <w:t xml:space="preserve">6.6 </w:t>
      </w:r>
      <w:r>
        <w:t xml:space="preserve">Qué cambia y qué no cambia en las conclusiones</w:t>
      </w:r>
    </w:p>
    <w:p>
      <w:pPr>
        <w:pStyle w:val="FirstParagraph"/>
        <w:spacing w:line="360" w:lineRule="auto"/>
        <w:jc w:val="both"/>
      </w:pPr>
      <w:r>
        <w:t xml:space="preserve">Los cuatro trabajos apuntan en la misma dirección: precisan el alcance de las</w:t>
      </w:r>
      <w:r>
        <w:t xml:space="preserve"> </w:t>
      </w:r>
      <w:r>
        <w:t xml:space="preserve">conclusiones sin alterar su contenido.</w:t>
      </w:r>
    </w:p>
    <w:tbl>
      <w:tblPr>
        <w:tblStyle w:val="Table"/>
        <w:tblW w:type="pct" w:w="5000"/>
        <w:jc w:val="center"/>
        <w:tblLayout w:type="fixed"/>
        <w:tblLook w:firstRow="0" w:lastRow="0" w:firstColumn="0" w:lastColumn="0" w:noHBand="0" w:noVBand="0" w:val="0000"/>
      </w:tblPr>
      <w:tblGrid>
        <w:gridCol w:w="7920"/>
      </w:tblGrid>
      <w:tr>
        <w:tc>
          <w:tcPr/>
          <w:bookmarkStart w:id="227" w:name="tbl-seg-sintesis"/>
          <w:p>
            <w:pPr>
              <w:pStyle w:val="ImageCaption"/>
              <w:spacing w:before="200" w:line="360" w:lineRule="auto"/>
              <w:jc w:val="center"/>
            </w:pPr>
            <w:r>
              <w:t xml:space="preserve">Tabla 6.5: Efecto de los estudios de seguimiento sobre las conclusiones de los estudios</w:t>
            </w:r>
            <w:r>
              <w:t xml:space="preserve"> </w:t>
            </w:r>
            <w:r>
              <w:t xml:space="preserve">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Conclusión de los estudios principales</w:t>
                  </w:r>
                </w:p>
              </w:tc>
              <w:tc>
                <w:tcPr/>
                <w:p>
                  <w:pPr>
                    <w:pStyle w:val="Compact"/>
                    <w:jc w:val="both"/>
                    <w:jc w:val="center"/>
                    <w:spacing w:line="360" w:lineRule="auto"/>
                  </w:pPr>
                  <w:r>
                    <w:rPr>
                      <w:bCs/>
                      <w:b/>
                    </w:rPr>
                    <w:t xml:space="preserve">Qué añade el seguimiento</w:t>
                  </w:r>
                </w:p>
              </w:tc>
              <w:tc>
                <w:tcPr/>
                <w:p>
                  <w:pPr>
                    <w:pStyle w:val="Compact"/>
                    <w:jc w:val="both"/>
                    <w:jc w:val="center"/>
                    <w:spacing w:line="360" w:lineRule="auto"/>
                  </w:pPr>
                  <w:r>
                    <w:rPr>
                      <w:bCs/>
                      <w:b/>
                    </w:rPr>
                    <w:t xml:space="preserve">Estado</w:t>
                  </w:r>
                </w:p>
              </w:tc>
            </w:tr>
            <w:tr>
              <w:tc>
                <w:tcPr/>
                <w:p>
                  <w:pPr>
                    <w:pStyle w:val="Compact"/>
                    <w:jc w:val="both"/>
                    <w:jc w:val="center"/>
                    <w:spacing w:line="360" w:lineRule="auto"/>
                  </w:pPr>
                  <w:r>
                    <w:t xml:space="preserve">SHAP presenta el mejor perfil de fidelidad y estabilidad en Adult</w:t>
                  </w:r>
                </w:p>
              </w:tc>
              <w:tc>
                <w:tcPr/>
                <w:p>
                  <w:pPr>
                    <w:pStyle w:val="Compact"/>
                    <w:jc w:val="both"/>
                    <w:jc w:val="center"/>
                    <w:spacing w:line="360" w:lineRule="auto"/>
                  </w:pPr>
                  <w:r>
                    <w:t xml:space="preserve">La posición de SHAP se mantiene en la mayoría de 16 conjuntos de datos bajo un protocolo común; la estabilidad de sus explicaciones es menor en las predicciones erróneas</w:t>
                  </w:r>
                </w:p>
              </w:tc>
              <w:tc>
                <w:tcPr/>
                <w:p>
                  <w:pPr>
                    <w:pStyle w:val="Compact"/>
                    <w:jc w:val="both"/>
                    <w:jc w:val="center"/>
                    <w:spacing w:line="360" w:lineRule="auto"/>
                  </w:pPr>
                  <w:r>
                    <w:t xml:space="preserve">Se mantiene, con dos precisiones</w:t>
                  </w:r>
                </w:p>
              </w:tc>
            </w:tr>
            <w:tr>
              <w:tc>
                <w:tcPr/>
                <w:p>
                  <w:pPr>
                    <w:pStyle w:val="Compact"/>
                    <w:jc w:val="both"/>
                    <w:jc w:val="center"/>
                    <w:spacing w:line="360" w:lineRule="auto"/>
                  </w:pPr>
                  <w:r>
                    <w:t xml:space="preserve">LIME es la alternativa de menor coste</w:t>
                  </w:r>
                </w:p>
              </w:tc>
              <w:tc>
                <w:tcPr/>
                <w:p>
                  <w:pPr>
                    <w:pStyle w:val="Compact"/>
                    <w:jc w:val="both"/>
                    <w:jc w:val="center"/>
                    <w:spacing w:line="360" w:lineRule="auto"/>
                  </w:pPr>
                  <w:r>
                    <w:t xml:space="preserve">LIME es el método de menor coste en 15 de los 16 conjuntos de datos</w:t>
                  </w:r>
                </w:p>
              </w:tc>
              <w:tc>
                <w:tcPr/>
                <w:p>
                  <w:pPr>
                    <w:pStyle w:val="Compact"/>
                    <w:jc w:val="both"/>
                    <w:jc w:val="center"/>
                    <w:spacing w:line="360" w:lineRule="auto"/>
                  </w:pPr>
                  <w:r>
                    <w:t xml:space="preserve">Se mantiene</w:t>
                  </w:r>
                </w:p>
              </w:tc>
            </w:tr>
            <w:tr>
              <w:tc>
                <w:tcPr/>
                <w:p>
                  <w:pPr>
                    <w:pStyle w:val="Compact"/>
                    <w:jc w:val="both"/>
                    <w:jc w:val="center"/>
                    <w:spacing w:line="360" w:lineRule="auto"/>
                  </w:pPr>
                  <w:r>
                    <w:t xml:space="preserve">SHAP y LIME difieren en calidad y coste (H3)</w:t>
                  </w:r>
                </w:p>
              </w:tc>
              <w:tc>
                <w:tcPr/>
                <w:p>
                  <w:pPr>
                    <w:pStyle w:val="Compact"/>
                    <w:jc w:val="both"/>
                    <w:jc w:val="center"/>
                    <w:spacing w:line="360" w:lineRule="auto"/>
                  </w:pPr>
                  <w:r>
                    <w:t xml:space="preserve">Además, para la misma instancia nombran características en parte distintas, y ninguno se reproduce por completo a sí mismo</w:t>
                  </w:r>
                </w:p>
              </w:tc>
              <w:tc>
                <w:tcPr/>
                <w:p>
                  <w:pPr>
                    <w:pStyle w:val="Compact"/>
                    <w:jc w:val="both"/>
                    <w:jc w:val="center"/>
                    <w:spacing w:line="360" w:lineRule="auto"/>
                  </w:pPr>
                  <w:r>
                    <w:t xml:space="preserve">Se mantiene y se amplía</w:t>
                  </w:r>
                </w:p>
              </w:tc>
            </w:tr>
            <w:tr>
              <w:tc>
                <w:tcPr/>
                <w:p>
                  <w:pPr>
                    <w:pStyle w:val="Compact"/>
                    <w:jc w:val="both"/>
                    <w:jc w:val="center"/>
                    <w:spacing w:line="360" w:lineRule="auto"/>
                  </w:pPr>
                  <w:r>
                    <w:t xml:space="preserve">Anchors y DiCE atienden objetivos distintos</w:t>
                  </w:r>
                </w:p>
              </w:tc>
              <w:tc>
                <w:tcPr/>
                <w:p>
                  <w:pPr>
                    <w:pStyle w:val="Compact"/>
                    <w:jc w:val="both"/>
                    <w:jc w:val="center"/>
                    <w:spacing w:line="360" w:lineRule="auto"/>
                  </w:pPr>
                  <w:r>
                    <w:t xml:space="preserve">Su orden relativo no se transfiere entre conjuntos de datos, y las medidas comunes descartan lo propio de sus salidas</w:t>
                  </w:r>
                </w:p>
              </w:tc>
              <w:tc>
                <w:tcPr/>
                <w:p>
                  <w:pPr>
                    <w:pStyle w:val="Compact"/>
                    <w:jc w:val="both"/>
                    <w:jc w:val="center"/>
                    <w:spacing w:line="360" w:lineRule="auto"/>
                  </w:pPr>
                  <w:r>
                    <w:t xml:space="preserve">Se mantiene; refuerza la cautela</w:t>
                  </w:r>
                </w:p>
              </w:tc>
            </w:tr>
            <w:tr>
              <w:tc>
                <w:tcPr/>
                <w:p>
                  <w:pPr>
                    <w:pStyle w:val="Compact"/>
                    <w:jc w:val="both"/>
                    <w:jc w:val="center"/>
                    <w:spacing w:line="360" w:lineRule="auto"/>
                  </w:pPr>
                  <w:r>
                    <w:t xml:space="preserve">Los jueces LLM no alcanzan fiabilidad aceptable (P2)</w:t>
                  </w:r>
                </w:p>
              </w:tc>
              <w:tc>
                <w:tcPr/>
                <w:p>
                  <w:pPr>
                    <w:pStyle w:val="Compact"/>
                    <w:jc w:val="both"/>
                    <w:jc w:val="center"/>
                    <w:spacing w:line="360" w:lineRule="auto"/>
                  </w:pPr>
                  <w:r>
                    <w:t xml:space="preserve">El acuerdo existente recae sobre el método y la forma, no sobre la corrección</w:t>
                  </w:r>
                </w:p>
              </w:tc>
              <w:tc>
                <w:tcPr/>
                <w:p>
                  <w:pPr>
                    <w:pStyle w:val="Compact"/>
                    <w:jc w:val="both"/>
                    <w:jc w:val="center"/>
                    <w:spacing w:line="360" w:lineRule="auto"/>
                  </w:pPr>
                  <w:r>
                    <w:t xml:space="preserve">Se mantiene y se precisa</w:t>
                  </w:r>
                </w:p>
              </w:tc>
            </w:tr>
          </w:tbl>
          <w:bookmarkEnd w:id="227"/>
          <w:p>
            <w:pPr>
              <w:spacing w:line="360" w:lineRule="auto"/>
              <w:jc w:val="both"/>
            </w:pPr>
          </w:p>
        </w:tc>
      </w:tr>
    </w:tbl>
    <w:p>
      <w:pPr>
        <w:pStyle w:val="Textoindependiente"/>
        <w:spacing w:line="360" w:lineRule="auto"/>
        <w:jc w:val="both"/>
      </w:pPr>
      <w:r>
        <w:t xml:space="preserve">Tres recomendaciones de reporte se desprenden de este capítulo y se incorporan</w:t>
      </w:r>
      <w:r>
        <w:t xml:space="preserve"> </w:t>
      </w:r>
      <w:r>
        <w:t xml:space="preserve">a las conclusiones: reportar la calidad de la explicación por separado para</w:t>
      </w:r>
      <w:r>
        <w:t xml:space="preserve"> </w:t>
      </w:r>
      <w:r>
        <w:t xml:space="preserve">predicciones correctas e incorrectas; acompañar toda comparación entre</w:t>
      </w:r>
      <w:r>
        <w:t xml:space="preserve"> </w:t>
      </w:r>
      <w:r>
        <w:t xml:space="preserve">explicadores de la repetibilidad de cada uno; y declarar el protocolo —</w:t>
      </w:r>
      <w:r>
        <w:t xml:space="preserve"> </w:t>
      </w:r>
      <w:r>
        <w:t xml:space="preserve">configuración, medidas y conjuntos de datos— del que depende un orden entre</w:t>
      </w:r>
      <w:r>
        <w:t xml:space="preserve"> </w:t>
      </w:r>
      <w:r>
        <w:t xml:space="preserve">métodos antes de tratarlo como propiedad de los métodos.</w:t>
      </w:r>
    </w:p>
    <w:bookmarkEnd w:id="228"/>
    <w:bookmarkEnd w:id="229"/>
    <w:bookmarkStart w:id="246" w:name="conclusiones"/>
    <w:p>
      <w:pPr>
        <w:pStyle w:val="Ttulo1"/>
        <w:spacing w:line="360" w:lineRule="auto"/>
        <w:jc w:val="both"/>
      </w:pPr>
      <w:r>
        <w:t xml:space="preserve">Capítulo 7.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233" w:name="sec-respuesta"/>
    <w:p>
      <w:pPr>
        <w:pStyle w:val="Ttulo2"/>
        <w:spacing w:line="360" w:lineRule="auto"/>
        <w:jc w:val="both"/>
      </w:pPr>
      <w:r>
        <w:t xml:space="preserve">7.1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230" w:name="tbl-hipotesis"/>
          <w:p>
            <w:pPr>
              <w:pStyle w:val="ImageCaption"/>
              <w:spacing w:before="200" w:line="360" w:lineRule="auto"/>
              <w:jc w:val="center"/>
            </w:pPr>
            <w:r>
              <w:t xml:space="preserve">Tabla 7.1: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w:r>
                    <w:t xml:space="preserve">Friedman:</w:t>
                  </w:r>
                  <w:r>
                    <w:t xml:space="preserve"> </w:t>
                  </w:r>
                  <ns1:oMath>
                    <ns1:sSubSup>
                      <ns1:e>
                        <ns1:r>
                          <ns1:t>χ</ns1:t>
                        </ns1:r>
                      </ns1:e>
                      <ns1:sub>
                        <ns1:r>
                          <ns1:t>F</ns1:t>
                        </ns1:r>
                      </ns1:sub>
                      <ns1:sup>
                        <ns1:r>
                          <ns1:t>2</ns1:t>
                        </ns1:r>
                      </ns1:sup>
                    </ns1:sSubSup>
                    <ns1:r>
                      <ns1:rPr>
                        <ns1:sty ns1:val="p"/>
                      </ns1:rPr>
                      <ns1:t>=</ns1:t>
                    </ns1:r>
                    <ns1:r>
                      <ns1:t>42.12</ns1:t>
                    </ns1:r>
                  </ns1:oMath>
                  <w:r>
                    <w:t xml:space="preserve">; seguimiento dirigido SHAP–LIME: 15 de 15 bloques 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 replicado)</w:t>
                  </w:r>
                </w:p>
              </w:tc>
              <w:tc>
                <w:tcPr/>
                <w:p>
                  <w:pPr>
                    <w:pStyle w:val="Compact"/>
                    <w:jc w:val="both"/>
                    <w:spacing w:line="360" w:lineRule="auto"/>
                  </w:pPr>
                  <w:r>
                    <w:t xml:space="preserve">Cohorte original: ICC(1,1) entre 0.321 y 0.601 (</w:t>
                  </w:r>
                  <ns1:oMath>
                    <ns1:r>
                      <ns1:t>n</ns1:t>
                    </ns1:r>
                    <ns1:r>
                      <ns1:rPr>
                        <ns1:sty ns1:val="p"/>
                      </ns1:rPr>
                      <ns1:t>=</ns1:t>
                    </ns1:r>
                    <ns1:r>
                      <ns1:t>147</ns1:t>
                    </ns1:r>
                  </ns1:oMath>
                  <w:r>
                    <w:t xml:space="preserve">, 3 jueces). Replicación con otro panel sobre los mismos casos: entre</w:t>
                  </w:r>
                  <w:r>
                    <w:t xml:space="preserve"> </w:t>
                  </w:r>
                  <ns1:oMath>
                    <ns1:r>
                      <ns1:rPr>
                        <ns1:sty ns1:val="p"/>
                      </ns1:rPr>
                      <ns1:t>−</ns1:t>
                    </ns1:r>
                    <ns1:r>
                      <ns1:t>0.025</ns1:t>
                    </ns1:r>
                  </ns1:oMath>
                  <w:r>
                    <w:t xml:space="preserve"> </w:t>
                  </w:r>
                  <w:r>
                    <w:t xml:space="preserve">y 0.731 (</w:t>
                  </w:r>
                  <ns1:oMath>
                    <ns1:r>
                      <ns1:t>n</ns1:t>
                    </ns1:r>
                    <ns1:r>
                      <ns1:rPr>
                        <ns1:sty ns1:val="p"/>
                      </ns1:rPr>
                      <ns1:t>=</ns1:t>
                    </ns1:r>
                    <ns1:r>
                      <ns1:t>192</ns1:t>
                    </ns1:r>
                  </ns1:oMath>
                  <w:r>
                    <w:t xml:space="preserve">). En la condición primaria, ninguna dimensión alcanza el umbral</w:t>
                  </w:r>
                  <w:r>
                    <w:t xml:space="preserve"> </w:t>
                  </w:r>
                  <ns1:oMath>
                    <ns1:r>
                      <ns1:rPr>
                        <ns1:sty ns1:val="p"/>
                      </ns1:rPr>
                      <ns1:t>≥</ns1:t>
                    </ns1:r>
                    <ns1:r>
                      <ns1:t>0.75</ns1:t>
                    </ns1:r>
                  </ns1:oMath>
                  <w:r>
                    <w:t xml:space="preserve"> </w:t>
                  </w:r>
                  <w:r>
                    <w:t xml:space="preserve">en ninguna de las dos cohortes</w:t>
                  </w:r>
                </w:p>
              </w:tc>
            </w:tr>
          </w:tbl>
          <w:bookmarkEnd w:id="230"/>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231" w:name="tbl-objetivos"/>
          <w:p>
            <w:pPr>
              <w:pStyle w:val="ImageCaption"/>
              <w:spacing w:before="200" w:line="360" w:lineRule="auto"/>
              <w:jc w:val="center"/>
            </w:pPr>
            <w:r>
              <w:t xml:space="preserve">Tabla 7.2: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replicado). EXP4: ICC(1,1) entre 0.321 y 0.601 en 7 dimensiones en la cohorte original. Una segunda cohorte con otro panel de jueces reproduce el resultado en la condición primaria: ninguna dimensión alcanza el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231"/>
          <w:p>
            <w:pPr>
              <w:spacing w:line="360" w:lineRule="auto"/>
              <w:jc w:val="both"/>
            </w:pPr>
          </w:p>
        </w:tc>
      </w:tr>
    </w:tbl>
    <w:bookmarkStart w:id="232" w:name="sec-concl-seguimiento"/>
    <w:p>
      <w:pPr>
        <w:pStyle w:val="Ttulo3"/>
        <w:spacing w:line="360" w:lineRule="auto"/>
        <w:jc w:val="both"/>
      </w:pPr>
      <w:r>
        <w:t xml:space="preserve">7.1.1 </w:t>
      </w:r>
      <w:r>
        <w:t xml:space="preserve">Aportes de los estudios de seguimiento</w:t>
      </w:r>
    </w:p>
    <w:p>
      <w:pPr>
        <w:pStyle w:val="FirstParagraph"/>
        <w:spacing w:line="360" w:lineRule="auto"/>
        <w:jc w:val="both"/>
      </w:pPr>
      <w:r>
        <w:t xml:space="preserve">Los estudios de seguimiento del Capítulo 6 no resuelven ninguna hipótesis ni</w:t>
      </w:r>
      <w:r>
        <w:t xml:space="preserve"> </w:t>
      </w:r>
      <w:r>
        <w:t xml:space="preserve">cierran ningún objetivo específico: atienden a la cláusula del objetivo general</w:t>
      </w:r>
      <w:r>
        <w:t xml:space="preserve"> </w:t>
      </w:r>
      <w:r>
        <w:t xml:space="preserve">que exige delimitar el alcance de validez de la evidencia. Su efecto sobre cada</w:t>
      </w:r>
      <w:r>
        <w:t xml:space="preserve"> </w:t>
      </w:r>
      <w:r>
        <w:t xml:space="preserve">conclusión se resume en</w:t>
      </w:r>
      <w:r>
        <w:t xml:space="preserve"> </w:t>
      </w:r>
      <w:hyperlink w:anchor="tbl-seg-sintesis">
        <w:r>
          <w:rPr>
            <w:rStyle w:val="Hipervnculo"/>
          </w:rPr>
          <w:t xml:space="preserve">Tabla 6.5</w:t>
        </w:r>
      </w:hyperlink>
      <w:r>
        <w:t xml:space="preserve">. En conjunto establecen cuatro</w:t>
      </w:r>
      <w:r>
        <w:t xml:space="preserve"> </w:t>
      </w:r>
      <w:r>
        <w:t xml:space="preserve">precisiones:</w:t>
      </w:r>
    </w:p>
    <w:p>
      <w:pPr>
        <w:pStyle w:val="Compact"/>
        <w:numPr>
          <w:ilvl w:val="0"/>
          <w:numId w:val="1024"/>
        </w:numPr>
        <w:spacing w:line="360" w:lineRule="auto"/>
        <w:jc w:val="both"/>
      </w:pPr>
      <w:r>
        <w:rPr>
          <w:b/>
          <w:bCs/>
        </w:rPr>
        <w:t xml:space="preserve">Ante el error.</w:t>
      </w:r>
      <w:r>
        <w:t xml:space="preserve"> </w:t>
      </w:r>
      <w:r>
        <w:t xml:space="preserve">Los promedios del benchmark describen mejor las</w:t>
      </w:r>
      <w:r>
        <w:t xml:space="preserve"> </w:t>
      </w:r>
      <w:r>
        <w:t xml:space="preserve">explicaciones de las predicciones correctas que las de las erróneas: la</w:t>
      </w:r>
      <w:r>
        <w:t xml:space="preserve"> </w:t>
      </w:r>
      <w:r>
        <w:t xml:space="preserve">estabilidad es menor en las instancias mal clasificadas para los cuatro</w:t>
      </w:r>
      <w:r>
        <w:t xml:space="preserve"> </w:t>
      </w:r>
      <w:r>
        <w:t xml:space="preserve">explicadores, y en SHAP ese déficit no se explica por la cercanía a la</w:t>
      </w:r>
      <w:r>
        <w:t xml:space="preserve"> </w:t>
      </w:r>
      <w:r>
        <w:t xml:space="preserve">frontera de decisión (§</w:t>
      </w:r>
      <w:hyperlink w:anchor="sec-seg-error">
        <w:r>
          <w:rPr>
            <w:rStyle w:val="Hipervnculo"/>
          </w:rPr>
          <w:t xml:space="preserve">6.2</w:t>
        </w:r>
      </w:hyperlink>
      <w:r>
        <w:t xml:space="preserve">).</w:t>
      </w:r>
    </w:p>
    <w:p>
      <w:pPr>
        <w:pStyle w:val="Compact"/>
        <w:numPr>
          <w:ilvl w:val="0"/>
          <w:numId w:val="1024"/>
        </w:numPr>
        <w:spacing w:line="360" w:lineRule="auto"/>
        <w:jc w:val="both"/>
      </w:pPr>
      <w:r>
        <w:rPr>
          <w:b/>
          <w:bCs/>
        </w:rPr>
        <w:t xml:space="preserve">Ante el cambio de explicador.</w:t>
      </w:r>
      <w:r>
        <w:t xml:space="preserve"> </w:t>
      </w:r>
      <w:r>
        <w:t xml:space="preserve">SHAP y LIME no son intercambiables a nivel</w:t>
      </w:r>
      <w:r>
        <w:t xml:space="preserve"> </w:t>
      </w:r>
      <w:r>
        <w:t xml:space="preserve">de instancia, y ninguno se reproduce por completo a sí mismo al repetirse</w:t>
      </w:r>
      <w:r>
        <w:t xml:space="preserve"> </w:t>
      </w:r>
      <w:r>
        <w:t xml:space="preserve">(§</w:t>
      </w:r>
      <w:hyperlink w:anchor="sec-seg-concordancia">
        <w:r>
          <w:rPr>
            <w:rStyle w:val="Hipervnculo"/>
          </w:rPr>
          <w:t xml:space="preserve">6.3</w:t>
        </w:r>
      </w:hyperlink>
      <w:r>
        <w:t xml:space="preserve">).</w:t>
      </w:r>
    </w:p>
    <w:p>
      <w:pPr>
        <w:pStyle w:val="Compact"/>
        <w:numPr>
          <w:ilvl w:val="0"/>
          <w:numId w:val="1024"/>
        </w:numPr>
        <w:spacing w:line="360" w:lineRule="auto"/>
        <w:jc w:val="both"/>
      </w:pPr>
      <w:r>
        <w:rPr>
          <w:b/>
          <w:bCs/>
        </w:rPr>
        <w:t xml:space="preserve">Ante el cambio de conjunto de datos.</w:t>
      </w:r>
      <w:r>
        <w:t xml:space="preserve"> </w:t>
      </w:r>
      <w:r>
        <w:t xml:space="preserve">El orden de los métodos se conserva</w:t>
      </w:r>
      <w:r>
        <w:t xml:space="preserve"> </w:t>
      </w:r>
      <w:r>
        <w:t xml:space="preserve">en la mayoría de 16 conjuntos de datos tabulares bajo un protocolo común,</w:t>
      </w:r>
      <w:r>
        <w:t xml:space="preserve"> </w:t>
      </w:r>
      <w:r>
        <w:t xml:space="preserve">salvo el orden entre Anchors y DiCE; ese resultado describe el protocolo de</w:t>
      </w:r>
      <w:r>
        <w:t xml:space="preserve"> </w:t>
      </w:r>
      <w:r>
        <w:t xml:space="preserve">evaluación y no la calidad de las explicaciones en general</w:t>
      </w:r>
      <w:r>
        <w:t xml:space="preserve"> </w:t>
      </w:r>
      <w:r>
        <w:t xml:space="preserve">(§</w:t>
      </w:r>
      <w:hyperlink w:anchor="sec-seg-transferencia">
        <w:r>
          <w:rPr>
            <w:rStyle w:val="Hipervnculo"/>
          </w:rPr>
          <w:t xml:space="preserve">6.4</w:t>
        </w:r>
      </w:hyperlink>
      <w:r>
        <w:t xml:space="preserve">).</w:t>
      </w:r>
    </w:p>
    <w:p>
      <w:pPr>
        <w:pStyle w:val="Compact"/>
        <w:numPr>
          <w:ilvl w:val="0"/>
          <w:numId w:val="1024"/>
        </w:numPr>
        <w:spacing w:line="360" w:lineRule="auto"/>
        <w:jc w:val="both"/>
      </w:pPr>
      <w:r>
        <w:rPr>
          <w:b/>
          <w:bCs/>
        </w:rPr>
        <w:t xml:space="preserve">Ante el instrumento semántico.</w:t>
      </w:r>
      <w:r>
        <w:t xml:space="preserve"> </w:t>
      </w:r>
      <w:r>
        <w:t xml:space="preserve">El acuerdo que los jueces LLM alcanzan</w:t>
      </w:r>
      <w:r>
        <w:t xml:space="preserve"> </w:t>
      </w:r>
      <w:r>
        <w:t xml:space="preserve">recae sobre el método y la forma visible de la explicación, no sobre su</w:t>
      </w:r>
      <w:r>
        <w:t xml:space="preserve"> </w:t>
      </w:r>
      <w:r>
        <w:t xml:space="preserve">corrección (§</w:t>
      </w:r>
      <w:hyperlink w:anchor="sec-seg-jueces">
        <w:r>
          <w:rPr>
            <w:rStyle w:val="Hipervnculo"/>
          </w:rPr>
          <w:t xml:space="preserve">6.5</w:t>
        </w:r>
      </w:hyperlink>
      <w:r>
        <w:t xml:space="preserve">).</w:t>
      </w:r>
    </w:p>
    <w:p>
      <w:pPr>
        <w:pStyle w:val="FirstParagraph"/>
        <w:spacing w:line="360" w:lineRule="auto"/>
        <w:jc w:val="both"/>
      </w:pPr>
      <w:r>
        <w:t xml:space="preserve">De ellas se siguen tres recomendaciones de reporte, que complementan los</w:t>
      </w:r>
      <w:r>
        <w:t xml:space="preserve"> </w:t>
      </w:r>
      <w:r>
        <w:t xml:space="preserve">criterios de selección de §</w:t>
      </w:r>
      <w:hyperlink w:anchor="sec-contribuciones">
        <w:r>
          <w:rPr>
            <w:rStyle w:val="Hipervnculo"/>
          </w:rPr>
          <w:t xml:space="preserve">7.2</w:t>
        </w:r>
      </w:hyperlink>
      <w:r>
        <w:t xml:space="preserve"> </w:t>
      </w:r>
      <w:r>
        <w:t xml:space="preserve">sin sustituirlos: reportar la</w:t>
      </w:r>
      <w:r>
        <w:t xml:space="preserve"> </w:t>
      </w:r>
      <w:r>
        <w:t xml:space="preserve">calidad de la explicación por separado para predicciones correctas e</w:t>
      </w:r>
      <w:r>
        <w:t xml:space="preserve"> </w:t>
      </w:r>
      <w:r>
        <w:t xml:space="preserve">incorrectas; acompañar toda comparación entre explicadores de la repetibilidad</w:t>
      </w:r>
      <w:r>
        <w:t xml:space="preserve"> </w:t>
      </w:r>
      <w:r>
        <w:t xml:space="preserve">de cada uno; y declarar el protocolo del que depende un orden entre métodos</w:t>
      </w:r>
      <w:r>
        <w:t xml:space="preserve"> </w:t>
      </w:r>
      <w:r>
        <w:t xml:space="preserve">antes de tratarlo como propiedad de los métodos.</w:t>
      </w:r>
    </w:p>
    <w:bookmarkEnd w:id="232"/>
    <w:bookmarkEnd w:id="233"/>
    <w:bookmarkStart w:id="237" w:name="sec-contribuciones"/>
    <w:p>
      <w:pPr>
        <w:pStyle w:val="Ttulo2"/>
        <w:spacing w:line="360" w:lineRule="auto"/>
        <w:jc w:val="both"/>
      </w:pPr>
      <w:r>
        <w:t xml:space="preserve">7.2 </w:t>
      </w:r>
      <w:r>
        <w:t xml:space="preserve">Contribuciones científicas</w:t>
      </w:r>
    </w:p>
    <w:bookmarkStart w:id="234" w:name="X2e7af289f3df14f7e31f2445fc83a79cfc8b431"/>
    <w:p>
      <w:pPr>
        <w:pStyle w:val="Ttulo3"/>
        <w:spacing w:line="360" w:lineRule="auto"/>
        <w:jc w:val="both"/>
      </w:pPr>
      <w:r>
        <w:t xml:space="preserve">7.2.1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234"/>
    <w:bookmarkStart w:id="235" w:name="X93d1d918ce055ba24ba9e9f0b305f424c9a5ca8"/>
    <w:p>
      <w:pPr>
        <w:pStyle w:val="Ttulo3"/>
        <w:spacing w:line="360" w:lineRule="auto"/>
        <w:jc w:val="both"/>
      </w:pPr>
      <w:r>
        <w:t xml:space="preserve">7.2.2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7.4</w:t>
        </w:r>
      </w:hyperlink>
      <w:r>
        <w:t xml:space="preserve"> </w:t>
      </w:r>
      <w:r>
        <w:t xml:space="preserve">y §</w:t>
      </w:r>
      <w:hyperlink w:anchor="sec-exp3-nota">
        <w:r>
          <w:rPr>
            <w:rStyle w:val="Hipervnculo"/>
          </w:rPr>
          <w:t xml:space="preserve">7.5.1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235"/>
    <w:bookmarkStart w:id="236" w:name="X6583905c1b1630bf3acfdae91528ca52ef61481"/>
    <w:p>
      <w:pPr>
        <w:pStyle w:val="Ttulo3"/>
        <w:spacing w:line="360" w:lineRule="auto"/>
        <w:jc w:val="both"/>
      </w:pPr>
      <w:r>
        <w:t xml:space="preserve">7.2.3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236"/>
    <w:bookmarkEnd w:id="237"/>
    <w:bookmarkStart w:id="239" w:name="sec-posicionamiento"/>
    <w:p>
      <w:pPr>
        <w:pStyle w:val="Ttulo2"/>
        <w:spacing w:line="360" w:lineRule="auto"/>
        <w:jc w:val="both"/>
      </w:pPr>
      <w:r>
        <w:t xml:space="preserve">7.3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7.3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238" w:name="tbl-contribucion-separacion"/>
          <w:p>
            <w:pPr>
              <w:pStyle w:val="ImageCaption"/>
              <w:spacing w:before="200" w:line="360" w:lineRule="auto"/>
              <w:jc w:val="center"/>
            </w:pPr>
            <w:r>
              <w:t xml:space="preserve">Tabla 7.3: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238"/>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239"/>
    <w:bookmarkStart w:id="240" w:name="sec-limitaciones"/>
    <w:p>
      <w:pPr>
        <w:pStyle w:val="Ttulo2"/>
        <w:spacing w:line="360" w:lineRule="auto"/>
        <w:jc w:val="both"/>
      </w:pPr>
      <w:r>
        <w:t xml:space="preserve">7.4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 Dentro del dominio tabular, el Estudio de</w:t>
      </w:r>
      <w:r>
        <w:t xml:space="preserve"> </w:t>
      </w:r>
      <w:r>
        <w:t xml:space="preserve">Transferencia entre Conjuntos de Datos (§</w:t>
      </w:r>
      <w:hyperlink w:anchor="sec-seg-transferencia">
        <w:r>
          <w:rPr>
            <w:rStyle w:val="Hipervnculo"/>
          </w:rPr>
          <w:t xml:space="preserve">6.4</w:t>
        </w:r>
      </w:hyperlink>
      <w:r>
        <w:t xml:space="preserve">) reduce esta</w:t>
      </w:r>
      <w:r>
        <w:t xml:space="preserve"> </w:t>
      </w:r>
      <w:r>
        <w:t xml:space="preserve">limitación para el orden de los métodos, que se conserva en la mayoría de 16</w:t>
      </w:r>
      <w:r>
        <w:t xml:space="preserve"> </w:t>
      </w:r>
      <w:r>
        <w:t xml:space="preserve">conjuntos de datos, pero no para las magnitudes reportadas en el Capítulo 4,</w:t>
      </w:r>
      <w:r>
        <w:t xml:space="preserve"> </w:t>
      </w:r>
      <w:r>
        <w:t xml:space="preserve">porque emplea un protocolo y unas definiciones operativas propios.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7.5.1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w:t>
      </w:r>
      <w:r>
        <w:t xml:space="preserve"> </w:t>
      </w:r>
      <w:r>
        <w:t xml:space="preserve">(Hooker et al. 2019; Rong et al. 2022)</w:t>
      </w:r>
      <w:r>
        <w:t xml:space="preserve">. El operador común y determinista favorece la comparabilidad procedimental, pero no preserva la distribución conjunta ni elimina ese sesgo. No puede descartarse que parte de la brecha de fidelidad SHAP-LIME refleje sensibilidad diferencial a este mecanismo en lugar de diferencias puras de calidad de atribución.</w:t>
      </w:r>
    </w:p>
    <w:bookmarkEnd w:id="240"/>
    <w:bookmarkStart w:id="243" w:name="sec-fronteras"/>
    <w:p>
      <w:pPr>
        <w:pStyle w:val="Ttulo2"/>
        <w:spacing w:line="360" w:lineRule="auto"/>
        <w:jc w:val="both"/>
      </w:pPr>
      <w:r>
        <w:t xml:space="preserve">7.5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241" w:name="tbl-fronteras-generalizacion"/>
          <w:p>
            <w:pPr>
              <w:pStyle w:val="ImageCaption"/>
              <w:spacing w:before="200" w:line="360" w:lineRule="auto"/>
              <w:jc w:val="center"/>
            </w:pPr>
            <w:r>
              <w:t xml:space="preserve">Tabla 7.4: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7.5.1</w:t>
                    </w:r>
                  </w:hyperlink>
                  <w:r>
                    <w:t xml:space="preserve">). La extensión posterior incorporó LIME en esos dos datasets, pero no instrumentó estabilidad de SHAP; por tanto, el contraste pareado SHAP-LIME completo fuera de Adult permanece pendiente.</w:t>
                  </w:r>
                  <w:r>
                    <w:t xml:space="preserve"> </w:t>
                  </w:r>
                  <w:r>
                    <w:rPr>
                      <w:b/>
                      <w:bCs/>
                    </w:rPr>
                    <w:t xml:space="preserve">Seguimiento (§</w:t>
                  </w:r>
                  <w:hyperlink w:anchor="sec-seg-transferencia">
                    <w:r>
                      <w:rPr>
                        <w:rStyle w:val="Hipervnculo"/>
                        <w:b/>
                        <w:bCs/>
                      </w:rPr>
                      <w:t xml:space="preserve">6.4</w:t>
                    </w:r>
                  </w:hyperlink>
                  <w:r>
                    <w:rPr>
                      <w:b/>
                      <w:bCs/>
                    </w:rPr>
                    <w:t xml:space="preserve">):</w:t>
                  </w:r>
                  <w:r>
                    <w:t xml:space="preserve"> </w:t>
                  </w:r>
                  <w:r>
                    <w:t xml:space="preserve">bajo un protocolo común, el par LIME–SHAP conserva el orden de Adult en 13 de los otros 15 conjuntos de datos en la brecha de fidelidad y en estabilidad; ese estudio no replica las magnitudes de este benchmark.</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7.5.1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241"/>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242" w:name="sec-exp3-nota"/>
    <w:p>
      <w:pPr>
        <w:pStyle w:val="Ttulo3"/>
        <w:spacing w:line="360" w:lineRule="auto"/>
        <w:jc w:val="both"/>
      </w:pPr>
      <w:r>
        <w:t xml:space="preserve">7.5.1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242"/>
    <w:bookmarkEnd w:id="243"/>
    <w:bookmarkStart w:id="244" w:name="sec-futuro"/>
    <w:p>
      <w:pPr>
        <w:pStyle w:val="Ttulo2"/>
        <w:spacing w:line="360" w:lineRule="auto"/>
        <w:jc w:val="both"/>
      </w:pPr>
      <w:r>
        <w:t xml:space="preserve">7.6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La cohorte</w:t>
      </w:r>
      <w:r>
        <w:t xml:space="preserve"> </w:t>
      </w:r>
      <w:r>
        <w:t xml:space="preserve">de replicación con un segundo panel de jueces ya aporta una prueba parcial.</w:t>
      </w:r>
      <w:r>
        <w:t xml:space="preserve"> </w:t>
      </w:r>
      <w:r>
        <w:t xml:space="preserve">Sostiene el gradiente para Completitud, Plausibilidad Semántica y Claridad, pero</w:t>
      </w:r>
      <w:r>
        <w:t xml:space="preserve"> </w:t>
      </w:r>
      <w:r>
        <w:t xml:space="preserve">no para Utilidad para auditoría, y muestra que la redacción de la rúbrica</w:t>
      </w:r>
      <w:r>
        <w:t xml:space="preserve"> </w:t>
      </w:r>
      <w:r>
        <w:t xml:space="preserve">desplaza tanto las puntuaciones como la fiabilidad. La calibración deberá, por</w:t>
      </w:r>
      <w:r>
        <w:t xml:space="preserve"> </w:t>
      </w:r>
      <w:r>
        <w:t xml:space="preserve">tanto, estratificarse por dimensión y por panel de jueces, y declarar la</w:t>
      </w:r>
      <w:r>
        <w:t xml:space="preserve"> </w:t>
      </w:r>
      <w:r>
        <w:t xml:space="preserve">condición y la agregación de antemano. Solo después de superar criterios de</w:t>
      </w:r>
      <w:r>
        <w:t xml:space="preserve"> </w:t>
      </w:r>
      <w:r>
        <w:t xml:space="preserve">aceptación declarados podría evaluarse un uso acotado. El gradiente actual es</w:t>
      </w:r>
      <w:r>
        <w:t xml:space="preserve"> </w:t>
      </w:r>
      <w:r>
        <w:t xml:space="preserve">generador de hipótesis y no autoriza un uso confirmativo: en la condición</w:t>
      </w:r>
      <w:r>
        <w:t xml:space="preserve"> </w:t>
      </w:r>
      <w:r>
        <w:t xml:space="preserve">primaria, todos los ICC(1,1) son inferiores a 0.75 en ambas cohortes. La</w:t>
      </w:r>
      <w:r>
        <w:t xml:space="preserve"> </w:t>
      </w:r>
      <w:r>
        <w:t xml:space="preserve">replicación con rúbricas revisadas permitirá determinar si la brecha de</w:t>
      </w:r>
      <w:r>
        <w:t xml:space="preserve"> </w:t>
      </w:r>
      <w:r>
        <w:t xml:space="preserve">fiabilidad se cierra con mayor formalización o refleja límites del paradigma</w:t>
      </w:r>
      <w:r>
        <w:t xml:space="preserve"> </w:t>
      </w:r>
      <w:r>
        <w:t xml:space="preserve">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El Estudio de Transferencia entre Conjuntos de Datos</w:t>
      </w:r>
      <w:r>
        <w:t xml:space="preserve"> </w:t>
      </w:r>
      <w:r>
        <w:t xml:space="preserve">(§</w:t>
      </w:r>
      <w:hyperlink w:anchor="sec-seg-transferencia">
        <w:r>
          <w:rPr>
            <w:rStyle w:val="Hipervnculo"/>
          </w:rPr>
          <w:t xml:space="preserve">6.4</w:t>
        </w:r>
      </w:hyperlink>
      <w:r>
        <w:t xml:space="preserve">) avanza en esta línea para el orden de los métodos</w:t>
      </w:r>
      <w:r>
        <w:t xml:space="preserve"> </w:t>
      </w:r>
      <w:r>
        <w:t xml:space="preserve">sobre 16 conjuntos de datos, con medidas definidas sobre las características</w:t>
      </w:r>
      <w:r>
        <w:t xml:space="preserve"> </w:t>
      </w:r>
      <w:r>
        <w:t xml:space="preserve">que la explicación nombra; queda pendiente repetirlo con las</w:t>
      </w:r>
      <w:r>
        <w:t xml:space="preserve"> </w:t>
      </w:r>
      <w:r>
        <w:t xml:space="preserve">operacionalizaciones del Capítulo 3 y con medidas propias de las reglas y de</w:t>
      </w:r>
      <w:r>
        <w:t xml:space="preserve"> </w:t>
      </w:r>
      <w:r>
        <w:t xml:space="preserve">los contrafactuales.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244"/>
    <w:bookmarkStart w:id="245" w:name="sec-sintesis"/>
    <w:p>
      <w:pPr>
        <w:pStyle w:val="Ttulo2"/>
        <w:spacing w:line="360" w:lineRule="auto"/>
        <w:jc w:val="both"/>
      </w:pPr>
      <w:r>
        <w:t xml:space="preserve">7.7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7.4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Los estudios de seguimiento refuerzan esta lectura desde cuatro ángulos. La</w:t>
      </w:r>
      <w:r>
        <w:t xml:space="preserve"> </w:t>
      </w:r>
      <w:r>
        <w:t xml:space="preserve">calidad promedio de un explicador no describe por igual las predicciones</w:t>
      </w:r>
      <w:r>
        <w:t xml:space="preserve"> </w:t>
      </w:r>
      <w:r>
        <w:t xml:space="preserve">correctas y las erróneas; dos explicadores pueden nombrar características</w:t>
      </w:r>
      <w:r>
        <w:t xml:space="preserve"> </w:t>
      </w:r>
      <w:r>
        <w:t xml:space="preserve">distintas para la misma predicción; un orden entre métodos depende del</w:t>
      </w:r>
      <w:r>
        <w:t xml:space="preserve"> </w:t>
      </w:r>
      <w:r>
        <w:t xml:space="preserve">protocolo con que se obtiene, aunque en buena parte se conserve entre conjuntos</w:t>
      </w:r>
      <w:r>
        <w:t xml:space="preserve"> </w:t>
      </w:r>
      <w:r>
        <w:t xml:space="preserve">de datos; y un juez automático puede acordar sobre la forma de una explicación</w:t>
      </w:r>
      <w:r>
        <w:t xml:space="preserve"> </w:t>
      </w:r>
      <w:r>
        <w:t xml:space="preserve">sin advertir que su contenido es erróneo. En los cuatro casos la conclusión es</w:t>
      </w:r>
      <w:r>
        <w:t xml:space="preserve"> </w:t>
      </w:r>
      <w:r>
        <w:t xml:space="preserve">la misma que para la estabilidad de LIME: lo que se afirma de un método</w:t>
      </w:r>
      <w:r>
        <w:t xml:space="preserve"> </w:t>
      </w:r>
      <w:r>
        <w:t xml:space="preserve">explicador debe ir acompañado de las condiciones en que se midió.</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245"/>
    <w:bookmarkEnd w:id="246"/>
    <w:bookmarkStart w:id="512" w:name="referencias"/>
    <w:p>
      <w:pPr>
        <w:pStyle w:val="Ttulo1"/>
        <w:spacing w:line="360" w:lineRule="auto"/>
        <w:jc w:val="both"/>
      </w:pPr>
      <w:r>
        <w:t xml:space="preserve">Referencias</w:t>
      </w:r>
    </w:p>
    <w:bookmarkStart w:id="511" w:name="refs"/>
    <w:bookmarkStart w:id="248"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247">
        <w:r>
          <w:rPr>
            <w:rStyle w:val="Hipervnculo"/>
          </w:rPr>
          <w:t xml:space="preserve">https://doi.org/10.1145/3173574.3174156</w:t>
        </w:r>
      </w:hyperlink>
      <w:r>
        <w:t xml:space="preserve">.</w:t>
      </w:r>
    </w:p>
    <w:bookmarkEnd w:id="248"/>
    <w:bookmarkStart w:id="250"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249">
        <w:r>
          <w:rPr>
            <w:rStyle w:val="Hipervnculo"/>
          </w:rPr>
          <w:t xml:space="preserve">https://doi.org/10.1109/INES59045.2023.1030000</w:t>
        </w:r>
      </w:hyperlink>
      <w:r>
        <w:t xml:space="preserve">.</w:t>
      </w:r>
    </w:p>
    <w:bookmarkEnd w:id="250"/>
    <w:bookmarkStart w:id="252"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251">
        <w:r>
          <w:rPr>
            <w:rStyle w:val="Hipervnculo"/>
          </w:rPr>
          <w:t xml:space="preserve">https://doi.org/10.2139/ssrn.4710037</w:t>
        </w:r>
      </w:hyperlink>
      <w:r>
        <w:t xml:space="preserve">.</w:t>
      </w:r>
    </w:p>
    <w:bookmarkEnd w:id="252"/>
    <w:bookmarkStart w:id="25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253">
        <w:r>
          <w:rPr>
            <w:rStyle w:val="Hipervnculo"/>
          </w:rPr>
          <w:t xml:space="preserve">https://doi.org/10.1109/access.2018.2870052</w:t>
        </w:r>
      </w:hyperlink>
      <w:r>
        <w:t xml:space="preserve">.</w:t>
      </w:r>
    </w:p>
    <w:bookmarkEnd w:id="254"/>
    <w:bookmarkStart w:id="256"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55">
        <w:r>
          <w:rPr>
            <w:rStyle w:val="Hipervnculo"/>
          </w:rPr>
          <w:t xml:space="preserve">https://doi.org/10.1145/3533381</w:t>
        </w:r>
      </w:hyperlink>
      <w:r>
        <w:t xml:space="preserve">.</w:t>
      </w:r>
    </w:p>
    <w:bookmarkEnd w:id="256"/>
    <w:bookmarkStart w:id="258"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57">
        <w:r>
          <w:rPr>
            <w:rStyle w:val="Hipervnculo"/>
          </w:rPr>
          <w:t xml:space="preserve">https://doi.org/10.1038/s41597-023-01974-x</w:t>
        </w:r>
      </w:hyperlink>
      <w:r>
        <w:t xml:space="preserve">.</w:t>
      </w:r>
    </w:p>
    <w:bookmarkEnd w:id="258"/>
    <w:bookmarkStart w:id="259"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59"/>
    <w:bookmarkStart w:id="261"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60">
        <w:r>
          <w:rPr>
            <w:rStyle w:val="Hipervnculo"/>
          </w:rPr>
          <w:t xml:space="preserve">https://doi.org/10.1016/j.inffus.2023.101805</w:t>
        </w:r>
      </w:hyperlink>
      <w:r>
        <w:t xml:space="preserve">.</w:t>
      </w:r>
    </w:p>
    <w:bookmarkEnd w:id="261"/>
    <w:bookmarkStart w:id="263"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62">
        <w:r>
          <w:rPr>
            <w:rStyle w:val="Hipervnculo"/>
          </w:rPr>
          <w:t xml:space="preserve">https://doi.org/10.1007/978-3-032-06744-9_14</w:t>
        </w:r>
      </w:hyperlink>
      <w:r>
        <w:t xml:space="preserve">.</w:t>
      </w:r>
    </w:p>
    <w:bookmarkEnd w:id="263"/>
    <w:bookmarkStart w:id="265"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64">
        <w:r>
          <w:rPr>
            <w:rStyle w:val="Hipervnculo"/>
          </w:rPr>
          <w:t xml:space="preserve">https://doi.org/10.1146/annurev-statistics-040120-030919</w:t>
        </w:r>
      </w:hyperlink>
      <w:r>
        <w:t xml:space="preserve">.</w:t>
      </w:r>
    </w:p>
    <w:bookmarkEnd w:id="265"/>
    <w:bookmarkStart w:id="267"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66">
        <w:r>
          <w:rPr>
            <w:rStyle w:val="Hipervnculo"/>
          </w:rPr>
          <w:t xml:space="preserve">https://doi.org/10.3390/technologies13030093</w:t>
        </w:r>
      </w:hyperlink>
      <w:r>
        <w:t xml:space="preserve">.</w:t>
      </w:r>
    </w:p>
    <w:bookmarkEnd w:id="267"/>
    <w:bookmarkStart w:id="269"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68">
        <w:r>
          <w:rPr>
            <w:rStyle w:val="Hipervnculo"/>
          </w:rPr>
          <w:t xml:space="preserve">https://arxiv.org/abs/1806.08049</w:t>
        </w:r>
      </w:hyperlink>
      <w:r>
        <w:t xml:space="preserve">.</w:t>
      </w:r>
    </w:p>
    <w:bookmarkEnd w:id="269"/>
    <w:bookmarkStart w:id="271"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70">
        <w:r>
          <w:rPr>
            <w:rStyle w:val="Hipervnculo"/>
          </w:rPr>
          <w:t xml:space="preserve">https://doi.org/10.1609/aimag.v35i4.2513</w:t>
        </w:r>
      </w:hyperlink>
      <w:r>
        <w:t xml:space="preserve">.</w:t>
      </w:r>
    </w:p>
    <w:bookmarkEnd w:id="271"/>
    <w:bookmarkStart w:id="273"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72">
        <w:r>
          <w:rPr>
            <w:rStyle w:val="Hipervnculo"/>
          </w:rPr>
          <w:t xml:space="preserve">https://doi.org/10.1002/widm.1424</w:t>
        </w:r>
      </w:hyperlink>
      <w:r>
        <w:t xml:space="preserve">.</w:t>
      </w:r>
    </w:p>
    <w:bookmarkEnd w:id="273"/>
    <w:bookmarkStart w:id="275"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74">
        <w:r>
          <w:rPr>
            <w:rStyle w:val="Hipervnculo"/>
          </w:rPr>
          <w:t xml:space="preserve">https://doi.org/10.1111/rssb.12377</w:t>
        </w:r>
      </w:hyperlink>
      <w:r>
        <w:t xml:space="preserve">.</w:t>
      </w:r>
    </w:p>
    <w:bookmarkEnd w:id="275"/>
    <w:bookmarkStart w:id="277"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76">
        <w:r>
          <w:rPr>
            <w:rStyle w:val="Hipervnculo"/>
          </w:rPr>
          <w:t xml:space="preserve">https://doi.org/10.1016/j.inffus.2019.12.012</w:t>
        </w:r>
      </w:hyperlink>
      <w:r>
        <w:t xml:space="preserve">.</w:t>
      </w:r>
    </w:p>
    <w:bookmarkEnd w:id="277"/>
    <w:bookmarkStart w:id="279"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78">
        <w:r>
          <w:rPr>
            <w:rStyle w:val="Hipervnculo"/>
          </w:rPr>
          <w:t xml:space="preserve">https://doi.org/10.1145/3649144</w:t>
        </w:r>
      </w:hyperlink>
      <w:r>
        <w:t xml:space="preserve">.</w:t>
      </w:r>
    </w:p>
    <w:bookmarkEnd w:id="279"/>
    <w:bookmarkStart w:id="281"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80">
        <w:r>
          <w:rPr>
            <w:rStyle w:val="Hipervnculo"/>
          </w:rPr>
          <w:t xml:space="preserve">https://doi.org/10.18653/v1/2020.blackboxnlp-1.14</w:t>
        </w:r>
      </w:hyperlink>
      <w:r>
        <w:t xml:space="preserve">.</w:t>
      </w:r>
    </w:p>
    <w:bookmarkEnd w:id="281"/>
    <w:bookmarkStart w:id="283"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82">
        <w:r>
          <w:rPr>
            <w:rStyle w:val="Hipervnculo"/>
          </w:rPr>
          <w:t xml:space="preserve">https://doi.org/10.3389/fdata.2021.688969</w:t>
        </w:r>
      </w:hyperlink>
      <w:r>
        <w:t xml:space="preserve">.</w:t>
      </w:r>
    </w:p>
    <w:bookmarkEnd w:id="283"/>
    <w:bookmarkStart w:id="285"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84">
        <w:r>
          <w:rPr>
            <w:rStyle w:val="Hipervnculo"/>
          </w:rPr>
          <w:t xml:space="preserve">https://doi.org/10.1145/3670685</w:t>
        </w:r>
      </w:hyperlink>
      <w:r>
        <w:t xml:space="preserve">.</w:t>
      </w:r>
    </w:p>
    <w:bookmarkEnd w:id="285"/>
    <w:bookmarkStart w:id="287"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86">
        <w:r>
          <w:rPr>
            <w:rStyle w:val="Hipervnculo"/>
          </w:rPr>
          <w:t xml:space="preserve">https://doi.org/10.1145/3643834.3660722</w:t>
        </w:r>
      </w:hyperlink>
      <w:r>
        <w:t xml:space="preserve">.</w:t>
      </w:r>
    </w:p>
    <w:bookmarkEnd w:id="287"/>
    <w:bookmarkStart w:id="289"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88">
        <w:r>
          <w:rPr>
            <w:rStyle w:val="Hipervnculo"/>
          </w:rPr>
          <w:t xml:space="preserve">https://doi.org/10.1145/3631700.3664911</w:t>
        </w:r>
      </w:hyperlink>
      <w:r>
        <w:t xml:space="preserve">.</w:t>
      </w:r>
    </w:p>
    <w:bookmarkEnd w:id="289"/>
    <w:bookmarkStart w:id="291"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90">
        <w:r>
          <w:rPr>
            <w:rStyle w:val="Hipervnculo"/>
          </w:rPr>
          <w:t xml:space="preserve">https://doi.org/10.3390/electronics13112198</w:t>
        </w:r>
      </w:hyperlink>
      <w:r>
        <w:t xml:space="preserve">.</w:t>
      </w:r>
    </w:p>
    <w:bookmarkEnd w:id="291"/>
    <w:bookmarkStart w:id="293"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92">
        <w:r>
          <w:rPr>
            <w:rStyle w:val="Hipervnculo"/>
          </w:rPr>
          <w:t xml:space="preserve">https://doi.org/10.1023/a:1010933404324</w:t>
        </w:r>
      </w:hyperlink>
      <w:r>
        <w:t xml:space="preserve">.</w:t>
      </w:r>
    </w:p>
    <w:bookmarkEnd w:id="293"/>
    <w:bookmarkStart w:id="295"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94">
        <w:r>
          <w:rPr>
            <w:rStyle w:val="Hipervnculo"/>
          </w:rPr>
          <w:t xml:space="preserve">https://doi.org/10.1145/3672359.3672363</w:t>
        </w:r>
      </w:hyperlink>
      <w:r>
        <w:t xml:space="preserve">.</w:t>
      </w:r>
    </w:p>
    <w:bookmarkEnd w:id="295"/>
    <w:bookmarkStart w:id="297"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96">
        <w:r>
          <w:rPr>
            <w:rStyle w:val="Hipervnculo"/>
          </w:rPr>
          <w:t xml:space="preserve">https://doi.org/10.18653/v1/2023.emnlp-main.792</w:t>
        </w:r>
      </w:hyperlink>
      <w:r>
        <w:t xml:space="preserve">.</w:t>
      </w:r>
    </w:p>
    <w:bookmarkEnd w:id="297"/>
    <w:bookmarkStart w:id="299"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98">
        <w:r>
          <w:rPr>
            <w:rStyle w:val="Hipervnculo"/>
          </w:rPr>
          <w:t xml:space="preserve">https://doi.org/10.1145/3737445</w:t>
        </w:r>
      </w:hyperlink>
      <w:r>
        <w:t xml:space="preserve">.</w:t>
      </w:r>
    </w:p>
    <w:bookmarkEnd w:id="299"/>
    <w:bookmarkStart w:id="301"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300">
        <w:r>
          <w:rPr>
            <w:rStyle w:val="Hipervnculo"/>
          </w:rPr>
          <w:t xml:space="preserve">https://doi.org/10.3390/electronics8080832</w:t>
        </w:r>
      </w:hyperlink>
      <w:r>
        <w:t xml:space="preserve">.</w:t>
      </w:r>
    </w:p>
    <w:bookmarkEnd w:id="301"/>
    <w:bookmarkStart w:id="303"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302">
        <w:r>
          <w:rPr>
            <w:rStyle w:val="Hipervnculo"/>
          </w:rPr>
          <w:t xml:space="preserve">https://doi.org/10.2139/ssrn.5040613</w:t>
        </w:r>
      </w:hyperlink>
      <w:r>
        <w:t xml:space="preserve">.</w:t>
      </w:r>
    </w:p>
    <w:bookmarkEnd w:id="303"/>
    <w:bookmarkStart w:id="305"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304">
        <w:r>
          <w:rPr>
            <w:rStyle w:val="Hipervnculo"/>
          </w:rPr>
          <w:t xml:space="preserve">https://doi.org/10.1177/001316446002000104</w:t>
        </w:r>
      </w:hyperlink>
      <w:r>
        <w:t xml:space="preserve">.</w:t>
      </w:r>
    </w:p>
    <w:bookmarkEnd w:id="305"/>
    <w:bookmarkStart w:id="307"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306">
        <w:r>
          <w:rPr>
            <w:rStyle w:val="Hipervnculo"/>
          </w:rPr>
          <w:t xml:space="preserve">https://doi.org/10.1145/3638380.3638426</w:t>
        </w:r>
      </w:hyperlink>
      <w:r>
        <w:t xml:space="preserve">.</w:t>
      </w:r>
    </w:p>
    <w:bookmarkEnd w:id="307"/>
    <w:bookmarkStart w:id="309"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308">
        <w:r>
          <w:rPr>
            <w:rStyle w:val="Hipervnculo"/>
          </w:rPr>
          <w:t xml:space="preserve">https://doi.org/10.1145/3702038.3702093</w:t>
        </w:r>
      </w:hyperlink>
      <w:r>
        <w:t xml:space="preserve">.</w:t>
      </w:r>
    </w:p>
    <w:bookmarkEnd w:id="309"/>
    <w:bookmarkStart w:id="31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310">
        <w:r>
          <w:rPr>
            <w:rStyle w:val="Hipervnculo"/>
          </w:rPr>
          <w:t xml:space="preserve">https://www.jmlr.org/papers/v7/demsar06a.html</w:t>
        </w:r>
      </w:hyperlink>
      <w:r>
        <w:t xml:space="preserve">.</w:t>
      </w:r>
    </w:p>
    <w:bookmarkEnd w:id="311"/>
    <w:bookmarkStart w:id="31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312">
        <w:r>
          <w:rPr>
            <w:rStyle w:val="Hipervnculo"/>
          </w:rPr>
          <w:t xml:space="preserve">https://doi.org/10.48550/arxiv.1702.08608</w:t>
        </w:r>
      </w:hyperlink>
      <w:r>
        <w:t xml:space="preserve">.</w:t>
      </w:r>
    </w:p>
    <w:bookmarkEnd w:id="313"/>
    <w:bookmarkStart w:id="315"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314">
        <w:r>
          <w:rPr>
            <w:rStyle w:val="Hipervnculo"/>
          </w:rPr>
          <w:t xml:space="preserve">http://archive.ics.uci.edu/ml</w:t>
        </w:r>
      </w:hyperlink>
      <w:r>
        <w:t xml:space="preserve">.</w:t>
      </w:r>
    </w:p>
    <w:bookmarkEnd w:id="315"/>
    <w:bookmarkStart w:id="317"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316">
        <w:r>
          <w:rPr>
            <w:rStyle w:val="Hipervnculo"/>
          </w:rPr>
          <w:t xml:space="preserve">https://doi.org/10.1145/3561048</w:t>
        </w:r>
      </w:hyperlink>
      <w:r>
        <w:t xml:space="preserve">.</w:t>
      </w:r>
    </w:p>
    <w:bookmarkEnd w:id="317"/>
    <w:bookmarkStart w:id="319"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318">
        <w:r>
          <w:rPr>
            <w:rStyle w:val="Hipervnculo"/>
          </w:rPr>
          <w:t xml:space="preserve">https://doi.org/10.1145/3686169.3686185</w:t>
        </w:r>
      </w:hyperlink>
      <w:r>
        <w:t xml:space="preserve">.</w:t>
      </w:r>
    </w:p>
    <w:bookmarkEnd w:id="319"/>
    <w:bookmarkStart w:id="321"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320">
        <w:r>
          <w:rPr>
            <w:rStyle w:val="Hipervnculo"/>
          </w:rPr>
          <w:t xml:space="preserve">https://doi.org/10.1145/3544549.3573832</w:t>
        </w:r>
      </w:hyperlink>
      <w:r>
        <w:t xml:space="preserve">.</w:t>
      </w:r>
    </w:p>
    <w:bookmarkEnd w:id="321"/>
    <w:bookmarkStart w:id="323"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322">
        <w:r>
          <w:rPr>
            <w:rStyle w:val="Hipervnculo"/>
          </w:rPr>
          <w:t xml:space="preserve">https://doi.org/10.2139/ssrn.6847479</w:t>
        </w:r>
      </w:hyperlink>
      <w:r>
        <w:t xml:space="preserve">.</w:t>
      </w:r>
    </w:p>
    <w:bookmarkEnd w:id="323"/>
    <w:bookmarkStart w:id="325"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324">
        <w:r>
          <w:rPr>
            <w:rStyle w:val="Hipervnculo"/>
          </w:rPr>
          <w:t xml:space="preserve">https://doi.org/10.1145/3573900.3591114</w:t>
        </w:r>
      </w:hyperlink>
      <w:r>
        <w:t xml:space="preserve">.</w:t>
      </w:r>
    </w:p>
    <w:bookmarkEnd w:id="325"/>
    <w:bookmarkStart w:id="326"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326"/>
    <w:bookmarkStart w:id="328"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327">
        <w:r>
          <w:rPr>
            <w:rStyle w:val="Hipervnculo"/>
          </w:rPr>
          <w:t xml:space="preserve">https://doi.org/10.1007/s11023-018-9482-5</w:t>
        </w:r>
      </w:hyperlink>
      <w:r>
        <w:t xml:space="preserve">.</w:t>
      </w:r>
    </w:p>
    <w:bookmarkEnd w:id="328"/>
    <w:bookmarkStart w:id="330"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329">
        <w:r>
          <w:rPr>
            <w:rStyle w:val="Hipervnculo"/>
          </w:rPr>
          <w:t xml:space="preserve">https://doi.org/10.1214/07-aoas148</w:t>
        </w:r>
      </w:hyperlink>
      <w:r>
        <w:t xml:space="preserve">.</w:t>
      </w:r>
    </w:p>
    <w:bookmarkEnd w:id="330"/>
    <w:bookmarkStart w:id="332"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331">
        <w:r>
          <w:rPr>
            <w:rStyle w:val="Hipervnculo"/>
          </w:rPr>
          <w:t xml:space="preserve">https://doi.org/10.1214/aos/1013203451</w:t>
        </w:r>
      </w:hyperlink>
      <w:r>
        <w:t xml:space="preserve">.</w:t>
      </w:r>
    </w:p>
    <w:bookmarkEnd w:id="332"/>
    <w:bookmarkStart w:id="334"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333">
        <w:r>
          <w:rPr>
            <w:rStyle w:val="Hipervnculo"/>
          </w:rPr>
          <w:t xml:space="preserve">https://doi.org/10.1080/01621459.1937.10503522</w:t>
        </w:r>
      </w:hyperlink>
      <w:r>
        <w:t xml:space="preserve">.</w:t>
      </w:r>
    </w:p>
    <w:bookmarkEnd w:id="334"/>
    <w:bookmarkStart w:id="336"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335">
        <w:r>
          <w:rPr>
            <w:rStyle w:val="Hipervnculo"/>
          </w:rPr>
          <w:t xml:space="preserve">https://doi.org/10.1145/3626203.3670522</w:t>
        </w:r>
      </w:hyperlink>
      <w:r>
        <w:t xml:space="preserve">.</w:t>
      </w:r>
    </w:p>
    <w:bookmarkEnd w:id="336"/>
    <w:bookmarkStart w:id="338"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337">
        <w:r>
          <w:rPr>
            <w:rStyle w:val="Hipervnculo"/>
          </w:rPr>
          <w:t xml:space="preserve">https://doi.org/10.1109/dsaa.2018.00018</w:t>
        </w:r>
      </w:hyperlink>
      <w:r>
        <w:t xml:space="preserve">.</w:t>
      </w:r>
    </w:p>
    <w:bookmarkEnd w:id="338"/>
    <w:bookmarkStart w:id="340"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339">
        <w:r>
          <w:rPr>
            <w:rStyle w:val="Hipervnculo"/>
          </w:rPr>
          <w:t xml:space="preserve">https://doi.org/10.1080/10618600.2014.907095</w:t>
        </w:r>
      </w:hyperlink>
      <w:r>
        <w:t xml:space="preserve">.</w:t>
      </w:r>
    </w:p>
    <w:bookmarkEnd w:id="340"/>
    <w:bookmarkStart w:id="342"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341">
        <w:r>
          <w:rPr>
            <w:rStyle w:val="Hipervnculo"/>
          </w:rPr>
          <w:t xml:space="preserve">https://doi.org/10.1145/3605098.3636109</w:t>
        </w:r>
      </w:hyperlink>
      <w:r>
        <w:t xml:space="preserve">.</w:t>
      </w:r>
    </w:p>
    <w:bookmarkEnd w:id="342"/>
    <w:bookmarkStart w:id="344"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343">
        <w:r>
          <w:rPr>
            <w:rStyle w:val="Hipervnculo"/>
          </w:rPr>
          <w:t xml:space="preserve">https://doi.org/10.1145/3236009</w:t>
        </w:r>
      </w:hyperlink>
      <w:r>
        <w:t xml:space="preserve">.</w:t>
      </w:r>
    </w:p>
    <w:bookmarkEnd w:id="344"/>
    <w:bookmarkStart w:id="346"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345">
        <w:r>
          <w:rPr>
            <w:rStyle w:val="Hipervnculo"/>
          </w:rPr>
          <w:t xml:space="preserve">https://doi.org/10.18653/v1/2020.acl-main.491</w:t>
        </w:r>
      </w:hyperlink>
      <w:r>
        <w:t xml:space="preserve">.</w:t>
      </w:r>
    </w:p>
    <w:bookmarkEnd w:id="346"/>
    <w:bookmarkStart w:id="348"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347">
        <w:r>
          <w:rPr>
            <w:rStyle w:val="Hipervnculo"/>
          </w:rPr>
          <w:t xml:space="preserve">https://doi.org/10.1007/s12559-023-10179-8</w:t>
        </w:r>
      </w:hyperlink>
      <w:r>
        <w:t xml:space="preserve">.</w:t>
      </w:r>
    </w:p>
    <w:bookmarkEnd w:id="348"/>
    <w:bookmarkStart w:id="349"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349"/>
    <w:bookmarkStart w:id="350"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350"/>
    <w:bookmarkStart w:id="352"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351">
        <w:r>
          <w:rPr>
            <w:rStyle w:val="Hipervnculo"/>
          </w:rPr>
          <w:t xml:space="preserve">https://doi.org/10.1007/s13218-023-00806-9</w:t>
        </w:r>
      </w:hyperlink>
      <w:r>
        <w:t xml:space="preserve">.</w:t>
      </w:r>
    </w:p>
    <w:bookmarkEnd w:id="352"/>
    <w:bookmarkStart w:id="354"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353">
        <w:r>
          <w:rPr>
            <w:rStyle w:val="Hipervnculo"/>
          </w:rPr>
          <w:t xml:space="preserve">https://doi.org/10.1007/978-3-031-04083-2_2</w:t>
        </w:r>
      </w:hyperlink>
      <w:r>
        <w:t xml:space="preserve">.</w:t>
      </w:r>
    </w:p>
    <w:bookmarkEnd w:id="354"/>
    <w:bookmarkStart w:id="355" w:name="ref-hooker2019benchmark"/>
    <w:p>
      <w:pPr>
        <w:pStyle w:val="Bibliography"/>
        <w:spacing w:line="360" w:lineRule="auto"/>
        <w:jc w:val="both"/>
      </w:pPr>
      <w:r>
        <w:t xml:space="preserve">Hooker, Sara, Dumitru Erhan, Pieter-Jan Kindermans, y Been Kim. 2019.</w:t>
      </w:r>
      <w:r>
        <w:t xml:space="preserve"> </w:t>
      </w:r>
      <w:r>
        <w:t xml:space="preserve">«A Benchmark for Interpretability Methods in Deep Neural Networks»</w:t>
      </w:r>
      <w:r>
        <w:t xml:space="preserve">.</w:t>
      </w:r>
      <w:r>
        <w:t xml:space="preserve"> </w:t>
      </w:r>
      <w:r>
        <w:rPr>
          <w:i/>
          <w:iCs/>
        </w:rPr>
        <w:t xml:space="preserve">Advances in Neural Information Processing Systems</w:t>
      </w:r>
      <w:r>
        <w:t xml:space="preserve"> </w:t>
      </w:r>
      <w:r>
        <w:t xml:space="preserve">32: 9737-48.</w:t>
      </w:r>
    </w:p>
    <w:bookmarkEnd w:id="355"/>
    <w:bookmarkStart w:id="357"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56">
        <w:r>
          <w:rPr>
            <w:rStyle w:val="Hipervnculo"/>
          </w:rPr>
          <w:t xml:space="preserve">https://doi.org/10.1016/j.array.2025.100399</w:t>
        </w:r>
      </w:hyperlink>
      <w:r>
        <w:t xml:space="preserve">.</w:t>
      </w:r>
    </w:p>
    <w:bookmarkEnd w:id="357"/>
    <w:bookmarkStart w:id="359"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58">
        <w:r>
          <w:rPr>
            <w:rStyle w:val="Hipervnculo"/>
          </w:rPr>
          <w:t xml:space="preserve">https://doi.org/10.1126/science.359.6377.725</w:t>
        </w:r>
      </w:hyperlink>
      <w:r>
        <w:t xml:space="preserve">.</w:t>
      </w:r>
    </w:p>
    <w:bookmarkEnd w:id="359"/>
    <w:bookmarkStart w:id="361"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60">
        <w:r>
          <w:rPr>
            <w:rStyle w:val="Hipervnculo"/>
          </w:rPr>
          <w:t xml:space="preserve">https://doi.org/10.1145/3631908.3631925</w:t>
        </w:r>
      </w:hyperlink>
      <w:r>
        <w:t xml:space="preserve">.</w:t>
      </w:r>
    </w:p>
    <w:bookmarkEnd w:id="361"/>
    <w:bookmarkStart w:id="363"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62">
        <w:r>
          <w:rPr>
            <w:rStyle w:val="Hipervnculo"/>
          </w:rPr>
          <w:t xml:space="preserve">https://doi.org/10.1145/3571730</w:t>
        </w:r>
      </w:hyperlink>
      <w:r>
        <w:t xml:space="preserve">.</w:t>
      </w:r>
    </w:p>
    <w:bookmarkEnd w:id="363"/>
    <w:bookmarkStart w:id="364"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64"/>
    <w:bookmarkStart w:id="366"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65">
        <w:r>
          <w:rPr>
            <w:rStyle w:val="Hipervnculo"/>
          </w:rPr>
          <w:t xml:space="preserve">https://doi.org/10.1109/access.2025.3546681</w:t>
        </w:r>
      </w:hyperlink>
      <w:r>
        <w:t xml:space="preserve">.</w:t>
      </w:r>
    </w:p>
    <w:bookmarkEnd w:id="366"/>
    <w:bookmarkStart w:id="368"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67">
        <w:r>
          <w:rPr>
            <w:rStyle w:val="Hipervnculo"/>
          </w:rPr>
          <w:t xml:space="preserve">https://doi.org/10.1145/3527848</w:t>
        </w:r>
      </w:hyperlink>
      <w:r>
        <w:t xml:space="preserve">.</w:t>
      </w:r>
    </w:p>
    <w:bookmarkEnd w:id="368"/>
    <w:bookmarkStart w:id="370"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69">
        <w:r>
          <w:rPr>
            <w:rStyle w:val="Hipervnculo"/>
          </w:rPr>
          <w:t xml:space="preserve">https://doi.org/10.1145/3651593</w:t>
        </w:r>
      </w:hyperlink>
      <w:r>
        <w:t xml:space="preserve">.</w:t>
      </w:r>
    </w:p>
    <w:bookmarkEnd w:id="370"/>
    <w:bookmarkStart w:id="372"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71">
        <w:r>
          <w:rPr>
            <w:rStyle w:val="Hipervnculo"/>
          </w:rPr>
          <w:t xml:space="preserve">https://doi.org/10.1145/3313831.3376219</w:t>
        </w:r>
      </w:hyperlink>
      <w:r>
        <w:t xml:space="preserve">.</w:t>
      </w:r>
    </w:p>
    <w:bookmarkEnd w:id="372"/>
    <w:bookmarkStart w:id="373"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73"/>
    <w:bookmarkStart w:id="375"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74">
        <w:r>
          <w:rPr>
            <w:rStyle w:val="Hipervnculo"/>
          </w:rPr>
          <w:t xml:space="preserve">https://doi.org/10.1145/3613905.3638184</w:t>
        </w:r>
      </w:hyperlink>
      <w:r>
        <w:t xml:space="preserve">.</w:t>
      </w:r>
    </w:p>
    <w:bookmarkEnd w:id="375"/>
    <w:bookmarkStart w:id="376"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76"/>
    <w:bookmarkStart w:id="378"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77">
        <w:r>
          <w:rPr>
            <w:rStyle w:val="Hipervnculo"/>
          </w:rPr>
          <w:t xml:space="preserve">https://archive.ics.uci.edu/dataset/2/adult</w:t>
        </w:r>
      </w:hyperlink>
      <w:r>
        <w:t xml:space="preserve">.</w:t>
      </w:r>
    </w:p>
    <w:bookmarkEnd w:id="378"/>
    <w:bookmarkStart w:id="380"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79">
        <w:r>
          <w:rPr>
            <w:rStyle w:val="Hipervnculo"/>
          </w:rPr>
          <w:t xml:space="preserve">https://doi.org/10.1016/j.jcm.2016.02.012</w:t>
        </w:r>
      </w:hyperlink>
      <w:r>
        <w:t xml:space="preserve">.</w:t>
      </w:r>
    </w:p>
    <w:bookmarkEnd w:id="380"/>
    <w:bookmarkStart w:id="381"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81"/>
    <w:bookmarkStart w:id="383"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82">
        <w:r>
          <w:rPr>
            <w:rStyle w:val="Hipervnculo"/>
          </w:rPr>
          <w:t xml:space="preserve">https://doi.org/10.1145/3592307.3592342</w:t>
        </w:r>
      </w:hyperlink>
      <w:r>
        <w:t xml:space="preserve">.</w:t>
      </w:r>
    </w:p>
    <w:bookmarkEnd w:id="383"/>
    <w:bookmarkStart w:id="385"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84">
        <w:r>
          <w:rPr>
            <w:rStyle w:val="Hipervnculo"/>
          </w:rPr>
          <w:t xml:space="preserve">https://doi.org/10.3389/fpsyg.2013.00863</w:t>
        </w:r>
      </w:hyperlink>
      <w:r>
        <w:t xml:space="preserve">.</w:t>
      </w:r>
    </w:p>
    <w:bookmarkEnd w:id="385"/>
    <w:bookmarkStart w:id="387"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86">
        <w:r>
          <w:rPr>
            <w:rStyle w:val="Hipervnculo"/>
          </w:rPr>
          <w:t xml:space="preserve">https://doi.org/10.1016/j.artint.2021.103473</w:t>
        </w:r>
      </w:hyperlink>
      <w:r>
        <w:t xml:space="preserve">.</w:t>
      </w:r>
    </w:p>
    <w:bookmarkEnd w:id="387"/>
    <w:bookmarkStart w:id="389"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88">
        <w:r>
          <w:rPr>
            <w:rStyle w:val="Hipervnculo"/>
          </w:rPr>
          <w:t xml:space="preserve">https://doi.org/10.24963/ijcai.2019/388</w:t>
        </w:r>
      </w:hyperlink>
      <w:r>
        <w:t xml:space="preserve">.</w:t>
      </w:r>
    </w:p>
    <w:bookmarkEnd w:id="389"/>
    <w:bookmarkStart w:id="390"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90"/>
    <w:bookmarkStart w:id="392"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91">
        <w:r>
          <w:rPr>
            <w:rStyle w:val="Hipervnculo"/>
          </w:rPr>
          <w:t xml:space="preserve">https://doi.org/10.3390/e23010018</w:t>
        </w:r>
      </w:hyperlink>
      <w:r>
        <w:t xml:space="preserve">.</w:t>
      </w:r>
    </w:p>
    <w:bookmarkEnd w:id="392"/>
    <w:bookmarkStart w:id="394"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93">
        <w:r>
          <w:rPr>
            <w:rStyle w:val="Hipervnculo"/>
          </w:rPr>
          <w:t xml:space="preserve">https://doi.org/10.1145/3236386.3241340</w:t>
        </w:r>
      </w:hyperlink>
      <w:r>
        <w:t xml:space="preserve">.</w:t>
      </w:r>
    </w:p>
    <w:bookmarkEnd w:id="394"/>
    <w:bookmarkStart w:id="395"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95"/>
    <w:bookmarkStart w:id="396"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96"/>
    <w:bookmarkStart w:id="398"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97">
        <w:r>
          <w:rPr>
            <w:rStyle w:val="Hipervnculo"/>
          </w:rPr>
          <w:t xml:space="preserve">https://doi.org/10.1016/j.inffus.2024.102301</w:t>
        </w:r>
      </w:hyperlink>
      <w:r>
        <w:t xml:space="preserve">.</w:t>
      </w:r>
    </w:p>
    <w:bookmarkEnd w:id="398"/>
    <w:bookmarkStart w:id="400"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99">
        <w:r>
          <w:rPr>
            <w:rStyle w:val="Hipervnculo"/>
          </w:rPr>
          <w:t xml:space="preserve">https://doi.org/10.48550/arxiv.1705.07874</w:t>
        </w:r>
      </w:hyperlink>
      <w:r>
        <w:t xml:space="preserve">.</w:t>
      </w:r>
    </w:p>
    <w:bookmarkEnd w:id="400"/>
    <w:bookmarkStart w:id="402"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401">
        <w:r>
          <w:rPr>
            <w:rStyle w:val="Hipervnculo"/>
          </w:rPr>
          <w:t xml:space="preserve">https://doi.org/10.1145/3647444.3647912</w:t>
        </w:r>
      </w:hyperlink>
      <w:r>
        <w:t xml:space="preserve">.</w:t>
      </w:r>
    </w:p>
    <w:bookmarkEnd w:id="402"/>
    <w:bookmarkStart w:id="404"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403">
        <w:r>
          <w:rPr>
            <w:rStyle w:val="Hipervnculo"/>
          </w:rPr>
          <w:t xml:space="preserve">https://doi.org/10.1002/widm.1493</w:t>
        </w:r>
      </w:hyperlink>
      <w:r>
        <w:t xml:space="preserve">.</w:t>
      </w:r>
    </w:p>
    <w:bookmarkEnd w:id="404"/>
    <w:bookmarkStart w:id="406"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405">
        <w:r>
          <w:rPr>
            <w:rStyle w:val="Hipervnculo"/>
          </w:rPr>
          <w:t xml:space="preserve">https://doi.org/10.1007/978-3-031-75387-9_12</w:t>
        </w:r>
      </w:hyperlink>
      <w:r>
        <w:t xml:space="preserve">.</w:t>
      </w:r>
    </w:p>
    <w:bookmarkEnd w:id="406"/>
    <w:bookmarkStart w:id="40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407">
        <w:r>
          <w:rPr>
            <w:rStyle w:val="Hipervnculo"/>
          </w:rPr>
          <w:t xml:space="preserve">https://doi.org/10.1016/j.artint.2018.07.007</w:t>
        </w:r>
      </w:hyperlink>
      <w:r>
        <w:t xml:space="preserve">.</w:t>
      </w:r>
    </w:p>
    <w:bookmarkEnd w:id="408"/>
    <w:bookmarkStart w:id="409"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409"/>
    <w:bookmarkStart w:id="411"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410">
        <w:r>
          <w:rPr>
            <w:rStyle w:val="Hipervnculo"/>
          </w:rPr>
          <w:t xml:space="preserve">https://doi.org/10.1145/3607947.3608059</w:t>
        </w:r>
      </w:hyperlink>
      <w:r>
        <w:t xml:space="preserve">.</w:t>
      </w:r>
    </w:p>
    <w:bookmarkEnd w:id="411"/>
    <w:bookmarkStart w:id="413"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412">
        <w:r>
          <w:rPr>
            <w:rStyle w:val="Hipervnculo"/>
          </w:rPr>
          <w:t xml:space="preserve">https://doi.org/10.1145/3287560.3287574</w:t>
        </w:r>
      </w:hyperlink>
      <w:r>
        <w:t xml:space="preserve">.</w:t>
      </w:r>
    </w:p>
    <w:bookmarkEnd w:id="413"/>
    <w:bookmarkStart w:id="415"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414">
        <w:r>
          <w:rPr>
            <w:rStyle w:val="Hipervnculo"/>
          </w:rPr>
          <w:t xml:space="preserve">https://doi.org/10.1145/3387166</w:t>
        </w:r>
      </w:hyperlink>
      <w:r>
        <w:t xml:space="preserve">.</w:t>
      </w:r>
    </w:p>
    <w:bookmarkEnd w:id="415"/>
    <w:bookmarkStart w:id="417"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416">
        <w:r>
          <w:rPr>
            <w:rStyle w:val="Hipervnculo"/>
          </w:rPr>
          <w:t xml:space="preserve">https://doi.org/10.1007/978-3-030-65965-3_28</w:t>
        </w:r>
      </w:hyperlink>
      <w:r>
        <w:t xml:space="preserve">.</w:t>
      </w:r>
    </w:p>
    <w:bookmarkEnd w:id="417"/>
    <w:bookmarkStart w:id="419"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418">
        <w:r>
          <w:rPr>
            <w:rStyle w:val="Hipervnculo"/>
          </w:rPr>
          <w:t xml:space="preserve">https://doi.org/10.1145/3610064</w:t>
        </w:r>
      </w:hyperlink>
      <w:r>
        <w:t xml:space="preserve">.</w:t>
      </w:r>
    </w:p>
    <w:bookmarkEnd w:id="419"/>
    <w:bookmarkStart w:id="421"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420">
        <w:r>
          <w:rPr>
            <w:rStyle w:val="Hipervnculo"/>
          </w:rPr>
          <w:t xml:space="preserve">https://doi.org/10.1145/3351095.3372850</w:t>
        </w:r>
      </w:hyperlink>
      <w:r>
        <w:t xml:space="preserve">.</w:t>
      </w:r>
    </w:p>
    <w:bookmarkEnd w:id="421"/>
    <w:bookmarkStart w:id="423"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422">
        <w:r>
          <w:rPr>
            <w:rStyle w:val="Hipervnculo"/>
          </w:rPr>
          <w:t xml:space="preserve">https://doi.org/10.1145/3704522.3704524</w:t>
        </w:r>
      </w:hyperlink>
      <w:r>
        <w:t xml:space="preserve">.</w:t>
      </w:r>
    </w:p>
    <w:bookmarkEnd w:id="423"/>
    <w:bookmarkStart w:id="42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424">
        <w:r>
          <w:rPr>
            <w:rStyle w:val="Hipervnculo"/>
          </w:rPr>
          <w:t xml:space="preserve">https://doi.org/10.1073/pnas.1900654116</w:t>
        </w:r>
      </w:hyperlink>
      <w:r>
        <w:t xml:space="preserve">.</w:t>
      </w:r>
    </w:p>
    <w:bookmarkEnd w:id="425"/>
    <w:bookmarkStart w:id="427"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426">
        <w:r>
          <w:rPr>
            <w:rStyle w:val="Hipervnculo"/>
          </w:rPr>
          <w:t xml:space="preserve">https://doi.org/10.1007/s10676-024-09773-7</w:t>
        </w:r>
      </w:hyperlink>
      <w:r>
        <w:t xml:space="preserve">.</w:t>
      </w:r>
    </w:p>
    <w:bookmarkEnd w:id="427"/>
    <w:bookmarkStart w:id="429"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428">
        <w:r>
          <w:rPr>
            <w:rStyle w:val="Hipervnculo"/>
          </w:rPr>
          <w:t xml:space="preserve">https://doi.org/10.1145/3583558</w:t>
        </w:r>
      </w:hyperlink>
      <w:r>
        <w:t xml:space="preserve">.</w:t>
      </w:r>
    </w:p>
    <w:bookmarkEnd w:id="429"/>
    <w:bookmarkStart w:id="431"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430">
        <w:r>
          <w:rPr>
            <w:rStyle w:val="Hipervnculo"/>
          </w:rPr>
          <w:t xml:space="preserve">https://catalog.princeton.edu/catalog/2081365</w:t>
        </w:r>
      </w:hyperlink>
      <w:r>
        <w:t xml:space="preserve">.</w:t>
      </w:r>
    </w:p>
    <w:bookmarkEnd w:id="431"/>
    <w:bookmarkStart w:id="433"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432">
        <w:r>
          <w:rPr>
            <w:rStyle w:val="Hipervnculo"/>
          </w:rPr>
          <w:t xml:space="preserve">https://doi.org/10.1145/3711123</w:t>
        </w:r>
      </w:hyperlink>
      <w:r>
        <w:t xml:space="preserve">.</w:t>
      </w:r>
    </w:p>
    <w:bookmarkEnd w:id="433"/>
    <w:bookmarkStart w:id="434"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434"/>
    <w:bookmarkStart w:id="436"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435">
        <w:r>
          <w:rPr>
            <w:rStyle w:val="Hipervnculo"/>
          </w:rPr>
          <w:t xml:space="preserve">https://doi.org/10.1145/3613904.3642352</w:t>
        </w:r>
      </w:hyperlink>
      <w:r>
        <w:t xml:space="preserve">.</w:t>
      </w:r>
    </w:p>
    <w:bookmarkEnd w:id="436"/>
    <w:bookmarkStart w:id="437"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437"/>
    <w:bookmarkStart w:id="439"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438">
        <w:r>
          <w:rPr>
            <w:rStyle w:val="Hipervnculo"/>
          </w:rPr>
          <w:t xml:space="preserve">https://doi.org/10.1038/s41467-022-33417-3</w:t>
        </w:r>
      </w:hyperlink>
      <w:r>
        <w:t xml:space="preserve">.</w:t>
      </w:r>
    </w:p>
    <w:bookmarkEnd w:id="439"/>
    <w:bookmarkStart w:id="440"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440"/>
    <w:bookmarkStart w:id="442"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441">
        <w:r>
          <w:rPr>
            <w:rStyle w:val="Hipervnculo"/>
          </w:rPr>
          <w:t xml:space="preserve">https://doi.org/10.1016/j.neucom.2024.128282</w:t>
        </w:r>
      </w:hyperlink>
      <w:r>
        <w:t xml:space="preserve">.</w:t>
      </w:r>
    </w:p>
    <w:bookmarkEnd w:id="442"/>
    <w:bookmarkStart w:id="444"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443">
        <w:r>
          <w:rPr>
            <w:rStyle w:val="Hipervnculo"/>
          </w:rPr>
          <w:t xml:space="preserve">https://doi.org/10.1613/jair.1.14888</w:t>
        </w:r>
      </w:hyperlink>
      <w:r>
        <w:t xml:space="preserve">.</w:t>
      </w:r>
    </w:p>
    <w:bookmarkEnd w:id="444"/>
    <w:bookmarkStart w:id="446"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445">
        <w:r>
          <w:rPr>
            <w:rStyle w:val="Hipervnculo"/>
          </w:rPr>
          <w:t xml:space="preserve">https://doi.org/10.1145/3678884.3682046</w:t>
        </w:r>
      </w:hyperlink>
      <w:r>
        <w:t xml:space="preserve">.</w:t>
      </w:r>
    </w:p>
    <w:bookmarkEnd w:id="446"/>
    <w:bookmarkStart w:id="448"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447">
        <w:r>
          <w:rPr>
            <w:rStyle w:val="Hipervnculo"/>
          </w:rPr>
          <w:t xml:space="preserve">https://doi.org/10.1145/3375627.3375850</w:t>
        </w:r>
      </w:hyperlink>
      <w:r>
        <w:t xml:space="preserve">.</w:t>
      </w:r>
    </w:p>
    <w:bookmarkEnd w:id="448"/>
    <w:bookmarkStart w:id="449"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449"/>
    <w:bookmarkStart w:id="450"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450"/>
    <w:bookmarkStart w:id="452"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451">
        <w:r>
          <w:rPr>
            <w:rStyle w:val="Hipervnculo"/>
          </w:rPr>
          <w:t xml:space="preserve">https://doi.org/10.1073/pnas.2426766122</w:t>
        </w:r>
      </w:hyperlink>
      <w:r>
        <w:t xml:space="preserve">.</w:t>
      </w:r>
    </w:p>
    <w:bookmarkEnd w:id="452"/>
    <w:bookmarkStart w:id="454"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453">
        <w:r>
          <w:rPr>
            <w:rStyle w:val="Hipervnculo"/>
          </w:rPr>
          <w:t xml:space="preserve">https://doi.org/10.1145/2939672.2939778</w:t>
        </w:r>
      </w:hyperlink>
      <w:r>
        <w:t xml:space="preserve">.</w:t>
      </w:r>
    </w:p>
    <w:bookmarkEnd w:id="454"/>
    <w:bookmarkStart w:id="456"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455">
        <w:r>
          <w:rPr>
            <w:rStyle w:val="Hipervnculo"/>
          </w:rPr>
          <w:t xml:space="preserve">https://doi.org/10.1609/aaai.v32i1.11491</w:t>
        </w:r>
      </w:hyperlink>
      <w:r>
        <w:t xml:space="preserve">.</w:t>
      </w:r>
    </w:p>
    <w:bookmarkEnd w:id="456"/>
    <w:bookmarkStart w:id="458"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57">
        <w:r>
          <w:rPr>
            <w:rStyle w:val="Hipervnculo"/>
          </w:rPr>
          <w:t xml:space="preserve">https://doi.org/10.65109/vllw9552</w:t>
        </w:r>
      </w:hyperlink>
      <w:r>
        <w:t xml:space="preserve">.</w:t>
      </w:r>
    </w:p>
    <w:bookmarkEnd w:id="458"/>
    <w:bookmarkStart w:id="460" w:name="ref-rong2022consistent"/>
    <w:p>
      <w:pPr>
        <w:pStyle w:val="Bibliography"/>
        <w:spacing w:line="360" w:lineRule="auto"/>
        <w:jc w:val="both"/>
      </w:pPr>
      <w:r>
        <w:t xml:space="preserve">Rong, Yao, Tobias Leemann, Vadim Borisov, Gjergji Kasneci, y Enkelejda Kasneci. 2022.</w:t>
      </w:r>
      <w:r>
        <w:t xml:space="preserve"> </w:t>
      </w:r>
      <w:r>
        <w:t xml:space="preserve">«A Consistent and Efficient Evaluation Strategy for Attribution Methods»</w:t>
      </w:r>
      <w:r>
        <w:t xml:space="preserve">.</w:t>
      </w:r>
      <w:r>
        <w:t xml:space="preserve"> </w:t>
      </w:r>
      <w:r>
        <w:rPr>
          <w:i/>
          <w:iCs/>
        </w:rPr>
        <w:t xml:space="preserve">Proceedings of the 39th International Conference on Machine Learning</w:t>
      </w:r>
      <w:r>
        <w:t xml:space="preserve">, Proceedings of Machine Learning Research, vol. 162: 18770-95.</w:t>
      </w:r>
      <w:r>
        <w:t xml:space="preserve"> </w:t>
      </w:r>
      <w:hyperlink ns5:id="rId459">
        <w:r>
          <w:rPr>
            <w:rStyle w:val="Hipervnculo"/>
          </w:rPr>
          <w:t xml:space="preserve">https://proceedings.mlr.press/v162/rong22a.html</w:t>
        </w:r>
      </w:hyperlink>
      <w:r>
        <w:t xml:space="preserve">.</w:t>
      </w:r>
    </w:p>
    <w:bookmarkEnd w:id="460"/>
    <w:bookmarkStart w:id="46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61">
        <w:r>
          <w:rPr>
            <w:rStyle w:val="Hipervnculo"/>
          </w:rPr>
          <w:t xml:space="preserve">https://doi.org/10.1109/TPAMI.2023.3331846</w:t>
        </w:r>
      </w:hyperlink>
      <w:r>
        <w:t xml:space="preserve">.</w:t>
      </w:r>
    </w:p>
    <w:bookmarkEnd w:id="462"/>
    <w:bookmarkStart w:id="46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63">
        <w:r>
          <w:rPr>
            <w:rStyle w:val="Hipervnculo"/>
          </w:rPr>
          <w:t xml:space="preserve">https://doi.org/10.1214/21-ss133</w:t>
        </w:r>
      </w:hyperlink>
      <w:r>
        <w:t xml:space="preserve">.</w:t>
      </w:r>
    </w:p>
    <w:bookmarkEnd w:id="464"/>
    <w:bookmarkStart w:id="466"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65">
        <w:r>
          <w:rPr>
            <w:rStyle w:val="Hipervnculo"/>
          </w:rPr>
          <w:t xml:space="preserve">https://doi.org/10.1038/s42256-019-0048-x</w:t>
        </w:r>
      </w:hyperlink>
      <w:r>
        <w:t xml:space="preserve">.</w:t>
      </w:r>
    </w:p>
    <w:bookmarkEnd w:id="466"/>
    <w:bookmarkStart w:id="468"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67">
        <w:r>
          <w:rPr>
            <w:rStyle w:val="Hipervnculo"/>
          </w:rPr>
          <w:t xml:space="preserve">https://doi.org/10.3390/app14198884</w:t>
        </w:r>
      </w:hyperlink>
      <w:r>
        <w:t xml:space="preserve">.</w:t>
      </w:r>
    </w:p>
    <w:bookmarkEnd w:id="468"/>
    <w:bookmarkStart w:id="470"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69">
        <w:r>
          <w:rPr>
            <w:rStyle w:val="Hipervnculo"/>
          </w:rPr>
          <w:t xml:space="preserve">https://doi.org/10.1016/j.knosys.2023.110273</w:t>
        </w:r>
      </w:hyperlink>
      <w:r>
        <w:t xml:space="preserve">.</w:t>
      </w:r>
    </w:p>
    <w:bookmarkEnd w:id="470"/>
    <w:bookmarkStart w:id="472"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71">
        <w:r>
          <w:rPr>
            <w:rStyle w:val="Hipervnculo"/>
          </w:rPr>
          <w:t xml:space="preserve">https://doi.org/10.1007/978-3-030-28954-6</w:t>
        </w:r>
      </w:hyperlink>
      <w:r>
        <w:t xml:space="preserve">.</w:t>
      </w:r>
    </w:p>
    <w:bookmarkEnd w:id="472"/>
    <w:bookmarkStart w:id="474"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73">
        <w:r>
          <w:rPr>
            <w:rStyle w:val="Hipervnculo"/>
          </w:rPr>
          <w:t xml:space="preserve">https://doi.org/10.1145/3677374</w:t>
        </w:r>
      </w:hyperlink>
      <w:r>
        <w:t xml:space="preserve">.</w:t>
      </w:r>
    </w:p>
    <w:bookmarkEnd w:id="474"/>
    <w:bookmarkStart w:id="476"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75">
        <w:r>
          <w:rPr>
            <w:rStyle w:val="Hipervnculo"/>
          </w:rPr>
          <w:t xml:space="preserve">https://doi.org/10.1007/s10618-022-00867-8</w:t>
        </w:r>
      </w:hyperlink>
      <w:r>
        <w:t xml:space="preserve">.</w:t>
      </w:r>
    </w:p>
    <w:bookmarkEnd w:id="476"/>
    <w:bookmarkStart w:id="478"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77">
        <w:r>
          <w:rPr>
            <w:rStyle w:val="Hipervnculo"/>
          </w:rPr>
          <w:t xml:space="preserve">https://www.rand.org/pubs/papers/P0295.html</w:t>
        </w:r>
      </w:hyperlink>
      <w:r>
        <w:t xml:space="preserve">.</w:t>
      </w:r>
    </w:p>
    <w:bookmarkEnd w:id="478"/>
    <w:bookmarkStart w:id="480"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79">
        <w:r>
          <w:rPr>
            <w:rStyle w:val="Hipervnculo"/>
          </w:rPr>
          <w:t xml:space="preserve">https://doi.org/10.1007/978-3-031-63787-2_23</w:t>
        </w:r>
      </w:hyperlink>
      <w:r>
        <w:t xml:space="preserve">.</w:t>
      </w:r>
    </w:p>
    <w:bookmarkEnd w:id="480"/>
    <w:bookmarkStart w:id="482"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81">
        <w:r>
          <w:rPr>
            <w:rStyle w:val="Hipervnculo"/>
          </w:rPr>
          <w:t xml:space="preserve">https://doi.org/10.1145/3375627.3375830</w:t>
        </w:r>
      </w:hyperlink>
      <w:r>
        <w:t xml:space="preserve">.</w:t>
      </w:r>
    </w:p>
    <w:bookmarkEnd w:id="482"/>
    <w:bookmarkStart w:id="484"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83">
        <w:r>
          <w:rPr>
            <w:rStyle w:val="Hipervnculo"/>
          </w:rPr>
          <w:t xml:space="preserve">https://doi.org/10.1007/s13218-020-00637-y</w:t>
        </w:r>
      </w:hyperlink>
      <w:r>
        <w:t xml:space="preserve">.</w:t>
      </w:r>
    </w:p>
    <w:bookmarkEnd w:id="484"/>
    <w:bookmarkStart w:id="486"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85">
        <w:r>
          <w:rPr>
            <w:rStyle w:val="Hipervnculo"/>
          </w:rPr>
          <w:t xml:space="preserve">https://doi.org/10.1145/3580305.3599337</w:t>
        </w:r>
      </w:hyperlink>
      <w:r>
        <w:t xml:space="preserve">.</w:t>
      </w:r>
    </w:p>
    <w:bookmarkEnd w:id="486"/>
    <w:bookmarkStart w:id="488"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87">
        <w:r>
          <w:rPr>
            <w:rStyle w:val="Hipervnculo"/>
          </w:rPr>
          <w:t xml:space="preserve">https://doi.org/10.1109/TNNLS.2020.3027314</w:t>
        </w:r>
      </w:hyperlink>
      <w:r>
        <w:t xml:space="preserve">.</w:t>
      </w:r>
    </w:p>
    <w:bookmarkEnd w:id="488"/>
    <w:bookmarkStart w:id="490"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89">
        <w:r>
          <w:rPr>
            <w:rStyle w:val="Hipervnculo"/>
          </w:rPr>
          <w:t xml:space="preserve">https://doi.org/10.1609/aaai.v34i04.6064</w:t>
        </w:r>
      </w:hyperlink>
      <w:r>
        <w:t xml:space="preserve">.</w:t>
      </w:r>
    </w:p>
    <w:bookmarkEnd w:id="490"/>
    <w:bookmarkStart w:id="492"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91">
        <w:r>
          <w:rPr>
            <w:rStyle w:val="Hipervnculo"/>
          </w:rPr>
          <w:t xml:space="preserve">https://doi.org/10.1201/9781003442509</w:t>
        </w:r>
      </w:hyperlink>
      <w:r>
        <w:t xml:space="preserve">.</w:t>
      </w:r>
    </w:p>
    <w:bookmarkEnd w:id="492"/>
    <w:bookmarkStart w:id="493"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93"/>
    <w:bookmarkStart w:id="495"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94">
        <w:r>
          <w:rPr>
            <w:rStyle w:val="Hipervnculo"/>
          </w:rPr>
          <w:t xml:space="preserve">https://doi.org/10.1145/3643491.3660292</w:t>
        </w:r>
      </w:hyperlink>
      <w:r>
        <w:t xml:space="preserve">.</w:t>
      </w:r>
    </w:p>
    <w:bookmarkEnd w:id="495"/>
    <w:bookmarkStart w:id="497"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96">
        <w:r>
          <w:rPr>
            <w:rStyle w:val="Hipervnculo"/>
          </w:rPr>
          <w:t xml:space="preserve">https://doi.org/10.1145/3705724</w:t>
        </w:r>
      </w:hyperlink>
      <w:r>
        <w:t xml:space="preserve">.</w:t>
      </w:r>
    </w:p>
    <w:bookmarkEnd w:id="497"/>
    <w:bookmarkStart w:id="499"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98">
        <w:r>
          <w:rPr>
            <w:rStyle w:val="Hipervnculo"/>
          </w:rPr>
          <w:t xml:space="preserve">https://doi.org/10.1145/3599974</w:t>
        </w:r>
      </w:hyperlink>
      <w:r>
        <w:t xml:space="preserve">.</w:t>
      </w:r>
    </w:p>
    <w:bookmarkEnd w:id="499"/>
    <w:bookmarkStart w:id="501"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500">
        <w:r>
          <w:rPr>
            <w:rStyle w:val="Hipervnculo"/>
          </w:rPr>
          <w:t xml:space="preserve">https://doi.org/10.1613/jair.1.13283</w:t>
        </w:r>
      </w:hyperlink>
      <w:r>
        <w:t xml:space="preserve">.</w:t>
      </w:r>
    </w:p>
    <w:bookmarkEnd w:id="501"/>
    <w:bookmarkStart w:id="503"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502">
        <w:r>
          <w:rPr>
            <w:rStyle w:val="Hipervnculo"/>
          </w:rPr>
          <w:t xml:space="preserve">https://doi.org/10.1007/978-3-319-57959-7</w:t>
        </w:r>
      </w:hyperlink>
      <w:r>
        <w:t xml:space="preserve">.</w:t>
      </w:r>
    </w:p>
    <w:bookmarkEnd w:id="503"/>
    <w:bookmarkStart w:id="505"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504">
        <w:r>
          <w:rPr>
            <w:rStyle w:val="Hipervnculo"/>
          </w:rPr>
          <w:t xml:space="preserve">https://doi.org/10.2139/ssrn.3063289</w:t>
        </w:r>
      </w:hyperlink>
      <w:r>
        <w:t xml:space="preserve">.</w:t>
      </w:r>
    </w:p>
    <w:bookmarkEnd w:id="505"/>
    <w:bookmarkStart w:id="506"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506"/>
    <w:bookmarkStart w:id="508"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507">
        <w:r>
          <w:rPr>
            <w:rStyle w:val="Hipervnculo"/>
          </w:rPr>
          <w:t xml:space="preserve">https://doi.org/10.2307/3001968</w:t>
        </w:r>
      </w:hyperlink>
      <w:r>
        <w:t xml:space="preserve">.</w:t>
      </w:r>
    </w:p>
    <w:bookmarkEnd w:id="508"/>
    <w:bookmarkStart w:id="51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509">
        <w:r>
          <w:rPr>
            <w:rStyle w:val="Hipervnculo"/>
          </w:rPr>
          <w:t xml:space="preserve">https://trustai4s-lab.github.io/ffidelity</w:t>
        </w:r>
      </w:hyperlink>
      <w:r>
        <w:t xml:space="preserve">.</w:t>
      </w:r>
    </w:p>
    <w:bookmarkEnd w:id="510"/>
    <w:bookmarkEnd w:id="511"/>
    <w:bookmarkEnd w:id="512"/>
    <w:bookmarkStart w:id="538" w:name="apéndices"/>
    <w:p>
      <w:pPr>
        <w:pStyle w:val="Ttulo1"/>
        <w:spacing w:line="360" w:lineRule="auto"/>
        <w:jc w:val="both"/>
      </w:pPr>
      <w:r>
        <w:t xml:space="preserve">Apéndices</w:t>
      </w:r>
    </w:p>
    <w:bookmarkStart w:id="51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513" w:name="tbl-appendix-dataset-schema"/>
          <w:p>
            <w:pPr>
              <w:pStyle w:val="ImageCaption"/>
              <w:spacing w:before="200" w:line="360" w:lineRule="auto"/>
              <w:jc w:val="center"/>
            </w:pPr>
            <w:r>
              <w:t xml:space="preserve">Tabla 7.5: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51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514"/>
    <w:bookmarkStart w:id="51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515" w:name="tbl-appendix-models"/>
          <w:p>
            <w:pPr>
              <w:pStyle w:val="ImageCaption"/>
              <w:spacing w:before="200" w:line="360" w:lineRule="auto"/>
              <w:jc w:val="center"/>
            </w:pPr>
            <w:r>
              <w:t xml:space="preserve">Tabla 7.6: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51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w:t>
      </w:r>
      <w:r>
        <w:t xml:space="preserve"> </w:t>
      </w:r>
      <w:hyperlink w:anchor="tbl-model-performance">
        <w:r>
          <w:rPr>
            <w:rStyle w:val="Hipervnculo"/>
          </w:rPr>
          <w:t xml:space="preserve">3.1</w:t>
        </w:r>
      </w:hyperlink>
      <w:r>
        <w:t xml:space="preserve"> </w:t>
      </w:r>
      <w:r>
        <w:t xml:space="preserve">reporta las métricas finales extraídas de</w:t>
      </w:r>
      <w:r>
        <w:t xml:space="preserve"> </w:t>
      </w:r>
      <w:r>
        <w:t xml:space="preserve">estos artefactos.</w:t>
      </w:r>
    </w:p>
    <w:bookmarkEnd w:id="516"/>
    <w:bookmarkStart w:id="52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517" w:name="tbl-appendix-explainers"/>
          <w:p>
            <w:pPr>
              <w:pStyle w:val="ImageCaption"/>
              <w:spacing w:before="200" w:line="360" w:lineRule="auto"/>
              <w:jc w:val="center"/>
            </w:pPr>
            <w:r>
              <w:t xml:space="preserve">Tabla 7.7: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51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52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518" w:name="tbl-appendix-lime-sensitivity"/>
          <w:p>
            <w:pPr>
              <w:pStyle w:val="ImageCaption"/>
              <w:spacing w:before="200" w:line="360" w:lineRule="auto"/>
              <w:jc w:val="center"/>
            </w:pPr>
            <w:r>
              <w:t xml:space="preserve">Tabla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51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519" w:name="tbl-appendix-shap-sensitivity"/>
          <w:p>
            <w:pPr>
              <w:pStyle w:val="ImageCaption"/>
              <w:spacing w:before="200" w:line="360" w:lineRule="auto"/>
              <w:jc w:val="center"/>
            </w:pPr>
            <w:r>
              <w:t xml:space="preserve">Tabla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51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 Los archivos de</w:t>
      </w:r>
      <w:r>
        <w:t xml:space="preserve"> </w:t>
      </w:r>
      <w:r>
        <w:t xml:space="preserve">salida de esta sonda no se conservan en el repositorio: la tabla se reporta como</w:t>
      </w:r>
      <w:r>
        <w:t xml:space="preserve"> </w:t>
      </w:r>
      <w:r>
        <w:t xml:space="preserve">medición exploratoria y sus valores no se vuelven a derivar en la verificación</w:t>
      </w:r>
      <w:r>
        <w:t xml:space="preserve"> </w:t>
      </w:r>
      <w:r>
        <w:t xml:space="preserve">automática de afirmaciones.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520" w:name="tbl-appendix-anchors-sensitivity"/>
          <w:p>
            <w:pPr>
              <w:pStyle w:val="ImageCaption"/>
              <w:spacing w:before="200" w:line="360" w:lineRule="auto"/>
              <w:jc w:val="center"/>
            </w:pPr>
            <w:r>
              <w:t xml:space="preserve">Tabla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r>
                    <w:rPr>
                      <w:bCs/>
                      <w:b/>
                    </w:rPr>
                    <w:t xml:space="preserve">​</w:t>
                  </w:r>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52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521" w:name="tbl-appendix-lime-kw-sensitivity"/>
          <w:p>
            <w:pPr>
              <w:pStyle w:val="ImageCaption"/>
              <w:spacing w:before="200" w:line="360" w:lineRule="auto"/>
              <w:jc w:val="center"/>
            </w:pPr>
            <w:r>
              <w:t xml:space="preserve">Tabla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52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522"/>
    <w:bookmarkEnd w:id="523"/>
    <w:bookmarkStart w:id="53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524" w:name="tbl-appendix-stat-outputs"/>
          <w:p>
            <w:pPr>
              <w:pStyle w:val="ImageCaption"/>
              <w:spacing w:before="200" w:line="360" w:lineRule="auto"/>
              <w:jc w:val="center"/>
            </w:pPr>
            <w:r>
              <w:t xml:space="preserve">Tabla 7.12: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52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526"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525" w:name="tbl-appendix-friedman-full"/>
          <w:p>
            <w:pPr>
              <w:pStyle w:val="ImageCaption"/>
              <w:spacing w:before="200" w:line="360" w:lineRule="auto"/>
              <w:jc w:val="center"/>
            </w:pPr>
            <w:r>
              <w:t xml:space="preserve">Tabla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r>
                    <w:rPr>
                      <w:bCs/>
                      <w:b/>
                    </w:rPr>
                    <w:t xml:space="preserve">​</w:t>
                  </w:r>
                </w:p>
              </w:tc>
              <w:tc>
                <w:tcPr/>
                <w:p>
                  <w:pPr>
                    <w:pStyle w:val="Compact"/>
                    <w:jc w:val="both"/>
                    <w:jc w:val="center"/>
                    <w:spacing w:line="360" w:lineRule="auto"/>
                  </w:pPr>
                  <ns1:oMath>
                    <ns1:r>
                      <ns1:t>g</ns1:t>
                    </ns1:r>
                    <ns1:r>
                      <ns1:t>l</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52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526"/>
    <w:bookmarkStart w:id="52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527" w:name="tbl-appendix-nemenyi-full"/>
          <w:p>
            <w:pPr>
              <w:pStyle w:val="ImageCaption"/>
              <w:spacing w:before="200" w:line="360" w:lineRule="auto"/>
              <w:jc w:val="center"/>
            </w:pPr>
            <w:r>
              <w:t xml:space="preserve">Tabla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527"/>
          <w:p>
            <w:pPr>
              <w:spacing w:line="360" w:lineRule="auto"/>
              <w:jc w:val="both"/>
            </w:pPr>
          </w:p>
        </w:tc>
      </w:tr>
    </w:tbl>
    <w:bookmarkEnd w:id="528"/>
    <w:bookmarkStart w:id="53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529" w:name="tbl-appendix-wilcoxon-full"/>
          <w:p>
            <w:pPr>
              <w:pStyle w:val="ImageCaption"/>
              <w:spacing w:before="200" w:line="360" w:lineRule="auto"/>
              <w:jc w:val="center"/>
            </w:pPr>
            <w:r>
              <w:t xml:space="preserve">Tabla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r>
                    <w:rPr>
                      <w:bCs/>
                      <w:b/>
                    </w:rPr>
                    <w:t xml:space="preserve">​</w:t>
                  </w:r>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W</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r>
                    <w:t xml:space="preserve">​</w:t>
                  </w:r>
                </w:p>
              </w:tc>
              <w:tc>
                <w:tcPr/>
                <w:p>
                  <w:pPr>
                    <w:pStyle w:val="Compact"/>
                    <w:jc w:val="both"/>
                    <w:jc w:val="center"/>
                    <w:spacing w:line="360" w:lineRule="auto"/>
                  </w:pPr>
                  <ns1:oMath>
                    <ns1:r>
                      <ns1:t>0.0514</ns1:t>
                    </ns1:r>
                  </ns1:oMath>
                  <w:r>
                    <w:t xml:space="preserve">​</w:t>
                  </w:r>
                </w:p>
              </w:tc>
              <w:tc>
                <w:tcPr/>
                <w:p>
                  <w:pPr>
                    <w:pStyle w:val="Compact"/>
                    <w:jc w:val="both"/>
                    <w:jc w:val="center"/>
                    <w:spacing w:line="360" w:lineRule="auto"/>
                  </w:pPr>
                  <ns1:oMath>
                    <ns1:r>
                      <ns1:rPr>
                        <ns1:sty ns1:val="p"/>
                      </ns1:rPr>
                      <ns1:t>+</ns1:t>
                    </ns1:r>
                    <ns1:r>
                      <ns1:t>4.820</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r>
                    <w:t xml:space="preserve">​</w:t>
                  </w:r>
                </w:p>
              </w:tc>
              <w:tc>
                <w:tcPr/>
                <w:p>
                  <w:pPr>
                    <w:pStyle w:val="Compact"/>
                    <w:jc w:val="both"/>
                    <w:jc w:val="center"/>
                    <w:spacing w:line="360" w:lineRule="auto"/>
                  </w:pPr>
                  <ns1:oMath>
                    <ns1:r>
                      <ns1:t>0.2390</ns1:t>
                    </ns1:r>
                  </ns1:oMath>
                  <w:r>
                    <w:t xml:space="preserve">​</w:t>
                  </w:r>
                </w:p>
              </w:tc>
              <w:tc>
                <w:tcPr/>
                <w:p>
                  <w:pPr>
                    <w:pStyle w:val="Compact"/>
                    <w:jc w:val="both"/>
                    <w:jc w:val="center"/>
                    <w:spacing w:line="360" w:lineRule="auto"/>
                  </w:pPr>
                  <ns1:oMath>
                    <ns1:r>
                      <ns1:rPr>
                        <ns1:sty ns1:val="p"/>
                      </ns1:rPr>
                      <ns1:t>+</ns1:t>
                    </ns1:r>
                    <ns1:r>
                      <ns1:t>3.002</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r>
                    <w:t xml:space="preserve">​</w:t>
                  </w:r>
                </w:p>
              </w:tc>
              <w:tc>
                <w:tcPr/>
                <w:p>
                  <w:pPr>
                    <w:pStyle w:val="Compact"/>
                    <w:jc w:val="both"/>
                    <w:jc w:val="center"/>
                    <w:spacing w:line="360" w:lineRule="auto"/>
                  </w:pPr>
                  <ns1:oMath>
                    <ns1:r>
                      <ns1:t>0.1690</ns1:t>
                    </ns1:r>
                  </ns1:oMath>
                  <w:r>
                    <w:t xml:space="preserve">​</w:t>
                  </w:r>
                </w:p>
              </w:tc>
              <w:tc>
                <w:tcPr/>
                <w:p>
                  <w:pPr>
                    <w:pStyle w:val="Compact"/>
                    <w:jc w:val="both"/>
                    <w:jc w:val="center"/>
                    <w:spacing w:line="360" w:lineRule="auto"/>
                  </w:pPr>
                  <ns1:oMath>
                    <ns1:r>
                      <ns1:rPr>
                        <ns1:sty ns1:val="p"/>
                      </ns1:rPr>
                      <ns1:t>+</ns1:t>
                    </ns1:r>
                    <ns1:r>
                      <ns1:t>0.839</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r>
                    <w:t xml:space="preserve">​</w:t>
                  </w:r>
                </w:p>
              </w:tc>
              <w:tc>
                <w:tcPr/>
                <w:p>
                  <w:pPr>
                    <w:pStyle w:val="Compact"/>
                    <w:jc w:val="both"/>
                    <w:jc w:val="center"/>
                    <w:spacing w:line="360" w:lineRule="auto"/>
                  </w:pPr>
                  <ns1:oMath>
                    <ns1:r>
                      <ns1:t>0.0173</ns1:t>
                    </ns1:r>
                  </ns1:oMath>
                  <w:r>
                    <w:t xml:space="preserve">​</w:t>
                  </w:r>
                </w:p>
              </w:tc>
              <w:tc>
                <w:tcPr/>
                <w:p>
                  <w:pPr>
                    <w:pStyle w:val="Compact"/>
                    <w:jc w:val="both"/>
                    <w:jc w:val="center"/>
                    <w:spacing w:line="360" w:lineRule="auto"/>
                  </w:pPr>
                  <ns1:oMath>
                    <ns1:r>
                      <ns1:rPr>
                        <ns1:sty ns1:val="p"/>
                      </ns1:rPr>
                      <ns1:t>+</ns1:t>
                    </ns1:r>
                    <ns1:r>
                      <ns1:t>2.626</ns1:t>
                    </ns1:r>
                  </ns1:oMath>
                  <w:r>
                    <w:t xml:space="preserve">​</w:t>
                  </w:r>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r>
                    <w:t xml:space="preserve">​</w:t>
                  </w:r>
                </w:p>
              </w:tc>
              <w:tc>
                <w:tcPr/>
                <w:p>
                  <w:pPr>
                    <w:pStyle w:val="Compact"/>
                    <w:jc w:val="both"/>
                    <w:jc w:val="center"/>
                    <w:spacing w:line="360" w:lineRule="auto"/>
                  </w:pPr>
                  <ns1:oMath>
                    <ns1:r>
                      <ns1:t>17</ns1:t>
                    </ns1:r>
                    <ns1:r>
                      <ns1:rPr>
                        <ns1:sty ns1:val="p"/>
                      </ns1:rPr>
                      <ns1:t>,</ns1:t>
                    </ns1:r>
                    <ns1:r>
                      <ns1:t>856.6</ns1:t>
                    </ns1:r>
                  </ns1:oMath>
                  <w:r>
                    <w:t xml:space="preserve">​</w:t>
                  </w:r>
                </w:p>
              </w:tc>
              <w:tc>
                <w:tcPr/>
                <w:p>
                  <w:pPr>
                    <w:pStyle w:val="Compact"/>
                    <w:jc w:val="both"/>
                    <w:jc w:val="center"/>
                    <w:spacing w:line="360" w:lineRule="auto"/>
                  </w:pPr>
                  <ns1:oMath>
                    <ns1:r>
                      <ns1:rPr>
                        <ns1:sty ns1:val="p"/>
                      </ns1:rPr>
                      <ns1:t>+</ns1:t>
                    </ns1:r>
                    <ns1:r>
                      <ns1:t>0.451</ns1:t>
                    </ns1:r>
                  </ns1:oMath>
                  <w:r>
                    <w:t xml:space="preserve">​</w:t>
                  </w:r>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52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530"/>
    <w:bookmarkEnd w:id="531"/>
    <w:bookmarkStart w:id="53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532" w:name="tbl-appendix-environment"/>
          <w:p>
            <w:pPr>
              <w:pStyle w:val="ImageCaption"/>
              <w:spacing w:before="200" w:line="360" w:lineRule="auto"/>
              <w:jc w:val="center"/>
            </w:pPr>
            <w:r>
              <w:t xml:space="preserve">Tabla 7.16: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53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25"/>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25"/>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25"/>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25"/>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25"/>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533"/>
    <w:bookmarkStart w:id="53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las Tablas</w:t>
      </w:r>
      <w:r>
        <w:t xml:space="preserve"> </w:t>
      </w:r>
      <w:hyperlink w:anchor="tbl-exp4-icc">
        <w:r>
          <w:rPr>
            <w:rStyle w:val="Hipervnculo"/>
          </w:rPr>
          <w:t xml:space="preserve">5.3</w:t>
        </w:r>
      </w:hyperlink>
      <w:r>
        <w:t xml:space="preserve"> </w:t>
      </w:r>
      <w:r>
        <w:t xml:space="preserve">y</w:t>
      </w:r>
      <w:r>
        <w:t xml:space="preserve"> </w:t>
      </w:r>
      <w:hyperlink w:anchor="tbl-exp4-icc-c2">
        <w:r>
          <w:rPr>
            <w:rStyle w:val="Hipervnculo"/>
          </w:rPr>
          <w:t xml:space="preserve">5.4</w:t>
        </w:r>
      </w:hyperlink>
      <w:r>
        <w:t xml:space="preserve"> </w:t>
      </w:r>
      <w:r>
        <w:t xml:space="preserve">del Capítulo 5.</w:t>
      </w:r>
    </w:p>
    <w:tbl>
      <w:tblPr>
        <w:tblStyle w:val="Table"/>
        <w:tblW w:type="pct" w:w="5000"/>
        <w:jc w:val="center"/>
        <w:tblLayout w:type="fixed"/>
        <w:tblLook w:firstRow="0" w:lastRow="0" w:firstColumn="0" w:lastColumn="0" w:noHBand="0" w:noVBand="0" w:val="0000"/>
      </w:tblPr>
      <w:tblGrid>
        <w:gridCol w:w="7920"/>
      </w:tblGrid>
      <w:tr>
        <w:tc>
          <w:tcPr/>
          <w:bookmarkStart w:id="534" w:name="tbl-appendix-llm"/>
          <w:p>
            <w:pPr>
              <w:pStyle w:val="ImageCaption"/>
              <w:spacing w:before="200" w:line="360" w:lineRule="auto"/>
              <w:jc w:val="center"/>
            </w:pPr>
            <w:r>
              <w:t xml:space="preserve">Tabla 7.17: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 cohorte original (la columna se denomina</w:t>
                  </w:r>
                  <w:r>
                    <w:t xml:space="preserve"> </w:t>
                  </w:r>
                  <w:r>
                    <w:rPr>
                      <w:rStyle w:val="VerbatimChar"/>
                    </w:rPr>
                    <w:t xml:space="preserve">icc_2_1</w:t>
                  </w:r>
                  <w:r>
                    <w:t xml:space="preserve"> </w:t>
                  </w:r>
                  <w:r>
                    <w:t xml:space="preserve">por razones históricas)</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 cohorte original</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outputs/analysis/exp4_llm_evaluation/judge_disagreement.csv</w:t>
                  </w:r>
                </w:p>
              </w:tc>
              <w:tc>
                <w:tcPr/>
                <w:p>
                  <w:pPr>
                    <w:pStyle w:val="Compact"/>
                    <w:jc w:val="both"/>
                    <w:jc w:val="center"/>
                    <w:spacing w:line="360" w:lineRule="auto"/>
                  </w:pPr>
                  <w:r>
                    <w:t xml:space="preserve">Identificadores de los 192 casos y dispersión inter-juez por caso, cohorte original</w:t>
                  </w:r>
                </w:p>
              </w:tc>
              <w:tc>
                <w:tcPr/>
                <w:p>
                  <w:pPr>
                    <w:pStyle w:val="Compact"/>
                    <w:jc w:val="both"/>
                    <w:jc w:val="center"/>
                    <w:spacing w:line="360" w:lineRule="auto"/>
                  </w:pPr>
                  <w:r>
                    <w:t xml:space="preserve">Recuperación de los casos para la cohorte 2</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Vacío: la cohorte original no produjo estadísticos por juez</w:t>
                  </w:r>
                </w:p>
              </w:tc>
              <w:tc>
                <w:tcPr/>
                <w:p>
                  <w:pPr>
                    <w:pStyle w:val="Compact"/>
                    <w:jc w:val="both"/>
                    <w:jc w:val="center"/>
                    <w:spacing w:line="360" w:lineRule="auto"/>
                  </w:pPr>
                  <w:r>
                    <w:t xml:space="preserve">Ninguno</w:t>
                  </w:r>
                </w:p>
              </w:tc>
            </w:tr>
            <w:tr>
              <w:tc>
                <w:tcPr/>
                <w:p>
                  <w:pPr>
                    <w:pStyle w:val="Compact"/>
                    <w:jc w:val="both"/>
                    <w:jc w:val="center"/>
                    <w:spacing w:line="360" w:lineRule="auto"/>
                  </w:pPr>
                  <w:r>
                    <w:rPr>
                      <w:rStyle w:val="VerbatimChar"/>
                    </w:rPr>
                    <w:t xml:space="preserve">experiments/exp4_cohort2/</w:t>
                  </w:r>
                </w:p>
              </w:tc>
              <w:tc>
                <w:tcPr/>
                <w:p>
                  <w:pPr>
                    <w:pStyle w:val="Compact"/>
                    <w:jc w:val="both"/>
                    <w:jc w:val="center"/>
                    <w:spacing w:line="360" w:lineRule="auto"/>
                  </w:pPr>
                  <w:r>
                    <w:t xml:space="preserve">Casos, consignas renderizadas, respuestas brutas de los jueces y puntuaciones validadas de la cohorte 2</w:t>
                  </w:r>
                </w:p>
              </w:tc>
              <w:tc>
                <w:tcPr/>
                <w:p>
                  <w:pPr>
                    <w:pStyle w:val="Compact"/>
                    <w:jc w:val="both"/>
                    <w:jc w:val="center"/>
                    <w:spacing w:line="360" w:lineRule="auto"/>
                  </w:pPr>
                  <w:r>
                    <w:t xml:space="preserve">Datos brutos de la replicación</w:t>
                  </w:r>
                </w:p>
              </w:tc>
            </w:tr>
            <w:tr>
              <w:tc>
                <w:tcPr/>
                <w:p>
                  <w:pPr>
                    <w:pStyle w:val="Compact"/>
                    <w:jc w:val="both"/>
                    <w:jc w:val="center"/>
                    <w:spacing w:line="360" w:lineRule="auto"/>
                  </w:pPr>
                  <w:r>
                    <w:rPr>
                      <w:rStyle w:val="VerbatimChar"/>
                    </w:rPr>
                    <w:t xml:space="preserve">src/prompts/templates/exp4_semantic_eval_v1*.j2</w:t>
                  </w:r>
                </w:p>
              </w:tc>
              <w:tc>
                <w:tcPr/>
                <w:p>
                  <w:pPr>
                    <w:pStyle w:val="Compact"/>
                    <w:jc w:val="both"/>
                    <w:jc w:val="center"/>
                    <w:spacing w:line="360" w:lineRule="auto"/>
                  </w:pPr>
                  <w:r>
                    <w:t xml:space="preserve">Plantillas de consigna de las tres condiciones, reconstruidas para la cohorte 2</w:t>
                  </w:r>
                </w:p>
              </w:tc>
              <w:tc>
                <w:tcPr/>
                <w:p>
                  <w:pPr>
                    <w:pStyle w:val="Compact"/>
                    <w:jc w:val="both"/>
                    <w:jc w:val="center"/>
                    <w:spacing w:line="360" w:lineRule="auto"/>
                  </w:pPr>
                  <w:r>
                    <w:t xml:space="preserve">Instrumento de la cohorte 2</w:t>
                  </w:r>
                </w:p>
              </w:tc>
            </w:tr>
            <w:tr>
              <w:tc>
                <w:tcPr/>
                <w:p>
                  <w:pPr>
                    <w:pStyle w:val="Compact"/>
                    <w:jc w:val="both"/>
                    <w:jc w:val="center"/>
                    <w:spacing w:line="360" w:lineRule="auto"/>
                  </w:pPr>
                  <w:r>
                    <w:rPr>
                      <w:rStyle w:val="VerbatimChar"/>
                    </w:rPr>
                    <w:t xml:space="preserve">outputs/analysis/exp4_cohort2/cohort2_reliability_by_view.csv</w:t>
                  </w:r>
                </w:p>
              </w:tc>
              <w:tc>
                <w:tcPr/>
                <w:p>
                  <w:pPr>
                    <w:pStyle w:val="Compact"/>
                    <w:jc w:val="both"/>
                    <w:jc w:val="center"/>
                    <w:spacing w:line="360" w:lineRule="auto"/>
                  </w:pPr>
                  <w:r>
                    <w:t xml:space="preserve">ICC(1,1), IC 95 % y</w:t>
                  </w:r>
                  <w:r>
                    <w:t xml:space="preserve"> </w:t>
                  </w:r>
                  <ns1:oMath>
                    <ns1:r>
                      <ns1:t>α</ns1:t>
                    </ns1:r>
                  </ns1:oMath>
                  <w:r>
                    <w:t xml:space="preserve"> </w:t>
                  </w:r>
                  <w:r>
                    <w:t xml:space="preserve">por dimensión y por condición o agregación, cohorte 2</w:t>
                  </w:r>
                </w:p>
              </w:tc>
              <w:tc>
                <w:tcPr/>
                <w:p>
                  <w:pPr>
                    <w:pStyle w:val="Compact"/>
                    <w:jc w:val="both"/>
                    <w:jc w:val="center"/>
                    <w:spacing w:line="360" w:lineRule="auto"/>
                  </w:pPr>
                  <w:r>
                    <w:t xml:space="preserve">Tabla</w:t>
                  </w:r>
                  <w:r>
                    <w:t xml:space="preserve"> </w:t>
                  </w:r>
                  <w:hyperlink w:anchor="tbl-exp4-icc-c2">
                    <w:r>
                      <w:rPr>
                        <w:rStyle w:val="Hipervnculo"/>
                      </w:rPr>
                      <w:t xml:space="preserve">5.4</w:t>
                    </w:r>
                  </w:hyperlink>
                  <w:r>
                    <w:t xml:space="preserve"> </w:t>
                  </w:r>
                  <w:r>
                    <w:t xml:space="preserve">(fuente)</w:t>
                  </w:r>
                </w:p>
              </w:tc>
            </w:tr>
          </w:tbl>
          <w:bookmarkEnd w:id="53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en la condición primaria, los jueces LLM no alcanzan ICC</w:t>
      </w:r>
      <w:r>
        <w:t xml:space="preserve"> </w:t>
      </w:r>
      <ns1:oMath>
        <ns1:r>
          <ns1:rPr>
            <ns1:sty ns1:val="p"/>
          </ns1:rPr>
          <ns1:t>≥</ns1:t>
        </ns1:r>
        <ns1:r>
          <ns1:t>0.75</ns1:t>
        </ns1:r>
      </ns1:oMath>
      <w:r>
        <w:t xml:space="preserve"> </w:t>
      </w:r>
      <w:r>
        <w:t xml:space="preserve">bajo las rúbricas actuales, con dos paneles de jueces distintos) es</w:t>
      </w:r>
      <w:r>
        <w:t xml:space="preserve"> </w:t>
      </w:r>
      <w:r>
        <w:t xml:space="preserve">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7.6</w:t>
        </w:r>
      </w:hyperlink>
      <w:r>
        <w:t xml:space="preserve">).</w:t>
      </w:r>
    </w:p>
    <w:bookmarkEnd w:id="535"/>
    <w:bookmarkStart w:id="537" w:name="Xb30eeab50807791c6a31d61db03fab06db172d3"/>
    <w:p>
      <w:pPr>
        <w:pStyle w:val="Ttulo2"/>
        <w:spacing w:line="360" w:lineRule="auto"/>
        <w:jc w:val="both"/>
      </w:pPr>
      <w:r>
        <w:t xml:space="preserve">Apéndice G: Artefactos de los estudios de seguimiento</w:t>
      </w:r>
    </w:p>
    <w:p>
      <w:pPr>
        <w:pStyle w:val="FirstParagraph"/>
        <w:spacing w:line="360" w:lineRule="auto"/>
        <w:jc w:val="both"/>
      </w:pPr>
      <w:r>
        <w:t xml:space="preserve">Los estudios de seguimiento del Capítulo 6 (§</w:t>
      </w:r>
      <w:hyperlink w:anchor="sec-seguimiento">
        <w:r>
          <w:rPr>
            <w:rStyle w:val="Hipervnculo"/>
          </w:rPr>
          <w:t xml:space="preserve">6</w:t>
        </w:r>
      </w:hyperlink>
      <w:r>
        <w:t xml:space="preserve">) tienen cada uno</w:t>
      </w:r>
      <w:r>
        <w:t xml:space="preserve"> </w:t>
      </w:r>
      <w:r>
        <w:t xml:space="preserve">su plan de análisis, su código y sus archivos de resultados en el repositorio.</w:t>
      </w:r>
      <w:r>
        <w:t xml:space="preserve"> </w:t>
      </w:r>
      <w:r>
        <w:t xml:space="preserve">Los nombres de las carpetas son identificadores históricos del repositorio. Cada</w:t>
      </w:r>
      <w:r>
        <w:t xml:space="preserve"> </w:t>
      </w:r>
      <w:r>
        <w:t xml:space="preserve">cifra del Capítulo 6 se vuelve a derivar de estos archivos en la verificación</w:t>
      </w:r>
      <w:r>
        <w:t xml:space="preserve"> </w:t>
      </w:r>
      <w:r>
        <w:t xml:space="preserve">automática de afirmaciones.</w:t>
      </w:r>
    </w:p>
    <w:tbl>
      <w:tblPr>
        <w:tblStyle w:val="Table"/>
        <w:tblW w:type="pct" w:w="5000"/>
        <w:jc w:val="center"/>
        <w:tblLayout w:type="fixed"/>
        <w:tblLook w:firstRow="0" w:lastRow="0" w:firstColumn="0" w:lastColumn="0" w:noHBand="0" w:noVBand="0" w:val="0000"/>
      </w:tblPr>
      <w:tblGrid>
        <w:gridCol w:w="7920"/>
      </w:tblGrid>
      <w:tr>
        <w:tc>
          <w:tcPr/>
          <w:bookmarkStart w:id="536" w:name="tbl-appendix-seguimiento"/>
          <w:p>
            <w:pPr>
              <w:pStyle w:val="ImageCaption"/>
              <w:spacing w:before="200" w:line="360" w:lineRule="auto"/>
              <w:jc w:val="center"/>
            </w:pPr>
            <w:r>
              <w:t xml:space="preserve">Tabla 7.18: Artefactos de los estudios de seguimiento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Plan de análisis</w:t>
                  </w:r>
                </w:p>
              </w:tc>
              <w:tc>
                <w:tcPr/>
                <w:p>
                  <w:pPr>
                    <w:pStyle w:val="Compact"/>
                    <w:jc w:val="both"/>
                    <w:jc w:val="center"/>
                    <w:spacing w:line="360" w:lineRule="auto"/>
                  </w:pPr>
                  <w:r>
                    <w:rPr>
                      <w:bCs/>
                      <w:b/>
                    </w:rPr>
                    <w:t xml:space="preserve">Código de análisis</w:t>
                  </w:r>
                </w:p>
              </w:tc>
              <w:tc>
                <w:tcPr/>
                <w:p>
                  <w:pPr>
                    <w:pStyle w:val="Compact"/>
                    <w:jc w:val="both"/>
                    <w:jc w:val="center"/>
                    <w:spacing w:line="360" w:lineRule="auto"/>
                  </w:pPr>
                  <w:r>
                    <w:rPr>
                      <w:bCs/>
                      <w:b/>
                    </w:rPr>
                    <w:t xml:space="preserve">Resultados</w:t>
                  </w:r>
                </w:p>
              </w:tc>
              <w:tc>
                <w:tcPr/>
                <w:p>
                  <w:pPr>
                    <w:pStyle w:val="Compact"/>
                    <w:jc w:val="both"/>
                    <w:jc w:val="center"/>
                    <w:spacing w:line="360" w:lineRule="auto"/>
                  </w:pPr>
                  <w:r>
                    <w:rPr>
                      <w:bCs/>
                      <w:b/>
                    </w:rPr>
                    <w:t xml:space="preserve">Archivo Zenodo</w:t>
                  </w:r>
                </w:p>
              </w:tc>
            </w:tr>
            <w:tr>
              <w:tc>
                <w:tcPr/>
                <w:p>
                  <w:pPr>
                    <w:pStyle w:val="Compact"/>
                    <w:jc w:val="both"/>
                    <w:jc w:val="center"/>
                    <w:spacing w:line="360" w:lineRule="auto"/>
                  </w:pPr>
                  <w:r>
                    <w:t xml:space="preserve">Fiabilidad ante el Error</w:t>
                  </w:r>
                </w:p>
              </w:tc>
              <w:tc>
                <w:tcPr/>
                <w:p>
                  <w:pPr>
                    <w:pStyle w:val="Compact"/>
                    <w:jc w:val="both"/>
                    <w:jc w:val="center"/>
                    <w:spacing w:line="360" w:lineRule="auto"/>
                  </w:pPr>
                  <w:r>
                    <w:rPr>
                      <w:rStyle w:val="VerbatimChar"/>
                    </w:rPr>
                    <w:t xml:space="preserve">docs/reports/paper_d/ANALYSIS_PLAN.md</w:t>
                  </w:r>
                </w:p>
              </w:tc>
              <w:tc>
                <w:tcPr/>
                <w:p>
                  <w:pPr>
                    <w:pStyle w:val="Compact"/>
                    <w:jc w:val="both"/>
                    <w:jc w:val="center"/>
                    <w:spacing w:line="360" w:lineRule="auto"/>
                  </w:pPr>
                  <w:r>
                    <w:rPr>
                      <w:rStyle w:val="VerbatimChar"/>
                    </w:rPr>
                    <w:t xml:space="preserve">scripts/pubs/paper_d_analysis.py</w:t>
                  </w:r>
                </w:p>
              </w:tc>
              <w:tc>
                <w:tcPr/>
                <w:p>
                  <w:pPr>
                    <w:pStyle w:val="Compact"/>
                    <w:jc w:val="both"/>
                    <w:jc w:val="center"/>
                    <w:spacing w:line="360" w:lineRule="auto"/>
                  </w:pPr>
                  <w:r>
                    <w:rPr>
                      <w:rStyle w:val="VerbatimChar"/>
                    </w:rPr>
                    <w:t xml:space="preserve">outputs/analysis/paper_d/</w:t>
                  </w:r>
                </w:p>
              </w:tc>
              <w:tc>
                <w:tcPr/>
                <w:p>
                  <w:pPr>
                    <w:pStyle w:val="Compact"/>
                    <w:jc w:val="both"/>
                    <w:jc w:val="center"/>
                    <w:spacing w:line="360" w:lineRule="auto"/>
                  </w:pPr>
                  <w:r>
                    <w:rPr>
                      <w:rStyle w:val="VerbatimChar"/>
                    </w:rPr>
                    <w:t xml:space="preserve">10.5281/zenodo.23130014</w:t>
                  </w:r>
                </w:p>
              </w:tc>
            </w:tr>
            <w:tr>
              <w:tc>
                <w:tcPr/>
                <w:p>
                  <w:pPr>
                    <w:pStyle w:val="Compact"/>
                    <w:jc w:val="both"/>
                    <w:jc w:val="center"/>
                    <w:spacing w:line="360" w:lineRule="auto"/>
                  </w:pPr>
                  <w:r>
                    <w:t xml:space="preserve">Concordancia entre Explicadores</w:t>
                  </w:r>
                </w:p>
              </w:tc>
              <w:tc>
                <w:tcPr/>
                <w:p>
                  <w:pPr>
                    <w:pStyle w:val="Compact"/>
                    <w:jc w:val="both"/>
                    <w:jc w:val="center"/>
                    <w:spacing w:line="360" w:lineRule="auto"/>
                  </w:pPr>
                  <w:r>
                    <w:rPr>
                      <w:rStyle w:val="VerbatimChar"/>
                    </w:rPr>
                    <w:t xml:space="preserve">docs/reports/paper_e/ANALYSIS_PLAN.md</w:t>
                  </w:r>
                </w:p>
              </w:tc>
              <w:tc>
                <w:tcPr/>
                <w:p>
                  <w:pPr>
                    <w:pStyle w:val="Compact"/>
                    <w:jc w:val="both"/>
                    <w:jc w:val="center"/>
                    <w:spacing w:line="360" w:lineRule="auto"/>
                  </w:pPr>
                  <w:r>
                    <w:rPr>
                      <w:rStyle w:val="VerbatimChar"/>
                    </w:rPr>
                    <w:t xml:space="preserve">scripts/analyze_paper_e.py</w:t>
                  </w:r>
                </w:p>
              </w:tc>
              <w:tc>
                <w:tcPr/>
                <w:p>
                  <w:pPr>
                    <w:pStyle w:val="Compact"/>
                    <w:jc w:val="both"/>
                    <w:jc w:val="center"/>
                    <w:spacing w:line="360" w:lineRule="auto"/>
                  </w:pPr>
                  <w:r>
                    <w:rPr>
                      <w:rStyle w:val="VerbatimChar"/>
                    </w:rPr>
                    <w:t xml:space="preserve">outputs/analysis/paper_e/</w:t>
                  </w:r>
                </w:p>
              </w:tc>
              <w:tc>
                <w:tcPr/>
                <w:p>
                  <w:pPr>
                    <w:pStyle w:val="Compact"/>
                    <w:jc w:val="both"/>
                    <w:jc w:val="center"/>
                    <w:spacing w:line="360" w:lineRule="auto"/>
                  </w:pPr>
                  <w:r>
                    <w:rPr>
                      <w:rStyle w:val="VerbatimChar"/>
                    </w:rPr>
                    <w:t xml:space="preserve">10.5281/zenodo.23142429</w:t>
                  </w:r>
                </w:p>
              </w:tc>
            </w:tr>
            <w:tr>
              <w:tc>
                <w:tcPr/>
                <w:p>
                  <w:pPr>
                    <w:pStyle w:val="Compact"/>
                    <w:jc w:val="both"/>
                    <w:jc w:val="center"/>
                    <w:spacing w:line="360" w:lineRule="auto"/>
                  </w:pPr>
                  <w:r>
                    <w:t xml:space="preserve">Transferencia entre Conjuntos de Datos</w:t>
                  </w:r>
                </w:p>
              </w:tc>
              <w:tc>
                <w:tcPr/>
                <w:p>
                  <w:pPr>
                    <w:pStyle w:val="Compact"/>
                    <w:jc w:val="both"/>
                    <w:jc w:val="center"/>
                    <w:spacing w:line="360" w:lineRule="auto"/>
                  </w:pPr>
                  <w:r>
                    <w:rPr>
                      <w:rStyle w:val="VerbatimChar"/>
                    </w:rPr>
                    <w:t xml:space="preserve">docs/reports/paper_f/ANALYSIS_PLAN.md</w:t>
                  </w:r>
                </w:p>
              </w:tc>
              <w:tc>
                <w:tcPr/>
                <w:p>
                  <w:pPr>
                    <w:pStyle w:val="Compact"/>
                    <w:jc w:val="both"/>
                    <w:jc w:val="center"/>
                    <w:spacing w:line="360" w:lineRule="auto"/>
                  </w:pPr>
                  <w:r>
                    <w:rPr>
                      <w:rStyle w:val="VerbatimChar"/>
                    </w:rPr>
                    <w:t xml:space="preserve">scripts/paper_f_analyze.py</w:t>
                  </w:r>
                </w:p>
              </w:tc>
              <w:tc>
                <w:tcPr/>
                <w:p>
                  <w:pPr>
                    <w:pStyle w:val="Compact"/>
                    <w:jc w:val="both"/>
                    <w:jc w:val="center"/>
                    <w:spacing w:line="360" w:lineRule="auto"/>
                  </w:pPr>
                  <w:r>
                    <w:rPr>
                      <w:rStyle w:val="VerbatimChar"/>
                    </w:rPr>
                    <w:t xml:space="preserve">outputs/analysis/paper_f/results/</w:t>
                  </w:r>
                </w:p>
              </w:tc>
              <w:tc>
                <w:tcPr/>
                <w:p>
                  <w:pPr>
                    <w:pStyle w:val="Compact"/>
                    <w:jc w:val="both"/>
                    <w:jc w:val="center"/>
                    <w:spacing w:line="360" w:lineRule="auto"/>
                  </w:pPr>
                  <w:r>
                    <w:rPr>
                      <w:rStyle w:val="VerbatimChar"/>
                    </w:rPr>
                    <w:t xml:space="preserve">10.5281/zenodo.23325483</w:t>
                  </w:r>
                </w:p>
              </w:tc>
            </w:tr>
            <w:tr>
              <w:tc>
                <w:tcPr/>
                <w:p>
                  <w:pPr>
                    <w:pStyle w:val="Compact"/>
                    <w:jc w:val="both"/>
                    <w:jc w:val="center"/>
                    <w:spacing w:line="360" w:lineRule="auto"/>
                  </w:pPr>
                  <w:r>
                    <w:t xml:space="preserve">Controles del Estudio de Fiabilidad Inter-juez</w:t>
                  </w:r>
                </w:p>
              </w:tc>
              <w:tc>
                <w:tcPr/>
                <w:p>
                  <w:pPr>
                    <w:pStyle w:val="Compact"/>
                    <w:jc w:val="both"/>
                    <w:jc w:val="center"/>
                    <w:spacing w:line="360" w:lineRule="auto"/>
                  </w:pPr>
                  <w:r>
                    <w:rPr>
                      <w:rStyle w:val="VerbatimChar"/>
                    </w:rPr>
                    <w:t xml:space="preserve">docs/reports/paper_c/PLAN.md</w:t>
                  </w:r>
                </w:p>
              </w:tc>
              <w:tc>
                <w:tcPr/>
                <w:p>
                  <w:pPr>
                    <w:pStyle w:val="Compact"/>
                    <w:jc w:val="both"/>
                    <w:jc w:val="center"/>
                    <w:spacing w:line="360" w:lineRule="auto"/>
                  </w:pPr>
                  <w:r>
                    <w:rPr>
                      <w:rStyle w:val="VerbatimChar"/>
                    </w:rPr>
                    <w:t xml:space="preserve">docs/reports/paper_c/scripts/</w:t>
                  </w:r>
                </w:p>
              </w:tc>
              <w:tc>
                <w:tcPr/>
                <w:p>
                  <w:pPr>
                    <w:pStyle w:val="Compact"/>
                    <w:jc w:val="both"/>
                    <w:jc w:val="center"/>
                    <w:spacing w:line="360" w:lineRule="auto"/>
                  </w:pPr>
                  <w:r>
                    <w:rPr>
                      <w:rStyle w:val="VerbatimChar"/>
                    </w:rPr>
                    <w:t xml:space="preserve">docs/reports/paper_c/results/</w:t>
                  </w:r>
                  <w:r>
                    <w:t xml:space="preserve">,</w:t>
                  </w:r>
                  <w:r>
                    <w:t xml:space="preserve"> </w:t>
                  </w:r>
                  <w:r>
                    <w:rPr>
                      <w:rStyle w:val="VerbatimChar"/>
                    </w:rPr>
                    <w:t xml:space="preserve">clean_condition/</w:t>
                  </w:r>
                  <w:r>
                    <w:t xml:space="preserve"> </w:t>
                  </w:r>
                  <w:r>
                    <w:t xml:space="preserve">y</w:t>
                  </w:r>
                  <w:r>
                    <w:t xml:space="preserve"> </w:t>
                  </w:r>
                  <w:r>
                    <w:rPr>
                      <w:rStyle w:val="VerbatimChar"/>
                    </w:rPr>
                    <w:t xml:space="preserve">positive_control/</w:t>
                  </w:r>
                </w:p>
              </w:tc>
              <w:tc>
                <w:tcPr/>
                <w:p>
                  <w:pPr>
                    <w:pStyle w:val="Compact"/>
                    <w:jc w:val="both"/>
                    <w:jc w:val="center"/>
                    <w:spacing w:line="360" w:lineRule="auto"/>
                  </w:pPr>
                  <w:r>
                    <w:rPr>
                      <w:rStyle w:val="VerbatimChar"/>
                    </w:rPr>
                    <w:t xml:space="preserve">10.5281/zenodo.23165763</w:t>
                  </w:r>
                </w:p>
              </w:tc>
            </w:tr>
          </w:tbl>
          <w:bookmarkEnd w:id="536"/>
          <w:p>
            <w:pPr>
              <w:spacing w:line="360" w:lineRule="auto"/>
              <w:jc w:val="both"/>
            </w:pPr>
          </w:p>
        </w:tc>
      </w:tr>
    </w:tbl>
    <w:p>
      <w:pPr>
        <w:pStyle w:val="Textoindependiente"/>
        <w:spacing w:line="360" w:lineRule="auto"/>
        <w:jc w:val="both"/>
      </w:pPr>
      <w:r>
        <w:t xml:space="preserve">Los cuatro archivos son versiones del mismo depósito, cuyo DOI de concepto es</w:t>
      </w:r>
      <w:r>
        <w:t xml:space="preserve"> </w:t>
      </w:r>
      <w:r>
        <w:rPr>
          <w:rStyle w:val="VerbatimChar"/>
        </w:rPr>
        <w:t xml:space="preserve">10.5281/zenodo.19297723</w:t>
      </w:r>
      <w:r>
        <w:t xml:space="preserve">.</w:t>
      </w:r>
    </w:p>
    <w:bookmarkEnd w:id="537"/>
    <w:bookmarkEnd w:id="53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51" Target="media/rId151.png" /><Relationship Type="http://schemas.openxmlformats.org/officeDocument/2006/relationships/image" Id="rId175" Target="media/rId175.png" /><Relationship Type="http://schemas.openxmlformats.org/officeDocument/2006/relationships/image" Id="rId211" Target="media/rId211.png" /><Relationship Type="http://schemas.openxmlformats.org/officeDocument/2006/relationships/image" Id="rId201" Target="media/rId201.png" /><Relationship Type="http://schemas.openxmlformats.org/officeDocument/2006/relationships/image" Id="rId222" Target="media/rId222.png" /><Relationship Type="http://schemas.openxmlformats.org/officeDocument/2006/relationships/image" Id="rId205" Target="media/rId205.png" /><Relationship Type="http://schemas.openxmlformats.org/officeDocument/2006/relationships/image" Id="rId217" Target="media/rId217.png" /><Relationship Type="http://schemas.openxmlformats.org/officeDocument/2006/relationships/hyperlink" Id="rId314" Target="http://archive.ics.uci.edu/ml" TargetMode="External" /><Relationship Type="http://schemas.openxmlformats.org/officeDocument/2006/relationships/hyperlink" Id="rId377" Target="https://archive.ics.uci.edu/dataset/2/adult" TargetMode="External" /><Relationship Type="http://schemas.openxmlformats.org/officeDocument/2006/relationships/hyperlink" Id="rId268" Target="https://arxiv.org/abs/1806.08049" TargetMode="External" /><Relationship Type="http://schemas.openxmlformats.org/officeDocument/2006/relationships/hyperlink" Id="rId430" Target="https://catalog.princeton.edu/catalog/2081365" TargetMode="External" /><Relationship Type="http://schemas.openxmlformats.org/officeDocument/2006/relationships/hyperlink" Id="rId272" Target="https://doi.org/10.1002/widm.1424" TargetMode="External" /><Relationship Type="http://schemas.openxmlformats.org/officeDocument/2006/relationships/hyperlink" Id="rId403" Target="https://doi.org/10.1002/widm.1493" TargetMode="External" /><Relationship Type="http://schemas.openxmlformats.org/officeDocument/2006/relationships/hyperlink" Id="rId471" Target="https://doi.org/10.1007/978-3-030-28954-6" TargetMode="External" /><Relationship Type="http://schemas.openxmlformats.org/officeDocument/2006/relationships/hyperlink" Id="rId416" Target="https://doi.org/10.1007/978-3-030-65965-3_28" TargetMode="External" /><Relationship Type="http://schemas.openxmlformats.org/officeDocument/2006/relationships/hyperlink" Id="rId353" Target="https://doi.org/10.1007/978-3-031-04083-2_2" TargetMode="External" /><Relationship Type="http://schemas.openxmlformats.org/officeDocument/2006/relationships/hyperlink" Id="rId479" Target="https://doi.org/10.1007/978-3-031-63787-2_23" TargetMode="External" /><Relationship Type="http://schemas.openxmlformats.org/officeDocument/2006/relationships/hyperlink" Id="rId405" Target="https://doi.org/10.1007/978-3-031-75387-9_12" TargetMode="External" /><Relationship Type="http://schemas.openxmlformats.org/officeDocument/2006/relationships/hyperlink" Id="rId262" Target="https://doi.org/10.1007/978-3-032-06744-9_14" TargetMode="External" /><Relationship Type="http://schemas.openxmlformats.org/officeDocument/2006/relationships/hyperlink" Id="rId502" Target="https://doi.org/10.1007/978-3-319-57959-7" TargetMode="External" /><Relationship Type="http://schemas.openxmlformats.org/officeDocument/2006/relationships/hyperlink" Id="rId475" Target="https://doi.org/10.1007/s10618-022-00867-8" TargetMode="External" /><Relationship Type="http://schemas.openxmlformats.org/officeDocument/2006/relationships/hyperlink" Id="rId426" Target="https://doi.org/10.1007/s10676-024-09773-7" TargetMode="External" /><Relationship Type="http://schemas.openxmlformats.org/officeDocument/2006/relationships/hyperlink" Id="rId327" Target="https://doi.org/10.1007/s11023-018-9482-5" TargetMode="External" /><Relationship Type="http://schemas.openxmlformats.org/officeDocument/2006/relationships/hyperlink" Id="rId347" Target="https://doi.org/10.1007/s12559-023-10179-8" TargetMode="External" /><Relationship Type="http://schemas.openxmlformats.org/officeDocument/2006/relationships/hyperlink" Id="rId483" Target="https://doi.org/10.1007/s13218-020-00637-y" TargetMode="External" /><Relationship Type="http://schemas.openxmlformats.org/officeDocument/2006/relationships/hyperlink" Id="rId351" Target="https://doi.org/10.1007/s13218-023-00806-9" TargetMode="External" /><Relationship Type="http://schemas.openxmlformats.org/officeDocument/2006/relationships/hyperlink" Id="rId356" Target="https://doi.org/10.1016/j.array.2025.100399" TargetMode="External" /><Relationship Type="http://schemas.openxmlformats.org/officeDocument/2006/relationships/hyperlink" Id="rId407" Target="https://doi.org/10.1016/j.artint.2018.07.007" TargetMode="External" /><Relationship Type="http://schemas.openxmlformats.org/officeDocument/2006/relationships/hyperlink" Id="rId386" Target="https://doi.org/10.1016/j.artint.2021.103473" TargetMode="External" /><Relationship Type="http://schemas.openxmlformats.org/officeDocument/2006/relationships/hyperlink" Id="rId276" Target="https://doi.org/10.1016/j.inffus.2019.12.012" TargetMode="External" /><Relationship Type="http://schemas.openxmlformats.org/officeDocument/2006/relationships/hyperlink" Id="rId260" Target="https://doi.org/10.1016/j.inffus.2023.101805" TargetMode="External" /><Relationship Type="http://schemas.openxmlformats.org/officeDocument/2006/relationships/hyperlink" Id="rId397" Target="https://doi.org/10.1016/j.inffus.2024.102301" TargetMode="External" /><Relationship Type="http://schemas.openxmlformats.org/officeDocument/2006/relationships/hyperlink" Id="rId379" Target="https://doi.org/10.1016/j.jcm.2016.02.012" TargetMode="External" /><Relationship Type="http://schemas.openxmlformats.org/officeDocument/2006/relationships/hyperlink" Id="rId469" Target="https://doi.org/10.1016/j.knosys.2023.110273" TargetMode="External" /><Relationship Type="http://schemas.openxmlformats.org/officeDocument/2006/relationships/hyperlink" Id="rId441" Target="https://doi.org/10.1016/j.neucom.2024.128282" TargetMode="External" /><Relationship Type="http://schemas.openxmlformats.org/officeDocument/2006/relationships/hyperlink" Id="rId292" Target="https://doi.org/10.1023/a:1010933404324" TargetMode="External" /><Relationship Type="http://schemas.openxmlformats.org/officeDocument/2006/relationships/hyperlink" Id="rId438" Target="https://doi.org/10.1038/s41467-022-33417-3" TargetMode="External" /><Relationship Type="http://schemas.openxmlformats.org/officeDocument/2006/relationships/hyperlink" Id="rId257" Target="https://doi.org/10.1038/s41597-023-01974-x" TargetMode="External" /><Relationship Type="http://schemas.openxmlformats.org/officeDocument/2006/relationships/hyperlink" Id="rId465" Target="https://doi.org/10.1038/s42256-019-0048-x" TargetMode="External" /><Relationship Type="http://schemas.openxmlformats.org/officeDocument/2006/relationships/hyperlink" Id="rId424" Target="https://doi.org/10.1073/pnas.1900654116" TargetMode="External" /><Relationship Type="http://schemas.openxmlformats.org/officeDocument/2006/relationships/hyperlink" Id="rId451" Target="https://doi.org/10.1073/pnas.2426766122" TargetMode="External" /><Relationship Type="http://schemas.openxmlformats.org/officeDocument/2006/relationships/hyperlink" Id="rId333" Target="https://doi.org/10.1080/01621459.1937.10503522" TargetMode="External" /><Relationship Type="http://schemas.openxmlformats.org/officeDocument/2006/relationships/hyperlink" Id="rId339" Target="https://doi.org/10.1080/10618600.2014.907095" TargetMode="External" /><Relationship Type="http://schemas.openxmlformats.org/officeDocument/2006/relationships/hyperlink" Id="rId249" Target="https://doi.org/10.1109/INES59045.2023.1030000" TargetMode="External" /><Relationship Type="http://schemas.openxmlformats.org/officeDocument/2006/relationships/hyperlink" Id="rId487" Target="https://doi.org/10.1109/TNNLS.2020.3027314" TargetMode="External" /><Relationship Type="http://schemas.openxmlformats.org/officeDocument/2006/relationships/hyperlink" Id="rId461" Target="https://doi.org/10.1109/TPAMI.2023.3331846" TargetMode="External" /><Relationship Type="http://schemas.openxmlformats.org/officeDocument/2006/relationships/hyperlink" Id="rId253" Target="https://doi.org/10.1109/access.2018.2870052" TargetMode="External" /><Relationship Type="http://schemas.openxmlformats.org/officeDocument/2006/relationships/hyperlink" Id="rId365" Target="https://doi.org/10.1109/access.2025.3546681" TargetMode="External" /><Relationship Type="http://schemas.openxmlformats.org/officeDocument/2006/relationships/hyperlink" Id="rId337" Target="https://doi.org/10.1109/dsaa.2018.00018" TargetMode="External" /><Relationship Type="http://schemas.openxmlformats.org/officeDocument/2006/relationships/hyperlink" Id="rId274" Target="https://doi.org/10.1111/rssb.12377" TargetMode="External" /><Relationship Type="http://schemas.openxmlformats.org/officeDocument/2006/relationships/hyperlink" Id="rId358" Target="https://doi.org/10.1126/science.359.6377.725" TargetMode="External" /><Relationship Type="http://schemas.openxmlformats.org/officeDocument/2006/relationships/hyperlink" Id="rId453" Target="https://doi.org/10.1145/2939672.2939778" TargetMode="External" /><Relationship Type="http://schemas.openxmlformats.org/officeDocument/2006/relationships/hyperlink" Id="rId247" Target="https://doi.org/10.1145/3173574.3174156" TargetMode="External" /><Relationship Type="http://schemas.openxmlformats.org/officeDocument/2006/relationships/hyperlink" Id="rId343" Target="https://doi.org/10.1145/3236009" TargetMode="External" /><Relationship Type="http://schemas.openxmlformats.org/officeDocument/2006/relationships/hyperlink" Id="rId393" Target="https://doi.org/10.1145/3236386.3241340" TargetMode="External" /><Relationship Type="http://schemas.openxmlformats.org/officeDocument/2006/relationships/hyperlink" Id="rId412" Target="https://doi.org/10.1145/3287560.3287574" TargetMode="External" /><Relationship Type="http://schemas.openxmlformats.org/officeDocument/2006/relationships/hyperlink" Id="rId371" Target="https://doi.org/10.1145/3313831.3376219" TargetMode="External" /><Relationship Type="http://schemas.openxmlformats.org/officeDocument/2006/relationships/hyperlink" Id="rId420" Target="https://doi.org/10.1145/3351095.3372850" TargetMode="External" /><Relationship Type="http://schemas.openxmlformats.org/officeDocument/2006/relationships/hyperlink" Id="rId481" Target="https://doi.org/10.1145/3375627.3375830" TargetMode="External" /><Relationship Type="http://schemas.openxmlformats.org/officeDocument/2006/relationships/hyperlink" Id="rId447" Target="https://doi.org/10.1145/3375627.3375850" TargetMode="External" /><Relationship Type="http://schemas.openxmlformats.org/officeDocument/2006/relationships/hyperlink" Id="rId414" Target="https://doi.org/10.1145/3387166" TargetMode="External" /><Relationship Type="http://schemas.openxmlformats.org/officeDocument/2006/relationships/hyperlink" Id="rId367" Target="https://doi.org/10.1145/3527848" TargetMode="External" /><Relationship Type="http://schemas.openxmlformats.org/officeDocument/2006/relationships/hyperlink" Id="rId255" Target="https://doi.org/10.1145/3533381" TargetMode="External" /><Relationship Type="http://schemas.openxmlformats.org/officeDocument/2006/relationships/hyperlink" Id="rId320" Target="https://doi.org/10.1145/3544549.3573832" TargetMode="External" /><Relationship Type="http://schemas.openxmlformats.org/officeDocument/2006/relationships/hyperlink" Id="rId316" Target="https://doi.org/10.1145/3561048" TargetMode="External" /><Relationship Type="http://schemas.openxmlformats.org/officeDocument/2006/relationships/hyperlink" Id="rId362" Target="https://doi.org/10.1145/3571730" TargetMode="External" /><Relationship Type="http://schemas.openxmlformats.org/officeDocument/2006/relationships/hyperlink" Id="rId324" Target="https://doi.org/10.1145/3573900.3591114" TargetMode="External" /><Relationship Type="http://schemas.openxmlformats.org/officeDocument/2006/relationships/hyperlink" Id="rId485" Target="https://doi.org/10.1145/3580305.3599337" TargetMode="External" /><Relationship Type="http://schemas.openxmlformats.org/officeDocument/2006/relationships/hyperlink" Id="rId428" Target="https://doi.org/10.1145/3583558" TargetMode="External" /><Relationship Type="http://schemas.openxmlformats.org/officeDocument/2006/relationships/hyperlink" Id="rId382" Target="https://doi.org/10.1145/3592307.3592342" TargetMode="External" /><Relationship Type="http://schemas.openxmlformats.org/officeDocument/2006/relationships/hyperlink" Id="rId498" Target="https://doi.org/10.1145/3599974" TargetMode="External" /><Relationship Type="http://schemas.openxmlformats.org/officeDocument/2006/relationships/hyperlink" Id="rId341" Target="https://doi.org/10.1145/3605098.3636109" TargetMode="External" /><Relationship Type="http://schemas.openxmlformats.org/officeDocument/2006/relationships/hyperlink" Id="rId410" Target="https://doi.org/10.1145/3607947.3608059" TargetMode="External" /><Relationship Type="http://schemas.openxmlformats.org/officeDocument/2006/relationships/hyperlink" Id="rId418" Target="https://doi.org/10.1145/3610064" TargetMode="External" /><Relationship Type="http://schemas.openxmlformats.org/officeDocument/2006/relationships/hyperlink" Id="rId435" Target="https://doi.org/10.1145/3613904.3642352" TargetMode="External" /><Relationship Type="http://schemas.openxmlformats.org/officeDocument/2006/relationships/hyperlink" Id="rId374" Target="https://doi.org/10.1145/3613905.3638184" TargetMode="External" /><Relationship Type="http://schemas.openxmlformats.org/officeDocument/2006/relationships/hyperlink" Id="rId335" Target="https://doi.org/10.1145/3626203.3670522" TargetMode="External" /><Relationship Type="http://schemas.openxmlformats.org/officeDocument/2006/relationships/hyperlink" Id="rId288" Target="https://doi.org/10.1145/3631700.3664911" TargetMode="External" /><Relationship Type="http://schemas.openxmlformats.org/officeDocument/2006/relationships/hyperlink" Id="rId360" Target="https://doi.org/10.1145/3631908.3631925" TargetMode="External" /><Relationship Type="http://schemas.openxmlformats.org/officeDocument/2006/relationships/hyperlink" Id="rId306" Target="https://doi.org/10.1145/3638380.3638426" TargetMode="External" /><Relationship Type="http://schemas.openxmlformats.org/officeDocument/2006/relationships/hyperlink" Id="rId494" Target="https://doi.org/10.1145/3643491.3660292" TargetMode="External" /><Relationship Type="http://schemas.openxmlformats.org/officeDocument/2006/relationships/hyperlink" Id="rId286" Target="https://doi.org/10.1145/3643834.3660722" TargetMode="External" /><Relationship Type="http://schemas.openxmlformats.org/officeDocument/2006/relationships/hyperlink" Id="rId401" Target="https://doi.org/10.1145/3647444.3647912" TargetMode="External" /><Relationship Type="http://schemas.openxmlformats.org/officeDocument/2006/relationships/hyperlink" Id="rId278" Target="https://doi.org/10.1145/3649144" TargetMode="External" /><Relationship Type="http://schemas.openxmlformats.org/officeDocument/2006/relationships/hyperlink" Id="rId369" Target="https://doi.org/10.1145/3651593" TargetMode="External" /><Relationship Type="http://schemas.openxmlformats.org/officeDocument/2006/relationships/hyperlink" Id="rId284" Target="https://doi.org/10.1145/3670685" TargetMode="External" /><Relationship Type="http://schemas.openxmlformats.org/officeDocument/2006/relationships/hyperlink" Id="rId294" Target="https://doi.org/10.1145/3672359.3672363" TargetMode="External" /><Relationship Type="http://schemas.openxmlformats.org/officeDocument/2006/relationships/hyperlink" Id="rId473" Target="https://doi.org/10.1145/3677374" TargetMode="External" /><Relationship Type="http://schemas.openxmlformats.org/officeDocument/2006/relationships/hyperlink" Id="rId445" Target="https://doi.org/10.1145/3678884.3682046" TargetMode="External" /><Relationship Type="http://schemas.openxmlformats.org/officeDocument/2006/relationships/hyperlink" Id="rId318" Target="https://doi.org/10.1145/3686169.3686185" TargetMode="External" /><Relationship Type="http://schemas.openxmlformats.org/officeDocument/2006/relationships/hyperlink" Id="rId308" Target="https://doi.org/10.1145/3702038.3702093" TargetMode="External" /><Relationship Type="http://schemas.openxmlformats.org/officeDocument/2006/relationships/hyperlink" Id="rId422" Target="https://doi.org/10.1145/3704522.3704524" TargetMode="External" /><Relationship Type="http://schemas.openxmlformats.org/officeDocument/2006/relationships/hyperlink" Id="rId496" Target="https://doi.org/10.1145/3705724" TargetMode="External" /><Relationship Type="http://schemas.openxmlformats.org/officeDocument/2006/relationships/hyperlink" Id="rId432" Target="https://doi.org/10.1145/3711123" TargetMode="External" /><Relationship Type="http://schemas.openxmlformats.org/officeDocument/2006/relationships/hyperlink" Id="rId298" Target="https://doi.org/10.1145/3737445" TargetMode="External" /><Relationship Type="http://schemas.openxmlformats.org/officeDocument/2006/relationships/hyperlink" Id="rId264" Target="https://doi.org/10.1146/annurev-statistics-040120-030919" TargetMode="External" /><Relationship Type="http://schemas.openxmlformats.org/officeDocument/2006/relationships/hyperlink" Id="rId304" Target="https://doi.org/10.1177/001316446002000104" TargetMode="External" /><Relationship Type="http://schemas.openxmlformats.org/officeDocument/2006/relationships/hyperlink" Id="rId491" Target="https://doi.org/10.1201/9781003442509" TargetMode="External" /><Relationship Type="http://schemas.openxmlformats.org/officeDocument/2006/relationships/hyperlink" Id="rId329" Target="https://doi.org/10.1214/07-aoas148" TargetMode="External" /><Relationship Type="http://schemas.openxmlformats.org/officeDocument/2006/relationships/hyperlink" Id="rId463" Target="https://doi.org/10.1214/21-ss133" TargetMode="External" /><Relationship Type="http://schemas.openxmlformats.org/officeDocument/2006/relationships/hyperlink" Id="rId331" Target="https://doi.org/10.1214/aos/1013203451" TargetMode="External" /><Relationship Type="http://schemas.openxmlformats.org/officeDocument/2006/relationships/hyperlink" Id="rId455" Target="https://doi.org/10.1609/aaai.v32i1.11491" TargetMode="External" /><Relationship Type="http://schemas.openxmlformats.org/officeDocument/2006/relationships/hyperlink" Id="rId489" Target="https://doi.org/10.1609/aaai.v34i04.6064" TargetMode="External" /><Relationship Type="http://schemas.openxmlformats.org/officeDocument/2006/relationships/hyperlink" Id="rId270" Target="https://doi.org/10.1609/aimag.v35i4.2513" TargetMode="External" /><Relationship Type="http://schemas.openxmlformats.org/officeDocument/2006/relationships/hyperlink" Id="rId500" Target="https://doi.org/10.1613/jair.1.13283" TargetMode="External" /><Relationship Type="http://schemas.openxmlformats.org/officeDocument/2006/relationships/hyperlink" Id="rId443" Target="https://doi.org/10.1613/jair.1.14888" TargetMode="External" /><Relationship Type="http://schemas.openxmlformats.org/officeDocument/2006/relationships/hyperlink" Id="rId345" Target="https://doi.org/10.18653/v1/2020.acl-main.491" TargetMode="External" /><Relationship Type="http://schemas.openxmlformats.org/officeDocument/2006/relationships/hyperlink" Id="rId280" Target="https://doi.org/10.18653/v1/2020.blackboxnlp-1.14" TargetMode="External" /><Relationship Type="http://schemas.openxmlformats.org/officeDocument/2006/relationships/hyperlink" Id="rId296" Target="https://doi.org/10.18653/v1/2023.emnlp-main.792" TargetMode="External" /><Relationship Type="http://schemas.openxmlformats.org/officeDocument/2006/relationships/hyperlink" Id="rId504" Target="https://doi.org/10.2139/ssrn.3063289" TargetMode="External" /><Relationship Type="http://schemas.openxmlformats.org/officeDocument/2006/relationships/hyperlink" Id="rId251" Target="https://doi.org/10.2139/ssrn.4710037" TargetMode="External" /><Relationship Type="http://schemas.openxmlformats.org/officeDocument/2006/relationships/hyperlink" Id="rId302" Target="https://doi.org/10.2139/ssrn.5040613" TargetMode="External" /><Relationship Type="http://schemas.openxmlformats.org/officeDocument/2006/relationships/hyperlink" Id="rId322" Target="https://doi.org/10.2139/ssrn.6847479" TargetMode="External" /><Relationship Type="http://schemas.openxmlformats.org/officeDocument/2006/relationships/hyperlink" Id="rId507" Target="https://doi.org/10.2307/3001968" TargetMode="External" /><Relationship Type="http://schemas.openxmlformats.org/officeDocument/2006/relationships/hyperlink" Id="rId388" Target="https://doi.org/10.24963/ijcai.2019/388" TargetMode="External" /><Relationship Type="http://schemas.openxmlformats.org/officeDocument/2006/relationships/hyperlink" Id="rId282" Target="https://doi.org/10.3389/fdata.2021.688969" TargetMode="External" /><Relationship Type="http://schemas.openxmlformats.org/officeDocument/2006/relationships/hyperlink" Id="rId384" Target="https://doi.org/10.3389/fpsyg.2013.00863" TargetMode="External" /><Relationship Type="http://schemas.openxmlformats.org/officeDocument/2006/relationships/hyperlink" Id="rId467" Target="https://doi.org/10.3390/app14198884" TargetMode="External" /><Relationship Type="http://schemas.openxmlformats.org/officeDocument/2006/relationships/hyperlink" Id="rId391" Target="https://doi.org/10.3390/e23010018" TargetMode="External" /><Relationship Type="http://schemas.openxmlformats.org/officeDocument/2006/relationships/hyperlink" Id="rId290" Target="https://doi.org/10.3390/electronics13112198" TargetMode="External" /><Relationship Type="http://schemas.openxmlformats.org/officeDocument/2006/relationships/hyperlink" Id="rId300" Target="https://doi.org/10.3390/electronics8080832" TargetMode="External" /><Relationship Type="http://schemas.openxmlformats.org/officeDocument/2006/relationships/hyperlink" Id="rId266" Target="https://doi.org/10.3390/technologies13030093" TargetMode="External" /><Relationship Type="http://schemas.openxmlformats.org/officeDocument/2006/relationships/hyperlink" Id="rId312" Target="https://doi.org/10.48550/arxiv.1702.08608" TargetMode="External" /><Relationship Type="http://schemas.openxmlformats.org/officeDocument/2006/relationships/hyperlink" Id="rId399" Target="https://doi.org/10.48550/arxiv.1705.07874" TargetMode="External" /><Relationship Type="http://schemas.openxmlformats.org/officeDocument/2006/relationships/hyperlink" Id="rId457" Target="https://doi.org/10.65109/vllw9552" TargetMode="External" /><Relationship Type="http://schemas.openxmlformats.org/officeDocument/2006/relationships/hyperlink" Id="rId459" Target="https://proceedings.mlr.press/v162/rong22a.html" TargetMode="External" /><Relationship Type="http://schemas.openxmlformats.org/officeDocument/2006/relationships/hyperlink" Id="rId509" Target="https://trustai4s-lab.github.io/ffidelity" TargetMode="External" /><Relationship Type="http://schemas.openxmlformats.org/officeDocument/2006/relationships/hyperlink" Id="rId310" Target="https://www.jmlr.org/papers/v7/demsar06a.html" TargetMode="External" /><Relationship Type="http://schemas.openxmlformats.org/officeDocument/2006/relationships/hyperlink" Id="rId477"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314" Target="http://archive.ics.uci.edu/ml" TargetMode="External" /><Relationship Type="http://schemas.openxmlformats.org/officeDocument/2006/relationships/hyperlink" Id="rId377" Target="https://archive.ics.uci.edu/dataset/2/adult" TargetMode="External" /><Relationship Type="http://schemas.openxmlformats.org/officeDocument/2006/relationships/hyperlink" Id="rId268" Target="https://arxiv.org/abs/1806.08049" TargetMode="External" /><Relationship Type="http://schemas.openxmlformats.org/officeDocument/2006/relationships/hyperlink" Id="rId430" Target="https://catalog.princeton.edu/catalog/2081365" TargetMode="External" /><Relationship Type="http://schemas.openxmlformats.org/officeDocument/2006/relationships/hyperlink" Id="rId272" Target="https://doi.org/10.1002/widm.1424" TargetMode="External" /><Relationship Type="http://schemas.openxmlformats.org/officeDocument/2006/relationships/hyperlink" Id="rId403" Target="https://doi.org/10.1002/widm.1493" TargetMode="External" /><Relationship Type="http://schemas.openxmlformats.org/officeDocument/2006/relationships/hyperlink" Id="rId471" Target="https://doi.org/10.1007/978-3-030-28954-6" TargetMode="External" /><Relationship Type="http://schemas.openxmlformats.org/officeDocument/2006/relationships/hyperlink" Id="rId416" Target="https://doi.org/10.1007/978-3-030-65965-3_28" TargetMode="External" /><Relationship Type="http://schemas.openxmlformats.org/officeDocument/2006/relationships/hyperlink" Id="rId353" Target="https://doi.org/10.1007/978-3-031-04083-2_2" TargetMode="External" /><Relationship Type="http://schemas.openxmlformats.org/officeDocument/2006/relationships/hyperlink" Id="rId479" Target="https://doi.org/10.1007/978-3-031-63787-2_23" TargetMode="External" /><Relationship Type="http://schemas.openxmlformats.org/officeDocument/2006/relationships/hyperlink" Id="rId405" Target="https://doi.org/10.1007/978-3-031-75387-9_12" TargetMode="External" /><Relationship Type="http://schemas.openxmlformats.org/officeDocument/2006/relationships/hyperlink" Id="rId262" Target="https://doi.org/10.1007/978-3-032-06744-9_14" TargetMode="External" /><Relationship Type="http://schemas.openxmlformats.org/officeDocument/2006/relationships/hyperlink" Id="rId502" Target="https://doi.org/10.1007/978-3-319-57959-7" TargetMode="External" /><Relationship Type="http://schemas.openxmlformats.org/officeDocument/2006/relationships/hyperlink" Id="rId475" Target="https://doi.org/10.1007/s10618-022-00867-8" TargetMode="External" /><Relationship Type="http://schemas.openxmlformats.org/officeDocument/2006/relationships/hyperlink" Id="rId426" Target="https://doi.org/10.1007/s10676-024-09773-7" TargetMode="External" /><Relationship Type="http://schemas.openxmlformats.org/officeDocument/2006/relationships/hyperlink" Id="rId327" Target="https://doi.org/10.1007/s11023-018-9482-5" TargetMode="External" /><Relationship Type="http://schemas.openxmlformats.org/officeDocument/2006/relationships/hyperlink" Id="rId347" Target="https://doi.org/10.1007/s12559-023-10179-8" TargetMode="External" /><Relationship Type="http://schemas.openxmlformats.org/officeDocument/2006/relationships/hyperlink" Id="rId483" Target="https://doi.org/10.1007/s13218-020-00637-y" TargetMode="External" /><Relationship Type="http://schemas.openxmlformats.org/officeDocument/2006/relationships/hyperlink" Id="rId351" Target="https://doi.org/10.1007/s13218-023-00806-9" TargetMode="External" /><Relationship Type="http://schemas.openxmlformats.org/officeDocument/2006/relationships/hyperlink" Id="rId356" Target="https://doi.org/10.1016/j.array.2025.100399" TargetMode="External" /><Relationship Type="http://schemas.openxmlformats.org/officeDocument/2006/relationships/hyperlink" Id="rId407" Target="https://doi.org/10.1016/j.artint.2018.07.007" TargetMode="External" /><Relationship Type="http://schemas.openxmlformats.org/officeDocument/2006/relationships/hyperlink" Id="rId386" Target="https://doi.org/10.1016/j.artint.2021.103473" TargetMode="External" /><Relationship Type="http://schemas.openxmlformats.org/officeDocument/2006/relationships/hyperlink" Id="rId276" Target="https://doi.org/10.1016/j.inffus.2019.12.012" TargetMode="External" /><Relationship Type="http://schemas.openxmlformats.org/officeDocument/2006/relationships/hyperlink" Id="rId260" Target="https://doi.org/10.1016/j.inffus.2023.101805" TargetMode="External" /><Relationship Type="http://schemas.openxmlformats.org/officeDocument/2006/relationships/hyperlink" Id="rId397" Target="https://doi.org/10.1016/j.inffus.2024.102301" TargetMode="External" /><Relationship Type="http://schemas.openxmlformats.org/officeDocument/2006/relationships/hyperlink" Id="rId379" Target="https://doi.org/10.1016/j.jcm.2016.02.012" TargetMode="External" /><Relationship Type="http://schemas.openxmlformats.org/officeDocument/2006/relationships/hyperlink" Id="rId469" Target="https://doi.org/10.1016/j.knosys.2023.110273" TargetMode="External" /><Relationship Type="http://schemas.openxmlformats.org/officeDocument/2006/relationships/hyperlink" Id="rId441" Target="https://doi.org/10.1016/j.neucom.2024.128282" TargetMode="External" /><Relationship Type="http://schemas.openxmlformats.org/officeDocument/2006/relationships/hyperlink" Id="rId292" Target="https://doi.org/10.1023/a:1010933404324" TargetMode="External" /><Relationship Type="http://schemas.openxmlformats.org/officeDocument/2006/relationships/hyperlink" Id="rId438" Target="https://doi.org/10.1038/s41467-022-33417-3" TargetMode="External" /><Relationship Type="http://schemas.openxmlformats.org/officeDocument/2006/relationships/hyperlink" Id="rId257" Target="https://doi.org/10.1038/s41597-023-01974-x" TargetMode="External" /><Relationship Type="http://schemas.openxmlformats.org/officeDocument/2006/relationships/hyperlink" Id="rId465" Target="https://doi.org/10.1038/s42256-019-0048-x" TargetMode="External" /><Relationship Type="http://schemas.openxmlformats.org/officeDocument/2006/relationships/hyperlink" Id="rId424" Target="https://doi.org/10.1073/pnas.1900654116" TargetMode="External" /><Relationship Type="http://schemas.openxmlformats.org/officeDocument/2006/relationships/hyperlink" Id="rId451" Target="https://doi.org/10.1073/pnas.2426766122" TargetMode="External" /><Relationship Type="http://schemas.openxmlformats.org/officeDocument/2006/relationships/hyperlink" Id="rId333" Target="https://doi.org/10.1080/01621459.1937.10503522" TargetMode="External" /><Relationship Type="http://schemas.openxmlformats.org/officeDocument/2006/relationships/hyperlink" Id="rId339" Target="https://doi.org/10.1080/10618600.2014.907095" TargetMode="External" /><Relationship Type="http://schemas.openxmlformats.org/officeDocument/2006/relationships/hyperlink" Id="rId249" Target="https://doi.org/10.1109/INES59045.2023.1030000" TargetMode="External" /><Relationship Type="http://schemas.openxmlformats.org/officeDocument/2006/relationships/hyperlink" Id="rId487" Target="https://doi.org/10.1109/TNNLS.2020.3027314" TargetMode="External" /><Relationship Type="http://schemas.openxmlformats.org/officeDocument/2006/relationships/hyperlink" Id="rId461" Target="https://doi.org/10.1109/TPAMI.2023.3331846" TargetMode="External" /><Relationship Type="http://schemas.openxmlformats.org/officeDocument/2006/relationships/hyperlink" Id="rId253" Target="https://doi.org/10.1109/access.2018.2870052" TargetMode="External" /><Relationship Type="http://schemas.openxmlformats.org/officeDocument/2006/relationships/hyperlink" Id="rId365" Target="https://doi.org/10.1109/access.2025.3546681" TargetMode="External" /><Relationship Type="http://schemas.openxmlformats.org/officeDocument/2006/relationships/hyperlink" Id="rId337" Target="https://doi.org/10.1109/dsaa.2018.00018" TargetMode="External" /><Relationship Type="http://schemas.openxmlformats.org/officeDocument/2006/relationships/hyperlink" Id="rId274" Target="https://doi.org/10.1111/rssb.12377" TargetMode="External" /><Relationship Type="http://schemas.openxmlformats.org/officeDocument/2006/relationships/hyperlink" Id="rId358" Target="https://doi.org/10.1126/science.359.6377.725" TargetMode="External" /><Relationship Type="http://schemas.openxmlformats.org/officeDocument/2006/relationships/hyperlink" Id="rId453" Target="https://doi.org/10.1145/2939672.2939778" TargetMode="External" /><Relationship Type="http://schemas.openxmlformats.org/officeDocument/2006/relationships/hyperlink" Id="rId247" Target="https://doi.org/10.1145/3173574.3174156" TargetMode="External" /><Relationship Type="http://schemas.openxmlformats.org/officeDocument/2006/relationships/hyperlink" Id="rId343" Target="https://doi.org/10.1145/3236009" TargetMode="External" /><Relationship Type="http://schemas.openxmlformats.org/officeDocument/2006/relationships/hyperlink" Id="rId393" Target="https://doi.org/10.1145/3236386.3241340" TargetMode="External" /><Relationship Type="http://schemas.openxmlformats.org/officeDocument/2006/relationships/hyperlink" Id="rId412" Target="https://doi.org/10.1145/3287560.3287574" TargetMode="External" /><Relationship Type="http://schemas.openxmlformats.org/officeDocument/2006/relationships/hyperlink" Id="rId371" Target="https://doi.org/10.1145/3313831.3376219" TargetMode="External" /><Relationship Type="http://schemas.openxmlformats.org/officeDocument/2006/relationships/hyperlink" Id="rId420" Target="https://doi.org/10.1145/3351095.3372850" TargetMode="External" /><Relationship Type="http://schemas.openxmlformats.org/officeDocument/2006/relationships/hyperlink" Id="rId481" Target="https://doi.org/10.1145/3375627.3375830" TargetMode="External" /><Relationship Type="http://schemas.openxmlformats.org/officeDocument/2006/relationships/hyperlink" Id="rId447" Target="https://doi.org/10.1145/3375627.3375850" TargetMode="External" /><Relationship Type="http://schemas.openxmlformats.org/officeDocument/2006/relationships/hyperlink" Id="rId414" Target="https://doi.org/10.1145/3387166" TargetMode="External" /><Relationship Type="http://schemas.openxmlformats.org/officeDocument/2006/relationships/hyperlink" Id="rId367" Target="https://doi.org/10.1145/3527848" TargetMode="External" /><Relationship Type="http://schemas.openxmlformats.org/officeDocument/2006/relationships/hyperlink" Id="rId255" Target="https://doi.org/10.1145/3533381" TargetMode="External" /><Relationship Type="http://schemas.openxmlformats.org/officeDocument/2006/relationships/hyperlink" Id="rId320" Target="https://doi.org/10.1145/3544549.3573832" TargetMode="External" /><Relationship Type="http://schemas.openxmlformats.org/officeDocument/2006/relationships/hyperlink" Id="rId316" Target="https://doi.org/10.1145/3561048" TargetMode="External" /><Relationship Type="http://schemas.openxmlformats.org/officeDocument/2006/relationships/hyperlink" Id="rId362" Target="https://doi.org/10.1145/3571730" TargetMode="External" /><Relationship Type="http://schemas.openxmlformats.org/officeDocument/2006/relationships/hyperlink" Id="rId324" Target="https://doi.org/10.1145/3573900.3591114" TargetMode="External" /><Relationship Type="http://schemas.openxmlformats.org/officeDocument/2006/relationships/hyperlink" Id="rId485" Target="https://doi.org/10.1145/3580305.3599337" TargetMode="External" /><Relationship Type="http://schemas.openxmlformats.org/officeDocument/2006/relationships/hyperlink" Id="rId428" Target="https://doi.org/10.1145/3583558" TargetMode="External" /><Relationship Type="http://schemas.openxmlformats.org/officeDocument/2006/relationships/hyperlink" Id="rId382" Target="https://doi.org/10.1145/3592307.3592342" TargetMode="External" /><Relationship Type="http://schemas.openxmlformats.org/officeDocument/2006/relationships/hyperlink" Id="rId498" Target="https://doi.org/10.1145/3599974" TargetMode="External" /><Relationship Type="http://schemas.openxmlformats.org/officeDocument/2006/relationships/hyperlink" Id="rId341" Target="https://doi.org/10.1145/3605098.3636109" TargetMode="External" /><Relationship Type="http://schemas.openxmlformats.org/officeDocument/2006/relationships/hyperlink" Id="rId410" Target="https://doi.org/10.1145/3607947.3608059" TargetMode="External" /><Relationship Type="http://schemas.openxmlformats.org/officeDocument/2006/relationships/hyperlink" Id="rId418" Target="https://doi.org/10.1145/3610064" TargetMode="External" /><Relationship Type="http://schemas.openxmlformats.org/officeDocument/2006/relationships/hyperlink" Id="rId435" Target="https://doi.org/10.1145/3613904.3642352" TargetMode="External" /><Relationship Type="http://schemas.openxmlformats.org/officeDocument/2006/relationships/hyperlink" Id="rId374" Target="https://doi.org/10.1145/3613905.3638184" TargetMode="External" /><Relationship Type="http://schemas.openxmlformats.org/officeDocument/2006/relationships/hyperlink" Id="rId335" Target="https://doi.org/10.1145/3626203.3670522" TargetMode="External" /><Relationship Type="http://schemas.openxmlformats.org/officeDocument/2006/relationships/hyperlink" Id="rId288" Target="https://doi.org/10.1145/3631700.3664911" TargetMode="External" /><Relationship Type="http://schemas.openxmlformats.org/officeDocument/2006/relationships/hyperlink" Id="rId360" Target="https://doi.org/10.1145/3631908.3631925" TargetMode="External" /><Relationship Type="http://schemas.openxmlformats.org/officeDocument/2006/relationships/hyperlink" Id="rId306" Target="https://doi.org/10.1145/3638380.3638426" TargetMode="External" /><Relationship Type="http://schemas.openxmlformats.org/officeDocument/2006/relationships/hyperlink" Id="rId494" Target="https://doi.org/10.1145/3643491.3660292" TargetMode="External" /><Relationship Type="http://schemas.openxmlformats.org/officeDocument/2006/relationships/hyperlink" Id="rId286" Target="https://doi.org/10.1145/3643834.3660722" TargetMode="External" /><Relationship Type="http://schemas.openxmlformats.org/officeDocument/2006/relationships/hyperlink" Id="rId401" Target="https://doi.org/10.1145/3647444.3647912" TargetMode="External" /><Relationship Type="http://schemas.openxmlformats.org/officeDocument/2006/relationships/hyperlink" Id="rId278" Target="https://doi.org/10.1145/3649144" TargetMode="External" /><Relationship Type="http://schemas.openxmlformats.org/officeDocument/2006/relationships/hyperlink" Id="rId369" Target="https://doi.org/10.1145/3651593" TargetMode="External" /><Relationship Type="http://schemas.openxmlformats.org/officeDocument/2006/relationships/hyperlink" Id="rId284" Target="https://doi.org/10.1145/3670685" TargetMode="External" /><Relationship Type="http://schemas.openxmlformats.org/officeDocument/2006/relationships/hyperlink" Id="rId294" Target="https://doi.org/10.1145/3672359.3672363" TargetMode="External" /><Relationship Type="http://schemas.openxmlformats.org/officeDocument/2006/relationships/hyperlink" Id="rId473" Target="https://doi.org/10.1145/3677374" TargetMode="External" /><Relationship Type="http://schemas.openxmlformats.org/officeDocument/2006/relationships/hyperlink" Id="rId445" Target="https://doi.org/10.1145/3678884.3682046" TargetMode="External" /><Relationship Type="http://schemas.openxmlformats.org/officeDocument/2006/relationships/hyperlink" Id="rId318" Target="https://doi.org/10.1145/3686169.3686185" TargetMode="External" /><Relationship Type="http://schemas.openxmlformats.org/officeDocument/2006/relationships/hyperlink" Id="rId308" Target="https://doi.org/10.1145/3702038.3702093" TargetMode="External" /><Relationship Type="http://schemas.openxmlformats.org/officeDocument/2006/relationships/hyperlink" Id="rId422" Target="https://doi.org/10.1145/3704522.3704524" TargetMode="External" /><Relationship Type="http://schemas.openxmlformats.org/officeDocument/2006/relationships/hyperlink" Id="rId496" Target="https://doi.org/10.1145/3705724" TargetMode="External" /><Relationship Type="http://schemas.openxmlformats.org/officeDocument/2006/relationships/hyperlink" Id="rId432" Target="https://doi.org/10.1145/3711123" TargetMode="External" /><Relationship Type="http://schemas.openxmlformats.org/officeDocument/2006/relationships/hyperlink" Id="rId298" Target="https://doi.org/10.1145/3737445" TargetMode="External" /><Relationship Type="http://schemas.openxmlformats.org/officeDocument/2006/relationships/hyperlink" Id="rId264" Target="https://doi.org/10.1146/annurev-statistics-040120-030919" TargetMode="External" /><Relationship Type="http://schemas.openxmlformats.org/officeDocument/2006/relationships/hyperlink" Id="rId304" Target="https://doi.org/10.1177/001316446002000104" TargetMode="External" /><Relationship Type="http://schemas.openxmlformats.org/officeDocument/2006/relationships/hyperlink" Id="rId491" Target="https://doi.org/10.1201/9781003442509" TargetMode="External" /><Relationship Type="http://schemas.openxmlformats.org/officeDocument/2006/relationships/hyperlink" Id="rId329" Target="https://doi.org/10.1214/07-aoas148" TargetMode="External" /><Relationship Type="http://schemas.openxmlformats.org/officeDocument/2006/relationships/hyperlink" Id="rId463" Target="https://doi.org/10.1214/21-ss133" TargetMode="External" /><Relationship Type="http://schemas.openxmlformats.org/officeDocument/2006/relationships/hyperlink" Id="rId331" Target="https://doi.org/10.1214/aos/1013203451" TargetMode="External" /><Relationship Type="http://schemas.openxmlformats.org/officeDocument/2006/relationships/hyperlink" Id="rId455" Target="https://doi.org/10.1609/aaai.v32i1.11491" TargetMode="External" /><Relationship Type="http://schemas.openxmlformats.org/officeDocument/2006/relationships/hyperlink" Id="rId489" Target="https://doi.org/10.1609/aaai.v34i04.6064" TargetMode="External" /><Relationship Type="http://schemas.openxmlformats.org/officeDocument/2006/relationships/hyperlink" Id="rId270" Target="https://doi.org/10.1609/aimag.v35i4.2513" TargetMode="External" /><Relationship Type="http://schemas.openxmlformats.org/officeDocument/2006/relationships/hyperlink" Id="rId500" Target="https://doi.org/10.1613/jair.1.13283" TargetMode="External" /><Relationship Type="http://schemas.openxmlformats.org/officeDocument/2006/relationships/hyperlink" Id="rId443" Target="https://doi.org/10.1613/jair.1.14888" TargetMode="External" /><Relationship Type="http://schemas.openxmlformats.org/officeDocument/2006/relationships/hyperlink" Id="rId345" Target="https://doi.org/10.18653/v1/2020.acl-main.491" TargetMode="External" /><Relationship Type="http://schemas.openxmlformats.org/officeDocument/2006/relationships/hyperlink" Id="rId280" Target="https://doi.org/10.18653/v1/2020.blackboxnlp-1.14" TargetMode="External" /><Relationship Type="http://schemas.openxmlformats.org/officeDocument/2006/relationships/hyperlink" Id="rId296" Target="https://doi.org/10.18653/v1/2023.emnlp-main.792" TargetMode="External" /><Relationship Type="http://schemas.openxmlformats.org/officeDocument/2006/relationships/hyperlink" Id="rId504" Target="https://doi.org/10.2139/ssrn.3063289" TargetMode="External" /><Relationship Type="http://schemas.openxmlformats.org/officeDocument/2006/relationships/hyperlink" Id="rId251" Target="https://doi.org/10.2139/ssrn.4710037" TargetMode="External" /><Relationship Type="http://schemas.openxmlformats.org/officeDocument/2006/relationships/hyperlink" Id="rId302" Target="https://doi.org/10.2139/ssrn.5040613" TargetMode="External" /><Relationship Type="http://schemas.openxmlformats.org/officeDocument/2006/relationships/hyperlink" Id="rId322" Target="https://doi.org/10.2139/ssrn.6847479" TargetMode="External" /><Relationship Type="http://schemas.openxmlformats.org/officeDocument/2006/relationships/hyperlink" Id="rId507" Target="https://doi.org/10.2307/3001968" TargetMode="External" /><Relationship Type="http://schemas.openxmlformats.org/officeDocument/2006/relationships/hyperlink" Id="rId388" Target="https://doi.org/10.24963/ijcai.2019/388" TargetMode="External" /><Relationship Type="http://schemas.openxmlformats.org/officeDocument/2006/relationships/hyperlink" Id="rId282" Target="https://doi.org/10.3389/fdata.2021.688969" TargetMode="External" /><Relationship Type="http://schemas.openxmlformats.org/officeDocument/2006/relationships/hyperlink" Id="rId384" Target="https://doi.org/10.3389/fpsyg.2013.00863" TargetMode="External" /><Relationship Type="http://schemas.openxmlformats.org/officeDocument/2006/relationships/hyperlink" Id="rId467" Target="https://doi.org/10.3390/app14198884" TargetMode="External" /><Relationship Type="http://schemas.openxmlformats.org/officeDocument/2006/relationships/hyperlink" Id="rId391" Target="https://doi.org/10.3390/e23010018" TargetMode="External" /><Relationship Type="http://schemas.openxmlformats.org/officeDocument/2006/relationships/hyperlink" Id="rId290" Target="https://doi.org/10.3390/electronics13112198" TargetMode="External" /><Relationship Type="http://schemas.openxmlformats.org/officeDocument/2006/relationships/hyperlink" Id="rId300" Target="https://doi.org/10.3390/electronics8080832" TargetMode="External" /><Relationship Type="http://schemas.openxmlformats.org/officeDocument/2006/relationships/hyperlink" Id="rId266" Target="https://doi.org/10.3390/technologies13030093" TargetMode="External" /><Relationship Type="http://schemas.openxmlformats.org/officeDocument/2006/relationships/hyperlink" Id="rId312" Target="https://doi.org/10.48550/arxiv.1702.08608" TargetMode="External" /><Relationship Type="http://schemas.openxmlformats.org/officeDocument/2006/relationships/hyperlink" Id="rId399" Target="https://doi.org/10.48550/arxiv.1705.07874" TargetMode="External" /><Relationship Type="http://schemas.openxmlformats.org/officeDocument/2006/relationships/hyperlink" Id="rId457" Target="https://doi.org/10.65109/vllw9552" TargetMode="External" /><Relationship Type="http://schemas.openxmlformats.org/officeDocument/2006/relationships/hyperlink" Id="rId459" Target="https://proceedings.mlr.press/v162/rong22a.html" TargetMode="External" /><Relationship Type="http://schemas.openxmlformats.org/officeDocument/2006/relationships/hyperlink" Id="rId509" Target="https://trustai4s-lab.github.io/ffidelity" TargetMode="External" /><Relationship Type="http://schemas.openxmlformats.org/officeDocument/2006/relationships/hyperlink" Id="rId310" Target="https://www.jmlr.org/papers/v7/demsar06a.html" TargetMode="External" /><Relationship Type="http://schemas.openxmlformats.org/officeDocument/2006/relationships/hyperlink" Id="rId477"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2026-10-13T11:38:27Z</dcterms:created>
  <dcterms:modified xsi:type="dcterms:W3CDTF">2026-10-13T11:38:27Z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Integración de Benchmarking Técnico, Protocolo Reproducible (FOM-7) y Taxonomía de Métricas</vt:lpwstr>
  </property>
  <property fmtid="{D5CDD505-2E9C-101B-9397-08002B2CF9AE}" pid="14" name="template-partials">
    <vt:lpwstr/>
  </property>
  <property fmtid="{D5CDD505-2E9C-101B-9397-08002B2CF9AE}" pid="15" name="toc-title">
    <vt:lpwstr>Tabla de contenidos</vt:lpwstr>
  </property>
</Properties>
</file>