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r="http://schemas.openxmlformats.org/officeDocument/2006/relationships" xmlns:w="http://schemas.openxmlformats.org/wordprocessingml/2006/main">
  <w:body>
    <w:p>
      <w:pPr>
        <w:pStyle w:val="Title"/>
      </w:pPr>
      <w:r>
        <w:t xml:space="preserve">Marco para la Evaluación Multinivel de la Explicabilidad en IA</w:t>
      </w:r>
    </w:p>
    <w:p>
      <w:pPr>
        <w:pStyle w:val="Subtitle"/>
      </w:pPr>
      <w:r>
        <w:t xml:space="preserve">Integración de Benchmarking Técnico, Protocolo Reproducible (FOM-7) y Taxonomía de Métricas</w:t>
      </w:r>
    </w:p>
    <w:p>
      <w:pPr>
        <w:pStyle w:val="Author"/>
      </w:pPr>
      <w:r>
        <w:t xml:space="preserve">J. Herrera</w:t>
      </w:r>
    </w:p>
    <w:p>
      <w:pPr>
        <w:pStyle w:val="Date"/>
      </w:pPr>
      <w:r>
        <w:t xml:space="preserve">2026-04-19</w:t>
      </w:r>
    </w:p>
    <w:sdt>
      <w:sdtPr>
        <w:docPartObj>
          <w:docPartGallery w:val="Table of Contents"/>
          <w:docPartUnique/>
        </w:docPartObj>
      </w:sdtPr>
      <w:sdtContent>
        <w:p>
          <w:pPr>
            <w:pStyle w:val="TtulodeTDC"/>
          </w:pPr>
          <w:r>
            <w:t xml:space="preserve">Table of contents</w:t>
          </w:r>
        </w:p>
        <w:p>
          <w:pPr>
            <w:jc w:val="both"/>
            <w:spacing w:line="480" w:lineRule="auto"/>
          </w:pPr>
          <w:r>
            <w:fldChar w:fldCharType="begin" w:dirty="true"/>
            <w:instrText xml:space="preserve">TOC \o "1-3" \h \z \u</w:instrText>
            <w:fldChar w:fldCharType="separate"/>
            <w:fldChar w:fldCharType="end"/>
          </w:r>
        </w:p>
      </w:sdtContent>
    </w:sdt>
    <w:bookmarkStart w:id="25" w:name="X9879de00516a950326abd0572f192803626eb50"/>
    <w:p>
      <w:pPr>
        <w:pStyle w:val="Ttulo1"/>
      </w:pPr>
      <w:r>
        <w:t xml:space="preserve">Marco para la Evaluación Multinivel de la Explicabilidad en IA</w:t>
      </w:r>
    </w:p>
    <w:p>
      <w:pPr>
        <w:pStyle w:val="FirstParagraph"/>
        <w:jc w:val="both"/>
        <w:spacing w:line="480" w:lineRule="auto"/>
      </w:pPr>
      <w:r>
        <w:t xml:space="preserve">Integración de Benchmarking Técnico, Protocolo Reproducible (FOM-7) y</w:t>
      </w:r>
      <w:r>
        <w:t xml:space="preserve"> </w:t>
      </w:r>
      <w:r>
        <w:t xml:space="preserve">Taxonomía de Métricas</w:t>
      </w:r>
    </w:p>
    <w:p>
      <w:pPr>
        <w:pStyle w:val="Textoindependiente"/>
        <w:jc w:val="both"/>
        <w:spacing w:line="480" w:lineRule="auto"/>
      </w:pPr>
      <w:r>
        <w:br/>
      </w:r>
    </w:p>
    <w:bookmarkEnd w:id="25"/>
    <w:bookmarkStart w:id="26" w:name="resumen"/>
    <w:p>
      <w:pPr>
        <w:pStyle w:val="Ttulo1"/>
      </w:pPr>
      <w:r>
        <w:t xml:space="preserve">Resumen</w:t>
      </w:r>
    </w:p>
    <w:p>
      <w:pPr>
        <w:pStyle w:val="FirstParagraph"/>
        <w:jc w:val="both"/>
        <w:spacing w:line="480" w:lineRule="auto"/>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jc w:val="both"/>
        <w:spacing w:line="480" w:lineRule="auto"/>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jc w:val="both"/>
        <w:spacing w:line="480" w:lineRule="auto"/>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pPr>
      <w:r>
        <w:t xml:space="preserve">Abstract</w:t>
      </w:r>
    </w:p>
    <w:p>
      <w:pPr>
        <w:pStyle w:val="FirstParagraph"/>
        <w:jc w:val="both"/>
        <w:spacing w:line="480" w:lineRule="auto"/>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jc w:val="both"/>
        <w:spacing w:line="480" w:lineRule="auto"/>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jc w:val="both"/>
        <w:spacing w:line="480" w:lineRule="auto"/>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pPr>
      <w:r>
        <w:t xml:space="preserve">Introducción</w:t>
      </w:r>
    </w:p>
    <w:p>
      <w:pPr>
        <w:pStyle w:val="FirstParagraph"/>
        <w:jc w:val="both"/>
        <w:spacing w:line="480" w:lineRule="auto"/>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han</w:t>
      </w:r>
      <w:r>
        <w:t xml:space="preserve"> </w:t>
      </w:r>
      <w:r>
        <w:t xml:space="preserve">ganado protagonismo al intentar proporcionar explicaciones</w:t>
      </w:r>
      <w:r>
        <w:t xml:space="preserve"> </w:t>
      </w:r>
      <w:r>
        <w:rPr>
          <w:i/>
          <w:iCs/>
        </w:rPr>
        <w:t xml:space="preserve">post-hoc</w:t>
      </w:r>
      <w:r>
        <w:t xml:space="preserve"> </w:t>
      </w:r>
      <w:r>
        <w:t xml:space="preserve">sin</w:t>
      </w:r>
      <w:r>
        <w:t xml:space="preserve"> </w:t>
      </w:r>
      <w:r>
        <w:t xml:space="preserve">necesidad de alterar los componentes internos del modelo, facilitando así la</w:t>
      </w:r>
      <w:r>
        <w:t xml:space="preserve"> </w:t>
      </w:r>
      <w:r>
        <w:t xml:space="preserve">detección de sesgos y la validación de resultados en aplicaciones críticas.</w:t>
      </w:r>
    </w:p>
    <w:p>
      <w:pPr>
        <w:pStyle w:val="Textoindependiente"/>
        <w:jc w:val="both"/>
        <w:spacing w:line="480" w:lineRule="auto"/>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jc w:val="both"/>
        <w:spacing w:line="480" w:lineRule="auto"/>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 puntaciones</w:t>
      </w:r>
      <w:r>
        <w:t xml:space="preserve"> </w:t>
      </w:r>
      <w:r>
        <w:t xml:space="preserve">de fiabilidad resultantes</w:t>
      </w:r>
      <w:r>
        <w:t xml:space="preserve"> </w:t>
      </w:r>
      <w:r>
        <w:t xml:space="preserve">(Zheng et al. 2025)</w:t>
      </w:r>
      <w:r>
        <w:t xml:space="preserve">. Si bien han surgido ecosistemas de</w:t>
      </w:r>
      <w:r>
        <w:t xml:space="preserve"> </w:t>
      </w:r>
      <w:r>
        <w:t xml:space="preserve">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 significativa en la</w:t>
      </w:r>
      <w:r>
        <w:t xml:space="preserve"> </w:t>
      </w:r>
      <w:r>
        <w:t xml:space="preserve">evaluación de la coherencia multidimensional, que debe abarcar tanto la precisión</w:t>
      </w:r>
      <w:r>
        <w:t xml:space="preserve"> </w:t>
      </w:r>
      <w:r>
        <w:t xml:space="preserve">técnica como la utilidad percibida por el usuario</w:t>
      </w:r>
      <w:r>
        <w:t xml:space="preserve"> </w:t>
      </w:r>
      <w:r>
        <w:t xml:space="preserve">(Bhattacharya and Verbert 2024)</w:t>
      </w:r>
      <w:r>
        <w:t xml:space="preserve">.</w:t>
      </w:r>
    </w:p>
    <w:p>
      <w:pPr>
        <w:pStyle w:val="Textoindependiente"/>
        <w:jc w:val="both"/>
        <w:spacing w:line="480" w:lineRule="auto"/>
      </w:pPr>
      <w:r>
        <w:t xml:space="preserve">Bajo esta premisa, la presente investigación busca cerrar esta brecha mediante</w:t>
      </w:r>
      <w:r>
        <w:t xml:space="preserve"> </w:t>
      </w:r>
      <w:r>
        <w:t xml:space="preserve">el desarrollo y la comparación de métodos de explicación agnósticos que sean</w:t>
      </w:r>
      <w:r>
        <w:t xml:space="preserve"> </w:t>
      </w:r>
      <w:r>
        <w:t xml:space="preserve">simultáneamente fiables, interpretables y computacionalmente eficientes. El</w:t>
      </w:r>
      <w:r>
        <w:t xml:space="preserve"> </w:t>
      </w:r>
      <w:r>
        <w:t xml:space="preserve">estudio se propone introducir un marco de evaluación multinivel que trascienda</w:t>
      </w:r>
      <w:r>
        <w:t xml:space="preserve"> </w:t>
      </w:r>
      <w:r>
        <w:t xml:space="preserve">las métricas tradicionales, integrando dimensiones de alineación causal y</w:t>
      </w:r>
      <w:r>
        <w:t xml:space="preserve"> </w:t>
      </w:r>
      <w:r>
        <w:t xml:space="preserve">medidas de robustez para proporcionar una comprensión más holística de la</w:t>
      </w:r>
      <w:r>
        <w:t xml:space="preserve"> </w:t>
      </w:r>
      <w:r>
        <w:t xml:space="preserve">calidad de la explicabilidad. Esta propuesta es de alta relevancia tanto para la</w:t>
      </w:r>
      <w:r>
        <w:t xml:space="preserve"> </w:t>
      </w:r>
      <w:r>
        <w:t xml:space="preserve">academia como para la industria, pues se alinea con las crecientes exigencias</w:t>
      </w:r>
      <w:r>
        <w:t xml:space="preserve"> </w:t>
      </w:r>
      <w:r>
        <w:t xml:space="preserve">regulatorias y éticas que demandan una gobernanza de la IA más transparente y</w:t>
      </w:r>
      <w:r>
        <w:t xml:space="preserve"> </w:t>
      </w:r>
      <w:r>
        <w:t xml:space="preserve">auditable. El objetivo final es contribuir al campo de la IA explicable (XAI)</w:t>
      </w:r>
      <w:r>
        <w:t xml:space="preserve"> </w:t>
      </w:r>
      <w:r>
        <w:t xml:space="preserve">mediante un enfoque escalable y adaptativo, asegurando que los modelos de IA no</w:t>
      </w:r>
      <w:r>
        <w:t xml:space="preserve"> </w:t>
      </w:r>
      <w:r>
        <w:t xml:space="preserve">solo alcancen niveles de precisión sobresalientes, sino que sean también</w:t>
      </w:r>
      <w:r>
        <w:t xml:space="preserve"> </w:t>
      </w:r>
      <w:r>
        <w:t xml:space="preserve">profundamente confiables y plenamente comprendidos por sus usuarios.</w:t>
      </w:r>
    </w:p>
    <w:p>
      <w:pPr>
        <w:pStyle w:val="Textoindependiente"/>
        <w:jc w:val="both"/>
        <w:spacing w:line="480" w:lineRule="auto"/>
      </w:pPr>
      <w:r>
        <w:t xml:space="preserve">Para alcanzar estos objetivos, el documento se estructura de manera lógica a</w:t>
      </w:r>
      <w:r>
        <w:t xml:space="preserve"> </w:t>
      </w:r>
      <w:r>
        <w:t xml:space="preserve">través de cinco capítulos fundamentales. Tras esta introducción, el</w:t>
      </w:r>
      <w:r>
        <w:t xml:space="preserve"> </w:t>
      </w:r>
      <w:r>
        <w:rPr>
          <w:b/>
          <w:bCs/>
        </w:rPr>
        <w:t xml:space="preserve">Capítulo</w:t>
      </w:r>
      <w:r>
        <w:rPr>
          <w:b/>
          <w:bCs/>
        </w:rPr>
        <w:t xml:space="preserve"> </w:t>
      </w:r>
      <w:r>
        <w:rPr>
          <w:b/>
          <w:bCs/>
        </w:rPr>
        <w:t xml:space="preserve">1</w:t>
      </w:r>
      <w:r>
        <w:t xml:space="preserve"> </w:t>
      </w:r>
      <w:r>
        <w:t xml:space="preserve">establece el marco metodológico y las hipótesis de trabajo. El</w:t>
      </w:r>
      <w:r>
        <w:t xml:space="preserve"> </w:t>
      </w:r>
      <w:r>
        <w:rPr>
          <w:b/>
          <w:bCs/>
        </w:rPr>
        <w:t xml:space="preserve">Capítulo 2</w:t>
      </w:r>
      <w:r>
        <w:t xml:space="preserve"> </w:t>
      </w:r>
      <w:r>
        <w:t xml:space="preserve">detalla los fundamentos conceptuales y el estado del arte de las técnicas</w:t>
      </w:r>
      <w:r>
        <w:t xml:space="preserve"> </w:t>
      </w:r>
      <w:r>
        <w:t xml:space="preserve">agnósticas. El</w:t>
      </w:r>
      <w:r>
        <w:t xml:space="preserve"> </w:t>
      </w:r>
      <w:r>
        <w:rPr>
          <w:b/>
          <w:bCs/>
        </w:rPr>
        <w:t xml:space="preserve">Capítulo 3</w:t>
      </w:r>
      <w:r>
        <w:t xml:space="preserve"> </w:t>
      </w:r>
      <w:r>
        <w:t xml:space="preserve">detalla el diseño experimental de las fases de</w:t>
      </w:r>
      <w:r>
        <w:t xml:space="preserve"> </w:t>
      </w:r>
      <w:r>
        <w:t xml:space="preserve">benchmarking y validación. El</w:t>
      </w:r>
      <w:r>
        <w:t xml:space="preserve"> </w:t>
      </w:r>
      <w:r>
        <w:rPr>
          <w:b/>
          <w:bCs/>
        </w:rPr>
        <w:t xml:space="preserve">Capítulo 4</w:t>
      </w:r>
      <w:r>
        <w:t xml:space="preserve"> </w:t>
      </w:r>
      <w:r>
        <w:t xml:space="preserve">expone y discute los resultados</w:t>
      </w:r>
      <w:r>
        <w:t xml:space="preserve"> </w:t>
      </w:r>
      <w:r>
        <w:t xml:space="preserve">obtenidos, mientras que el</w:t>
      </w:r>
      <w:r>
        <w:t xml:space="preserve"> </w:t>
      </w:r>
      <w:r>
        <w:rPr>
          <w:b/>
          <w:bCs/>
        </w:rPr>
        <w:t xml:space="preserve">Capítulo 5</w:t>
      </w:r>
      <w:r>
        <w:t xml:space="preserve"> </w:t>
      </w:r>
      <w:r>
        <w:t xml:space="preserve">sintetiza las conclusiones generales,</w:t>
      </w:r>
      <w:r>
        <w:t xml:space="preserve"> </w:t>
      </w:r>
      <w:r>
        <w:t xml:space="preserve">las contribuciones al área y las futuras líneas de investigación que se derivan</w:t>
      </w:r>
      <w:r>
        <w:t xml:space="preserve"> </w:t>
      </w:r>
      <w:r>
        <w:t xml:space="preserve">de este estudio.</w:t>
      </w:r>
    </w:p>
    <w:bookmarkEnd w:id="28"/>
    <w:bookmarkStart w:id="43" w:name="marco-metodológico"/>
    <w:p>
      <w:pPr>
        <w:pStyle w:val="Ttulo1"/>
      </w:pPr>
      <w:r>
        <w:t xml:space="preserve">Marco Metodológico</w:t>
      </w:r>
    </w:p>
    <w:p>
      <w:pPr>
        <w:pStyle w:val="FirstParagraph"/>
        <w:jc w:val="both"/>
        <w:spacing w:line="480" w:lineRule="auto"/>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pPr>
      <w:r>
        <w:t xml:space="preserve">Problema de investigación</w:t>
      </w:r>
    </w:p>
    <w:p>
      <w:pPr>
        <w:pStyle w:val="FirstParagraph"/>
        <w:jc w:val="both"/>
        <w:spacing w:line="480" w:lineRule="auto"/>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jc w:val="both"/>
        <w:spacing w:line="480" w:lineRule="auto"/>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(n.d.;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jc w:val="both"/>
        <w:spacing w:line="480" w:lineRule="auto"/>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pPr>
      <w:r>
        <w:t xml:space="preserve">Justificación científica y práctica</w:t>
      </w:r>
    </w:p>
    <w:p>
      <w:pPr>
        <w:pStyle w:val="FirstParagraph"/>
        <w:jc w:val="both"/>
        <w:spacing w:line="480" w:lineRule="auto"/>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jc w:val="both"/>
        <w:spacing w:line="480" w:lineRule="auto"/>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pPr>
      <w:r>
        <w:t xml:space="preserve">Objetivos e hipótesis</w:t>
      </w:r>
    </w:p>
    <w:bookmarkStart w:id="31" w:name="objetivo-general"/>
    <w:p>
      <w:pPr>
        <w:pStyle w:val="Ttulo3"/>
      </w:pPr>
      <w:r>
        <w:t xml:space="preserve">Objetivo general</w:t>
      </w:r>
    </w:p>
    <w:p>
      <w:pPr>
        <w:pStyle w:val="FirstParagraph"/>
        <w:jc w:val="both"/>
        <w:spacing w:line="480" w:lineRule="auto"/>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pPr>
      <w:r>
        <w:t xml:space="preserve">Objetivos específicos</w:t>
      </w:r>
    </w:p>
    <w:p>
      <w:pPr>
        <w:numPr>
          <w:ilvl w:val="0"/>
          <w:numId w:val="1001"/>
        </w:numPr>
        <w:jc w:val="both"/>
        <w:spacing w:line="480" w:lineRule="auto"/>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jc w:val="both"/>
        <w:spacing w:line="480" w:lineRule="auto"/>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1996; Abdul Kadir et al. 2023; Bhattacharya and Verbert 2024)</w:t>
      </w:r>
    </w:p>
    <w:p>
      <w:pPr>
        <w:numPr>
          <w:ilvl w:val="0"/>
          <w:numId w:val="1001"/>
        </w:numPr>
        <w:jc w:val="both"/>
        <w:spacing w:line="480" w:lineRule="auto"/>
      </w:pPr>
      <w:r>
        <w:t xml:space="preserve">Cuantificar las diferencias en el trade-off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jc w:val="both"/>
        <w:spacing w:line="480" w:lineRule="auto"/>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jc w:val="both"/>
        <w:spacing w:line="480" w:lineRule="auto"/>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pPr>
      <w:r>
        <w:t xml:space="preserve">Hipótesis o proposiciones de trabajo</w:t>
      </w:r>
    </w:p>
    <w:p>
      <w:pPr>
        <w:pStyle w:val="FirstParagraph"/>
        <w:jc w:val="both"/>
        <w:spacing w:line="480" w:lineRule="auto"/>
      </w:pPr>
      <w:r>
        <w:t xml:space="preserve">Las hipótesis estadísticas formales se estructuran en torno a los tres ejes</w:t>
      </w:r>
      <w:r>
        <w:t xml:space="preserve"> </w:t>
      </w:r>
      <w:r>
        <w:t xml:space="preserve">confirmatorios de la investigación empírica.</w:t>
      </w:r>
    </w:p>
    <w:p>
      <w:pPr>
        <w:pStyle w:val="Textoindependiente"/>
        <w:jc w:val="both"/>
        <w:spacing w:line="480" w:lineRule="auto"/>
      </w:pPr>
      <w:r>
        <w:rPr>
          <w:b/>
          <w:bCs/>
        </w:rPr>
        <w:t xml:space="preserve">H1 — Diferencias globales entre métodos (fidelidad)</w:t>
      </w:r>
    </w:p>
    <w:p>
      <w:pPr>
        <w:pStyle w:val="Textoindependiente"/>
        <w:jc w:val="both"/>
        <w:spacing w:line="480" w:lineRule="auto"/>
      </w:pPr>
      <m:oMath>
        <m:sSub>
          <m:e>
            <m:r>
              <m:t>H</m:t>
            </m:r>
          </m:e>
          <m:sub>
            <m:r>
              <m:t>0</m:t>
            </m:r>
            <m:r>
              <m:rPr>
                <m:sty m:val="p"/>
              </m:rPr>
              <m:t>,</m:t>
            </m:r>
            <m:r>
              <m:t>1</m:t>
            </m:r>
          </m:sub>
        </m:sSub>
      </m:oMath>
      <w:r>
        <w:t xml:space="preserve">: No existen diferencias significativas entre los métodos XAI en la</w:t>
      </w:r>
      <w:r>
        <w:t xml:space="preserve"> </w:t>
      </w:r>
      <w:r>
        <w:t xml:space="preserve">métrica de fidelidad bajo el diseño de bloques emparejados.</w:t>
      </w:r>
    </w:p>
    <w:p>
      <w:pPr>
        <w:pStyle w:val="Textoindependiente"/>
        <w:jc w:val="both"/>
        <w:spacing w:line="480" w:lineRule="auto"/>
      </w:pPr>
      <m:oMath>
        <m:sSub>
          <m:e>
            <m:r>
              <m:t>H</m:t>
            </m:r>
          </m:e>
          <m:sub>
            <m:r>
              <m:t>1</m:t>
            </m:r>
            <m:r>
              <m:rPr>
                <m:sty m:val="p"/>
              </m:rPr>
              <m:t>,</m:t>
            </m:r>
            <m:r>
              <m:t>1</m:t>
            </m:r>
          </m:sub>
        </m:sSub>
      </m:oMath>
      <w:r>
        <w:t xml:space="preserve">: Al menos un par de métodos difiere significativamente en fidelidad.</w:t>
      </w:r>
    </w:p>
    <w:p>
      <w:pPr>
        <w:pStyle w:val="Textoindependiente"/>
        <w:jc w:val="both"/>
        <w:spacing w:line="480" w:lineRule="auto"/>
      </w:pPr>
      <w:r>
        <w:rPr>
          <w:b/>
          <w:bCs/>
        </w:rPr>
        <w:t xml:space="preserve">H2 — Diferencias globales entre métodos (estabilidad)</w:t>
      </w:r>
    </w:p>
    <w:p>
      <w:pPr>
        <w:pStyle w:val="Textoindependiente"/>
        <w:jc w:val="both"/>
        <w:spacing w:line="480" w:lineRule="auto"/>
      </w:pPr>
      <m:oMath>
        <m:sSub>
          <m:e>
            <m:r>
              <m:t>H</m:t>
            </m:r>
          </m:e>
          <m:sub>
            <m:r>
              <m:t>0</m:t>
            </m:r>
            <m:r>
              <m:rPr>
                <m:sty m:val="p"/>
              </m:rPr>
              <m:t>,</m:t>
            </m:r>
            <m:r>
              <m:t>2</m:t>
            </m:r>
          </m:sub>
        </m:sSub>
      </m:oMath>
      <w:r>
        <w:t xml:space="preserve">: No existen diferencias significativas entre los métodos XAI en la</w:t>
      </w:r>
      <w:r>
        <w:t xml:space="preserve"> </w:t>
      </w:r>
      <w:r>
        <w:t xml:space="preserve">métrica de estabilidad bajo el diseño de bloques emparejados.</w:t>
      </w:r>
    </w:p>
    <w:p>
      <w:pPr>
        <w:pStyle w:val="Textoindependiente"/>
        <w:jc w:val="both"/>
        <w:spacing w:line="480" w:lineRule="auto"/>
      </w:pPr>
      <m:oMath>
        <m:sSub>
          <m:e>
            <m:r>
              <m:t>H</m:t>
            </m:r>
          </m:e>
          <m:sub>
            <m:r>
              <m:t>1</m:t>
            </m:r>
            <m:r>
              <m:rPr>
                <m:sty m:val="p"/>
              </m:rPr>
              <m:t>,</m:t>
            </m:r>
            <m:r>
              <m:t>2</m:t>
            </m:r>
          </m:sub>
        </m:sSub>
      </m:oMath>
      <w:r>
        <w:t xml:space="preserve">: Al menos un par de métodos difiere significativamente en estabilidad.</w:t>
      </w:r>
    </w:p>
    <w:p>
      <w:pPr>
        <w:pStyle w:val="Textoindependiente"/>
        <w:jc w:val="both"/>
        <w:spacing w:line="480" w:lineRule="auto"/>
      </w:pPr>
      <w:r>
        <w:rPr>
          <w:b/>
          <w:bCs/>
        </w:rPr>
        <w:t xml:space="preserve">H3 — Trade-off calidad-coste SHAP vs. LIME</w:t>
      </w:r>
    </w:p>
    <w:p>
      <w:pPr>
        <w:pStyle w:val="Textoindependiente"/>
        <w:jc w:val="both"/>
        <w:spacing w:line="480" w:lineRule="auto"/>
      </w:pPr>
      <m:oMath>
        <m:sSub>
          <m:e>
            <m:r>
              <m:t>H</m:t>
            </m:r>
          </m:e>
          <m:sub>
            <m:r>
              <m:t>0</m:t>
            </m:r>
            <m:r>
              <m:rPr>
                <m:sty m:val="p"/>
              </m:rPr>
              <m:t>,</m:t>
            </m:r>
            <m:r>
              <m:t>3</m:t>
            </m:r>
          </m:sub>
        </m:sSub>
      </m:oMath>
      <w:r>
        <w:t xml:space="preserve">: SHAP y LIME no difieren en las métricas de calidad ni en el coste</w:t>
      </w:r>
      <w:r>
        <w:t xml:space="preserve"> </w:t>
      </w:r>
      <w:r>
        <w:t xml:space="preserve">computacional sobre celdas pareadas.</w:t>
      </w:r>
    </w:p>
    <w:p>
      <w:pPr>
        <w:pStyle w:val="Textoindependiente"/>
        <w:jc w:val="both"/>
        <w:spacing w:line="480" w:lineRule="auto"/>
      </w:pPr>
      <m:oMath>
        <m:sSub>
          <m:e>
            <m:r>
              <m:t>H</m:t>
            </m:r>
          </m:e>
          <m:sub>
            <m:r>
              <m:t>1</m:t>
            </m:r>
            <m:r>
              <m:rPr>
                <m:sty m:val="p"/>
              </m:rPr>
              <m:t>,</m:t>
            </m:r>
            <m:r>
              <m:t>3</m:t>
            </m:r>
          </m:sub>
        </m:sSub>
      </m:oMath>
      <w:r>
        <w:t xml:space="preserve">: SHAP y LIME difieren significativamente en al menos una métrica de</w:t>
      </w:r>
      <w:r>
        <w:t xml:space="preserve"> </w:t>
      </w:r>
      <w:r>
        <w:t xml:space="preserve">calidad o en el coste computacional sobre celdas pareadas.</w:t>
      </w:r>
    </w:p>
    <w:p>
      <w:pPr>
        <w:pStyle w:val="Textoindependiente"/>
        <w:jc w:val="both"/>
        <w:spacing w:line="480" w:lineRule="auto"/>
      </w:pPr>
      <w:r>
        <w:rPr>
          <w:b/>
          <w:bCs/>
        </w:rPr>
        <w:t xml:space="preserve">P1 — Reproducibilidad del protocolo (proposición)</w:t>
      </w:r>
    </w:p>
    <w:p>
      <w:pPr>
        <w:pStyle w:val="Textoindependiente"/>
        <w:jc w:val="both"/>
        <w:spacing w:line="480" w:lineRule="auto"/>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jc w:val="both"/>
        <w:spacing w:line="480" w:lineRule="auto"/>
      </w:pPr>
      <w:r>
        <w:t xml:space="preserve">Las hipótesis H1 y H2 se contrastan mediante la prueba de Friedman con bloques</w:t>
      </w:r>
      <w:r>
        <w:t xml:space="preserve"> </w:t>
      </w:r>
      <m:oMath>
        <m:r>
          <m:rPr>
            <m:sty m:val="p"/>
          </m:rPr>
          <m:t>(</m:t>
        </m:r>
        <m:r>
          <m:t>g</m:t>
        </m:r>
        <m:r>
          <m:rPr>
            <m:sty m:val="p"/>
          </m:rPr>
          <m:t>,</m:t>
        </m:r>
        <m:r>
          <m:t>n</m:t>
        </m:r>
        <m:r>
          <m:rPr>
            <m:sty m:val="p"/>
          </m:rPr>
          <m:t>)</m:t>
        </m:r>
      </m: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pPr>
      <w:r>
        <w:t xml:space="preserve">Metodología general de la investigación</w:t>
      </w:r>
    </w:p>
    <w:bookmarkStart w:id="35" w:name="enfoque"/>
    <w:p>
      <w:pPr>
        <w:pStyle w:val="Ttulo3"/>
      </w:pPr>
      <w:r>
        <w:t xml:space="preserve">Enfoque</w:t>
      </w:r>
    </w:p>
    <w:p>
      <w:pPr>
        <w:pStyle w:val="FirstParagraph"/>
        <w:jc w:val="both"/>
        <w:spacing w:line="480" w:lineRule="auto"/>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pPr>
      <w:r>
        <w:t xml:space="preserve">Tipo de investigación</w:t>
      </w:r>
    </w:p>
    <w:p>
      <w:pPr>
        <w:pStyle w:val="FirstParagraph"/>
        <w:jc w:val="both"/>
        <w:spacing w:line="480" w:lineRule="auto"/>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pPr>
      <w:r>
        <w:t xml:space="preserve">Universo y contexto experimental</w:t>
      </w:r>
    </w:p>
    <w:p>
      <w:pPr>
        <w:pStyle w:val="FirstParagraph"/>
        <w:jc w:val="both"/>
        <w:spacing w:line="480" w:lineRule="auto"/>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pPr>
      <w:r>
        <w:t xml:space="preserve">Muestra de datasets, modelos y métodos XAI</w:t>
      </w:r>
    </w:p>
    <w:p>
      <w:pPr>
        <w:pStyle w:val="FirstParagraph"/>
        <w:jc w:val="both"/>
        <w:spacing w:line="480" w:lineRule="auto"/>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m:oMath>
        <m:r>
          <m:t>N</m:t>
        </m:r>
        <m:r>
          <m:rPr>
            <m:sty m:val="p"/>
          </m:rPr>
          <m:t>∈</m:t>
        </m:r>
        <m:r>
          <m:rPr>
            <m:sty m:val="p"/>
          </m:rPr>
          <m:t>{</m:t>
        </m:r>
        <m:r>
          <m:t>50</m:t>
        </m:r>
        <m:r>
          <m:rPr>
            <m:sty m:val="p"/>
          </m:rPr>
          <m:t>,</m:t>
        </m:r>
        <m:r>
          <m:t>100</m:t>
        </m:r>
        <m:r>
          <m:rPr>
            <m:sty m:val="p"/>
          </m:rPr>
          <m:t>,</m:t>
        </m:r>
        <m:r>
          <m:t>200</m:t>
        </m:r>
        <m:r>
          <m:rPr>
            <m:sty m:val="p"/>
          </m:rPr>
          <m:t>}</m:t>
        </m:r>
      </m:oMath>
      <w:r>
        <w:t xml:space="preserve">. Cada celda del diseño se replica con cinco semillas de</w:t>
      </w:r>
      <w:r>
        <w:t xml:space="preserve"> </w:t>
      </w:r>
      <w:r>
        <w:t xml:space="preserve">aleatoriedad:</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El tamaño planificado del</w:t>
      </w:r>
      <w:r>
        <w:t xml:space="preserve"> </w:t>
      </w:r>
      <w:r>
        <w:t xml:space="preserve">benchmark primario (Estudio A) es</w:t>
      </w:r>
      <w:r>
        <w:t xml:space="preserve"> </w:t>
      </w:r>
      <m:oMath>
        <m:r>
          <m:t>5</m:t>
        </m:r>
        <m:r>
          <m:rPr>
            <m:sty m:val="p"/>
          </m:rPr>
          <m:t>×</m:t>
        </m:r>
        <m:r>
          <m:t>4</m:t>
        </m:r>
        <m:r>
          <m:rPr>
            <m:sty m:val="p"/>
          </m:rPr>
          <m:t>×</m:t>
        </m:r>
        <m:r>
          <m:t>5</m:t>
        </m:r>
        <m:r>
          <m:rPr>
            <m:sty m:val="p"/>
          </m:rPr>
          <m:t>×</m:t>
        </m:r>
        <m:r>
          <m:t>3</m:t>
        </m:r>
        <m:r>
          <m:rPr>
            <m:sty m:val="p"/>
          </m:rPr>
          <m:t>=</m:t>
        </m:r>
        <m:r>
          <m:t>300</m:t>
        </m:r>
      </m: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pPr>
      <w:r>
        <w:t xml:space="preserve">Criterios de inclusión y exclusión</w:t>
      </w:r>
    </w:p>
    <w:p>
      <w:pPr>
        <w:pStyle w:val="FirstParagraph"/>
        <w:jc w:val="both"/>
        <w:spacing w:line="480" w:lineRule="auto"/>
      </w:pPr>
      <w:r>
        <w:rPr>
          <w:b/>
          <w:bCs/>
        </w:rPr>
        <w:t xml:space="preserve">Criterios de inclusión:</w:t>
      </w:r>
    </w:p>
    <w:p>
      <w:pPr>
        <w:pStyle w:val="Compact"/>
        <w:numPr>
          <w:ilvl w:val="0"/>
          <w:numId w:val="1002"/>
        </w:numPr>
        <w:jc w:val="both"/>
        <w:spacing w:line="480" w:lineRule="auto"/>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jc w:val="both"/>
        <w:spacing w:line="480" w:lineRule="auto"/>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jc w:val="both"/>
        <w:spacing w:line="480" w:lineRule="auto"/>
      </w:pPr>
      <w:r>
        <w:t xml:space="preserve">Celdas para las que existen artefactos en ambos métodos comparados (SHAP y</w:t>
      </w:r>
      <w:r>
        <w:t xml:space="preserve"> </w:t>
      </w:r>
      <w:r>
        <w:t xml:space="preserve">LIME) para el análisis pareado del Estudio B.</w:t>
      </w:r>
    </w:p>
    <w:p>
      <w:pPr>
        <w:pStyle w:val="FirstParagraph"/>
        <w:jc w:val="both"/>
        <w:spacing w:line="480" w:lineRule="auto"/>
      </w:pPr>
      <w:r>
        <w:rPr>
          <w:b/>
          <w:bCs/>
        </w:rPr>
        <w:t xml:space="preserve">Criterios de exclusión:</w:t>
      </w:r>
    </w:p>
    <w:p>
      <w:pPr>
        <w:pStyle w:val="Compact"/>
        <w:numPr>
          <w:ilvl w:val="0"/>
          <w:numId w:val="1003"/>
        </w:numPr>
        <w:jc w:val="both"/>
        <w:spacing w:line="480" w:lineRule="auto"/>
      </w:pPr>
      <w:r>
        <w:t xml:space="preserve">Artefactos vacíos o con esquema incompatible detectados en la auditoría de</w:t>
      </w:r>
      <w:r>
        <w:t xml:space="preserve"> </w:t>
      </w:r>
      <w:r>
        <w:t xml:space="preserve">integridad (puerta 3 del protocolo FOM-7).</w:t>
      </w:r>
    </w:p>
    <w:p>
      <w:pPr>
        <w:pStyle w:val="Compact"/>
        <w:numPr>
          <w:ilvl w:val="0"/>
          <w:numId w:val="1003"/>
        </w:numPr>
        <w:jc w:val="both"/>
        <w:spacing w:line="480" w:lineRule="auto"/>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jc w:val="both"/>
        <w:spacing w:line="480" w:lineRule="auto"/>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pPr>
      <w:r>
        <w:t xml:space="preserve">Variables, dimensiones y métricas</w:t>
      </w:r>
    </w:p>
    <w:p>
      <w:pPr>
        <w:pStyle w:val="FirstParagraph"/>
        <w:jc w:val="both"/>
        <w:spacing w:line="480" w:lineRule="auto"/>
      </w:pPr>
      <w:r>
        <w:t xml:space="preserve">Las</w:t>
      </w:r>
      <w:r>
        <w:t xml:space="preserve"> </w:t>
      </w:r>
      <w:r>
        <w:rPr>
          <w:b/>
          <w:bCs/>
        </w:rPr>
        <w:t xml:space="preserve">variables independientes</w:t>
      </w:r>
      <w:r>
        <w:t xml:space="preserve"> </w:t>
      </w:r>
      <w:r>
        <w:t xml:space="preserve">del diseño son: familia de modelo (</w:t>
      </w:r>
      <m:oMath>
        <m:r>
          <m:t>g</m:t>
        </m:r>
      </m:oMath>
      <w:r>
        <w:t xml:space="preserve">), método</w:t>
      </w:r>
      <w:r>
        <w:t xml:space="preserve"> </w:t>
      </w:r>
      <w:r>
        <w:t xml:space="preserve">XAI (</w:t>
      </w:r>
      <m:oMath>
        <m:r>
          <m:t>k</m:t>
        </m:r>
      </m:oMath>
      <w:r>
        <w:t xml:space="preserve">), semilla de aleatoriedad (</w:t>
      </w:r>
      <m:oMath>
        <m:r>
          <m:t>s</m:t>
        </m:r>
      </m:oMath>
      <w:r>
        <w:t xml:space="preserve">) y tamaño de muestra por estrato (</w:t>
      </w:r>
      <m:oMath>
        <m:r>
          <m:t>n</m:t>
        </m:r>
      </m: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jc w:val="both"/>
        <w:spacing w:line="480" w:lineRule="auto"/>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jc w:val="both"/>
        <w:spacing w:line="480" w:lineRule="auto"/>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jc w:val="both"/>
        <w:spacing w:line="480" w:lineRule="auto"/>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jc w:val="both"/>
        <w:spacing w:line="480" w:lineRule="auto"/>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jc w:val="both"/>
        <w:spacing w:line="480" w:lineRule="auto"/>
      </w:pPr>
      <w:r>
        <w:rPr>
          <w:b/>
          <w:bCs/>
        </w:rPr>
        <w:t xml:space="preserve">Coste computacional</w:t>
      </w:r>
      <w:r>
        <w:t xml:space="preserve">: tiempo de ejecución en milisegundos por instancia</w:t>
      </w:r>
      <w:r>
        <w:t xml:space="preserve"> </w:t>
      </w:r>
      <w:r>
        <w:t xml:space="preserve">(dirección: menor es mejor).</w:t>
      </w:r>
    </w:p>
    <w:p>
      <w:pPr>
        <w:pStyle w:val="FirstParagraph"/>
        <w:jc w:val="both"/>
        <w:spacing w:line="480" w:lineRule="auto"/>
      </w:pPr>
      <w:r>
        <w:t xml:space="preserve">La unidad de análisis inferencial es la ejecución agregada a nivel de bloque</w:t>
      </w:r>
      <w:r>
        <w:t xml:space="preserve"> </w:t>
      </w:r>
      <m:oMath>
        <m:r>
          <m:rPr>
            <m:sty m:val="p"/>
          </m:rPr>
          <m:t>(</m:t>
        </m:r>
        <m:r>
          <m:t>g</m:t>
        </m:r>
        <m:r>
          <m:rPr>
            <m:sty m:val="p"/>
          </m:rPr>
          <m:t>,</m:t>
        </m:r>
        <m:r>
          <m:t>n</m:t>
        </m:r>
        <m:r>
          <m:rPr>
            <m:sty m:val="p"/>
          </m:rPr>
          <m:t>)</m:t>
        </m:r>
      </m:oMath>
      <w:r>
        <w:t xml:space="preserve">, evitando la pseudorreplicación a nivel de instancia.</w:t>
      </w:r>
    </w:p>
    <w:p>
      <w:pPr>
        <w:pStyle w:val="Textoindependiente"/>
        <w:jc w:val="both"/>
        <w:spacing w:line="480" w:lineRule="auto"/>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pPr>
      <w:r>
        <w:t xml:space="preserve">Estrategia procedimental</w:t>
      </w:r>
    </w:p>
    <w:p>
      <w:pPr>
        <w:pStyle w:val="FirstParagraph"/>
        <w:jc w:val="both"/>
        <w:spacing w:line="480" w:lineRule="auto"/>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jc w:val="both"/>
        <w:spacing w:line="480" w:lineRule="auto"/>
      </w:pPr>
      <w:r>
        <w:t xml:space="preserve">Las siete puertas secuenciales son:</w:t>
      </w:r>
    </w:p>
    <w:p>
      <w:pPr>
        <w:pStyle w:val="Compact"/>
        <w:numPr>
          <w:ilvl w:val="0"/>
          <w:numId w:val="1005"/>
        </w:numPr>
        <w:jc w:val="both"/>
        <w:spacing w:line="480" w:lineRule="auto"/>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jc w:val="both"/>
        <w:spacing w:line="480" w:lineRule="auto"/>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jc w:val="both"/>
        <w:spacing w:line="480" w:lineRule="auto"/>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jc w:val="both"/>
        <w:spacing w:line="480" w:lineRule="auto"/>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jc w:val="both"/>
        <w:spacing w:line="480" w:lineRule="auto"/>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jc w:val="both"/>
        <w:spacing w:line="480" w:lineRule="auto"/>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jc w:val="both"/>
        <w:spacing w:line="480" w:lineRule="auto"/>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jc w:val="both"/>
        <w:spacing w:line="480" w:lineRule="auto"/>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4" w:name="X5df853d312351836bad75f10c25fdcfe7ebc358"/>
    <w:p>
      <w:pPr>
        <w:pStyle w:val="Ttulo1"/>
      </w:pPr>
      <w:r>
        <w:t xml:space="preserve">Marco teórico específico / fundamentos conceptuales</w:t>
      </w:r>
    </w:p>
    <w:bookmarkStart w:id="44" w:name="X7133ed101bf9a9b0f87ccc84aa7c501df9ebcd7"/>
    <w:p>
      <w:pPr>
        <w:pStyle w:val="Ttulo2"/>
      </w:pPr>
      <w:r>
        <w:t xml:space="preserve">Estado del arte en XAI e interpretabilidad agnóstica</w:t>
      </w:r>
    </w:p>
    <w:p>
      <w:pPr>
        <w:pStyle w:val="FirstParagraph"/>
        <w:jc w:val="both"/>
        <w:spacing w:line="480" w:lineRule="auto"/>
      </w:pPr>
      <w:r>
        <w:t xml:space="preserve">El campo de la Inteligencia Artificial Explicable (XAI) ha experimentado una</w:t>
      </w:r>
      <w:r>
        <w:t xml:space="preserve"> </w:t>
      </w:r>
      <w:r>
        <w:t xml:space="preserve">expansión sin precedentes en la última década, consolidándose como un pilar</w:t>
      </w:r>
      <w:r>
        <w:t xml:space="preserve"> </w:t>
      </w:r>
      <w:r>
        <w:t xml:space="preserve">crítico para la adopción de modelos de caja negra en sectores de alta</w:t>
      </w:r>
      <w:r>
        <w:t xml:space="preserve"> </w:t>
      </w:r>
      <w:r>
        <w:t xml:space="preserve">responsabilidad. Las revisiones sistemáticas más recientes</w:t>
      </w:r>
      <w:r>
        <w:t xml:space="preserve"> </w:t>
      </w:r>
      <w:r>
        <w:t xml:space="preserve">(Abdul Kadir et al. 2023; Canha et al. 2025)</w:t>
      </w:r>
      <w:r>
        <w:t xml:space="preserve"> </w:t>
      </w:r>
      <w:r>
        <w:t xml:space="preserve">coinciden en que, si bien la literatura ha producido un crecimiento</w:t>
      </w:r>
      <w:r>
        <w:t xml:space="preserve"> </w:t>
      </w:r>
      <w:r>
        <w:t xml:space="preserve">asintótico en el número de algoritmos propuestos —destacando métodos líderes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el</w:t>
      </w:r>
      <w:r>
        <w:t xml:space="preserve"> </w:t>
      </w:r>
      <w:r>
        <w:t xml:space="preserve">desarrollo de protocolos de evaluación estandarizados no ha seguido el mismo</w:t>
      </w:r>
      <w:r>
        <w:t xml:space="preserve"> </w:t>
      </w:r>
      <w:r>
        <w:t xml:space="preserve">ritmo. De hecho, un análisis basado en la metodología PRISMA realizado por</w:t>
      </w:r>
      <w:r>
        <w:t xml:space="preserve"> </w:t>
      </w:r>
      <w:r>
        <w:t xml:space="preserve">Abdul Kadir et al. (2023)</w:t>
      </w:r>
      <w:r>
        <w:t xml:space="preserve"> </w:t>
      </w:r>
      <w:r>
        <w:t xml:space="preserve">revela que, a pesar de la madurez percibida del área, solo una</w:t>
      </w:r>
      <w:r>
        <w:t xml:space="preserve"> </w:t>
      </w:r>
      <w:r>
        <w:t xml:space="preserve">fracción marginal de la producción científica (estimada en un 14%) incorpora</w:t>
      </w:r>
      <w:r>
        <w:t xml:space="preserve"> </w:t>
      </w:r>
      <w:r>
        <w:t xml:space="preserve">marcos de evaluación cuantitativa rigurosos, limitándose mayoritariamente a</w:t>
      </w:r>
      <w:r>
        <w:t xml:space="preserve"> </w:t>
      </w:r>
      <w:r>
        <w:t xml:space="preserve">validaciones cualitativas o anecdóticas.</w:t>
      </w:r>
    </w:p>
    <w:p>
      <w:pPr>
        <w:pStyle w:val="Textoindependiente"/>
        <w:jc w:val="both"/>
        <w:spacing w:line="480" w:lineRule="auto"/>
      </w:pPr>
      <w:r>
        <w:t xml:space="preserve">Esta fragmentación ha dado lugar a lo que</w:t>
      </w:r>
      <w:r>
        <w:t xml:space="preserve"> </w:t>
      </w:r>
      <w:r>
        <w:t xml:space="preserve">Pawlicki et al. (2024)</w:t>
      </w:r>
      <w:r>
        <w:t xml:space="preserve"> </w:t>
      </w:r>
      <w:r>
        <w:t xml:space="preserve">define como una</w:t>
      </w:r>
      <w:r>
        <w:t xml:space="preserve"> </w:t>
      </w:r>
      <w:r>
        <w:t xml:space="preserve">proliferación de métricas inconexas, donde la duplicidad de criterios y la falta</w:t>
      </w:r>
      <w:r>
        <w:t xml:space="preserve"> </w:t>
      </w:r>
      <w:r>
        <w:t xml:space="preserve">de consenso sobre las propiedades fundamentales de una explicación (como la</w:t>
      </w:r>
      <w:r>
        <w:t xml:space="preserve"> </w:t>
      </w:r>
      <w:r>
        <w:t xml:space="preserve">fidelidad, la estabilidad y la robustez) dificultan la comparación objetiva</w:t>
      </w:r>
      <w:r>
        <w:t xml:space="preserve"> </w:t>
      </w:r>
      <w:r>
        <w:t xml:space="preserve">entre aproximaciones. Investigaciones contemporáneas</w:t>
      </w:r>
      <w:r>
        <w:t xml:space="preserve"> </w:t>
      </w:r>
      <w:r>
        <w:t xml:space="preserve">(Bhattacharya and Verbert 2024; Nizam and Zafar 2023)</w:t>
      </w:r>
      <w:r>
        <w:t xml:space="preserve"> </w:t>
      </w:r>
      <w:r>
        <w:t xml:space="preserve">argumentan que la falta de un estándar unificado impide valorar la</w:t>
      </w:r>
      <w:r>
        <w:t xml:space="preserve"> </w:t>
      </w:r>
      <w:r>
        <w:t xml:space="preserve">explicabilidad de manera multidimensional, ignorando a menudo el hecho de que</w:t>
      </w:r>
      <w:r>
        <w:t xml:space="preserve"> </w:t>
      </w:r>
      <w:r>
        <w:t xml:space="preserve">los sistemas de IA modernos no solo requieren precisión técnica, sino también</w:t>
      </w:r>
      <w:r>
        <w:t xml:space="preserve"> </w:t>
      </w:r>
      <w:r>
        <w:t xml:space="preserve">validez semántica para sus destinatarios humanos. En respuesta a este vacío, han</w:t>
      </w:r>
      <w:r>
        <w:t xml:space="preserve"> </w:t>
      </w:r>
      <w:r>
        <w:t xml:space="preserve">surgido ecosistemas de benchmarking integrales como Quantus</w:t>
      </w:r>
      <w:r>
        <w:t xml:space="preserve"> </w:t>
      </w:r>
      <w:r>
        <w:t xml:space="preserve">(Hedström et al. 2023)</w:t>
      </w:r>
      <w:r>
        <w:t xml:space="preserve"> </w:t>
      </w:r>
      <w:r>
        <w:t xml:space="preserve">y</w:t>
      </w:r>
      <w:r>
        <w:t xml:space="preserve"> </w:t>
      </w:r>
      <w:r>
        <w:t xml:space="preserve">OpenXAI</w:t>
      </w:r>
      <w:r>
        <w:t xml:space="preserve"> </w:t>
      </w:r>
      <w:r>
        <w:t xml:space="preserve">(Agarwal et al. 2022)</w:t>
      </w:r>
      <w:r>
        <w:t xml:space="preserve">, los cuales intentan sistematizar el proceso de</w:t>
      </w:r>
      <w:r>
        <w:t xml:space="preserve"> </w:t>
      </w:r>
      <w:r>
        <w:t xml:space="preserve">quantificación mediante toolkits automatizados que agrupan métricas por afinidad</w:t>
      </w:r>
      <w:r>
        <w:t xml:space="preserve"> </w:t>
      </w:r>
      <w:r>
        <w:t xml:space="preserve">lógica. Sin embargo, como señala</w:t>
      </w:r>
      <w:r>
        <w:t xml:space="preserve"> </w:t>
      </w:r>
      <w:r>
        <w:t xml:space="preserve">Zheng et al. (2025)</w:t>
      </w:r>
      <w:r>
        <w:t xml:space="preserve">, incluso estos marcos enfrentan retos</w:t>
      </w:r>
      <w:r>
        <w:t xml:space="preserve"> </w:t>
      </w:r>
      <w:r>
        <w:t xml:space="preserve">técnicos significativos, como la inestabilidad de las métricas ante datos fuera</w:t>
      </w:r>
      <w:r>
        <w:t xml:space="preserve"> </w:t>
      </w:r>
      <w:r>
        <w:t xml:space="preserve">de la distribución (OOD), lo que subraya la necesidad de seguir evolucionando</w:t>
      </w:r>
      <w:r>
        <w:t xml:space="preserve"> </w:t>
      </w:r>
      <w:r>
        <w:t xml:space="preserve">hacia marcos de evaluación multinivel y más robustos, tal como se propone en el</w:t>
      </w:r>
      <w:r>
        <w:t xml:space="preserve"> </w:t>
      </w:r>
      <w:r>
        <w:t xml:space="preserve">presente estudio.</w:t>
      </w:r>
    </w:p>
    <w:bookmarkEnd w:id="44"/>
    <w:bookmarkStart w:id="45" w:name="fundamentos-de-ia-de-caja-negra"/>
    <w:p>
      <w:pPr>
        <w:pStyle w:val="Ttulo2"/>
      </w:pPr>
      <w:r>
        <w:t xml:space="preserve">Fundamentos de IA de caja negra</w:t>
      </w:r>
    </w:p>
    <w:p>
      <w:pPr>
        <w:pStyle w:val="FirstParagraph"/>
        <w:jc w:val="both"/>
        <w:spacing w:line="480" w:lineRule="auto"/>
      </w:pPr>
      <w:r>
        <w:t xml:space="preserve">Para comprender el estado actual de la XAI, es imperativo analizar la naturaleza</w:t>
      </w:r>
      <w:r>
        <w:t xml:space="preserve"> </w:t>
      </w:r>
      <w:r>
        <w:t xml:space="preserve">técnica de la</w:t>
      </w:r>
      <w:r>
        <w:t xml:space="preserve"> </w:t>
      </w:r>
      <w:r>
        <w:t xml:space="preserve">“caja negra”</w:t>
      </w:r>
      <w:r>
        <w:t xml:space="preserve"> </w:t>
      </w:r>
      <w:r>
        <w:t xml:space="preserve">(</w:t>
      </w:r>
      <w:r>
        <w:rPr>
          <w:i/>
          <w:iCs/>
        </w:rPr>
        <w:t xml:space="preserve">black-box models</w:t>
      </w:r>
      <w:r>
        <w:t xml:space="preserve">). La evolución de la IA ha pasado</w:t>
      </w:r>
      <w:r>
        <w:t xml:space="preserve"> </w:t>
      </w:r>
      <w:r>
        <w:t xml:space="preserve">de modelos estadísticos transparentes —como la regresión lineal o árboles de</w:t>
      </w:r>
      <w:r>
        <w:t xml:space="preserve"> </w:t>
      </w:r>
      <w:r>
        <w:t xml:space="preserve">decisión simples— a sistemas cuya lógica interna es inescrutable debido a su</w:t>
      </w:r>
      <w:r>
        <w:t xml:space="preserve"> </w:t>
      </w:r>
      <w:r>
        <w:t xml:space="preserve">altísima dimensionalidad y no linealidad. Los modelos de ensamble (Random Forest,</w:t>
      </w:r>
      <w:r>
        <w:t xml:space="preserve"> </w:t>
      </w:r>
      <w:r>
        <w:t xml:space="preserve">XGBoost) y las Redes Neuronales Profundas (DNN) logran niveles de precisión</w:t>
      </w:r>
      <w:r>
        <w:t xml:space="preserve"> </w:t>
      </w:r>
      <w:r>
        <w:t xml:space="preserve">sobresalientes sacrificando la interpretabilidad directa. Esta opacidad no es un</w:t>
      </w:r>
      <w:r>
        <w:t xml:space="preserve"> </w:t>
      </w:r>
      <w:r>
        <w:t xml:space="preserve">fallo de diseño, sino una consecuencia de la complejidad requerida para capturar</w:t>
      </w:r>
      <w:r>
        <w:t xml:space="preserve"> </w:t>
      </w:r>
      <w:r>
        <w:t xml:space="preserve">patrones en datos no estructurados. Como señalan</w:t>
      </w:r>
      <w:r>
        <w:t xml:space="preserve"> </w:t>
      </w:r>
      <w:r>
        <w:t xml:space="preserve">Canha et al. (2025)</w:t>
      </w:r>
      <w:r>
        <w:t xml:space="preserve"> </w:t>
      </w:r>
      <w:r>
        <w:t xml:space="preserve">y</w:t>
      </w:r>
      <w:r>
        <w:t xml:space="preserve"> </w:t>
      </w:r>
      <w:r>
        <w:t xml:space="preserve">Pawlicki et al. (2024)</w:t>
      </w:r>
      <w:r>
        <w:t xml:space="preserve">, esto</w:t>
      </w:r>
      <w:r>
        <w:t xml:space="preserve"> </w:t>
      </w:r>
      <w:r>
        <w:t xml:space="preserve">genera un</w:t>
      </w:r>
      <w:r>
        <w:t xml:space="preserve"> </w:t>
      </w:r>
      <w:r>
        <w:t xml:space="preserve">“dilema de confianza”</w:t>
      </w:r>
      <w:r>
        <w:t xml:space="preserve"> </w:t>
      </w:r>
      <w:r>
        <w:t xml:space="preserve">donde el usuario debe aceptar una decisión sin</w:t>
      </w:r>
      <w:r>
        <w:t xml:space="preserve"> </w:t>
      </w:r>
      <w:r>
        <w:t xml:space="preserve">acceso a su proceso deductivo, marcando el punto de partida para las técnicas de</w:t>
      </w:r>
      <w:r>
        <w:t xml:space="preserve"> </w:t>
      </w:r>
      <w:r>
        <w:t xml:space="preserve">explicabilidad agnóstica.</w:t>
      </w:r>
    </w:p>
    <w:bookmarkEnd w:id="45"/>
    <w:bookmarkStart w:id="46" w:name="interpretabilidad-y-explicabilidad"/>
    <w:p>
      <w:pPr>
        <w:pStyle w:val="Ttulo2"/>
      </w:pPr>
      <w:r>
        <w:t xml:space="preserve">Interpretabilidad y explicabilidad</w:t>
      </w:r>
    </w:p>
    <w:p>
      <w:pPr>
        <w:pStyle w:val="FirstParagraph"/>
        <w:jc w:val="both"/>
        <w:spacing w:line="480" w:lineRule="auto"/>
      </w:pPr>
      <w:r>
        <w:t xml:space="preserve">A pesar de que los términos</w:t>
      </w:r>
      <w:r>
        <w:t xml:space="preserve"> </w:t>
      </w:r>
      <w:r>
        <w:t xml:space="preserve">“interpretabilidad”</w:t>
      </w:r>
      <w:r>
        <w:t xml:space="preserve"> </w:t>
      </w:r>
      <w:r>
        <w:t xml:space="preserve">y</w:t>
      </w:r>
      <w:r>
        <w:t xml:space="preserve"> </w:t>
      </w:r>
      <w:r>
        <w:t xml:space="preserve">“explicabilidad”</w:t>
      </w:r>
      <w:r>
        <w:t xml:space="preserve"> </w:t>
      </w:r>
      <w:r>
        <w:t xml:space="preserve">se utilizan a</w:t>
      </w:r>
      <w:r>
        <w:t xml:space="preserve"> </w:t>
      </w:r>
      <w:r>
        <w:t xml:space="preserve">menudo como sinónimos en la literatura técnica, revisiones sistemáticas de gran</w:t>
      </w:r>
      <w:r>
        <w:t xml:space="preserve"> </w:t>
      </w:r>
      <w:r>
        <w:t xml:space="preserve">escala destacadas por</w:t>
      </w:r>
      <w:r>
        <w:t xml:space="preserve"> </w:t>
      </w:r>
      <w:r>
        <w:t xml:space="preserve">Abdul Kadir et al. (2023)</w:t>
      </w:r>
      <w:r>
        <w:t xml:space="preserve"> </w:t>
      </w:r>
      <w:r>
        <w:t xml:space="preserve">destacan una falta de consenso</w:t>
      </w:r>
      <w:r>
        <w:t xml:space="preserve"> </w:t>
      </w:r>
      <w:r>
        <w:t xml:space="preserve">terminológico que fragmenta el campo. Para los propósitos de este marco</w:t>
      </w:r>
      <w:r>
        <w:t xml:space="preserve"> </w:t>
      </w:r>
      <w:r>
        <w:t xml:space="preserve">multinivel, es fundamental establecer una distinción operativa basada en el</w:t>
      </w:r>
      <w:r>
        <w:t xml:space="preserve"> </w:t>
      </w:r>
      <w:r>
        <w:t xml:space="preserve">destinatario final de la información: el ser humano. Mientras que la</w:t>
      </w:r>
      <w:r>
        <w:t xml:space="preserve"> </w:t>
      </w:r>
      <w:r>
        <w:t xml:space="preserve">interpretabilidad se asocia frecuentemente con la transparencia intrínseca de los</w:t>
      </w:r>
      <w:r>
        <w:t xml:space="preserve"> </w:t>
      </w:r>
      <w:r>
        <w:t xml:space="preserve">mecanismos internos de un modelo, la explicabilidad emerge como un concepto que</w:t>
      </w:r>
      <w:r>
        <w:t xml:space="preserve"> </w:t>
      </w:r>
      <w:r>
        <w:t xml:space="preserve">busca traducir esa complejidad en un lenguaje comprensible para el usuario</w:t>
      </w:r>
      <w:r>
        <w:t xml:space="preserve"> </w:t>
      </w:r>
      <w:r>
        <w:t xml:space="preserve">(Canha et al. 2025)</w:t>
      </w:r>
      <w:r>
        <w:t xml:space="preserve">.</w:t>
      </w:r>
    </w:p>
    <w:p>
      <w:pPr>
        <w:pStyle w:val="Textoindependiente"/>
        <w:jc w:val="both"/>
        <w:spacing w:line="480" w:lineRule="auto"/>
      </w:pPr>
      <w:r>
        <w:t xml:space="preserve">Siguiendo la propuesta de</w:t>
      </w:r>
      <w:r>
        <w:t xml:space="preserve"> </w:t>
      </w:r>
      <w:r>
        <w:t xml:space="preserve">Linardatos et al. (2021)</w:t>
      </w:r>
      <w:r>
        <w:t xml:space="preserve">, se define la interpretabilidad como la</w:t>
      </w:r>
      <w:r>
        <w:t xml:space="preserve"> </w:t>
      </w:r>
      <w:r>
        <w:t xml:space="preserve">capacidad de discernir la mecánica interna de un sistema sin necesidad de conocer</w:t>
      </w:r>
      <w:r>
        <w:t xml:space="preserve"> </w:t>
      </w:r>
      <w:r>
        <w:t xml:space="preserve">el</w:t>
      </w:r>
      <w:r>
        <w:t xml:space="preserve"> </w:t>
      </w:r>
      <w:r>
        <w:t xml:space="preserve">“porqué”</w:t>
      </w:r>
      <w:r>
        <w:t xml:space="preserve"> </w:t>
      </w:r>
      <w:r>
        <w:t xml:space="preserve">profundo de cada decisión, conectando primordialmente con la</w:t>
      </w:r>
      <w:r>
        <w:t xml:space="preserve"> </w:t>
      </w:r>
      <w:r>
        <w:t xml:space="preserve">intuición técnica. Por el contrario, la explicabilidad añade una</w:t>
      </w:r>
      <w:r>
        <w:t xml:space="preserve"> </w:t>
      </w:r>
      <w:r>
        <w:t xml:space="preserve">“capa de</w:t>
      </w:r>
      <w:r>
        <w:t xml:space="preserve"> </w:t>
      </w:r>
      <w:r>
        <w:t xml:space="preserve">razonamiento”</w:t>
      </w:r>
      <w:r>
        <w:t xml:space="preserve"> </w:t>
      </w:r>
      <w:r>
        <w:t xml:space="preserve">(</w:t>
      </w:r>
      <w:r>
        <w:rPr>
          <w:i/>
          <w:iCs/>
        </w:rPr>
        <w:t xml:space="preserve">reasoning layer</w:t>
      </w:r>
      <w:r>
        <w:t xml:space="preserve">) sobre los mecanismos técnicos para clarificar</w:t>
      </w:r>
      <w:r>
        <w:t xml:space="preserve"> </w:t>
      </w:r>
      <w:r>
        <w:t xml:space="preserve">el proceso lógico que condujo a una salida específica</w:t>
      </w:r>
      <w:r>
        <w:t xml:space="preserve"> </w:t>
      </w:r>
      <w:r>
        <w:t xml:space="preserve">(Canha et al. 2025)</w:t>
      </w:r>
      <w:r>
        <w:t xml:space="preserve">. Esta</w:t>
      </w:r>
      <w:r>
        <w:t xml:space="preserve"> </w:t>
      </w:r>
      <w:r>
        <w:t xml:space="preserve">distinción es especialmente relevante para esta tesis, ya que justifica la</w:t>
      </w:r>
      <w:r>
        <w:t xml:space="preserve"> </w:t>
      </w:r>
      <w:r>
        <w:t xml:space="preserve">necesidad de no solo evaluar la</w:t>
      </w:r>
      <w:r>
        <w:t xml:space="preserve"> </w:t>
      </w:r>
      <w:r>
        <w:t xml:space="preserve">“fidelidad”</w:t>
      </w:r>
      <w:r>
        <w:t xml:space="preserve"> </w:t>
      </w:r>
      <w:r>
        <w:t xml:space="preserve">al modelo (parámetro técnico), sino</w:t>
      </w:r>
      <w:r>
        <w:t xml:space="preserve"> </w:t>
      </w:r>
      <w:r>
        <w:t xml:space="preserve">también la</w:t>
      </w:r>
      <w:r>
        <w:t xml:space="preserve"> </w:t>
      </w:r>
      <w:r>
        <w:t xml:space="preserve">“coherencia semántica”</w:t>
      </w:r>
      <w:r>
        <w:t xml:space="preserve"> </w:t>
      </w:r>
      <w:r>
        <w:t xml:space="preserve">(capa de razonamiento humano) sustentada por</w:t>
      </w:r>
      <w:r>
        <w:t xml:space="preserve"> </w:t>
      </w:r>
      <w:r>
        <w:t xml:space="preserve">criterios multidimensionales</w:t>
      </w:r>
      <w:r>
        <w:t xml:space="preserve"> </w:t>
      </w:r>
      <w:r>
        <w:t xml:space="preserve">(Bhattacharya and Verbert 2024)</w:t>
      </w:r>
      <w:r>
        <w:t xml:space="preserve">.</w:t>
      </w:r>
    </w:p>
    <w:bookmarkEnd w:id="46"/>
    <w:bookmarkStart w:id="53" w:name="criterios-de-evaluación-de-explicaciones"/>
    <w:p>
      <w:pPr>
        <w:pStyle w:val="Ttulo2"/>
      </w:pPr>
      <w:r>
        <w:t xml:space="preserve">Criterios de evaluación de explicaciones</w:t>
      </w:r>
    </w:p>
    <w:p>
      <w:pPr>
        <w:pStyle w:val="FirstParagraph"/>
        <w:jc w:val="both"/>
        <w:spacing w:line="480" w:lineRule="auto"/>
      </w:pPr>
      <w:r>
        <w:t xml:space="preserve">La evaluación de la calidad de una explicación es un proceso multidimensional que</w:t>
      </w:r>
      <w:r>
        <w:t xml:space="preserve"> </w:t>
      </w:r>
      <w:r>
        <w:t xml:space="preserve">requiere la cuantificación de diversas propiedades funcionales. A continuación,</w:t>
      </w:r>
      <w:r>
        <w:t xml:space="preserve"> </w:t>
      </w:r>
      <w:r>
        <w:t xml:space="preserve">se detallan los criterios técnicos fundamentales adoptados en este estudio,</w:t>
      </w:r>
      <w:r>
        <w:t xml:space="preserve"> </w:t>
      </w:r>
      <w:r>
        <w:t xml:space="preserve">sustentados en la jerarquía funcional propuesta por</w:t>
      </w:r>
      <w:r>
        <w:t xml:space="preserve"> </w:t>
      </w:r>
      <w:r>
        <w:t xml:space="preserve">Canha et al. (2025)</w:t>
      </w:r>
      <w:r>
        <w:t xml:space="preserve"> </w:t>
      </w:r>
      <w:r>
        <w:t xml:space="preserve">y los marcos de</w:t>
      </w:r>
      <w:r>
        <w:t xml:space="preserve"> </w:t>
      </w:r>
      <w:r>
        <w:t xml:space="preserve">benchmarking de</w:t>
      </w:r>
      <w:r>
        <w:t xml:space="preserve"> </w:t>
      </w:r>
      <w:r>
        <w:t xml:space="preserve">Agarwal et al. (2022)</w:t>
      </w:r>
      <w:r>
        <w:t xml:space="preserve">.</w:t>
      </w:r>
    </w:p>
    <w:bookmarkStart w:id="47" w:name="fidelidad"/>
    <w:p>
      <w:pPr>
        <w:pStyle w:val="Ttulo3"/>
      </w:pPr>
      <w:r>
        <w:t xml:space="preserve">Fidelidad</w:t>
      </w:r>
    </w:p>
    <w:p>
      <w:pPr>
        <w:pStyle w:val="FirstParagraph"/>
        <w:jc w:val="both"/>
        <w:spacing w:line="480" w:lineRule="auto"/>
      </w:pPr>
      <w:r>
        <w:t xml:space="preserve">La fidelidad (</w:t>
      </w:r>
      <w:r>
        <w:t xml:space="preserve">) mide el grado en que un método de explicación</w:t>
      </w:r>
      <w:r>
        <w:t xml:space="preserve"> </w:t>
      </w:r>
      <w:r>
        <w:t xml:space="preserve">logra representar el verdadero proceso deductivo del modelo de caja negra.</w:t>
      </w:r>
      <w:r>
        <w:t xml:space="preserve"> </w:t>
      </w:r>
      <w:r>
        <w:t xml:space="preserve">Siguiendo la definición de</w:t>
      </w:r>
      <w:r>
        <w:t xml:space="preserve"> </w:t>
      </w:r>
      <w:r>
        <w:t xml:space="preserve">Canha et al. (2025)</w:t>
      </w:r>
      <w:r>
        <w:t xml:space="preserve">, esta se operacionaliza a menudo como el</w:t>
      </w:r>
      <w:r>
        <w:t xml:space="preserve"> </w:t>
      </w:r>
      <w:r>
        <w:t xml:space="preserve">“acuerdo del sustituto”</w:t>
      </w:r>
      <w:r>
        <w:t xml:space="preserve"> </w:t>
      </w:r>
      <w:r>
        <w:t xml:space="preserve">(</w:t>
      </w:r>
      <w:r>
        <w:t xml:space="preserve">), formulado como:</w:t>
      </w:r>
    </w:p>
    <w:p>
      <w:pPr>
        <w:pStyle w:val="Textoindependiente"/>
        <w:jc w:val="both"/>
        <w:spacing w:line="480" w:lineRule="auto"/>
      </w:pPr>
      <m:oMathPara>
        <m:oMathParaPr>
          <m:jc m:val="center"/>
        </m:oMathParaPr>
        <m:oMath>
          <m:sSub>
            <m:e>
              <m:r>
                <m:t>m</m:t>
              </m:r>
            </m:e>
            <m:sub>
              <m:r>
                <m:t>f</m:t>
              </m:r>
              <m:r>
                <m:t>i</m:t>
              </m:r>
              <m:r>
                <m:t>d</m:t>
              </m:r>
            </m:sub>
          </m:sSub>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r>
                <m:t>b</m:t>
              </m:r>
              <m:r>
                <m:rPr>
                  <m:sty m:val="p"/>
                </m:rPr>
                <m:t>(</m:t>
              </m:r>
              <m:sSub>
                <m:e>
                  <m:r>
                    <m:t>x</m:t>
                  </m:r>
                </m:e>
                <m:sub>
                  <m:r>
                    <m:t>i</m:t>
                  </m:r>
                </m:sub>
              </m:sSub>
              <m:r>
                <m:rPr>
                  <m:sty m:val="p"/>
                </m:rPr>
                <m:t>)</m:t>
              </m:r>
              <m:r>
                <m:rPr>
                  <m:sty m:val="p"/>
                </m:rPr>
                <m:t>−</m:t>
              </m:r>
              <m:r>
                <m:t>s</m:t>
              </m:r>
              <m:r>
                <m:rPr>
                  <m:sty m:val="p"/>
                </m:rPr>
                <m:t>(</m:t>
              </m:r>
              <m:sSub>
                <m:e>
                  <m:r>
                    <m:t>x</m:t>
                  </m:r>
                </m:e>
                <m:sub>
                  <m:r>
                    <m:t>i</m:t>
                  </m:r>
                </m:sub>
              </m:sSub>
              <m:r>
                <m:rPr>
                  <m:sty m:val="p"/>
                </m:rPr>
                <m:t>)</m:t>
              </m:r>
              <m:r>
                <m:rPr>
                  <m:sty m:val="p"/>
                </m:rPr>
                <m:t>|</m:t>
              </m:r>
            </m:num>
            <m:den>
              <m:r>
                <m:t>N</m:t>
              </m:r>
              <m:r>
                <m:rPr>
                  <m:sty m:val="p"/>
                </m:rPr>
                <m:t>⋅</m:t>
              </m:r>
              <m:r>
                <m:rPr>
                  <m:sty m:val="p"/>
                </m:rPr>
                <m:t>max</m:t>
              </m:r>
              <m:r>
                <m:rPr>
                  <m:sty m:val="p"/>
                </m:rPr>
                <m:t>(</m:t>
              </m:r>
              <m:r>
                <m:t>b</m:t>
              </m:r>
              <m:r>
                <m:rPr>
                  <m:sty m:val="p"/>
                </m:rPr>
                <m:t>(</m:t>
              </m:r>
              <m:r>
                <m:t>x</m:t>
              </m:r>
              <m:r>
                <m:rPr>
                  <m:sty m:val="p"/>
                </m:rPr>
                <m:t>)</m:t>
              </m:r>
              <m:r>
                <m:rPr>
                  <m:sty m:val="p"/>
                </m:rPr>
                <m:t>)</m:t>
              </m:r>
            </m:den>
          </m:f>
        </m:oMath>
      </m:oMathPara>
    </w:p>
    <w:p>
      <w:pPr>
        <w:pStyle w:val="FirstParagraph"/>
        <w:jc w:val="both"/>
        <w:spacing w:line="480" w:lineRule="auto"/>
      </w:pPr>
      <w:r>
        <w:t xml:space="preserve">Donde</w:t>
      </w:r>
      <w:r>
        <w:t xml:space="preserve"> </w:t>
      </w:r>
      <m:oMath>
        <m:r>
          <m:t>b</m:t>
        </m:r>
        <m:r>
          <m:rPr>
            <m:sty m:val="p"/>
          </m:rPr>
          <m:t>(</m:t>
        </m:r>
        <m:r>
          <m:t>x</m:t>
        </m:r>
        <m:r>
          <m:rPr>
            <m:sty m:val="p"/>
          </m:rPr>
          <m:t>)</m:t>
        </m:r>
      </m:oMath>
      <w:r>
        <w:t xml:space="preserve"> </w:t>
      </w:r>
      <w:r>
        <w:t xml:space="preserve">representa la salida del modelo de caja negra y</w:t>
      </w:r>
      <w:r>
        <w:t xml:space="preserve"> </w:t>
      </w:r>
      <m:oMath>
        <m:r>
          <m:t>s</m:t>
        </m:r>
        <m:r>
          <m:rPr>
            <m:sty m:val="p"/>
          </m:rPr>
          <m:t>(</m:t>
        </m:r>
        <m:r>
          <m:t>x</m:t>
        </m:r>
        <m:r>
          <m:rPr>
            <m:sty m:val="p"/>
          </m:rPr>
          <m:t>)</m:t>
        </m:r>
      </m:oMath>
      <w:r>
        <w:t xml:space="preserve"> </w:t>
      </w:r>
      <w:r>
        <w:t xml:space="preserve">la del modelo</w:t>
      </w:r>
      <w:r>
        <w:t xml:space="preserve"> </w:t>
      </w:r>
      <w:r>
        <w:t xml:space="preserve">sustituto o aproximación local. Es vital distinguir la fidelidad de la</w:t>
      </w:r>
      <w:r>
        <w:t xml:space="preserve"> </w:t>
      </w:r>
      <w:r>
        <w:t xml:space="preserve">fehaciencia (</w:t>
      </w:r>
      <w:r>
        <w:t xml:space="preserve">), ya que un modelo puede ser fiel en su</w:t>
      </w:r>
      <w:r>
        <w:t xml:space="preserve"> </w:t>
      </w:r>
      <w:r>
        <w:t xml:space="preserve">mimetismo predictivo pero no necesariamente fehaciente en capturar la lógica</w:t>
      </w:r>
      <w:r>
        <w:t xml:space="preserve"> </w:t>
      </w:r>
      <w:r>
        <w:t xml:space="preserve">causal subyacente</w:t>
      </w:r>
      <w:r>
        <w:t xml:space="preserve"> </w:t>
      </w:r>
      <w:r>
        <w:t xml:space="preserve">(Zheng et al. 2025)</w:t>
      </w:r>
      <w:r>
        <w:t xml:space="preserve">.</w:t>
      </w:r>
    </w:p>
    <w:bookmarkEnd w:id="47"/>
    <w:bookmarkStart w:id="48" w:name="estabilidad"/>
    <w:p>
      <w:pPr>
        <w:pStyle w:val="Ttulo3"/>
      </w:pPr>
      <w:r>
        <w:t xml:space="preserve">Estabilidad</w:t>
      </w:r>
    </w:p>
    <w:p>
      <w:pPr>
        <w:pStyle w:val="FirstParagraph"/>
        <w:jc w:val="both"/>
        <w:spacing w:line="480" w:lineRule="auto"/>
      </w:pPr>
      <w:r>
        <w:t xml:space="preserve">La estabilidad evalúa la consistencia de las explicaciones ante variaciones</w:t>
      </w:r>
      <w:r>
        <w:t xml:space="preserve"> </w:t>
      </w:r>
      <w:r>
        <w:t xml:space="preserve">mínimas en los datos de entrada que no alteran la predicción del modelo. Se</w:t>
      </w:r>
      <w:r>
        <w:t xml:space="preserve"> </w:t>
      </w:r>
      <w:r>
        <w:t xml:space="preserve">formaliza comúnmente mediante la Estabilidad de Entrada Relativa (</w:t>
      </w:r>
      <m:oMath>
        <m:r>
          <m:t>R</m:t>
        </m:r>
        <m:r>
          <m:t>I</m:t>
        </m:r>
        <m:r>
          <m:t>S</m:t>
        </m:r>
      </m:oMath>
      <w:r>
        <w:t xml:space="preserve">), que</w:t>
      </w:r>
      <w:r>
        <w:t xml:space="preserve"> </w:t>
      </w:r>
      <w:r>
        <w:t xml:space="preserve">estima la sensibilidad del explicador ante perturbaciones en el vecindario de</w:t>
      </w:r>
      <w:r>
        <w:t xml:space="preserve"> </w:t>
      </w:r>
      <m:oMath>
        <m:r>
          <m:t>x</m:t>
        </m:r>
      </m:oMath>
      <w:r>
        <w:t xml:space="preserve"> </w:t>
      </w:r>
      <w:r>
        <w:t xml:space="preserve">(Agarwal et al. 2022)</w:t>
      </w:r>
      <w:r>
        <w:t xml:space="preserve">:</w:t>
      </w:r>
    </w:p>
    <w:p>
      <w:pPr>
        <w:pStyle w:val="Textoindependiente"/>
        <w:jc w:val="both"/>
        <w:spacing w:line="480" w:lineRule="auto"/>
      </w:pPr>
      <m:oMathPara>
        <m:oMathParaPr>
          <m:jc m:val="center"/>
        </m:oMathParaPr>
        <m:oMath>
          <m:r>
            <m:t>R</m:t>
          </m:r>
          <m:r>
            <m:t>I</m:t>
          </m:r>
          <m:r>
            <m:t>S</m:t>
          </m:r>
          <m:r>
            <m:rPr>
              <m:sty m:val="p"/>
            </m:rPr>
            <m:t>=</m:t>
          </m:r>
          <m:limLow>
            <m:e>
              <m:r>
                <m:rPr>
                  <m:sty m:val="p"/>
                </m:rPr>
                <m:t>max</m:t>
              </m:r>
            </m:e>
            <m:lim>
              <m:sSup>
                <m:e>
                  <m:r>
                    <m:t>x</m:t>
                  </m:r>
                </m:e>
                <m:sup>
                  <m:r>
                    <m:rPr>
                      <m:sty m:val="p"/>
                    </m:rPr>
                    <m:t>′</m:t>
                  </m:r>
                </m:sup>
              </m:sSup>
            </m:lim>
          </m:limLow>
          <m:f>
            <m:fPr>
              <m:type m:val="bar"/>
            </m:fPr>
            <m:num>
              <m:r>
                <m:rPr>
                  <m:sty m:val="p"/>
                </m:rPr>
                <m:t>|</m:t>
              </m:r>
              <m:r>
                <m:rPr>
                  <m:sty m:val="p"/>
                </m:rPr>
                <m:t>|</m:t>
              </m:r>
              <m:r>
                <m:t>e</m:t>
              </m:r>
              <m:r>
                <m:t>x</m:t>
              </m:r>
              <m:r>
                <m:rPr>
                  <m:sty m:val="p"/>
                </m:rPr>
                <m:t>(</m:t>
              </m:r>
              <m:r>
                <m:t>x</m:t>
              </m:r>
              <m:r>
                <m:rPr>
                  <m:sty m:val="p"/>
                </m:rPr>
                <m:t>)</m:t>
              </m:r>
              <m:r>
                <m:rPr>
                  <m:sty m:val="p"/>
                </m:rPr>
                <m:t>−</m:t>
              </m:r>
              <m:r>
                <m:t>e</m:t>
              </m:r>
              <m:r>
                <m:t>x</m:t>
              </m:r>
              <m:r>
                <m:rPr>
                  <m:sty m:val="p"/>
                </m:rPr>
                <m:t>(</m:t>
              </m:r>
              <m:sSup>
                <m:e>
                  <m:r>
                    <m:t>x</m:t>
                  </m:r>
                </m:e>
                <m:sup>
                  <m:r>
                    <m:rPr>
                      <m:sty m:val="p"/>
                    </m:rPr>
                    <m:t>′</m:t>
                  </m:r>
                </m:sup>
              </m:sSup>
              <m:r>
                <m:rPr>
                  <m:sty m:val="p"/>
                </m:rPr>
                <m:t>)</m:t>
              </m:r>
              <m:r>
                <m:rPr>
                  <m:sty m:val="p"/>
                </m:rPr>
                <m:t>|</m:t>
              </m:r>
              <m:r>
                <m:rPr>
                  <m:sty m:val="p"/>
                </m:rPr>
                <m:t>|</m:t>
              </m:r>
            </m:num>
            <m:den>
              <m:r>
                <m:rPr>
                  <m:sty m:val="p"/>
                </m:rPr>
                <m:t>|</m:t>
              </m:r>
              <m:r>
                <m:rPr>
                  <m:sty m:val="p"/>
                </m:rPr>
                <m:t>|</m:t>
              </m:r>
              <m:r>
                <m:t>x</m:t>
              </m:r>
              <m:r>
                <m:rPr>
                  <m:sty m:val="p"/>
                </m:rPr>
                <m:t>−</m:t>
              </m:r>
              <m:sSup>
                <m:e>
                  <m:r>
                    <m:t>x</m:t>
                  </m:r>
                </m:e>
                <m:sup>
                  <m:r>
                    <m:rPr>
                      <m:sty m:val="p"/>
                    </m:rPr>
                    <m:t>′</m:t>
                  </m:r>
                </m:sup>
              </m:sSup>
              <m:r>
                <m:rPr>
                  <m:sty m:val="p"/>
                </m:rPr>
                <m:t>|</m:t>
              </m:r>
              <m:r>
                <m:rPr>
                  <m:sty m:val="p"/>
                </m:rPr>
                <m:t>|</m:t>
              </m:r>
            </m:den>
          </m:f>
        </m:oMath>
      </m:oMathPara>
    </w:p>
    <w:p>
      <w:pPr>
        <w:pStyle w:val="FirstParagraph"/>
        <w:jc w:val="both"/>
        <w:spacing w:line="480" w:lineRule="auto"/>
      </w:pPr>
      <w:r>
        <w:t xml:space="preserve">Donde</w:t>
      </w:r>
      <w:r>
        <w:t xml:space="preserve"> </w:t>
      </w:r>
      <m:oMath>
        <m:r>
          <m:t>e</m:t>
        </m:r>
        <m:r>
          <m:t>x</m:t>
        </m:r>
        <m:r>
          <m:rPr>
            <m:sty m:val="p"/>
          </m:rPr>
          <m:t>(</m:t>
        </m:r>
        <m:r>
          <m:t>x</m:t>
        </m:r>
        <m:r>
          <m:rPr>
            <m:sty m:val="p"/>
          </m:rPr>
          <m:t>)</m:t>
        </m:r>
      </m:oMath>
      <w:r>
        <w:t xml:space="preserve"> </w:t>
      </w:r>
      <w:r>
        <w:t xml:space="preserve">es la importancia de características generada para la instancia</w:t>
      </w:r>
      <w:r>
        <w:t xml:space="preserve"> </w:t>
      </w:r>
      <m:oMath>
        <m:r>
          <m:t>x</m:t>
        </m:r>
      </m:oMath>
      <w:r>
        <w:t xml:space="preserve">. Una</w:t>
      </w:r>
      <w:r>
        <w:t xml:space="preserve"> </w:t>
      </w:r>
      <m:oMath>
        <m:r>
          <m:t>R</m:t>
        </m:r>
        <m:r>
          <m:t>I</m:t>
        </m:r>
        <m:r>
          <m:t>S</m:t>
        </m:r>
      </m:oMath>
      <w:r>
        <w:t xml:space="preserve"> </w:t>
      </w:r>
      <w:r>
        <w:t xml:space="preserve">elevada señala una fragilidad técnica, indicando que cambios</w:t>
      </w:r>
      <w:r>
        <w:t xml:space="preserve"> </w:t>
      </w:r>
      <w:r>
        <w:t xml:space="preserve">imperceptibles en los datos pueden generar interpretaciones contradictorias.</w:t>
      </w:r>
    </w:p>
    <w:bookmarkEnd w:id="48"/>
    <w:bookmarkStart w:id="49" w:name="robustez"/>
    <w:p>
      <w:pPr>
        <w:pStyle w:val="Ttulo3"/>
      </w:pPr>
      <w:r>
        <w:t xml:space="preserve">Robustez</w:t>
      </w:r>
    </w:p>
    <w:p>
      <w:pPr>
        <w:pStyle w:val="FirstParagraph"/>
        <w:jc w:val="both"/>
        <w:spacing w:line="480" w:lineRule="auto"/>
      </w:pPr>
      <w:r>
        <w:t xml:space="preserve">A diferencia de la estabilidad, la robustez se enfoca en la resistencia del</w:t>
      </w:r>
      <w:r>
        <w:t xml:space="preserve"> </w:t>
      </w:r>
      <w:r>
        <w:t xml:space="preserve">explicador ante ataques adversarios o cambios significativos en la distribución.</w:t>
      </w:r>
      <w:r>
        <w:t xml:space="preserve"> </w:t>
      </w:r>
      <w:r>
        <w:t xml:space="preserve">Como identifica</w:t>
      </w:r>
      <w:r>
        <w:t xml:space="preserve"> </w:t>
      </w:r>
      <w:r>
        <w:t xml:space="preserve">Zheng et al. (2025)</w:t>
      </w:r>
      <w:r>
        <w:t xml:space="preserve">, muchas métricas tradicionales fallan al operar con</w:t>
      </w:r>
      <w:r>
        <w:t xml:space="preserve"> </w:t>
      </w:r>
      <w:r>
        <w:t xml:space="preserve">datos</w:t>
      </w:r>
      <w:r>
        <w:t xml:space="preserve"> </w:t>
      </w:r>
      <w:r>
        <w:t xml:space="preserve">“fuera de la distribución”</w:t>
      </w:r>
      <w:r>
        <w:t xml:space="preserve"> </w:t>
      </w:r>
      <w:r>
        <w:t xml:space="preserve">(OOD), por lo que la robustez técnica implica</w:t>
      </w:r>
      <w:r>
        <w:t xml:space="preserve"> </w:t>
      </w:r>
      <w:r>
        <w:t xml:space="preserve">garantizar que el explicador mantenga su validez incluso cuando el modelo</w:t>
      </w:r>
      <w:r>
        <w:t xml:space="preserve"> </w:t>
      </w:r>
      <w:r>
        <w:t xml:space="preserve">enfrenta instancias atípicas.</w:t>
      </w:r>
    </w:p>
    <w:bookmarkEnd w:id="49"/>
    <w:bookmarkStart w:id="50" w:name="sparsity-complejidad"/>
    <w:p>
      <w:pPr>
        <w:pStyle w:val="Ttulo3"/>
      </w:pPr>
      <w:r>
        <w:t xml:space="preserve">Sparsity / complejidad</w:t>
      </w:r>
    </w:p>
    <w:p>
      <w:pPr>
        <w:pStyle w:val="FirstParagraph"/>
        <w:jc w:val="both"/>
        <w:spacing w:line="480" w:lineRule="auto"/>
      </w:pPr>
      <w:r>
        <w:t xml:space="preserve">La complejidad de una explicación debe estar alineada con las capacidades</w:t>
      </w:r>
      <w:r>
        <w:t xml:space="preserve"> </w:t>
      </w:r>
      <w:r>
        <w:t xml:space="preserve">cognitivas humanas.</w:t>
      </w:r>
      <w:r>
        <w:t xml:space="preserve"> </w:t>
      </w:r>
      <w:r>
        <w:t xml:space="preserve">Canha et al. (2025)</w:t>
      </w:r>
      <w:r>
        <w:t xml:space="preserve"> </w:t>
      </w:r>
      <w:r>
        <w:t xml:space="preserve">recurre a la</w:t>
      </w:r>
      <w:r>
        <w:t xml:space="preserve"> </w:t>
      </w:r>
      <w:r>
        <w:t xml:space="preserve">“Ley de Miller”</w:t>
      </w:r>
      <w:r>
        <w:t xml:space="preserve"> </w:t>
      </w:r>
      <w:r>
        <w:t xml:space="preserve">para fundamentar este</w:t>
      </w:r>
      <w:r>
        <w:t xml:space="preserve"> </w:t>
      </w:r>
      <w:r>
        <w:t xml:space="preserve">criterio, sugiriendo que el tamaño óptimo de una explicación informativa debe</w:t>
      </w:r>
      <w:r>
        <w:t xml:space="preserve"> </w:t>
      </w:r>
      <w:r>
        <w:t xml:space="preserve">mantenerse en un rango de</w:t>
      </w:r>
      <w:r>
        <w:t xml:space="preserve"> </w:t>
      </w:r>
      <m:oMath>
        <m:r>
          <m:t>7</m:t>
        </m:r>
        <m:r>
          <m:rPr>
            <m:sty m:val="p"/>
          </m:rPr>
          <m:t>±</m:t>
        </m:r>
        <m:r>
          <m:t>2</m:t>
        </m:r>
      </m:oMath>
      <w:r>
        <w:t xml:space="preserve"> </w:t>
      </w:r>
      <w:r>
        <w:t xml:space="preserve">elementos resaltados. Una explicación con</w:t>
      </w:r>
      <w:r>
        <w:t xml:space="preserve"> </w:t>
      </w:r>
      <w:r>
        <w:t xml:space="preserve">baja cardinalidad (alta</w:t>
      </w:r>
      <w:r>
        <w:t xml:space="preserve"> </w:t>
      </w:r>
      <w:r>
        <w:t xml:space="preserve">) es preferible para reducir la carga</w:t>
      </w:r>
      <w:r>
        <w:t xml:space="preserve"> </w:t>
      </w:r>
      <w:r>
        <w:t xml:space="preserve">cognitiva sin sacrificar la información crítica.</w:t>
      </w:r>
    </w:p>
    <w:bookmarkEnd w:id="50"/>
    <w:bookmarkStart w:id="51" w:name="coste-computacional"/>
    <w:p>
      <w:pPr>
        <w:pStyle w:val="Ttulo3"/>
      </w:pPr>
      <w:r>
        <w:t xml:space="preserve">Coste computacional</w:t>
      </w:r>
    </w:p>
    <w:p>
      <w:pPr>
        <w:pStyle w:val="FirstParagraph"/>
        <w:jc w:val="both"/>
        <w:spacing w:line="480" w:lineRule="auto"/>
      </w:pPr>
      <w:r>
        <w:t xml:space="preserve">La eficiencia computacional es un criterio pragmático indispensable. Existe una</w:t>
      </w:r>
      <w:r>
        <w:t xml:space="preserve"> </w:t>
      </w:r>
      <w:r>
        <w:t xml:space="preserve">compensación (</w:t>
      </w:r>
      <w:r>
        <w:t xml:space="preserve">) intrínseca entre la fidelidad de métodos como</w:t>
      </w:r>
      <w:r>
        <w:t xml:space="preserve"> </w:t>
      </w:r>
      <w:r>
        <w:t xml:space="preserve">KernelSHAP —que requieren miles de evaluaciones del modelo— y la rapidez de</w:t>
      </w:r>
      <w:r>
        <w:t xml:space="preserve"> </w:t>
      </w:r>
      <w:r>
        <w:t xml:space="preserve">aproximaciones lineales como LIME. Este estudio adopta métricas de latencia de</w:t>
      </w:r>
      <w:r>
        <w:t xml:space="preserve"> </w:t>
      </w:r>
      <w:r>
        <w:t xml:space="preserve">inferencia para valorar la viabilidad del despliegue bajo demanda.</w:t>
      </w:r>
    </w:p>
    <w:bookmarkEnd w:id="51"/>
    <w:bookmarkStart w:id="52" w:name="Xe00b4760c98b12ecb7c034848753f29957e3d9e"/>
    <w:p>
      <w:pPr>
        <w:pStyle w:val="Ttulo3"/>
      </w:pPr>
      <w:r>
        <w:t xml:space="preserve">Alineación causal y sensibilidad contrafactual</w:t>
      </w:r>
    </w:p>
    <w:p>
      <w:pPr>
        <w:pStyle w:val="FirstParagraph"/>
        <w:jc w:val="both"/>
        <w:spacing w:line="480" w:lineRule="auto"/>
      </w:pPr>
      <w:r>
        <w:t xml:space="preserve">Finalmente, se introduce la alineación causal, que evalúa si las características</w:t>
      </w:r>
      <w:r>
        <w:t xml:space="preserve"> </w:t>
      </w:r>
      <w:r>
        <w:t xml:space="preserve">identificadas corresponden a relaciones lógicas reales en el dominio de</w:t>
      </w:r>
      <w:r>
        <w:t xml:space="preserve"> </w:t>
      </w:r>
      <w:r>
        <w:t xml:space="preserve">aplicación. Este criterio se complementa con la sensibilidad contrafactual, que</w:t>
      </w:r>
      <w:r>
        <w:t xml:space="preserve"> </w:t>
      </w:r>
      <w:r>
        <w:t xml:space="preserve">responde a cambios mínimos necesarios para invertir la decisión del modelo,</w:t>
      </w:r>
      <w:r>
        <w:t xml:space="preserve"> </w:t>
      </w:r>
      <w:r>
        <w:t xml:space="preserve">proporcionando una validación semántica que trasciende la métrica puramente</w:t>
      </w:r>
      <w:r>
        <w:t xml:space="preserve"> </w:t>
      </w:r>
      <w:r>
        <w:t xml:space="preserve">matemática</w:t>
      </w:r>
      <w:r>
        <w:t xml:space="preserve"> </w:t>
      </w:r>
      <w:r>
        <w:t xml:space="preserve">(Bhattacharya and Verbert 2024;</w:t>
      </w:r>
      <w:r>
        <w:t xml:space="preserve"> </w:t>
      </w:r>
      <w:r>
        <w:t xml:space="preserve">Reif et al.</w:t>
      </w:r>
      <w:r>
        <w:t xml:space="preserve"> </w:t>
      </w:r>
      <w:r>
        <w:t xml:space="preserve">2024)</w:t>
      </w:r>
      <w:r>
        <w:t xml:space="preserve">.</w:t>
      </w:r>
    </w:p>
    <w:bookmarkEnd w:id="52"/>
    <w:bookmarkEnd w:id="53"/>
    <w:bookmarkEnd w:id="54"/>
    <w:bookmarkStart w:id="93" w:name="marco-empírico-y-diseño-experimental"/>
    <w:p>
      <w:pPr>
        <w:pStyle w:val="Ttulo1"/>
      </w:pPr>
      <w:r>
        <w:t xml:space="preserve">Marco empírico y diseño experimental</w:t>
      </w:r>
    </w:p>
    <w:p>
      <w:pPr>
        <w:pStyle w:val="FirstParagraph"/>
        <w:jc w:val="both"/>
        <w:spacing w:line="480" w:lineRule="auto"/>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jc w:val="both"/>
        <w:spacing w:line="480" w:lineRule="auto"/>
      </w:pPr>
      <w:r>
        <w:t xml:space="preserve">Además de estos dos estudios confirmativos, la tesis incorpora una capa</w:t>
      </w:r>
      <w:r>
        <w:t xml:space="preserve"> </w:t>
      </w:r>
      <w:r>
        <w:t xml:space="preserve">descriptiva de validación humana de explicaciones. Esta capa se usa para</w:t>
      </w:r>
      <w:r>
        <w:t xml:space="preserve"> </w:t>
      </w:r>
      <w:r>
        <w:t xml:space="preserve">evaluar dimensiones semánticas de calidad —claridad, completitud, concisión,</w:t>
      </w:r>
      <w:r>
        <w:t xml:space="preserve"> </w:t>
      </w:r>
      <w:r>
        <w:t xml:space="preserve">plausibilidad y utilidad para auditoría— que no pueden inferirse directamente</w:t>
      </w:r>
      <w:r>
        <w:t xml:space="preserve"> </w:t>
      </w:r>
      <w:r>
        <w:t xml:space="preserve">de las métricas funcionales de EXP2. Su rol es complementario: no modifica el</w:t>
      </w:r>
      <w:r>
        <w:t xml:space="preserve"> </w:t>
      </w:r>
      <w:r>
        <w:t xml:space="preserve">diseño factorial ni los contrastes H1–H3, pero permite interpretar si las</w:t>
      </w:r>
      <w:r>
        <w:t xml:space="preserve"> </w:t>
      </w:r>
      <w:r>
        <w:t xml:space="preserve">explicaciones producidas por los métodos XAI son percibidas como artefactos</w:t>
      </w:r>
      <w:r>
        <w:t xml:space="preserve"> </w:t>
      </w:r>
      <w:r>
        <w:t xml:space="preserve">comprensibles y útiles por evaluadores humanos.</w:t>
      </w:r>
    </w:p>
    <w:bookmarkStart w:id="58" w:name="fases-experimentales-exp1-y-exp2"/>
    <w:p>
      <w:pPr>
        <w:pStyle w:val="Ttulo2"/>
      </w:pPr>
      <w:r>
        <w:t xml:space="preserve">Fases experimentales: EXP1 y EXP2</w:t>
      </w:r>
    </w:p>
    <w:p>
      <w:pPr>
        <w:pStyle w:val="FirstParagraph"/>
        <w:jc w:val="both"/>
        <w:spacing w:line="480" w:lineRule="auto"/>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56" w:name="X32cac70d6076bcfbcdceb21da7e13d3984b2a1d"/>
    <w:p>
      <w:pPr>
        <w:pStyle w:val="Ttulo3"/>
      </w:pPr>
      <w:r>
        <w:t xml:space="preserve">Fase de calibración y reproducibilidad (EXP1)</w:t>
      </w:r>
    </w:p>
    <w:p>
      <w:pPr>
        <w:pStyle w:val="FirstParagraph"/>
        <w:jc w:val="both"/>
        <w:spacing w:line="480" w:lineRule="auto"/>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jc w:val="both"/>
        <w:spacing w:line="480" w:lineRule="auto"/>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jc w:val="both"/>
        <w:spacing w:line="480" w:lineRule="auto"/>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55" w:name="tbl-model-performance"/>
          <w:p>
            <w:pPr>
              <w:jc w:val="center"/>
            </w:pPr>
            <w:pPr>
              <w:jc w:val="left"/>
              <w:spacing w:before="200"/>
              <w:pStyle w:val="ImageCaption"/>
            </w:pPr>
            <w:r>
              <w:t xml:space="preserve">Table 4.1: Rendimiento predictivo de los modelos en el conjunto de prueba (</w:t>
            </w:r>
            <m:oMath>
              <m:r>
                <m:t>n</m:t>
              </m:r>
              <m:r>
                <m:rPr>
                  <m:sty m:val="p"/>
                </m:rPr>
                <m:t>=</m:t>
              </m:r>
              <m:r>
                <m:t>9</m:t>
              </m:r>
              <m:r>
                <m:rPr>
                  <m:sty m:val="p"/>
                </m:rPr>
                <m:t>,</m:t>
              </m:r>
              <m:r>
                <m:t>758</m:t>
              </m:r>
            </m: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left"/>
                    <w:jc w:val="center"/>
                  </w:pPr>
                  <w:r>
                    <w:t xml:space="preserve">Modelo</w:t>
                  </w:r>
                </w:p>
              </w:tc>
              <w:tc>
                <w:tcPr/>
                <w:p>
                  <w:pPr>
                    <w:pStyle w:val="Compact"/>
                    <w:jc w:val="right"/>
                    <w:jc w:val="center"/>
                  </w:pPr>
                  <w:r>
                    <w:t xml:space="preserve">Exactitud</w:t>
                  </w:r>
                </w:p>
              </w:tc>
              <w:tc>
                <w:tcPr/>
                <w:p>
                  <w:pPr>
                    <w:pStyle w:val="Compact"/>
                    <w:jc w:val="right"/>
                    <w:jc w:val="center"/>
                  </w:pPr>
                  <w:r>
                    <w:t xml:space="preserve">Precisión</w:t>
                  </w:r>
                </w:p>
              </w:tc>
              <w:tc>
                <w:tcPr/>
                <w:p>
                  <w:pPr>
                    <w:pStyle w:val="Compact"/>
                    <w:jc w:val="right"/>
                    <w:jc w:val="center"/>
                  </w:pPr>
                  <w:r>
                    <w:t xml:space="preserve">Recall</w:t>
                  </w:r>
                </w:p>
              </w:tc>
              <w:tc>
                <w:tcPr/>
                <w:p>
                  <w:pPr>
                    <w:pStyle w:val="Compact"/>
                    <w:jc w:val="right"/>
                    <w:jc w:val="center"/>
                  </w:pPr>
                  <w:r>
                    <w:t xml:space="preserve">F1</w:t>
                  </w:r>
                </w:p>
              </w:tc>
              <w:tc>
                <w:tcPr/>
                <w:p>
                  <w:pPr>
                    <w:pStyle w:val="Compact"/>
                    <w:jc w:val="right"/>
                    <w:jc w:val="center"/>
                  </w:pPr>
                  <w:r>
                    <w:t xml:space="preserve">AUC-ROC</w:t>
                  </w:r>
                </w:p>
              </w:tc>
            </w:tr>
            <w:tr>
              <w:tc>
                <w:tcPr/>
                <w:p>
                  <w:pPr>
                    <w:pStyle w:val="Compact"/>
                    <w:jc w:val="left"/>
                    <w:jc w:val="center"/>
                  </w:pPr>
                  <w:r>
                    <w:t xml:space="preserve">Regresión logística (</w:t>
                  </w:r>
                  <w:r>
                    <w:rPr>
                      <w:rStyle w:val="VerbatimChar"/>
                    </w:rPr>
                    <w:t xml:space="preserve">logreg</w:t>
                  </w:r>
                  <w:r>
                    <w:t xml:space="preserve">)</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0.849</w:t>
                  </w:r>
                </w:p>
              </w:tc>
              <w:tc>
                <w:tcPr/>
                <w:p>
                  <w:pPr>
                    <w:pStyle w:val="Compact"/>
                    <w:jc w:val="right"/>
                    <w:jc w:val="center"/>
                  </w:pPr>
                  <w:r>
                    <w:t xml:space="preserve">0.844</w:t>
                  </w:r>
                </w:p>
              </w:tc>
              <w:tc>
                <w:tcPr/>
                <w:p>
                  <w:pPr>
                    <w:pStyle w:val="Compact"/>
                    <w:jc w:val="right"/>
                    <w:jc w:val="center"/>
                  </w:pPr>
                  <w:r>
                    <w:t xml:space="preserve">0.903</w:t>
                  </w:r>
                </w:p>
              </w:tc>
            </w:tr>
            <w:tr>
              <w:tc>
                <w:tcPr/>
                <w:p>
                  <w:pPr>
                    <w:pStyle w:val="Compact"/>
                    <w:jc w:val="left"/>
                    <w:jc w:val="center"/>
                  </w:pPr>
                  <w:r>
                    <w:t xml:space="preserve">Bosque aleatorio (</w:t>
                  </w:r>
                  <w:r>
                    <w:rPr>
                      <w:rStyle w:val="VerbatimChar"/>
                    </w:rPr>
                    <w:t xml:space="preserve">rf</w:t>
                  </w:r>
                  <w:r>
                    <w:t xml:space="preserve">)</w:t>
                  </w:r>
                </w:p>
              </w:tc>
              <w:tc>
                <w:tcPr/>
                <w:p>
                  <w:pPr>
                    <w:pStyle w:val="Compact"/>
                    <w:jc w:val="right"/>
                    <w:jc w:val="center"/>
                  </w:pPr>
                  <w:r>
                    <w:t xml:space="preserve">0.854</w:t>
                  </w:r>
                </w:p>
              </w:tc>
              <w:tc>
                <w:tcPr/>
                <w:p>
                  <w:pPr>
                    <w:pStyle w:val="Compact"/>
                    <w:jc w:val="right"/>
                    <w:jc w:val="center"/>
                  </w:pPr>
                  <w:r>
                    <w:t xml:space="preserve">0.849</w:t>
                  </w:r>
                </w:p>
              </w:tc>
              <w:tc>
                <w:tcPr/>
                <w:p>
                  <w:pPr>
                    <w:pStyle w:val="Compact"/>
                    <w:jc w:val="right"/>
                    <w:jc w:val="center"/>
                  </w:pPr>
                  <w:r>
                    <w:t xml:space="preserve">0.854</w:t>
                  </w:r>
                </w:p>
              </w:tc>
              <w:tc>
                <w:tcPr/>
                <w:p>
                  <w:pPr>
                    <w:pStyle w:val="Compact"/>
                    <w:jc w:val="right"/>
                    <w:jc w:val="center"/>
                  </w:pPr>
                  <w:r>
                    <w:t xml:space="preserve">0.851</w:t>
                  </w:r>
                </w:p>
              </w:tc>
              <w:tc>
                <w:tcPr/>
                <w:p>
                  <w:pPr>
                    <w:pStyle w:val="Compact"/>
                    <w:jc w:val="right"/>
                    <w:jc w:val="center"/>
                  </w:pPr>
                  <w:r>
                    <w:t xml:space="preserve">0.902</w:t>
                  </w:r>
                </w:p>
              </w:tc>
            </w:tr>
            <w:tr>
              <w:tc>
                <w:tcPr/>
                <w:p>
                  <w:pPr>
                    <w:pStyle w:val="Compact"/>
                    <w:jc w:val="left"/>
                    <w:jc w:val="center"/>
                  </w:pPr>
                  <w:r>
                    <w:t xml:space="preserve">XGBoost (</w:t>
                  </w:r>
                  <w:r>
                    <w:rPr>
                      <w:rStyle w:val="VerbatimChar"/>
                    </w:rPr>
                    <w:t xml:space="preserve">xgb</w:t>
                  </w:r>
                  <w:r>
                    <w:t xml:space="preserve">)</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0.926</w:t>
                  </w:r>
                </w:p>
              </w:tc>
            </w:tr>
            <w:tr>
              <w:tc>
                <w:tcPr/>
                <w:p>
                  <w:pPr>
                    <w:pStyle w:val="Compact"/>
                    <w:jc w:val="left"/>
                    <w:jc w:val="center"/>
                  </w:pPr>
                  <w:r>
                    <w:t xml:space="preserve">Máquina de vectores soporte (</w:t>
                  </w:r>
                  <w:r>
                    <w:rPr>
                      <w:rStyle w:val="VerbatimChar"/>
                    </w:rPr>
                    <w:t xml:space="preserve">svm</w:t>
                  </w:r>
                  <w:r>
                    <w:t xml:space="preserve">)</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0.898</w:t>
                  </w:r>
                </w:p>
              </w:tc>
            </w:tr>
            <w:tr>
              <w:tc>
                <w:tcPr/>
                <w:p>
                  <w:pPr>
                    <w:pStyle w:val="Compact"/>
                    <w:jc w:val="left"/>
                    <w:jc w:val="center"/>
                  </w:pPr>
                  <w:r>
                    <w:t xml:space="preserve">Perceptrón multicapa (</w:t>
                  </w:r>
                  <w:r>
                    <w:rPr>
                      <w:rStyle w:val="VerbatimChar"/>
                    </w:rPr>
                    <w:t xml:space="preserve">mlp</w:t>
                  </w:r>
                  <w:r>
                    <w:t xml:space="preserve">)</w:t>
                  </w:r>
                </w:p>
              </w:tc>
              <w:tc>
                <w:tcPr/>
                <w:p>
                  <w:pPr>
                    <w:pStyle w:val="Compact"/>
                    <w:jc w:val="right"/>
                    <w:jc w:val="center"/>
                  </w:pPr>
                  <w:r>
                    <w:t xml:space="preserve">0.840</w:t>
                  </w:r>
                </w:p>
              </w:tc>
              <w:tc>
                <w:tcPr/>
                <w:p>
                  <w:pPr>
                    <w:pStyle w:val="Compact"/>
                    <w:jc w:val="right"/>
                    <w:jc w:val="center"/>
                  </w:pPr>
                  <w:r>
                    <w:t xml:space="preserve">0.833</w:t>
                  </w:r>
                </w:p>
              </w:tc>
              <w:tc>
                <w:tcPr/>
                <w:p>
                  <w:pPr>
                    <w:pStyle w:val="Compact"/>
                    <w:jc w:val="right"/>
                    <w:jc w:val="center"/>
                  </w:pPr>
                  <w:r>
                    <w:t xml:space="preserve">0.840</w:t>
                  </w:r>
                </w:p>
              </w:tc>
              <w:tc>
                <w:tcPr/>
                <w:p>
                  <w:pPr>
                    <w:pStyle w:val="Compact"/>
                    <w:jc w:val="right"/>
                    <w:jc w:val="center"/>
                  </w:pPr>
                  <w:r>
                    <w:t xml:space="preserve">0.835</w:t>
                  </w:r>
                </w:p>
              </w:tc>
              <w:tc>
                <w:tcPr/>
                <w:p>
                  <w:pPr>
                    <w:pStyle w:val="Compact"/>
                    <w:jc w:val="right"/>
                    <w:jc w:val="center"/>
                  </w:pPr>
                  <w:r>
                    <w:t xml:space="preserve">0.885</w:t>
                  </w:r>
                </w:p>
              </w:tc>
            </w:tr>
          </w:tbl>
          <w:bookmarkEnd w:id="55"/>
          <w:p/>
        </w:tc>
      </w:tr>
    </w:tbl>
    <w:p>
      <w:pPr>
        <w:pStyle w:val="Textoindependiente"/>
        <w:jc w:val="both"/>
        <w:spacing w:line="480" w:lineRule="auto"/>
      </w:pPr>
      <w:r>
        <w:t xml:space="preserve">Todos los modelos superan los umbrales de inclusión definidos en el protocolo:</w:t>
      </w:r>
      <w:r>
        <w:t xml:space="preserve"> </w:t>
      </w:r>
      <w:r>
        <w:t xml:space="preserve">exactitud</w:t>
      </w:r>
      <w:r>
        <w:t xml:space="preserve"> </w:t>
      </w:r>
      <m:oMath>
        <m:r>
          <m:rPr>
            <m:sty m:val="p"/>
          </m:rPr>
          <m:t>≥</m:t>
        </m:r>
        <m:r>
          <m:t>0.83</m:t>
        </m:r>
      </m:oMath>
      <w:r>
        <w:t xml:space="preserve"> </w:t>
      </w:r>
      <w:r>
        <w:t xml:space="preserve">y AUC-ROC</w:t>
      </w:r>
      <w:r>
        <w:t xml:space="preserve"> </w:t>
      </w:r>
      <m:oMath>
        <m:r>
          <m:rPr>
            <m:sty m:val="p"/>
          </m:rPr>
          <m:t>≥</m:t>
        </m:r>
        <m:r>
          <m:t>0.88</m:t>
        </m:r>
      </m: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jc w:val="both"/>
        <w:spacing w:line="480" w:lineRule="auto"/>
      </w:pPr>
      <w:r>
        <w:t xml:space="preserve">El perfilado de reproducibilidad de EXP1 establece que las métricas de calidad</w:t>
      </w:r>
      <w:r>
        <w:t xml:space="preserve"> </w:t>
      </w:r>
      <w:r>
        <w:t xml:space="preserve">presentan coeficientes de variación inferiores al 9% bajo variación de semilla:</w:t>
      </w:r>
      <w:r>
        <w:t xml:space="preserve"> </w:t>
      </w:r>
      <m:oMath>
        <m:sSub>
          <m:e>
            <m:r>
              <m:rPr>
                <m:nor/>
                <m:sty m:val="p"/>
              </m:rPr>
              <m:t>CV</m:t>
            </m:r>
          </m:e>
          <m:sub>
            <m:r>
              <m:t>F</m:t>
            </m:r>
          </m:sub>
        </m:sSub>
        <m:r>
          <m:rPr>
            <m:sty m:val="p"/>
          </m:rPr>
          <m:t>≤</m:t>
        </m:r>
        <m:r>
          <m:t>0.063</m:t>
        </m:r>
      </m:oMath>
      <w:r>
        <w:t xml:space="preserve">,</w:t>
      </w:r>
      <w:r>
        <w:t xml:space="preserve"> </w:t>
      </w:r>
      <m:oMath>
        <m:sSub>
          <m:e>
            <m:r>
              <m:rPr>
                <m:nor/>
                <m:sty m:val="p"/>
              </m:rPr>
              <m:t>CV</m:t>
            </m:r>
          </m:e>
          <m:sub>
            <m:r>
              <m:t>S</m:t>
            </m:r>
          </m:sub>
        </m:sSub>
        <m:r>
          <m:rPr>
            <m:sty m:val="p"/>
          </m:rPr>
          <m:t>≤</m:t>
        </m:r>
        <m:r>
          <m:t>0.083</m:t>
        </m:r>
      </m:oMath>
      <w:r>
        <w:t xml:space="preserve">,</w:t>
      </w:r>
      <w:r>
        <w:t xml:space="preserve"> </w:t>
      </w:r>
      <m:oMath>
        <m:sSub>
          <m:e>
            <m:r>
              <m:rPr>
                <m:nor/>
                <m:sty m:val="p"/>
              </m:rPr>
              <m:t>CV</m:t>
            </m:r>
          </m:e>
          <m:sub>
            <m:r>
              <m:t>P</m:t>
            </m:r>
          </m:sub>
        </m:sSub>
        <m:r>
          <m:rPr>
            <m:sty m:val="p"/>
          </m:rPr>
          <m:t>≤</m:t>
        </m:r>
        <m:r>
          <m:t>0.044</m:t>
        </m:r>
      </m:oMath>
      <w:r>
        <w:t xml:space="preserve">,</w:t>
      </w:r>
      <w:r>
        <w:t xml:space="preserve"> </w:t>
      </w:r>
      <m:oMath>
        <m:sSub>
          <m:e>
            <m:r>
              <m:rPr>
                <m:nor/>
                <m:sty m:val="p"/>
              </m:rPr>
              <m:t>CV</m:t>
            </m:r>
          </m:e>
          <m:sub>
            <m:sSub>
              <m:e>
                <m:r>
                  <m:rPr>
                    <m:sty m:val="p"/>
                  </m:rPr>
                  <m:t>Δ</m:t>
                </m:r>
              </m:e>
              <m:sub>
                <m:r>
                  <m:t>k</m:t>
                </m:r>
              </m:sub>
            </m:sSub>
          </m:sub>
        </m:sSub>
        <m:r>
          <m:rPr>
            <m:sty m:val="p"/>
          </m:rPr>
          <m:t>≤</m:t>
        </m:r>
        <m:r>
          <m:t>0.036</m:t>
        </m:r>
      </m:oMath>
      <w:r>
        <w:t xml:space="preserve">. El coste</w:t>
      </w:r>
      <w:r>
        <w:t xml:space="preserve"> </w:t>
      </w:r>
      <w:r>
        <w:t xml:space="preserve">computacional exhibe mayor variabilidad (</w:t>
      </w:r>
      <m:oMath>
        <m:sSub>
          <m:e>
            <m:r>
              <m:rPr>
                <m:nor/>
                <m:sty m:val="p"/>
              </m:rPr>
              <m:t>CV</m:t>
            </m:r>
          </m:e>
          <m:sub>
            <m:r>
              <m:t>C</m:t>
            </m:r>
          </m:sub>
        </m:sSub>
        <m:r>
          <m:rPr>
            <m:sty m:val="p"/>
          </m:rPr>
          <m:t>≤</m:t>
        </m:r>
        <m:r>
          <m:t>0.225</m:t>
        </m:r>
      </m: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56"/>
    <w:bookmarkStart w:id="57" w:name="X88dee61532cae681dfa2cfeee2779c5c9929176"/>
    <w:p>
      <w:pPr>
        <w:pStyle w:val="Ttulo3"/>
      </w:pPr>
      <w:r>
        <w:t xml:space="preserve">Fase de benchmark primario de robustez (EXP2)</w:t>
      </w:r>
    </w:p>
    <w:p>
      <w:pPr>
        <w:pStyle w:val="FirstParagraph"/>
        <w:jc w:val="both"/>
        <w:spacing w:line="480" w:lineRule="auto"/>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57"/>
    <w:bookmarkEnd w:id="58"/>
    <w:bookmarkStart w:id="62" w:name="Xb179eb5e9b7cbdb0e78e991d72b8aeee41d8932"/>
    <w:p>
      <w:pPr>
        <w:pStyle w:val="Ttulo2"/>
      </w:pPr>
      <w:r>
        <w:t xml:space="preserve">Conjunto de datos y protocolo de preprocesamiento</w:t>
      </w:r>
    </w:p>
    <w:bookmarkStart w:id="59" w:name="descripción-del-conjunto-de-datos"/>
    <w:p>
      <w:pPr>
        <w:pStyle w:val="Ttulo3"/>
      </w:pPr>
      <w:r>
        <w:t xml:space="preserve">Descripción del conjunto de datos</w:t>
      </w:r>
    </w:p>
    <w:p>
      <w:pPr>
        <w:pStyle w:val="FirstParagraph"/>
        <w:jc w:val="both"/>
        <w:spacing w:line="480" w:lineRule="auto"/>
      </w:pPr>
      <w:r>
        <w:t xml:space="preserve">Ambos estudios utilizan el conjunto de datos UCI Adult Income</w:t>
      </w:r>
      <w:r>
        <w:t xml:space="preserve"> </w:t>
      </w:r>
      <w:r>
        <w:t xml:space="preserve">(Breiman 2001; Kohavi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jc w:val="both"/>
        <w:spacing w:line="480" w:lineRule="auto"/>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m:oMath>
        <m:r>
          <m:rPr>
            <m:sty m:val="p"/>
          </m:rPr>
          <m:t>&gt;</m:t>
        </m:r>
        <m:r>
          <m:t>50</m:t>
        </m:r>
      </m: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59"/>
    <w:bookmarkStart w:id="60" w:name="carga-limpieza-y-partición"/>
    <w:p>
      <w:pPr>
        <w:pStyle w:val="Ttulo3"/>
      </w:pPr>
      <w:r>
        <w:t xml:space="preserve">Carga, limpieza y partición</w:t>
      </w:r>
    </w:p>
    <w:p>
      <w:pPr>
        <w:pStyle w:val="FirstParagraph"/>
        <w:jc w:val="both"/>
        <w:spacing w:line="480" w:lineRule="auto"/>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m:oMath>
        <m:r>
          <m:rPr>
            <m:sty m:val="p"/>
          </m:rPr>
          <m:t>→</m:t>
        </m:r>
      </m: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m:oMath>
        <m:r>
          <m:rPr>
            <m:sty m:val="p"/>
          </m:rPr>
          <m:t>→</m:t>
        </m:r>
      </m:oMath>
      <w:r>
        <w:t xml:space="preserve"> </w:t>
      </w:r>
      <w:r>
        <w:t xml:space="preserve">1,</w:t>
      </w:r>
      <w:r>
        <w:t xml:space="preserve"> </w:t>
      </w:r>
      <w:r>
        <w:rPr>
          <w:rStyle w:val="VerbatimChar"/>
        </w:rPr>
        <w:t xml:space="preserve">"&lt;=50K."</w:t>
      </w:r>
      <w:r>
        <w:t xml:space="preserve"> </w:t>
      </w:r>
      <m:oMath>
        <m:r>
          <m:rPr>
            <m:sty m:val="p"/>
          </m:rPr>
          <m:t>→</m:t>
        </m:r>
      </m:oMath>
      <w:r>
        <w:t xml:space="preserve"> </w:t>
      </w:r>
      <w:r>
        <w:t xml:space="preserve">0), (iv) eliminación de duplicados</w:t>
      </w:r>
      <w:r>
        <w:t xml:space="preserve"> </w:t>
      </w:r>
      <w:r>
        <w:t xml:space="preserve">exactos, y (v) ordenamiento determinista de columnas.</w:t>
      </w:r>
    </w:p>
    <w:p>
      <w:pPr>
        <w:pStyle w:val="Textoindependiente"/>
        <w:jc w:val="both"/>
        <w:spacing w:line="480" w:lineRule="auto"/>
      </w:pPr>
      <w:r>
        <w:t xml:space="preserve">La partición sigue el esquema estratificado:</w:t>
      </w:r>
    </w:p>
    <w:p>
      <w:pPr>
        <w:pStyle w:val="Textoindependiente"/>
        <w:jc w:val="both"/>
        <w:spacing w:line="480" w:lineRule="auto"/>
      </w:pPr>
      <m:oMathPara>
        <m:oMathParaPr>
          <m:jc m:val="center"/>
        </m:oMathParaPr>
        <m:oMath>
          <m:r>
            <m:rPr>
              <m:nor/>
              <m:sty m:val="p"/>
            </m:rPr>
            <m:t>train_test_split</m:t>
          </m:r>
          <m:r>
            <m:t>​</m:t>
          </m:r>
          <m:d>
            <m:dPr>
              <m:begChr m:val="("/>
              <m:sepChr m:val=""/>
              <m:endChr m:val=")"/>
              <m:grow/>
            </m:dPr>
            <m:e>
              <m:r>
                <m:rPr>
                  <m:nor/>
                  <m:sty m:val="p"/>
                </m:rPr>
                <m:t>test_size</m:t>
              </m:r>
              <m:r>
                <m:rPr>
                  <m:sty m:val="p"/>
                </m:rPr>
                <m:t>=</m:t>
              </m:r>
              <m:r>
                <m:t>0.20</m:t>
              </m:r>
              <m:r>
                <m:rPr>
                  <m:sty m:val="p"/>
                </m:rPr>
                <m:t>,</m:t>
              </m:r>
              <m:r>
                <m:t> </m:t>
              </m:r>
              <m:r>
                <m:rPr>
                  <m:nor/>
                  <m:sty m:val="p"/>
                </m:rPr>
                <m:t>stratify</m:t>
              </m:r>
              <m:r>
                <m:rPr>
                  <m:sty m:val="p"/>
                </m:rPr>
                <m:t>=</m:t>
              </m:r>
              <m:r>
                <m:t>y</m:t>
              </m:r>
              <m:r>
                <m:rPr>
                  <m:sty m:val="p"/>
                </m:rPr>
                <m:t>,</m:t>
              </m:r>
              <m:r>
                <m:t> </m:t>
              </m:r>
              <m:r>
                <m:rPr>
                  <m:nor/>
                  <m:sty m:val="p"/>
                </m:rPr>
                <m:t>random_state</m:t>
              </m:r>
              <m:r>
                <m:rPr>
                  <m:sty m:val="p"/>
                </m:rPr>
                <m:t>=</m:t>
              </m:r>
              <m:r>
                <m:t>s</m:t>
              </m:r>
            </m:e>
          </m:d>
        </m:oMath>
      </m:oMathPara>
    </w:p>
    <w:p>
      <w:pPr>
        <w:pStyle w:val="FirstParagraph"/>
        <w:jc w:val="both"/>
        <w:spacing w:line="480" w:lineRule="auto"/>
      </w:pPr>
      <w:r>
        <w:t xml:space="preserve">Para la semilla canónica</w:t>
      </w:r>
      <w:r>
        <w:t xml:space="preserve"> </w:t>
      </w:r>
      <m:oMath>
        <m:r>
          <m:t>s</m:t>
        </m:r>
        <m:r>
          <m:rPr>
            <m:sty m:val="p"/>
          </m:rPr>
          <m:t>=</m:t>
        </m:r>
        <m:r>
          <m:t>42</m:t>
        </m:r>
      </m:oMath>
      <w:r>
        <w:t xml:space="preserve">, la partición produce 39,032 instancias</w:t>
      </w:r>
      <w:r>
        <w:t xml:space="preserve"> </w:t>
      </w:r>
      <w:r>
        <w:t xml:space="preserve">de entrenamiento y 9,758 de prueba.</w:t>
      </w:r>
    </w:p>
    <w:bookmarkEnd w:id="60"/>
    <w:bookmarkStart w:id="61" w:name="controles-de-fuga-de-datos"/>
    <w:p>
      <w:pPr>
        <w:pStyle w:val="Ttulo3"/>
      </w:pPr>
      <w:r>
        <w:t xml:space="preserve">Controles de fuga de datos</w:t>
      </w:r>
    </w:p>
    <w:p>
      <w:pPr>
        <w:pStyle w:val="FirstParagraph"/>
        <w:jc w:val="both"/>
        <w:spacing w:line="480" w:lineRule="auto"/>
      </w:pPr>
      <w:r>
        <w:t xml:space="preserve">Los cuatro controles de fuga de datos se aplican de forma uniforme a todos</w:t>
      </w:r>
      <w:r>
        <w:t xml:space="preserve"> </w:t>
      </w:r>
      <w:r>
        <w:t xml:space="preserve">los métodos explicadores:</w:t>
      </w:r>
    </w:p>
    <w:p>
      <w:pPr>
        <w:pStyle w:val="Compact"/>
        <w:numPr>
          <w:ilvl w:val="0"/>
          <w:numId w:val="1006"/>
        </w:numPr>
        <w:jc w:val="both"/>
        <w:spacing w:line="480" w:lineRule="auto"/>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jc w:val="both"/>
        <w:spacing w:line="480" w:lineRule="auto"/>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jc w:val="both"/>
        <w:spacing w:line="480" w:lineRule="auto"/>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jc w:val="both"/>
        <w:spacing w:line="480" w:lineRule="auto"/>
      </w:pPr>
      <w:r>
        <w:t xml:space="preserve">Las explicaciones se generan sobre el espacio de características</w:t>
      </w:r>
      <w:r>
        <w:t xml:space="preserve"> </w:t>
      </w:r>
      <w:r>
        <w:t xml:space="preserve">transformado que el modelo usó durante el entrenamiento.</w:t>
      </w:r>
    </w:p>
    <w:bookmarkEnd w:id="61"/>
    <w:bookmarkEnd w:id="62"/>
    <w:bookmarkStart w:id="64" w:name="X810bf4db8899260d734480c9f59b02e6a2182a3"/>
    <w:p>
      <w:pPr>
        <w:pStyle w:val="Ttulo2"/>
      </w:pPr>
      <w:r>
        <w:t xml:space="preserve">Diseño factorial del benchmark primario (EXP2)</w:t>
      </w:r>
    </w:p>
    <w:p>
      <w:pPr>
        <w:pStyle w:val="FirstParagraph"/>
        <w:jc w:val="both"/>
        <w:spacing w:line="480" w:lineRule="auto"/>
      </w:pPr>
      <w:r>
        <w:t xml:space="preserve">El benchmark primario adopta una estructura factorial cruzada de cuatro</w:t>
      </w:r>
      <w:r>
        <w:t xml:space="preserve"> </w:t>
      </w:r>
      <w:r>
        <w:t xml:space="preserve">factores:</w:t>
      </w:r>
    </w:p>
    <w:p>
      <w:pPr>
        <w:pStyle w:val="Textoindependiente"/>
        <w:jc w:val="both"/>
        <w:spacing w:line="480" w:lineRule="auto"/>
      </w:pPr>
      <m:oMathPara>
        <m:oMathParaPr>
          <m:jc m:val="center"/>
        </m:oMathParaPr>
        <m:oMath>
          <m:r>
            <m:rPr>
              <m:scr m:val="script"/>
              <m:sty m:val="p"/>
            </m:rPr>
            <m:t>D</m:t>
          </m:r>
          <m:r>
            <m:rPr>
              <m:sty m:val="p"/>
            </m:rPr>
            <m:t>=</m:t>
          </m:r>
          <m:r>
            <m:t>g</m:t>
          </m:r>
          <m:r>
            <m:rPr>
              <m:sty m:val="p"/>
            </m:rPr>
            <m:t>×</m:t>
          </m:r>
          <m:r>
            <m:t>k</m:t>
          </m:r>
          <m:r>
            <m:rPr>
              <m:sty m:val="p"/>
            </m:rPr>
            <m:t>×</m:t>
          </m:r>
          <m:r>
            <m:t>s</m:t>
          </m:r>
          <m:r>
            <m:rPr>
              <m:sty m:val="p"/>
            </m:rPr>
            <m:t>×</m:t>
          </m:r>
          <m:r>
            <m:t>n</m:t>
          </m:r>
        </m:oMath>
      </m:oMathPara>
    </w:p>
    <w:p>
      <w:pPr>
        <w:pStyle w:val="FirstParagraph"/>
        <w:jc w:val="both"/>
        <w:spacing w:line="480" w:lineRule="auto"/>
      </w:pPr>
      <w:r>
        <w:t xml:space="preserve">donde:</w:t>
      </w:r>
    </w:p>
    <w:p>
      <w:pPr>
        <w:pStyle w:val="Compact"/>
        <w:numPr>
          <w:ilvl w:val="0"/>
          <w:numId w:val="1007"/>
        </w:numPr>
        <w:jc w:val="both"/>
        <w:spacing w:line="480" w:lineRule="auto"/>
      </w:pPr>
      <m:oMath>
        <m:r>
          <m:t>g</m:t>
        </m:r>
        <m:r>
          <m:rPr>
            <m:sty m:val="p"/>
          </m:rPr>
          <m:t>∈</m:t>
        </m:r>
        <m:r>
          <m:rPr>
            <m:sty m:val="p"/>
          </m:rPr>
          <m:t>{</m:t>
        </m:r>
        <m:r>
          <m:rPr>
            <m:nor/>
            <m:sty m:val="p"/>
          </m:rPr>
          <m:t>logreg</m:t>
        </m:r>
        <m:r>
          <m:rPr>
            <m:sty m:val="p"/>
          </m:rPr>
          <m:t>,</m:t>
        </m:r>
        <m:r>
          <m:t> </m:t>
        </m:r>
        <m:r>
          <m:rPr>
            <m:nor/>
            <m:sty m:val="p"/>
          </m:rPr>
          <m:t>rf</m:t>
        </m:r>
        <m:r>
          <m:rPr>
            <m:sty m:val="p"/>
          </m:rPr>
          <m:t>,</m:t>
        </m:r>
        <m:r>
          <m:t> </m:t>
        </m:r>
        <m:r>
          <m:rPr>
            <m:nor/>
            <m:sty m:val="p"/>
          </m:rPr>
          <m:t>xgb</m:t>
        </m:r>
        <m:r>
          <m:rPr>
            <m:sty m:val="p"/>
          </m:rPr>
          <m:t>,</m:t>
        </m:r>
        <m:r>
          <m:t> </m:t>
        </m:r>
        <m:r>
          <m:rPr>
            <m:nor/>
            <m:sty m:val="p"/>
          </m:rPr>
          <m:t>svm</m:t>
        </m:r>
        <m:r>
          <m:rPr>
            <m:sty m:val="p"/>
          </m:rPr>
          <m:t>,</m:t>
        </m:r>
        <m:r>
          <m:t> </m:t>
        </m:r>
        <m:r>
          <m:rPr>
            <m:nor/>
            <m:sty m:val="p"/>
          </m:rPr>
          <m:t>mlp</m:t>
        </m:r>
        <m:r>
          <m:rPr>
            <m:sty m:val="p"/>
          </m:rPr>
          <m:t>}</m:t>
        </m:r>
      </m:oMath>
      <w:r>
        <w:t xml:space="preserve"> </w:t>
      </w:r>
      <w:r>
        <w:t xml:space="preserve">— familia de modelo predictivo (5 niveles),</w:t>
      </w:r>
    </w:p>
    <w:p>
      <w:pPr>
        <w:pStyle w:val="Compact"/>
        <w:numPr>
          <w:ilvl w:val="0"/>
          <w:numId w:val="1007"/>
        </w:numPr>
        <w:jc w:val="both"/>
        <w:spacing w:line="480" w:lineRule="auto"/>
      </w:pPr>
      <m:oMath>
        <m:r>
          <m:t>k</m:t>
        </m:r>
        <m:r>
          <m:rPr>
            <m:sty m:val="p"/>
          </m:rPr>
          <m:t>∈</m:t>
        </m:r>
        <m:r>
          <m:rPr>
            <m:sty m:val="p"/>
          </m:rPr>
          <m:t>{</m:t>
        </m:r>
        <m:r>
          <m:rPr>
            <m:nor/>
            <m:sty m:val="p"/>
          </m:rPr>
          <m:t>shap</m:t>
        </m:r>
        <m:r>
          <m:rPr>
            <m:sty m:val="p"/>
          </m:rPr>
          <m:t>,</m:t>
        </m:r>
        <m:r>
          <m:t> </m:t>
        </m:r>
        <m:r>
          <m:rPr>
            <m:nor/>
            <m:sty m:val="p"/>
          </m:rPr>
          <m:t>lime</m:t>
        </m:r>
        <m:r>
          <m:rPr>
            <m:sty m:val="p"/>
          </m:rPr>
          <m:t>,</m:t>
        </m:r>
        <m:r>
          <m:t> </m:t>
        </m:r>
        <m:r>
          <m:rPr>
            <m:nor/>
            <m:sty m:val="p"/>
          </m:rPr>
          <m:t>anchors</m:t>
        </m:r>
        <m:r>
          <m:rPr>
            <m:sty m:val="p"/>
          </m:rPr>
          <m:t>,</m:t>
        </m:r>
        <m:r>
          <m:t> </m:t>
        </m:r>
        <m:r>
          <m:rPr>
            <m:nor/>
            <m:sty m:val="p"/>
          </m:rPr>
          <m:t>dice</m:t>
        </m:r>
        <m:r>
          <m:rPr>
            <m:sty m:val="p"/>
          </m:rPr>
          <m:t>}</m:t>
        </m:r>
      </m:oMath>
      <w:r>
        <w:t xml:space="preserve"> </w:t>
      </w:r>
      <w:r>
        <w:t xml:space="preserve">—</w:t>
      </w:r>
      <w:r>
        <w:t xml:space="preserve"> </w:t>
      </w:r>
      <w:r>
        <w:t xml:space="preserve">método de explicabilidad (4 niveles),</w:t>
      </w:r>
    </w:p>
    <w:p>
      <w:pPr>
        <w:pStyle w:val="Compact"/>
        <w:numPr>
          <w:ilvl w:val="0"/>
          <w:numId w:val="1007"/>
        </w:numPr>
        <w:jc w:val="both"/>
        <w:spacing w:line="480" w:lineRule="auto"/>
      </w:pPr>
      <m:oMath>
        <m:r>
          <m:t>s</m:t>
        </m:r>
        <m:r>
          <m:rPr>
            <m:sty m:val="p"/>
          </m:rPr>
          <m:t>∈</m:t>
        </m:r>
        <m:r>
          <m:rPr>
            <m:sty m:val="p"/>
          </m:rPr>
          <m:t>{</m:t>
        </m:r>
        <m:r>
          <m:t>42</m:t>
        </m:r>
        <m:r>
          <m:rPr>
            <m:sty m:val="p"/>
          </m:rPr>
          <m:t>,</m:t>
        </m:r>
        <m:r>
          <m:t> </m:t>
        </m:r>
        <m:r>
          <m:t>123</m:t>
        </m:r>
        <m:r>
          <m:rPr>
            <m:sty m:val="p"/>
          </m:rPr>
          <m:t>,</m:t>
        </m:r>
        <m:r>
          <m:t> </m:t>
        </m:r>
        <m:r>
          <m:t>456</m:t>
        </m:r>
        <m:r>
          <m:rPr>
            <m:sty m:val="p"/>
          </m:rPr>
          <m:t>,</m:t>
        </m:r>
        <m:r>
          <m:t> </m:t>
        </m:r>
        <m:r>
          <m:t>789</m:t>
        </m:r>
        <m:r>
          <m:rPr>
            <m:sty m:val="p"/>
          </m:rPr>
          <m:t>,</m:t>
        </m:r>
        <m:r>
          <m:t> </m:t>
        </m:r>
        <m:r>
          <m:t>999</m:t>
        </m:r>
        <m:r>
          <m:rPr>
            <m:sty m:val="p"/>
          </m:rPr>
          <m:t>}</m:t>
        </m:r>
      </m:oMath>
      <w:r>
        <w:t xml:space="preserve"> </w:t>
      </w:r>
      <w:r>
        <w:t xml:space="preserve">— semilla de aleatoriedad</w:t>
      </w:r>
      <w:r>
        <w:t xml:space="preserve"> </w:t>
      </w:r>
      <w:r>
        <w:t xml:space="preserve">(5 niveles),</w:t>
      </w:r>
    </w:p>
    <w:p>
      <w:pPr>
        <w:pStyle w:val="Compact"/>
        <w:numPr>
          <w:ilvl w:val="0"/>
          <w:numId w:val="1007"/>
        </w:numPr>
        <w:jc w:val="both"/>
        <w:spacing w:line="480" w:lineRule="auto"/>
      </w:pPr>
      <m:oMath>
        <m:r>
          <m:t>n</m:t>
        </m:r>
        <m:r>
          <m:rPr>
            <m:sty m:val="p"/>
          </m:rPr>
          <m:t>∈</m:t>
        </m:r>
        <m:r>
          <m:rPr>
            <m:sty m:val="p"/>
          </m:rPr>
          <m:t>{</m:t>
        </m:r>
        <m:r>
          <m:t>50</m:t>
        </m:r>
        <m:r>
          <m:rPr>
            <m:sty m:val="p"/>
          </m:rPr>
          <m:t>,</m:t>
        </m:r>
        <m:r>
          <m:t> </m:t>
        </m:r>
        <m:r>
          <m:t>100</m:t>
        </m:r>
        <m:r>
          <m:rPr>
            <m:sty m:val="p"/>
          </m:rPr>
          <m:t>,</m:t>
        </m:r>
        <m:r>
          <m:t> </m:t>
        </m:r>
        <m:r>
          <m:t>200</m:t>
        </m:r>
        <m:r>
          <m:rPr>
            <m:sty m:val="p"/>
          </m:rPr>
          <m:t>}</m:t>
        </m:r>
      </m:oMath>
      <w:r>
        <w:t xml:space="preserve"> </w:t>
      </w:r>
      <w:r>
        <w:t xml:space="preserve">— instancias por cuadrante de error (3 niveles).</w:t>
      </w:r>
    </w:p>
    <w:p>
      <w:pPr>
        <w:pStyle w:val="FirstParagraph"/>
        <w:jc w:val="both"/>
        <w:spacing w:line="480" w:lineRule="auto"/>
      </w:pPr>
      <w:r>
        <w:t xml:space="preserve">El tamaño del diseño planificado es:</w:t>
      </w:r>
    </w:p>
    <w:p>
      <w:pPr>
        <w:pStyle w:val="Textoindependiente"/>
        <w:jc w:val="both"/>
        <w:spacing w:line="480" w:lineRule="auto"/>
      </w:pPr>
      <m:oMathPara>
        <m:oMathParaPr>
          <m:jc m:val="center"/>
        </m:oMathParaPr>
        <m:oMath>
          <m:r>
            <m:rPr>
              <m:sty m:val="p"/>
            </m:rPr>
            <m:t>|</m:t>
          </m:r>
          <m:r>
            <m:rPr>
              <m:scr m:val="script"/>
              <m:sty m:val="p"/>
            </m:rPr>
            <m:t>D</m:t>
          </m:r>
          <m:r>
            <m:rPr>
              <m:sty m:val="p"/>
            </m:rPr>
            <m:t>|</m:t>
          </m:r>
          <m:r>
            <m:rPr>
              <m:sty m:val="p"/>
            </m:rPr>
            <m:t>=</m:t>
          </m:r>
          <m:r>
            <m:t>5</m:t>
          </m:r>
          <m:r>
            <m:rPr>
              <m:sty m:val="p"/>
            </m:rPr>
            <m:t>×</m:t>
          </m:r>
          <m:r>
            <m:t>4</m:t>
          </m:r>
          <m:r>
            <m:rPr>
              <m:sty m:val="p"/>
            </m:rPr>
            <m:t>×</m:t>
          </m:r>
          <m:r>
            <m:t>5</m:t>
          </m:r>
          <m:r>
            <m:rPr>
              <m:sty m:val="p"/>
            </m:rPr>
            <m:t>×</m:t>
          </m:r>
          <m:r>
            <m:t>3</m:t>
          </m:r>
          <m:r>
            <m:rPr>
              <m:sty m:val="p"/>
            </m:rPr>
            <m:t>=</m:t>
          </m:r>
          <m:r>
            <m:t>300</m:t>
          </m:r>
          <m:r>
            <m:rPr>
              <m:nor/>
              <m:sty m:val="p"/>
            </m:rPr>
            <m:t> ejecuciones</m:t>
          </m:r>
        </m:oMath>
      </m:oMathPara>
    </w:p>
    <w:p>
      <w:pPr>
        <w:pStyle w:val="FirstParagraph"/>
        <w:jc w:val="both"/>
        <w:spacing w:line="480" w:lineRule="auto"/>
      </w:pPr>
      <w:r>
        <w:t xml:space="preserve">Cada celda</w:t>
      </w:r>
      <w:r>
        <w:t xml:space="preserve"> </w:t>
      </w:r>
      <m:oMath>
        <m:r>
          <m:rPr>
            <m:sty m:val="p"/>
          </m:rPr>
          <m:t>(</m:t>
        </m:r>
        <m:r>
          <m:t>g</m:t>
        </m:r>
        <m:r>
          <m:rPr>
            <m:sty m:val="p"/>
          </m:rPr>
          <m:t>,</m:t>
        </m:r>
        <m:r>
          <m:t>k</m:t>
        </m:r>
        <m:r>
          <m:rPr>
            <m:sty m:val="p"/>
          </m:rPr>
          <m:t>,</m:t>
        </m:r>
        <m:r>
          <m:t>s</m:t>
        </m:r>
        <m:r>
          <m:rPr>
            <m:sty m:val="p"/>
          </m:rPr>
          <m:t>,</m:t>
        </m:r>
        <m:r>
          <m:t>n</m:t>
        </m:r>
        <m:r>
          <m:rPr>
            <m:sty m:val="p"/>
          </m:rPr>
          <m:t>)</m:t>
        </m:r>
      </m:oMath>
      <w:r>
        <w:t xml:space="preserve"> </w:t>
      </w:r>
      <w:r>
        <w:t xml:space="preserve">produce un artefacto de resultado independiente.</w:t>
      </w:r>
      <w:r>
        <w:t xml:space="preserve"> </w:t>
      </w:r>
      <w:r>
        <w:t xml:space="preserve">La variación en</w:t>
      </w:r>
      <w:r>
        <w:t xml:space="preserve"> </w:t>
      </w:r>
      <m:oMath>
        <m:r>
          <m:t>s</m:t>
        </m:r>
      </m:oMath>
      <w:r>
        <w:t xml:space="preserve"> </w:t>
      </w:r>
      <w:r>
        <w:t xml:space="preserve">sirve para estimar la reproducibilidad del protocolo. La</w:t>
      </w:r>
      <w:r>
        <w:t xml:space="preserve"> </w:t>
      </w:r>
      <w:r>
        <w:t xml:space="preserve">variación en</w:t>
      </w:r>
      <w:r>
        <w:t xml:space="preserve"> </w:t>
      </w:r>
      <m:oMath>
        <m:r>
          <m:t>n</m:t>
        </m:r>
      </m:oMath>
      <w:r>
        <w:t xml:space="preserve"> </w:t>
      </w:r>
      <w:r>
        <w:t xml:space="preserve">permite examinar la estabilidad de los rankings bajo</w:t>
      </w:r>
      <w:r>
        <w:t xml:space="preserve"> </w:t>
      </w:r>
      <w:r>
        <w:t xml:space="preserve">distintos volúmenes de evidencia local.</w:t>
      </w:r>
    </w:p>
    <w:bookmarkStart w:id="63" w:name="X7f3be01e797123bdbedac923d646584591998bc"/>
    <w:p>
      <w:pPr>
        <w:pStyle w:val="Ttulo3"/>
      </w:pPr>
      <w:r>
        <w:t xml:space="preserve">Jerarquía de análisis y unidad inferencial</w:t>
      </w:r>
    </w:p>
    <w:p>
      <w:pPr>
        <w:pStyle w:val="FirstParagraph"/>
        <w:jc w:val="both"/>
        <w:spacing w:line="480" w:lineRule="auto"/>
      </w:pPr>
      <w:r>
        <w:t xml:space="preserve">Para evitar la pseudo-replicación, el análisis adopta una estructura</w:t>
      </w:r>
      <w:r>
        <w:t xml:space="preserve"> </w:t>
      </w:r>
      <w:r>
        <w:t xml:space="preserve">jerárquica de tres niveles:</w:t>
      </w:r>
    </w:p>
    <w:p>
      <w:pPr>
        <w:pStyle w:val="Compact"/>
        <w:numPr>
          <w:ilvl w:val="0"/>
          <w:numId w:val="1008"/>
        </w:numPr>
        <w:jc w:val="both"/>
        <w:spacing w:line="480" w:lineRule="auto"/>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jc w:val="both"/>
        <w:spacing w:line="480" w:lineRule="auto"/>
      </w:pPr>
      <w:r>
        <w:rPr>
          <w:b/>
          <w:bCs/>
        </w:rPr>
        <w:t xml:space="preserve">Nivel de ejecución:</w:t>
      </w:r>
      <w:r>
        <w:t xml:space="preserve"> </w:t>
      </w:r>
      <w:r>
        <w:t xml:space="preserve">media métrica por instancia, estimador del</w:t>
      </w:r>
      <w:r>
        <w:t xml:space="preserve"> </w:t>
      </w:r>
      <w:r>
        <w:t xml:space="preserve">rendimiento del método</w:t>
      </w:r>
      <w:r>
        <w:t xml:space="preserve"> </w:t>
      </w:r>
      <m:oMath>
        <m:r>
          <m:t>k</m:t>
        </m:r>
      </m:oMath>
      <w:r>
        <w:t xml:space="preserve"> </w:t>
      </w:r>
      <w:r>
        <w:t xml:space="preserve">sobre el modelo</w:t>
      </w:r>
      <w:r>
        <w:t xml:space="preserve"> </w:t>
      </w:r>
      <m:oMath>
        <m:r>
          <m:t>g</m:t>
        </m:r>
      </m:oMath>
      <w:r>
        <w:t xml:space="preserve"> </w:t>
      </w:r>
      <w:r>
        <w:t xml:space="preserve">bajo semilla</w:t>
      </w:r>
      <w:r>
        <w:t xml:space="preserve"> </w:t>
      </w:r>
      <m:oMath>
        <m:r>
          <m:t>s</m:t>
        </m:r>
      </m:oMath>
      <w:r>
        <w:t xml:space="preserve"> </w:t>
      </w:r>
      <w:r>
        <w:t xml:space="preserve">y tamaño</w:t>
      </w:r>
      <w:r>
        <w:t xml:space="preserve"> </w:t>
      </w:r>
      <m:oMath>
        <m:r>
          <m:t>n</m:t>
        </m:r>
      </m:oMath>
      <w:r>
        <w:t xml:space="preserve">. Estimando declarado:</w:t>
      </w:r>
      <w:r>
        <w:t xml:space="preserve"> </w:t>
      </w:r>
      <m:oMath>
        <m:sSub>
          <m:e>
            <m:r>
              <m:t>y</m:t>
            </m:r>
          </m:e>
          <m:sub>
            <m:r>
              <m:t>g</m:t>
            </m:r>
            <m:r>
              <m:rPr>
                <m:sty m:val="p"/>
              </m:rPr>
              <m:t>,</m:t>
            </m:r>
            <m:r>
              <m:t>k</m:t>
            </m:r>
            <m:r>
              <m:rPr>
                <m:sty m:val="p"/>
              </m:rPr>
              <m:t>,</m:t>
            </m:r>
            <m:r>
              <m:t>s</m:t>
            </m:r>
            <m:r>
              <m:rPr>
                <m:sty m:val="p"/>
              </m:rPr>
              <m:t>,</m:t>
            </m:r>
            <m:r>
              <m:t>n</m:t>
            </m:r>
            <m:r>
              <m:rPr>
                <m:sty m:val="p"/>
              </m:rPr>
              <m:t>,</m:t>
            </m:r>
            <m:r>
              <m:t>m</m:t>
            </m:r>
          </m:sub>
        </m:sSub>
      </m:oMath>
      <w:r>
        <w:t xml:space="preserve">.</w:t>
      </w:r>
    </w:p>
    <w:p>
      <w:pPr>
        <w:pStyle w:val="Compact"/>
        <w:numPr>
          <w:ilvl w:val="0"/>
          <w:numId w:val="1008"/>
        </w:numPr>
        <w:jc w:val="both"/>
        <w:spacing w:line="480" w:lineRule="auto"/>
      </w:pPr>
      <w:r>
        <w:rPr>
          <w:b/>
          <w:bCs/>
        </w:rPr>
        <w:t xml:space="preserve">Nivel de bloque:</w:t>
      </w:r>
      <w:r>
        <w:t xml:space="preserve"> </w:t>
      </w:r>
      <w:r>
        <w:t xml:space="preserve">para los tests de Friedman, el bloque se define como</w:t>
      </w:r>
      <w:r>
        <w:t xml:space="preserve"> </w:t>
      </w:r>
      <m:oMath>
        <m:r>
          <m:t>b</m:t>
        </m:r>
        <m:r>
          <m:rPr>
            <m:sty m:val="p"/>
          </m:rPr>
          <m:t>=</m:t>
        </m:r>
        <m:r>
          <m:rPr>
            <m:sty m:val="p"/>
          </m:rPr>
          <m:t>(</m:t>
        </m:r>
        <m:r>
          <m:t>g</m:t>
        </m:r>
        <m:r>
          <m:rPr>
            <m:sty m:val="p"/>
          </m:rPr>
          <m:t>,</m:t>
        </m:r>
        <m:r>
          <m:t>n</m:t>
        </m:r>
        <m:r>
          <m:rPr>
            <m:sty m:val="p"/>
          </m:rPr>
          <m:t>)</m:t>
        </m:r>
      </m:oMath>
      <w:r>
        <w:t xml:space="preserve">, con la ejecución como unidad de observación dentro del bloque.</w:t>
      </w:r>
      <w:r>
        <w:t xml:space="preserve"> </w:t>
      </w:r>
      <w:r>
        <w:t xml:space="preserve">Este diseño produce</w:t>
      </w:r>
      <w:r>
        <w:t xml:space="preserve"> </w:t>
      </w:r>
      <m:oMath>
        <m:r>
          <m:t>5</m:t>
        </m:r>
        <m:r>
          <m:rPr>
            <m:sty m:val="p"/>
          </m:rPr>
          <m:t>×</m:t>
        </m:r>
        <m:r>
          <m:t>3</m:t>
        </m:r>
        <m:r>
          <m:rPr>
            <m:sty m:val="p"/>
          </m:rPr>
          <m:t>=</m:t>
        </m:r>
        <m:r>
          <m:t>15</m:t>
        </m:r>
      </m:oMath>
      <w:r>
        <w:t xml:space="preserve"> </w:t>
      </w:r>
      <w:r>
        <w:t xml:space="preserve">bloques completos.</w:t>
      </w:r>
    </w:p>
    <w:p>
      <w:pPr>
        <w:pStyle w:val="FirstParagraph"/>
        <w:jc w:val="both"/>
        <w:spacing w:line="480" w:lineRule="auto"/>
      </w:pPr>
      <w:r>
        <w:t xml:space="preserve">La unidad inferencial primaria del Estudio B es la</w:t>
      </w:r>
      <w:r>
        <w:t xml:space="preserve"> </w:t>
      </w:r>
      <w:r>
        <w:rPr>
          <w:b/>
          <w:bCs/>
        </w:rPr>
        <w:t xml:space="preserve">celda pareada</w:t>
      </w:r>
      <w:r>
        <w:t xml:space="preserve"> </w:t>
      </w:r>
      <m:oMath>
        <m:r>
          <m:rPr>
            <m:sty m:val="p"/>
          </m:rPr>
          <m:t>(</m:t>
        </m:r>
        <m:r>
          <m:t>g</m:t>
        </m:r>
        <m:r>
          <m:rPr>
            <m:sty m:val="p"/>
          </m:rPr>
          <m:t>,</m:t>
        </m:r>
        <m:r>
          <m:t>s</m:t>
        </m:r>
        <m:r>
          <m:rPr>
            <m:sty m:val="p"/>
          </m:rPr>
          <m:t>,</m:t>
        </m:r>
        <m:r>
          <m:t>n</m:t>
        </m:r>
        <m:r>
          <m:rPr>
            <m:sty m:val="p"/>
          </m:rPr>
          <m:t>)</m:t>
        </m:r>
      </m:oMath>
      <w:r>
        <w:t xml:space="preserve">: las 75 tuplas para las que existen artefactos calificados de</w:t>
      </w:r>
      <w:r>
        <w:t xml:space="preserve"> </w:t>
      </w:r>
      <w:r>
        <w:t xml:space="preserve">SHAP y LIME con coordenadas idénticas.</w:t>
      </w:r>
    </w:p>
    <w:bookmarkEnd w:id="63"/>
    <w:bookmarkEnd w:id="64"/>
    <w:bookmarkStart w:id="67" w:name="Xa1b63f5b80ef9314faeb5aae6b8d7e743e4217a"/>
    <w:p>
      <w:pPr>
        <w:pStyle w:val="Ttulo2"/>
      </w:pPr>
      <w:r>
        <w:t xml:space="preserve">Protocolo de muestreo de instancias y configuración de explicadores</w:t>
      </w:r>
    </w:p>
    <w:bookmarkStart w:id="65" w:name="X22a27531824c8c7d79a9c6abca6e13f987fd35c"/>
    <w:p>
      <w:pPr>
        <w:pStyle w:val="Ttulo3"/>
      </w:pPr>
      <w:r>
        <w:t xml:space="preserve">Muestreo estratificado por cuadrante de error</w:t>
      </w:r>
    </w:p>
    <w:p>
      <w:pPr>
        <w:pStyle w:val="FirstParagraph"/>
        <w:jc w:val="both"/>
        <w:spacing w:line="480" w:lineRule="auto"/>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m:oMath>
        <m:r>
          <m:t>n</m:t>
        </m:r>
      </m:oMath>
      <w:r>
        <w:t xml:space="preserve"> </w:t>
      </w:r>
      <w:r>
        <w:t xml:space="preserve">instancias por cuadrante:</w:t>
      </w:r>
    </w:p>
    <w:p>
      <w:pPr>
        <w:pStyle w:val="Textoindependiente"/>
        <w:jc w:val="both"/>
        <w:spacing w:line="480" w:lineRule="auto"/>
      </w:pPr>
      <m:oMathPara>
        <m:oMathParaPr>
          <m:jc m:val="center"/>
        </m:oMathParaPr>
        <m:oMath>
          <m:sSub>
            <m:e>
              <m:r>
                <m:rPr>
                  <m:scr m:val="script"/>
                  <m:sty m:val="p"/>
                </m:rPr>
                <m:t>I</m:t>
              </m:r>
            </m:e>
            <m:sub>
              <m:r>
                <m:t>g</m:t>
              </m:r>
              <m:r>
                <m:rPr>
                  <m:sty m:val="p"/>
                </m:rPr>
                <m:t>,</m:t>
              </m:r>
              <m:r>
                <m:t>s</m:t>
              </m:r>
              <m:r>
                <m:rPr>
                  <m:sty m:val="p"/>
                </m:rPr>
                <m:t>,</m:t>
              </m:r>
              <m:r>
                <m:t>n</m:t>
              </m:r>
            </m:sub>
          </m:sSub>
          <m:r>
            <m:rPr>
              <m:sty m:val="p"/>
            </m:rPr>
            <m:t>=</m:t>
          </m:r>
          <m:r>
            <m:rPr>
              <m:nor/>
              <m:sty m:val="p"/>
            </m:rPr>
            <m:t>StratSample</m:t>
          </m:r>
          <m:r>
            <m:t>​</m:t>
          </m:r>
          <m:d>
            <m:dPr>
              <m:begChr m:val="("/>
              <m:sepChr m:val=""/>
              <m:endChr m:val=")"/>
              <m:grow/>
            </m:dPr>
            <m:e>
              <m:sSub>
                <m:e>
                  <m:r>
                    <m:rPr>
                      <m:scr m:val="script"/>
                      <m:sty m:val="p"/>
                    </m:rPr>
                    <m:t>I</m:t>
                  </m:r>
                </m:e>
                <m:sub>
                  <m:r>
                    <m:rPr>
                      <m:nor/>
                      <m:sty m:val="p"/>
                    </m:rPr>
                    <m:t>test</m:t>
                  </m:r>
                </m:sub>
              </m:sSub>
              <m:r>
                <m:rPr>
                  <m:sty m:val="p"/>
                </m:rPr>
                <m:t>,</m:t>
              </m:r>
              <m:r>
                <m:t> </m:t>
              </m:r>
              <m:r>
                <m:rPr>
                  <m:nor/>
                  <m:sty m:val="p"/>
                </m:rPr>
                <m:t>strata</m:t>
              </m:r>
              <m:r>
                <m:rPr>
                  <m:sty m:val="p"/>
                </m:rPr>
                <m:t>=</m:t>
              </m:r>
              <m:r>
                <m:rPr>
                  <m:sty m:val="p"/>
                </m:rPr>
                <m:t>{</m:t>
              </m:r>
              <m:r>
                <m:rPr>
                  <m:nor/>
                  <m:sty m:val="p"/>
                </m:rPr>
                <m:t>VP, VN, FP, FN</m:t>
              </m:r>
              <m:r>
                <m:rPr>
                  <m:sty m:val="p"/>
                </m:rPr>
                <m:t>}</m:t>
              </m:r>
              <m:r>
                <m:rPr>
                  <m:sty m:val="p"/>
                </m:rPr>
                <m:t>,</m:t>
              </m:r>
              <m:r>
                <m:t> </m:t>
              </m:r>
              <m:sSub>
                <m:e>
                  <m:r>
                    <m:t>n</m:t>
                  </m:r>
                </m:e>
                <m:sub>
                  <m:r>
                    <m:rPr>
                      <m:nor/>
                      <m:sty m:val="p"/>
                    </m:rPr>
                    <m:t>per_strata</m:t>
                  </m:r>
                </m:sub>
              </m:sSub>
              <m:r>
                <m:rPr>
                  <m:sty m:val="p"/>
                </m:rPr>
                <m:t>=</m:t>
              </m:r>
              <m:r>
                <m:t>n</m:t>
              </m:r>
            </m:e>
          </m:d>
        </m:oMath>
      </m:oMathPara>
    </w:p>
    <w:p>
      <w:pPr>
        <w:pStyle w:val="FirstParagraph"/>
        <w:jc w:val="both"/>
        <w:spacing w:line="480" w:lineRule="auto"/>
      </w:pPr>
      <w:r>
        <w:t xml:space="preserve">El tamaño nominal por ejecución es</w:t>
      </w:r>
      <w:r>
        <w:t xml:space="preserve"> </w:t>
      </w:r>
      <m:oMath>
        <m:r>
          <m:t>4</m:t>
        </m:r>
        <m:r>
          <m:t>n</m:t>
        </m:r>
      </m: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65"/>
    <w:bookmarkStart w:id="66" w:name="configuración-de-los-explicadores"/>
    <w:p>
      <w:pPr>
        <w:pStyle w:val="Ttulo3"/>
      </w:pPr>
      <w:r>
        <w:t xml:space="preserve">Configuración de los explicadores</w:t>
      </w:r>
    </w:p>
    <w:p>
      <w:pPr>
        <w:pStyle w:val="FirstParagraph"/>
        <w:jc w:val="both"/>
        <w:spacing w:line="480" w:lineRule="auto"/>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jc w:val="both"/>
        <w:spacing w:line="480" w:lineRule="auto"/>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m:oMath>
        <m:sSub>
          <m:e>
            <m:r>
              <m:t>n</m:t>
            </m:r>
          </m:e>
          <m:sub>
            <m:r>
              <m:rPr>
                <m:nor/>
                <m:sty m:val="p"/>
              </m:rPr>
              <m:t>bg</m:t>
            </m:r>
          </m:sub>
        </m:sSub>
        <m:r>
          <m:rPr>
            <m:sty m:val="p"/>
          </m:rPr>
          <m:t>=</m:t>
        </m:r>
        <m:r>
          <m:t>50</m:t>
        </m:r>
      </m:oMath>
      <w:r>
        <w:t xml:space="preserve"> </w:t>
      </w:r>
      <w:r>
        <w:t xml:space="preserve">muestras del conjunto de entrenamiento. Objetivo:</w:t>
      </w:r>
      <w:r>
        <w:t xml:space="preserve"> </w:t>
      </w:r>
      <w:r>
        <w:t xml:space="preserve">probabilidad de la clase positiva.</w:t>
      </w:r>
    </w:p>
    <w:p>
      <w:pPr>
        <w:pStyle w:val="Textoindependiente"/>
        <w:jc w:val="both"/>
        <w:spacing w:line="480" w:lineRule="auto"/>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jc w:val="both"/>
        <w:spacing w:line="480" w:lineRule="auto"/>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m:oMath>
        <m:r>
          <m:t>τ</m:t>
        </m:r>
        <m:r>
          <m:rPr>
            <m:sty m:val="p"/>
          </m:rPr>
          <m:t>=</m:t>
        </m:r>
        <m:r>
          <m:t>0.95</m:t>
        </m:r>
      </m: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jc w:val="both"/>
        <w:spacing w:line="480" w:lineRule="auto"/>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m:oMath>
        <m:sSub>
          <m:e>
            <m:r>
              <m:rPr>
                <m:nor/>
                <m:sty m:val="p"/>
              </m:rPr>
              <m:t>imp</m:t>
            </m:r>
          </m:e>
          <m:sub>
            <m:r>
              <m:t>i</m:t>
            </m:r>
          </m:sub>
        </m:sSub>
        <m:r>
          <m:rPr>
            <m:sty m:val="p"/>
          </m:rPr>
          <m:t>=</m:t>
        </m:r>
        <m:r>
          <m:rPr>
            <m:sty m:val="p"/>
          </m:rPr>
          <m:t>|</m:t>
        </m:r>
        <m:sSub>
          <m:e>
            <m:r>
              <m:t>x</m:t>
            </m:r>
          </m:e>
          <m:sub>
            <m:r>
              <m:t>i</m:t>
            </m:r>
          </m:sub>
        </m:sSub>
        <m:r>
          <m:rPr>
            <m:sty m:val="p"/>
          </m:rPr>
          <m:t>−</m:t>
        </m:r>
        <m:sSubSup>
          <m:e>
            <m:r>
              <m:t>x</m:t>
            </m:r>
          </m:e>
          <m:sub>
            <m:r>
              <m:t>i</m:t>
            </m:r>
          </m:sub>
          <m:sup>
            <m:r>
              <m:rPr>
                <m:sty m:val="p"/>
              </m:rPr>
              <m:t>′</m:t>
            </m:r>
          </m:sup>
        </m:sSubSup>
        <m:r>
          <m:rPr>
            <m:sty m:val="p"/>
          </m:rPr>
          <m:t>|</m:t>
        </m:r>
      </m:oMath>
      <w:r>
        <w:t xml:space="preserve">,</w:t>
      </w:r>
      <w:r>
        <w:t xml:space="preserve"> </w:t>
      </w:r>
      <w:r>
        <w:rPr>
          <w:rStyle w:val="VerbatimChar"/>
        </w:rPr>
        <w:t xml:space="preserve">total_CFs = 1</w:t>
      </w:r>
      <w:r>
        <w:t xml:space="preserve"> </w:t>
      </w:r>
      <w:r>
        <w:t xml:space="preserve">efectivo (parámetro YAML no consumido).</w:t>
      </w:r>
    </w:p>
    <w:bookmarkEnd w:id="66"/>
    <w:bookmarkEnd w:id="67"/>
    <w:bookmarkStart w:id="75" w:name="operacionalización-de-las-métricas"/>
    <w:p>
      <w:pPr>
        <w:pStyle w:val="Ttulo2"/>
      </w:pPr>
      <w:r>
        <w:t xml:space="preserve">Operacionalización de las métricas</w:t>
      </w:r>
    </w:p>
    <w:p>
      <w:pPr>
        <w:pStyle w:val="FirstParagraph"/>
        <w:jc w:val="both"/>
        <w:spacing w:line="480" w:lineRule="auto"/>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bookmarkStart w:id="68" w:name="fidelidad-1"/>
    <w:p>
      <w:pPr>
        <w:pStyle w:val="Ttulo3"/>
      </w:pPr>
      <w:r>
        <w:t xml:space="preserve">Fidelidad</w:t>
      </w:r>
    </w:p>
    <w:p>
      <w:pPr>
        <w:pStyle w:val="FirstParagraph"/>
        <w:jc w:val="both"/>
        <w:spacing w:line="480" w:lineRule="auto"/>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jc w:val="both"/>
        <w:spacing w:line="480" w:lineRule="auto"/>
      </w:pPr>
      <m:oMathPara>
        <m:oMathParaPr>
          <m:jc m:val="center"/>
        </m:oMathParaPr>
        <m:oMath>
          <m:r>
            <m:t>F</m:t>
          </m:r>
          <m:r>
            <m:rPr>
              <m:sty m:val="p"/>
            </m:rPr>
            <m:t>=</m:t>
          </m:r>
          <m:r>
            <m:rPr>
              <m:nor/>
              <m:sty m:val="p"/>
            </m:rPr>
            <m:t>corr</m:t>
          </m:r>
          <m:r>
            <m:t>​</m:t>
          </m:r>
          <m:d>
            <m:dPr>
              <m:begChr m:val="("/>
              <m:sepChr m:val=""/>
              <m:endChr m:val=")"/>
              <m:grow/>
            </m:dPr>
            <m:e>
              <m:r>
                <m:rPr>
                  <m:sty m:val="p"/>
                </m:rPr>
                <m:t>|</m:t>
              </m:r>
              <m:sSub>
                <m:e>
                  <m:r>
                    <m:t>w</m:t>
                  </m:r>
                </m:e>
                <m:sub>
                  <m:r>
                    <m:t>i</m:t>
                  </m:r>
                </m:sub>
              </m:sSub>
              <m:r>
                <m:rPr>
                  <m:sty m:val="p"/>
                </m:rPr>
                <m:t>|</m:t>
              </m:r>
              <m:r>
                <m:rPr>
                  <m:sty m:val="p"/>
                </m:rPr>
                <m:t>,</m:t>
              </m:r>
              <m:r>
                <m:t> </m:t>
              </m:r>
              <m:r>
                <m:rPr>
                  <m:sty m:val="p"/>
                </m:rPr>
                <m:t>|</m:t>
              </m:r>
              <m:r>
                <m:t>f</m:t>
              </m:r>
              <m:r>
                <m:rPr>
                  <m:sty m:val="p"/>
                </m:rPr>
                <m:t>(</m:t>
              </m:r>
              <m:r>
                <m:t>x</m:t>
              </m:r>
              <m:r>
                <m:rPr>
                  <m:sty m:val="p"/>
                </m:rPr>
                <m:t>)</m:t>
              </m:r>
              <m:r>
                <m:rPr>
                  <m:sty m:val="p"/>
                </m:rPr>
                <m:t>−</m:t>
              </m:r>
              <m:r>
                <m:t>f</m:t>
              </m:r>
              <m:r>
                <m:rPr>
                  <m:sty m:val="p"/>
                </m:rPr>
                <m:t>(</m:t>
              </m:r>
              <m:sSub>
                <m:e>
                  <m:r>
                    <m:t>x</m:t>
                  </m:r>
                </m:e>
                <m:sub>
                  <m:r>
                    <m:rPr>
                      <m:sty m:val="p"/>
                    </m:rPr>
                    <m:t>−</m:t>
                  </m:r>
                  <m:r>
                    <m:t>i</m:t>
                  </m:r>
                </m:sub>
              </m:sSub>
              <m:r>
                <m:rPr>
                  <m:sty m:val="p"/>
                </m:rPr>
                <m:t>)</m:t>
              </m:r>
              <m:r>
                <m:rPr>
                  <m:sty m:val="p"/>
                </m:rPr>
                <m:t>|</m:t>
              </m:r>
            </m:e>
          </m:d>
        </m:oMath>
      </m:oMathPara>
    </w:p>
    <w:p>
      <w:pPr>
        <w:pStyle w:val="FirstParagraph"/>
        <w:jc w:val="both"/>
        <w:spacing w:line="480" w:lineRule="auto"/>
      </w:pPr>
      <w:r>
        <w:t xml:space="preserve">donde</w:t>
      </w:r>
      <w:r>
        <w:t xml:space="preserve"> </w:t>
      </w:r>
      <m:oMath>
        <m:sSub>
          <m:e>
            <m:r>
              <m:t>x</m:t>
            </m:r>
          </m:e>
          <m:sub>
            <m:r>
              <m:rPr>
                <m:sty m:val="p"/>
              </m:rPr>
              <m:t>−</m:t>
            </m:r>
            <m:r>
              <m:t>i</m:t>
            </m:r>
          </m:sub>
        </m:sSub>
      </m:oMath>
      <w:r>
        <w:t xml:space="preserve"> </w:t>
      </w:r>
      <w:r>
        <w:t xml:space="preserve">sustituye la característica</w:t>
      </w:r>
      <w:r>
        <w:t xml:space="preserve"> </w:t>
      </w:r>
      <m:oMath>
        <m:r>
          <m:t>i</m:t>
        </m:r>
      </m:oMath>
      <w:r>
        <w:t xml:space="preserve"> </w:t>
      </w:r>
      <w:r>
        <w:t xml:space="preserve">por su media de entrenamiento.</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src/metrics/fidelity.py</w:t>
      </w:r>
      <w:r>
        <w:t xml:space="preserve">.</w:t>
      </w:r>
    </w:p>
    <w:bookmarkEnd w:id="68"/>
    <w:bookmarkStart w:id="69" w:name="estabilidad-1"/>
    <w:p>
      <w:pPr>
        <w:pStyle w:val="Ttulo3"/>
      </w:pPr>
      <w:r>
        <w:t xml:space="preserve">Estabilidad</w:t>
      </w:r>
    </w:p>
    <w:p>
      <w:pPr>
        <w:pStyle w:val="FirstParagraph"/>
        <w:jc w:val="both"/>
        <w:spacing w:line="480" w:lineRule="auto"/>
      </w:pPr>
      <w:r>
        <w:t xml:space="preserve">La estabilidad mide la consistencia de las explicaciones bajo</w:t>
      </w:r>
      <w:r>
        <w:t xml:space="preserve"> </w:t>
      </w:r>
      <m:oMath>
        <m:r>
          <m:t>T</m:t>
        </m:r>
        <m:r>
          <m:rPr>
            <m:sty m:val="p"/>
          </m:rPr>
          <m:t>=</m:t>
        </m:r>
        <m:r>
          <m:t>15</m:t>
        </m:r>
      </m:oMath>
      <w:r>
        <w:t xml:space="preserve"> </w:t>
      </w:r>
      <w:r>
        <w:t xml:space="preserve">perturbaciones gaussianas</w:t>
      </w:r>
      <w:r>
        <w:t xml:space="preserve"> </w:t>
      </w:r>
      <m:oMath>
        <m:sSup>
          <m:e>
            <m:r>
              <m:t>x</m:t>
            </m:r>
          </m:e>
          <m:sup>
            <m:r>
              <m:rPr>
                <m:sty m:val="p"/>
              </m:rPr>
              <m:t>(</m:t>
            </m:r>
            <m:r>
              <m:t>t</m:t>
            </m:r>
            <m:r>
              <m:rPr>
                <m:sty m:val="p"/>
              </m:rPr>
              <m:t>)</m:t>
            </m:r>
          </m:sup>
        </m:sSup>
        <m:r>
          <m:rPr>
            <m:sty m:val="p"/>
          </m:rPr>
          <m:t>=</m:t>
        </m:r>
        <m:r>
          <m:t>x</m:t>
        </m:r>
        <m:r>
          <m:rPr>
            <m:sty m:val="p"/>
          </m:rPr>
          <m:t>+</m:t>
        </m:r>
        <m:sSup>
          <m:e>
            <m:r>
              <m:t>ε</m:t>
            </m:r>
          </m:e>
          <m:sup>
            <m:r>
              <m:rPr>
                <m:sty m:val="p"/>
              </m:rPr>
              <m:t>(</m:t>
            </m:r>
            <m:r>
              <m:t>t</m:t>
            </m:r>
            <m:r>
              <m:rPr>
                <m:sty m:val="p"/>
              </m:rPr>
              <m:t>)</m:t>
            </m:r>
          </m:sup>
        </m:sSup>
      </m:oMath>
      <w:r>
        <w:t xml:space="preserve">,</w:t>
      </w:r>
      <w:r>
        <w:t xml:space="preserve"> </w:t>
      </w:r>
      <m:oMath>
        <m:sSup>
          <m:e>
            <m:r>
              <m:t>ε</m:t>
            </m:r>
          </m:e>
          <m:sup>
            <m:r>
              <m:rPr>
                <m:sty m:val="p"/>
              </m:rPr>
              <m:t>(</m:t>
            </m:r>
            <m:r>
              <m:t>t</m:t>
            </m:r>
            <m:r>
              <m:rPr>
                <m:sty m:val="p"/>
              </m:rPr>
              <m:t>)</m:t>
            </m:r>
          </m:sup>
        </m:sSup>
        <m:r>
          <m:rPr>
            <m:sty m:val="p"/>
          </m:rPr>
          <m:t>∼</m:t>
        </m:r>
        <m:r>
          <m:rPr>
            <m:scr m:val="script"/>
            <m:sty m:val="p"/>
          </m:rPr>
          <m:t>N</m:t>
        </m:r>
        <m:r>
          <m:rPr>
            <m:sty m:val="p"/>
          </m:rPr>
          <m:t>(</m:t>
        </m:r>
        <m:r>
          <m:t>0</m:t>
        </m:r>
        <m:r>
          <m:rPr>
            <m:sty m:val="p"/>
          </m:rPr>
          <m:t>,</m:t>
        </m:r>
        <m:sSup>
          <m:e>
            <m:r>
              <m:t>σ</m:t>
            </m:r>
          </m:e>
          <m:sup>
            <m:r>
              <m:t>2</m:t>
            </m:r>
          </m:sup>
        </m:sSup>
        <m:r>
          <m:rPr>
            <m:sty m:val="b"/>
          </m:rPr>
          <m:t>I</m:t>
        </m:r>
        <m:r>
          <m:rPr>
            <m:sty m:val="p"/>
          </m:rPr>
          <m:t>)</m:t>
        </m:r>
      </m:oMath>
      <w:r>
        <w:t xml:space="preserve">,</w:t>
      </w:r>
      <w:r>
        <w:t xml:space="preserve"> </w:t>
      </w:r>
      <m:oMath>
        <m:r>
          <m:t>σ</m:t>
        </m:r>
        <m:r>
          <m:rPr>
            <m:sty m:val="p"/>
          </m:rPr>
          <m:t>=</m:t>
        </m:r>
        <m:r>
          <m:t>0.1</m:t>
        </m:r>
      </m:oMath>
      <w:r>
        <w:t xml:space="preserve">:</w:t>
      </w:r>
    </w:p>
    <w:p>
      <w:pPr>
        <w:pStyle w:val="Textoindependiente"/>
        <w:jc w:val="both"/>
        <w:spacing w:line="480" w:lineRule="auto"/>
      </w:pPr>
      <m:oMathPara>
        <m:oMathParaPr>
          <m:jc m:val="center"/>
        </m:oMathParaPr>
        <m:oMath>
          <m:r>
            <m:t>S</m:t>
          </m:r>
          <m:r>
            <m:rPr>
              <m:sty m:val="p"/>
            </m:rPr>
            <m:t>=</m:t>
          </m:r>
          <m:f>
            <m:fPr>
              <m:type m:val="bar"/>
            </m:fPr>
            <m:num>
              <m:r>
                <m:t>2</m:t>
              </m:r>
            </m:num>
            <m:den>
              <m:r>
                <m:t>T</m:t>
              </m:r>
              <m:r>
                <m:rPr>
                  <m:sty m:val="p"/>
                </m:rPr>
                <m:t>(</m:t>
              </m:r>
              <m:r>
                <m:t>T</m:t>
              </m:r>
              <m:r>
                <m:rPr>
                  <m:sty m:val="p"/>
                </m:rPr>
                <m:t>−</m:t>
              </m:r>
              <m:r>
                <m:t>1</m:t>
              </m:r>
              <m:r>
                <m:rPr>
                  <m:sty m:val="p"/>
                </m:rPr>
                <m:t>)</m:t>
              </m:r>
            </m:den>
          </m:f>
          <m:nary>
            <m:naryPr>
              <m:chr m:val="∑"/>
              <m:limLoc m:val="undOvr"/>
              <m:subHide m:val="off"/>
              <m:supHide m:val="on"/>
            </m:naryPr>
            <m:sub>
              <m:r>
                <m:t>a</m:t>
              </m:r>
              <m:r>
                <m:rPr>
                  <m:sty m:val="p"/>
                </m:rPr>
                <m:t>&lt;</m:t>
              </m:r>
              <m:r>
                <m:t>b</m:t>
              </m:r>
            </m:sub>
            <m:sup>
              <m:r>
                <m:t>​</m:t>
              </m:r>
            </m:sup>
            <m:e>
              <m:r>
                <m:rPr>
                  <m:sty m:val="p"/>
                </m:rPr>
                <m:t>cos</m:t>
              </m:r>
            </m:e>
          </m:nary>
          <m:r>
            <m:t>​</m:t>
          </m:r>
          <m:d>
            <m:dPr>
              <m:begChr m:val="("/>
              <m:sepChr m:val=""/>
              <m:endChr m:val=")"/>
              <m:grow/>
            </m:dPr>
            <m:e>
              <m:sSup>
                <m:e>
                  <m:r>
                    <m:t>e</m:t>
                  </m:r>
                </m:e>
                <m:sup>
                  <m:r>
                    <m:rPr>
                      <m:sty m:val="p"/>
                    </m:rPr>
                    <m:t>(</m:t>
                  </m:r>
                  <m:r>
                    <m:t>a</m:t>
                  </m:r>
                  <m:r>
                    <m:rPr>
                      <m:sty m:val="p"/>
                    </m:rPr>
                    <m:t>)</m:t>
                  </m:r>
                </m:sup>
              </m:sSup>
              <m:r>
                <m:rPr>
                  <m:sty m:val="p"/>
                </m:rPr>
                <m:t>,</m:t>
              </m:r>
              <m:r>
                <m:t> </m:t>
              </m:r>
              <m:sSup>
                <m:e>
                  <m:r>
                    <m:t>e</m:t>
                  </m:r>
                </m:e>
                <m:sup>
                  <m:r>
                    <m:rPr>
                      <m:sty m:val="p"/>
                    </m:rPr>
                    <m:t>(</m:t>
                  </m:r>
                  <m:r>
                    <m:t>b</m:t>
                  </m:r>
                  <m:r>
                    <m:rPr>
                      <m:sty m:val="p"/>
                    </m:rPr>
                    <m:t>)</m:t>
                  </m:r>
                </m:sup>
              </m:sSup>
            </m:e>
          </m:d>
        </m:oMath>
      </m:oMathPara>
    </w:p>
    <w:p>
      <w:pPr>
        <w:pStyle w:val="FirstParagraph"/>
        <w:jc w:val="both"/>
        <w:spacing w:line="480" w:lineRule="auto"/>
      </w:pPr>
      <w:r>
        <w:t xml:space="preserve">Con</w:t>
      </w:r>
      <w:r>
        <w:t xml:space="preserve"> </w:t>
      </w:r>
      <m:oMath>
        <m:r>
          <m:t>T</m:t>
        </m:r>
        <m:r>
          <m:rPr>
            <m:sty m:val="p"/>
          </m:rPr>
          <m:t>=</m:t>
        </m:r>
        <m:r>
          <m:t>15</m:t>
        </m:r>
      </m:oMath>
      <w:r>
        <w:t xml:space="preserve"> </w:t>
      </w:r>
      <w:r>
        <w:t xml:space="preserve">se forman</w:t>
      </w:r>
      <w:r>
        <w:t xml:space="preserve"> </w:t>
      </w:r>
      <m:oMath>
        <m:d>
          <m:dPr>
            <m:begChr m:val="("/>
            <m:sepChr m:val=""/>
            <m:endChr m:val=")"/>
            <m:grow/>
          </m:dPr>
          <m:e>
            <m:f>
              <m:fPr>
                <m:type m:val="noBar"/>
              </m:fPr>
              <m:num>
                <m:r>
                  <m:t>15</m:t>
                </m:r>
              </m:num>
              <m:den>
                <m:r>
                  <m:t>2</m:t>
                </m:r>
              </m:den>
            </m:f>
          </m:e>
        </m:d>
        <m:r>
          <m:rPr>
            <m:sty m:val="p"/>
          </m:rPr>
          <m:t>=</m:t>
        </m:r>
        <m:r>
          <m:t>105</m:t>
        </m:r>
      </m:oMath>
      <w:r>
        <w:t xml:space="preserve"> </w:t>
      </w:r>
      <w:r>
        <w:t xml:space="preserve">pares por instancia.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src/metrics/stability.py</w:t>
      </w:r>
      <w:r>
        <w:t xml:space="preserve">.</w:t>
      </w:r>
    </w:p>
    <w:bookmarkEnd w:id="69"/>
    <w:bookmarkStart w:id="70" w:name="parsimonia"/>
    <w:p>
      <w:pPr>
        <w:pStyle w:val="Ttulo3"/>
      </w:pPr>
      <w:r>
        <w:t xml:space="preserve">Parsimonia</w:t>
      </w:r>
    </w:p>
    <w:p>
      <w:pPr>
        <w:pStyle w:val="FirstParagraph"/>
        <w:jc w:val="both"/>
        <w:spacing w:line="480" w:lineRule="auto"/>
      </w:pPr>
      <w:r>
        <w:t xml:space="preserve">La parsimonia cuantifica la proporción de características activas</w:t>
      </w:r>
      <w:r>
        <w:t xml:space="preserve"> </w:t>
      </w:r>
      <w:r>
        <w:t xml:space="preserve">(</w:t>
      </w:r>
      <m:oMath>
        <m:r>
          <m:rPr>
            <m:sty m:val="p"/>
          </m:rPr>
          <m:t>|</m:t>
        </m:r>
        <m:sSub>
          <m:e>
            <m:r>
              <m:t>w</m:t>
            </m:r>
          </m:e>
          <m:sub>
            <m:r>
              <m:t>i</m:t>
            </m:r>
          </m:sub>
        </m:sSub>
        <m:r>
          <m:rPr>
            <m:sty m:val="p"/>
          </m:rPr>
          <m:t>|</m:t>
        </m:r>
        <m:r>
          <m:rPr>
            <m:sty m:val="p"/>
          </m:rPr>
          <m:t>&gt;</m:t>
        </m:r>
        <m:sSub>
          <m:e>
            <m:r>
              <m:t>τ</m:t>
            </m:r>
          </m:e>
          <m:sub>
            <m:r>
              <m:t>s</m:t>
            </m:r>
          </m:sub>
        </m:sSub>
        <m:r>
          <m:rPr>
            <m:sty m:val="p"/>
          </m:rPr>
          <m:t>=</m:t>
        </m:r>
        <m:sSup>
          <m:e>
            <m:r>
              <m:t>10</m:t>
            </m:r>
          </m:e>
          <m:sup>
            <m:r>
              <m:rPr>
                <m:sty m:val="p"/>
              </m:rPr>
              <m:t>−</m:t>
            </m:r>
            <m:r>
              <m:t>4</m:t>
            </m:r>
          </m:sup>
        </m:sSup>
      </m:oMath>
      <w:r>
        <w:t xml:space="preserve">) sobre el total de características transformadas:</w:t>
      </w:r>
    </w:p>
    <w:p>
      <w:pPr>
        <w:pStyle w:val="Textoindependiente"/>
        <w:jc w:val="both"/>
        <w:spacing w:line="480" w:lineRule="auto"/>
      </w:pPr>
      <m:oMathPara>
        <m:oMathParaPr>
          <m:jc m:val="center"/>
        </m:oMathParaPr>
        <m:oMath>
          <m:r>
            <m:t>P</m:t>
          </m:r>
          <m:r>
            <m:rPr>
              <m:sty m:val="p"/>
            </m:rPr>
            <m:t>=</m:t>
          </m:r>
          <m:f>
            <m:fPr>
              <m:type m:val="bar"/>
            </m:fPr>
            <m:num>
              <m:r>
                <m:rPr>
                  <m:sty m:val="p"/>
                </m:rPr>
                <m:t>#</m:t>
              </m:r>
              <m:r>
                <m:rPr>
                  <m:sty m:val="p"/>
                </m:rPr>
                <m:t>{</m:t>
              </m:r>
              <m:r>
                <m:t>i</m:t>
              </m:r>
              <m:r>
                <m:rPr>
                  <m:sty m:val="p"/>
                </m:rPr>
                <m:t>:</m:t>
              </m:r>
              <m:r>
                <m:rPr>
                  <m:sty m:val="p"/>
                </m:rPr>
                <m:t>|</m:t>
              </m:r>
              <m:sSub>
                <m:e>
                  <m:r>
                    <m:t>w</m:t>
                  </m:r>
                </m:e>
                <m:sub>
                  <m:r>
                    <m:t>i</m:t>
                  </m:r>
                </m:sub>
              </m:sSub>
              <m:r>
                <m:rPr>
                  <m:sty m:val="p"/>
                </m:rPr>
                <m:t>|</m:t>
              </m:r>
              <m:r>
                <m:rPr>
                  <m:sty m:val="p"/>
                </m:rPr>
                <m:t>&gt;</m:t>
              </m:r>
              <m:sSub>
                <m:e>
                  <m:r>
                    <m:t>τ</m:t>
                  </m:r>
                </m:e>
                <m:sub>
                  <m:r>
                    <m:t>s</m:t>
                  </m:r>
                </m:sub>
              </m:sSub>
              <m:r>
                <m:rPr>
                  <m:sty m:val="p"/>
                </m:rPr>
                <m:t>}</m:t>
              </m:r>
            </m:num>
            <m:den>
              <m:r>
                <m:rPr>
                  <m:sty m:val="p"/>
                </m:rPr>
                <m:t>|</m:t>
              </m:r>
              <m:r>
                <m:rPr>
                  <m:scr m:val="script"/>
                  <m:sty m:val="p"/>
                </m:rPr>
                <m:t>F</m:t>
              </m:r>
              <m:r>
                <m:rPr>
                  <m:sty m:val="p"/>
                </m:rPr>
                <m:t>|</m:t>
              </m:r>
            </m:den>
          </m:f>
        </m:oMath>
      </m:oMathPara>
    </w:p>
    <w:p>
      <w:pPr>
        <w:pStyle w:val="FirstParagraph"/>
        <w:jc w:val="both"/>
        <w:spacing w:line="480" w:lineRule="auto"/>
      </w:pPr>
      <w:r>
        <w:t xml:space="preserve">Un valor bajo indica mayor concisión. Dirección:</w:t>
      </w:r>
      <w:r>
        <w:t xml:space="preserve"> </w:t>
      </w:r>
      <m:oMath>
        <m:r>
          <m:rPr>
            <m:sty m:val="p"/>
          </m:rPr>
          <m:t>↓</m:t>
        </m:r>
      </m:oMath>
      <w:r>
        <w:t xml:space="preserve">.</w:t>
      </w:r>
      <w:r>
        <w:t xml:space="preserve"> </w:t>
      </w:r>
      <w:r>
        <w:t xml:space="preserve">Implementación:</w:t>
      </w:r>
      <w:r>
        <w:t xml:space="preserve"> </w:t>
      </w:r>
      <w:r>
        <w:rPr>
          <w:rStyle w:val="VerbatimChar"/>
        </w:rPr>
        <w:t xml:space="preserve">src/metrics/sparsity.py</w:t>
      </w:r>
      <w:r>
        <w:t xml:space="preserve">.</w:t>
      </w:r>
    </w:p>
    <w:bookmarkEnd w:id="70"/>
    <w:bookmarkStart w:id="71" w:name="brecha-de-fidelidad"/>
    <w:p>
      <w:pPr>
        <w:pStyle w:val="Ttulo3"/>
      </w:pPr>
      <w:r>
        <w:t xml:space="preserve">Brecha de fidelidad</w:t>
      </w:r>
    </w:p>
    <w:p>
      <w:pPr>
        <w:pStyle w:val="FirstParagraph"/>
        <w:jc w:val="both"/>
        <w:spacing w:line="480" w:lineRule="auto"/>
      </w:pPr>
      <w:r>
        <w:t xml:space="preserve">La brecha de fidelidad cuantifica el cambio en la salida del modelo al</w:t>
      </w:r>
      <w:r>
        <w:t xml:space="preserve"> </w:t>
      </w:r>
      <w:r>
        <w:t xml:space="preserve">enmascarar las</w:t>
      </w:r>
      <w:r>
        <w:t xml:space="preserve"> </w:t>
      </w:r>
      <m:oMath>
        <m:r>
          <m:t>k</m:t>
        </m:r>
        <m:r>
          <m:rPr>
            <m:sty m:val="p"/>
          </m:rPr>
          <m:t>=</m:t>
        </m:r>
        <m:r>
          <m:t>5</m:t>
        </m:r>
      </m:oMath>
      <w:r>
        <w:t xml:space="preserve"> </w:t>
      </w:r>
      <w:r>
        <w:t xml:space="preserve">características de mayor importancia:</w:t>
      </w:r>
    </w:p>
    <w:p>
      <w:pPr>
        <w:pStyle w:val="Textoindependiente"/>
        <w:jc w:val="both"/>
        <w:spacing w:line="480" w:lineRule="auto"/>
      </w:pPr>
      <m:oMathPara>
        <m:oMathParaPr>
          <m:jc m:val="center"/>
        </m:oMathParaPr>
        <m:oMath>
          <m:sSub>
            <m:e>
              <m:r>
                <m:rPr>
                  <m:sty m:val="p"/>
                </m:rPr>
                <m:t>Δ</m:t>
              </m:r>
            </m:e>
            <m:sub>
              <m:r>
                <m:t>k</m:t>
              </m:r>
            </m:sub>
          </m:sSub>
          <m:r>
            <m:rPr>
              <m:sty m:val="p"/>
            </m:rPr>
            <m:t>=</m:t>
          </m:r>
          <m:d>
            <m:dPr>
              <m:begChr m:val="|"/>
              <m:sepChr m:val=""/>
              <m:endChr m:val="|"/>
              <m:grow/>
            </m:dPr>
            <m:e>
              <m:r>
                <m:t>f</m:t>
              </m:r>
              <m:r>
                <m:rPr>
                  <m:sty m:val="p"/>
                </m:rPr>
                <m:t>(</m:t>
              </m:r>
              <m:r>
                <m:t>x</m:t>
              </m:r>
              <m:r>
                <m:rPr>
                  <m:sty m:val="p"/>
                </m:rPr>
                <m:t>)</m:t>
              </m:r>
              <m:r>
                <m:rPr>
                  <m:sty m:val="p"/>
                </m:rPr>
                <m:t>−</m:t>
              </m:r>
              <m:r>
                <m:t>f</m:t>
              </m:r>
              <m:r>
                <m:t>​</m:t>
              </m:r>
              <m:d>
                <m:dPr>
                  <m:begChr m:val="("/>
                  <m:sepChr m:val=""/>
                  <m:endChr m:val=")"/>
                  <m:grow/>
                </m:dPr>
                <m:e>
                  <m:sSub>
                    <m:e>
                      <m:r>
                        <m:t>x</m:t>
                      </m:r>
                    </m:e>
                    <m:sub>
                      <m:r>
                        <m:rPr>
                          <m:nor/>
                          <m:sty m:val="p"/>
                        </m:rPr>
                        <m:t>mask-top-</m:t>
                      </m:r>
                      <m:r>
                        <m:t>k</m:t>
                      </m:r>
                    </m:sub>
                  </m:sSub>
                </m:e>
              </m:d>
            </m:e>
          </m:d>
        </m:oMath>
      </m:oMathPara>
    </w:p>
    <w:p>
      <w:pPr>
        <w:pStyle w:val="FirstParagraph"/>
        <w:jc w:val="both"/>
        <w:spacing w:line="480" w:lineRule="auto"/>
      </w:pPr>
      <w:r>
        <w:t xml:space="preserve">donde</w:t>
      </w:r>
      <w:r>
        <w:t xml:space="preserve"> </w:t>
      </w:r>
      <m:oMath>
        <m:r>
          <m:t>f</m:t>
        </m:r>
        <m:r>
          <m:rPr>
            <m:sty m:val="p"/>
          </m:rPr>
          <m:t>(</m:t>
        </m:r>
        <m:r>
          <m:rPr>
            <m:sty m:val="p"/>
          </m:rPr>
          <m:t>⋅</m:t>
        </m:r>
        <m:r>
          <m:rPr>
            <m:sty m:val="p"/>
          </m:rPr>
          <m:t>)</m:t>
        </m:r>
      </m:oMath>
      <w:r>
        <w:t xml:space="preserve"> </w:t>
      </w:r>
      <w:r>
        <w:t xml:space="preserve">devuelve la probabilidad de la clase positiva.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src/metrics/faithfulness.py</w:t>
      </w:r>
      <w:r>
        <w:t xml:space="preserve">.</w:t>
      </w:r>
    </w:p>
    <w:bookmarkEnd w:id="71"/>
    <w:bookmarkStart w:id="72" w:name="coste-computacional-1"/>
    <w:p>
      <w:pPr>
        <w:pStyle w:val="Ttulo3"/>
      </w:pPr>
      <w:r>
        <w:t xml:space="preserve">Coste computacional</w:t>
      </w:r>
    </w:p>
    <w:p>
      <w:pPr>
        <w:pStyle w:val="FirstParagraph"/>
        <w:jc w:val="both"/>
        <w:spacing w:line="480" w:lineRule="auto"/>
      </w:pPr>
      <w:r>
        <w:t xml:space="preserve">El coste (</w:t>
      </w:r>
      <m:oMath>
        <m:r>
          <m:t>C</m:t>
        </m:r>
      </m: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m:oMath>
        <m:r>
          <m:rPr>
            <m:sty m:val="p"/>
          </m:rPr>
          <m:t>↓</m:t>
        </m:r>
      </m:oMath>
      <w:r>
        <w:t xml:space="preserve">.</w:t>
      </w:r>
    </w:p>
    <w:bookmarkEnd w:id="72"/>
    <w:bookmarkStart w:id="74" w:name="resumen-de-métricas-primarias"/>
    <w:p>
      <w:pPr>
        <w:pStyle w:val="Ttulo3"/>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3" w:name="tbl-metrics"/>
          <w:p>
            <w:pPr>
              <w:jc w:val="center"/>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Métrica</w:t>
                  </w:r>
                </w:p>
              </w:tc>
              <w:tc>
                <w:tcPr/>
                <w:p>
                  <w:pPr>
                    <w:pStyle w:val="Compact"/>
                    <w:jc w:val="center"/>
                    <w:jc w:val="center"/>
                  </w:pPr>
                  <w:r>
                    <w:t xml:space="preserve">Símbolo</w:t>
                  </w:r>
                </w:p>
              </w:tc>
              <w:tc>
                <w:tcPr/>
                <w:p>
                  <w:pPr>
                    <w:pStyle w:val="Compact"/>
                    <w:jc w:val="center"/>
                    <w:jc w:val="center"/>
                  </w:pPr>
                  <w:r>
                    <w:t xml:space="preserve">Unidad</w:t>
                  </w:r>
                </w:p>
              </w:tc>
              <w:tc>
                <w:tcPr/>
                <w:p>
                  <w:pPr>
                    <w:pStyle w:val="Compact"/>
                    <w:jc w:val="center"/>
                    <w:jc w:val="center"/>
                  </w:pPr>
                  <w:r>
                    <w:t xml:space="preserve">Dirección</w:t>
                  </w:r>
                </w:p>
              </w:tc>
            </w:tr>
            <w:tr>
              <w:tc>
                <w:tcPr/>
                <w:p>
                  <w:pPr>
                    <w:pStyle w:val="Compact"/>
                    <w:jc w:val="left"/>
                    <w:jc w:val="center"/>
                  </w:pPr>
                  <w:r>
                    <w:t xml:space="preserve">Fidelidad</w:t>
                  </w:r>
                </w:p>
              </w:tc>
              <w:tc>
                <w:tcPr/>
                <w:p>
                  <w:pPr>
                    <w:pStyle w:val="Compact"/>
                    <w:jc w:val="center"/>
                    <w:jc w:val="center"/>
                  </w:pPr>
                  <m:oMath>
                    <m:r>
                      <m:t>F</m:t>
                    </m:r>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Estabilidad</w:t>
                  </w:r>
                </w:p>
              </w:tc>
              <w:tc>
                <w:tcPr/>
                <w:p>
                  <w:pPr>
                    <w:pStyle w:val="Compact"/>
                    <w:jc w:val="center"/>
                    <w:jc w:val="center"/>
                  </w:pPr>
                  <m:oMath>
                    <m:r>
                      <m:t>S</m:t>
                    </m:r>
                  </m:oMath>
                </w:p>
              </w:tc>
              <w:tc>
                <w:tcPr/>
                <w:p>
                  <w:pPr>
                    <w:pStyle w:val="Compact"/>
                    <w:jc w:val="center"/>
                    <w:jc w:val="center"/>
                  </w:pPr>
                  <w:r>
                    <w:t xml:space="preserve">similitud coseno</w:t>
                  </w:r>
                </w:p>
              </w:tc>
              <w:tc>
                <w:tcPr/>
                <w:p>
                  <w:pPr>
                    <w:pStyle w:val="Compact"/>
                    <w:jc w:val="center"/>
                    <w:jc w:val="center"/>
                  </w:pPr>
                  <m:oMath>
                    <m:r>
                      <m:rPr>
                        <m:sty m:val="p"/>
                      </m:rPr>
                      <m:t>↑</m:t>
                    </m:r>
                  </m:oMath>
                </w:p>
              </w:tc>
            </w:tr>
            <w:tr>
              <w:tc>
                <w:tcPr/>
                <w:p>
                  <w:pPr>
                    <w:pStyle w:val="Compact"/>
                    <w:jc w:val="left"/>
                    <w:jc w:val="center"/>
                  </w:pPr>
                  <w:r>
                    <w:t xml:space="preserve">Parsimonia</w:t>
                  </w:r>
                </w:p>
              </w:tc>
              <w:tc>
                <w:tcPr/>
                <w:p>
                  <w:pPr>
                    <w:pStyle w:val="Compact"/>
                    <w:jc w:val="center"/>
                    <w:jc w:val="center"/>
                  </w:pPr>
                  <m:oMath>
                    <m:r>
                      <m:t>P</m:t>
                    </m:r>
                  </m:oMath>
                </w:p>
              </w:tc>
              <w:tc>
                <w:tcPr/>
                <w:p>
                  <w:pPr>
                    <w:pStyle w:val="Compact"/>
                    <w:jc w:val="center"/>
                    <w:jc w:val="center"/>
                  </w:pPr>
                  <w:r>
                    <w:t xml:space="preserve">proporción activa</w:t>
                  </w:r>
                </w:p>
              </w:tc>
              <w:tc>
                <w:tcPr/>
                <w:p>
                  <w:pPr>
                    <w:pStyle w:val="Compact"/>
                    <w:jc w:val="center"/>
                    <w:jc w:val="center"/>
                  </w:pPr>
                  <m:oMath>
                    <m:r>
                      <m:rPr>
                        <m:sty m:val="p"/>
                      </m:rPr>
                      <m:t>↓</m:t>
                    </m:r>
                  </m:oMath>
                </w:p>
              </w:tc>
            </w:tr>
            <w:tr>
              <w:tc>
                <w:tcPr/>
                <w:p>
                  <w:pPr>
                    <w:pStyle w:val="Compact"/>
                    <w:jc w:val="left"/>
                    <w:jc w:val="center"/>
                  </w:pPr>
                  <w:r>
                    <w:t xml:space="preserve">Brecha de fidelidad</w:t>
                  </w:r>
                </w:p>
              </w:tc>
              <w:tc>
                <w:tcPr/>
                <w:p>
                  <w:pPr>
                    <w:pStyle w:val="Compact"/>
                    <w:jc w:val="center"/>
                    <w:jc w:val="center"/>
                  </w:pPr>
                  <m:oMath>
                    <m:sSub>
                      <m:e>
                        <m:r>
                          <m:rPr>
                            <m:sty m:val="p"/>
                          </m:rPr>
                          <m:t>Δ</m:t>
                        </m:r>
                      </m:e>
                      <m:sub>
                        <m:r>
                          <m:t>k</m:t>
                        </m:r>
                      </m:sub>
                    </m:sSub>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Coste computacional</w:t>
                  </w:r>
                </w:p>
              </w:tc>
              <w:tc>
                <w:tcPr/>
                <w:p>
                  <w:pPr>
                    <w:pStyle w:val="Compact"/>
                    <w:jc w:val="center"/>
                    <w:jc w:val="center"/>
                  </w:pPr>
                  <m:oMath>
                    <m:r>
                      <m:t>C</m:t>
                    </m:r>
                  </m:oMath>
                </w:p>
              </w:tc>
              <w:tc>
                <w:tcPr/>
                <w:p>
                  <w:pPr>
                    <w:pStyle w:val="Compact"/>
                    <w:jc w:val="center"/>
                    <w:jc w:val="center"/>
                  </w:pPr>
                  <w:r>
                    <w:t xml:space="preserve">ms/instancia</w:t>
                  </w:r>
                </w:p>
              </w:tc>
              <w:tc>
                <w:tcPr/>
                <w:p>
                  <w:pPr>
                    <w:pStyle w:val="Compact"/>
                    <w:jc w:val="center"/>
                    <w:jc w:val="center"/>
                  </w:pPr>
                  <m:oMath>
                    <m:r>
                      <m:rPr>
                        <m:sty m:val="p"/>
                      </m:rPr>
                      <m:t>↓</m:t>
                    </m:r>
                  </m:oMath>
                </w:p>
              </w:tc>
            </w:tr>
          </w:tbl>
          <w:bookmarkEnd w:id="73"/>
          <w:p/>
        </w:tc>
      </w:tr>
    </w:tbl>
    <w:bookmarkEnd w:id="74"/>
    <w:bookmarkEnd w:id="75"/>
    <w:bookmarkStart w:id="77" w:name="capa-de-validación-humana-complementaria"/>
    <w:p>
      <w:pPr>
        <w:pStyle w:val="Ttulo2"/>
      </w:pPr>
      <w:r>
        <w:t xml:space="preserve">Capa de validación humana complementaria</w:t>
      </w:r>
    </w:p>
    <w:p>
      <w:pPr>
        <w:pStyle w:val="FirstParagraph"/>
        <w:jc w:val="both"/>
        <w:spacing w:line="480" w:lineRule="auto"/>
      </w:pPr>
      <w:r>
        <w:t xml:space="preserve">La validación humana se diseñó como una capa posterior al benchmark funcional.</w:t>
      </w:r>
      <w:r>
        <w:t xml:space="preserve"> </w:t>
      </w:r>
      <w:r>
        <w:t xml:space="preserve">Su unidad de observación es la anotación humana sobre un caso de explicación,</w:t>
      </w:r>
      <w:r>
        <w:t xml:space="preserve"> </w:t>
      </w:r>
      <w:r>
        <w:t xml:space="preserve">no la celda factorial</w:t>
      </w:r>
      <w:r>
        <w:t xml:space="preserve"> </w:t>
      </w:r>
      <m:oMath>
        <m:r>
          <m:rPr>
            <m:sty m:val="p"/>
          </m:rPr>
          <m:t>(</m:t>
        </m:r>
        <m:r>
          <m:t>g</m:t>
        </m:r>
        <m:r>
          <m:rPr>
            <m:sty m:val="p"/>
          </m:rPr>
          <m:t>,</m:t>
        </m:r>
        <m:r>
          <m:t>k</m:t>
        </m:r>
        <m:r>
          <m:rPr>
            <m:sty m:val="p"/>
          </m:rPr>
          <m:t>,</m:t>
        </m:r>
        <m:r>
          <m:t>s</m:t>
        </m:r>
        <m:r>
          <m:rPr>
            <m:sty m:val="p"/>
          </m:rPr>
          <m:t>,</m:t>
        </m:r>
        <m:r>
          <m:t>n</m:t>
        </m:r>
        <m:r>
          <m:rPr>
            <m:sty m:val="p"/>
          </m:rPr>
          <m:t>)</m:t>
        </m:r>
      </m:oMath>
      <w:r>
        <w:t xml:space="preserve"> </w:t>
      </w:r>
      <w:r>
        <w:t xml:space="preserve">de EXP2. Cada caso presenta una explicación</w:t>
      </w:r>
      <w:r>
        <w:t xml:space="preserve"> </w:t>
      </w:r>
      <w:r>
        <w:t xml:space="preserve">normalizada junto con metadatos de contexto: conjunto de datos, método</w:t>
      </w:r>
      <w:r>
        <w:t xml:space="preserve"> </w:t>
      </w:r>
      <w:r>
        <w:t xml:space="preserve">explicador, cuadrante de predicción (TP/TN/FP/FN), predicción y etiqueta</w:t>
      </w:r>
      <w:r>
        <w:t xml:space="preserve"> </w:t>
      </w:r>
      <w:r>
        <w:t xml:space="preserve">verdadera. Para reducir sesgos de expectativa, los evaluadores no reciben las</w:t>
      </w:r>
      <w:r>
        <w:t xml:space="preserve"> </w:t>
      </w:r>
      <w:r>
        <w:t xml:space="preserve">métricas automáticas ni los scores producidos por jueces LLM durante la tarea.</w:t>
      </w:r>
    </w:p>
    <w:p>
      <w:pPr>
        <w:pStyle w:val="Textoindependiente"/>
        <w:jc w:val="both"/>
        <w:spacing w:line="480" w:lineRule="auto"/>
      </w:pPr>
      <w:r>
        <w:t xml:space="preserve">El instrumento de anotación usa cinco ítems Likert de 1 a 5:</w:t>
      </w:r>
    </w:p>
    <w:tbl>
      <w:tblPr>
        <w:tblStyle w:val="Table"/>
        <w:tblW w:type="pct" w:w="5000"/>
        <w:tblLayout w:type="fixed"/>
        <w:tblLook w:firstRow="0" w:lastRow="0" w:firstColumn="0" w:lastColumn="0" w:noHBand="0" w:noVBand="0" w:val="0000"/>
      </w:tblPr>
      <w:tblGrid>
        <w:gridCol w:w="7920"/>
      </w:tblGrid>
      <w:tr>
        <w:tc>
          <w:tcPr/>
          <w:bookmarkStart w:id="76" w:name="tbl-human-validation-instrument"/>
          <w:p>
            <w:pPr>
              <w:jc w:val="center"/>
            </w:pPr>
            <w:pPr>
              <w:jc w:val="left"/>
              <w:spacing w:before="200"/>
              <w:pStyle w:val="ImageCaption"/>
            </w:pPr>
            <w:r>
              <w:t xml:space="preserve">Table 4.3: Dimensiones del instrumento de validación humana.</w:t>
            </w:r>
          </w:p>
          <w:tbl>
            <w:tblPr>
              <w:tblStyle w:val="Table"/>
              <w:tblW w:type="pct" w:w="5000"/>
              <w:tblLayout w:type="fixed"/>
              <w:tblLook w:firstRow="1" w:lastRow="0" w:firstColumn="0" w:lastColumn="0" w:noHBand="0" w:noVBand="0" w:val="0020"/>
            </w:tblPr>
            <w:tblGrid>
              <w:gridCol w:w="2795"/>
              <w:gridCol w:w="3416"/>
              <w:gridCol w:w="1708"/>
            </w:tblGrid>
            <w:tr>
              <w:trPr>
                <w:tblHeader w:val="on"/>
              </w:trPr>
              <w:tc>
                <w:tcPr/>
                <w:p>
                  <w:pPr>
                    <w:pStyle w:val="Compact"/>
                    <w:jc w:val="center"/>
                  </w:pPr>
                  <w:r>
                    <w:t xml:space="preserve">Dimensión humana</w:t>
                  </w:r>
                </w:p>
              </w:tc>
              <w:tc>
                <w:tcPr/>
                <w:p>
                  <w:pPr>
                    <w:pStyle w:val="Compact"/>
                    <w:jc w:val="center"/>
                  </w:pPr>
                  <w:r>
                    <w:t xml:space="preserve">Pregunta operacional</w:t>
                  </w:r>
                </w:p>
              </w:tc>
              <w:tc>
                <w:tcPr/>
                <w:p>
                  <w:pPr>
                    <w:pStyle w:val="Compact"/>
                    <w:jc w:val="center"/>
                  </w:pPr>
                  <w:r>
                    <w:t xml:space="preserve">Dirección</w:t>
                  </w:r>
                </w:p>
              </w:tc>
            </w:tr>
            <w:tr>
              <w:tc>
                <w:tcPr/>
                <w:p>
                  <w:pPr>
                    <w:pStyle w:val="Compact"/>
                    <w:jc w:val="center"/>
                  </w:pPr>
                  <w:r>
                    <w:t xml:space="preserve">Claridad</w:t>
                  </w:r>
                </w:p>
              </w:tc>
              <w:tc>
                <w:tcPr/>
                <w:p>
                  <w:pPr>
                    <w:pStyle w:val="Compact"/>
                    <w:jc w:val="center"/>
                  </w:pPr>
                  <w:r>
                    <w:t xml:space="preserve">La explicación es fácil de entender.</w:t>
                  </w:r>
                </w:p>
              </w:tc>
              <w:tc>
                <w:tcPr/>
                <w:p>
                  <w:pPr>
                    <w:pStyle w:val="Compact"/>
                    <w:jc w:val="center"/>
                  </w:pPr>
                  <m:oMath>
                    <m:r>
                      <m:rPr>
                        <m:sty m:val="p"/>
                      </m:rPr>
                      <m:t>↑</m:t>
                    </m:r>
                  </m:oMath>
                </w:p>
              </w:tc>
            </w:tr>
            <w:tr>
              <w:tc>
                <w:tcPr/>
                <w:p>
                  <w:pPr>
                    <w:pStyle w:val="Compact"/>
                    <w:jc w:val="center"/>
                  </w:pPr>
                  <w:r>
                    <w:t xml:space="preserve">Completitud</w:t>
                  </w:r>
                </w:p>
              </w:tc>
              <w:tc>
                <w:tcPr/>
                <w:p>
                  <w:pPr>
                    <w:pStyle w:val="Compact"/>
                    <w:jc w:val="center"/>
                  </w:pPr>
                  <w:r>
                    <w:t xml:space="preserve">La explicación cubre suficientemente por qué el modelo decidió así.</w:t>
                  </w:r>
                </w:p>
              </w:tc>
              <w:tc>
                <w:tcPr/>
                <w:p>
                  <w:pPr>
                    <w:pStyle w:val="Compact"/>
                    <w:jc w:val="center"/>
                  </w:pPr>
                  <m:oMath>
                    <m:r>
                      <m:rPr>
                        <m:sty m:val="p"/>
                      </m:rPr>
                      <m:t>↑</m:t>
                    </m:r>
                  </m:oMath>
                </w:p>
              </w:tc>
            </w:tr>
            <w:tr>
              <w:tc>
                <w:tcPr/>
                <w:p>
                  <w:pPr>
                    <w:pStyle w:val="Compact"/>
                    <w:jc w:val="center"/>
                  </w:pPr>
                  <w:r>
                    <w:t xml:space="preserve">Concisión</w:t>
                  </w:r>
                </w:p>
              </w:tc>
              <w:tc>
                <w:tcPr/>
                <w:p>
                  <w:pPr>
                    <w:pStyle w:val="Compact"/>
                    <w:jc w:val="center"/>
                  </w:pPr>
                  <w:r>
                    <w:t xml:space="preserve">La explicación es concisa y no excesivamente extensa.</w:t>
                  </w:r>
                </w:p>
              </w:tc>
              <w:tc>
                <w:tcPr/>
                <w:p>
                  <w:pPr>
                    <w:pStyle w:val="Compact"/>
                    <w:jc w:val="center"/>
                  </w:pPr>
                  <m:oMath>
                    <m:r>
                      <m:rPr>
                        <m:sty m:val="p"/>
                      </m:rPr>
                      <m:t>↑</m:t>
                    </m:r>
                  </m:oMath>
                </w:p>
              </w:tc>
            </w:tr>
            <w:tr>
              <w:tc>
                <w:tcPr/>
                <w:p>
                  <w:pPr>
                    <w:pStyle w:val="Compact"/>
                    <w:jc w:val="center"/>
                  </w:pPr>
                  <w:r>
                    <w:t xml:space="preserve">Plausibilidad</w:t>
                  </w:r>
                </w:p>
              </w:tc>
              <w:tc>
                <w:tcPr/>
                <w:p>
                  <w:pPr>
                    <w:pStyle w:val="Compact"/>
                    <w:jc w:val="center"/>
                  </w:pPr>
                  <w:r>
                    <w:t xml:space="preserve">La explicación tiene sentido práctico en el dominio.</w:t>
                  </w:r>
                </w:p>
              </w:tc>
              <w:tc>
                <w:tcPr/>
                <w:p>
                  <w:pPr>
                    <w:pStyle w:val="Compact"/>
                    <w:jc w:val="center"/>
                  </w:pPr>
                  <m:oMath>
                    <m:r>
                      <m:rPr>
                        <m:sty m:val="p"/>
                      </m:rPr>
                      <m:t>↑</m:t>
                    </m:r>
                  </m:oMath>
                </w:p>
              </w:tc>
            </w:tr>
            <w:tr>
              <w:tc>
                <w:tcPr/>
                <w:p>
                  <w:pPr>
                    <w:pStyle w:val="Compact"/>
                    <w:jc w:val="center"/>
                  </w:pPr>
                  <w:r>
                    <w:t xml:space="preserve">Utilidad para auditoría</w:t>
                  </w:r>
                </w:p>
              </w:tc>
              <w:tc>
                <w:tcPr/>
                <w:p>
                  <w:pPr>
                    <w:pStyle w:val="Compact"/>
                    <w:jc w:val="center"/>
                  </w:pPr>
                  <w:r>
                    <w:t xml:space="preserve">La explicación serviría para revisar si el modelo decide de forma justa o razonable.</w:t>
                  </w:r>
                </w:p>
              </w:tc>
              <w:tc>
                <w:tcPr/>
                <w:p>
                  <w:pPr>
                    <w:pStyle w:val="Compact"/>
                    <w:jc w:val="center"/>
                  </w:pPr>
                  <m:oMath>
                    <m:r>
                      <m:rPr>
                        <m:sty m:val="p"/>
                      </m:rPr>
                      <m:t>↑</m:t>
                    </m:r>
                  </m:oMath>
                </w:p>
              </w:tc>
            </w:tr>
          </w:tbl>
          <w:bookmarkEnd w:id="76"/>
          <w:p/>
        </w:tc>
      </w:tr>
    </w:tbl>
    <w:p>
      <w:pPr>
        <w:pStyle w:val="Textoindependiente"/>
        <w:jc w:val="both"/>
        <w:spacing w:line="480" w:lineRule="auto"/>
      </w:pPr>
      <w:r>
        <w:t xml:space="preserve">El archivo consolidado de respuestas humanas se mantiene en</w:t>
      </w:r>
      <w:r>
        <w:t xml:space="preserve"> </w:t>
      </w:r>
      <w:r>
        <w:rPr>
          <w:rStyle w:val="VerbatimChar"/>
        </w:rPr>
        <w:t xml:space="preserve">experiments/exp4_llm_evaluation/human_validation_responses.csv</w:t>
      </w:r>
      <w:r>
        <w:t xml:space="preserve">. El análisis</w:t>
      </w:r>
      <w:r>
        <w:t xml:space="preserve"> </w:t>
      </w:r>
      <w:r>
        <w:t xml:space="preserve">descriptivo se genera a partir de este archivo y se almacena en</w:t>
      </w:r>
      <w:r>
        <w:t xml:space="preserve"> </w:t>
      </w:r>
      <w:r>
        <w:rPr>
          <w:rStyle w:val="VerbatimChar"/>
        </w:rPr>
        <w:t xml:space="preserve">outputs/analysis/exp4_llm_evaluation/human_validation_rerun/</w:t>
      </w:r>
      <w:r>
        <w:t xml:space="preserve">. Dado que esta</w:t>
      </w:r>
      <w:r>
        <w:t xml:space="preserve"> </w:t>
      </w:r>
      <w:r>
        <w:t xml:space="preserve">capa no fue planificada como contraste confirmativo entre métodos, los</w:t>
      </w:r>
      <w:r>
        <w:t xml:space="preserve"> </w:t>
      </w:r>
      <w:r>
        <w:t xml:space="preserve">resultados se interpretan como evidencia descriptiva y de validez de constructo:</w:t>
      </w:r>
      <w:r>
        <w:t xml:space="preserve"> </w:t>
      </w:r>
      <w:r>
        <w:t xml:space="preserve">sirven para identificar perfiles semánticos, variabilidad entre dimensiones y</w:t>
      </w:r>
      <w:r>
        <w:t xml:space="preserve"> </w:t>
      </w:r>
      <w:r>
        <w:t xml:space="preserve">necesidades de calibración humano–LLM, no para reemplazar las pruebas</w:t>
      </w:r>
      <w:r>
        <w:t xml:space="preserve"> </w:t>
      </w:r>
      <w:r>
        <w:t xml:space="preserve">estadísticas de EXP2.</w:t>
      </w:r>
    </w:p>
    <w:bookmarkEnd w:id="77"/>
    <w:bookmarkStart w:id="78" w:name="protocolo-de-operación-fom-7"/>
    <w:p>
      <w:pPr>
        <w:pStyle w:val="Ttulo2"/>
      </w:pPr>
      <w:r>
        <w:t xml:space="preserve">Protocolo de operación FOM-7</w:t>
      </w:r>
    </w:p>
    <w:p>
      <w:pPr>
        <w:pStyle w:val="FirstParagraph"/>
        <w:jc w:val="both"/>
        <w:spacing w:line="480" w:lineRule="auto"/>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jc w:val="both"/>
        <w:spacing w:line="480" w:lineRule="auto"/>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jc w:val="both"/>
        <w:spacing w:line="480" w:lineRule="auto"/>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jc w:val="both"/>
        <w:spacing w:line="480" w:lineRule="auto"/>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jc w:val="both"/>
        <w:spacing w:line="480" w:lineRule="auto"/>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jc w:val="both"/>
        <w:spacing w:line="480" w:lineRule="auto"/>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jc w:val="both"/>
        <w:spacing w:line="480" w:lineRule="auto"/>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jc w:val="both"/>
        <w:spacing w:line="480" w:lineRule="auto"/>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jc w:val="both"/>
        <w:spacing w:line="480" w:lineRule="auto"/>
      </w:pPr>
      <w:r>
        <w:t xml:space="preserve">El flujo compacto del protocolo es:</w:t>
      </w:r>
    </w:p>
    <w:p>
      <w:pPr>
        <w:pStyle w:val="Textoindependiente"/>
        <w:jc w:val="both"/>
        <w:spacing w:line="480" w:lineRule="auto"/>
      </w:pPr>
      <m:oMathPara>
        <m:oMathParaPr>
          <m:jc m:val="center"/>
        </m:oMathParaPr>
        <m:oMath>
          <m:r>
            <m:rPr>
              <m:nor/>
              <m:sty m:val="p"/>
            </m:rPr>
            <m:t>Congelación</m:t>
          </m:r>
          <m:r>
            <m:rPr>
              <m:sty m:val="p"/>
            </m:rPr>
            <m:t>→</m:t>
          </m:r>
          <m:r>
            <m:rPr>
              <m:nor/>
              <m:sty m:val="p"/>
            </m:rPr>
            <m:t>Ejecución</m:t>
          </m:r>
          <m:r>
            <m:rPr>
              <m:sty m:val="p"/>
            </m:rPr>
            <m:t>→</m:t>
          </m:r>
          <m:r>
            <m:rPr>
              <m:nor/>
              <m:sty m:val="p"/>
            </m:rPr>
            <m:t>Auditoría</m:t>
          </m:r>
          <m:r>
            <m:rPr>
              <m:sty m:val="p"/>
            </m:rPr>
            <m:t>→</m:t>
          </m:r>
          <m:r>
            <m:rPr>
              <m:nor/>
              <m:sty m:val="p"/>
            </m:rPr>
            <m:t>Armonización</m:t>
          </m:r>
          <m:r>
            <m:rPr>
              <m:sty m:val="p"/>
            </m:rPr>
            <m:t>→</m:t>
          </m:r>
          <m:r>
            <m:rPr>
              <m:nor/>
              <m:sty m:val="p"/>
            </m:rPr>
            <m:t>Exportación</m:t>
          </m:r>
          <m:r>
            <m:rPr>
              <m:sty m:val="p"/>
            </m:rPr>
            <m:t>→</m:t>
          </m:r>
          <m:r>
            <m:rPr>
              <m:nor/>
              <m:sty m:val="p"/>
            </m:rPr>
            <m:t>Perfilado</m:t>
          </m:r>
          <m:r>
            <m:rPr>
              <m:sty m:val="p"/>
            </m:rPr>
            <m:t>→</m:t>
          </m:r>
          <m:r>
            <m:rPr>
              <m:nor/>
              <m:sty m:val="p"/>
            </m:rPr>
            <m:t>Reporte</m:t>
          </m:r>
        </m:oMath>
      </m:oMathPara>
    </w:p>
    <w:bookmarkEnd w:id="78"/>
    <w:bookmarkStart w:id="83" w:name="X70736bc07e73377e919d2c60f119994d057bf14"/>
    <w:p>
      <w:pPr>
        <w:pStyle w:val="Ttulo2"/>
      </w:pPr>
      <w:r>
        <w:t xml:space="preserve">Cobertura de artefactos y análisis del impacto de datos faltantes</w:t>
      </w:r>
    </w:p>
    <w:bookmarkStart w:id="81" w:name="inventario-de-cobertura"/>
    <w:p>
      <w:pPr>
        <w:pStyle w:val="Ttulo3"/>
      </w:pPr>
      <w:r>
        <w:t xml:space="preserve">Inventario de cobertura</w:t>
      </w:r>
    </w:p>
    <w:p>
      <w:pPr>
        <w:pStyle w:val="FirstParagraph"/>
        <w:jc w:val="both"/>
        <w:spacing w:line="480" w:lineRule="auto"/>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79" w:name="tbl-coverage"/>
          <w:p>
            <w:pPr>
              <w:jc w:val="center"/>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Cohorte</w:t>
                  </w:r>
                </w:p>
              </w:tc>
              <w:tc>
                <w:tcPr/>
                <w:p>
                  <w:pPr>
                    <w:pStyle w:val="Compact"/>
                    <w:jc w:val="right"/>
                    <w:jc w:val="center"/>
                  </w:pPr>
                  <w:r>
                    <w:t xml:space="preserve">Planificadas</w:t>
                  </w:r>
                </w:p>
              </w:tc>
              <w:tc>
                <w:tcPr/>
                <w:p>
                  <w:pPr>
                    <w:pStyle w:val="Compact"/>
                    <w:jc w:val="right"/>
                    <w:jc w:val="center"/>
                  </w:pPr>
                  <w:r>
                    <w:t xml:space="preserve">Presentes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EXP1 (calibración)</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66</w:t>
                  </w:r>
                </w:p>
              </w:tc>
              <w:tc>
                <w:tcPr/>
                <w:p>
                  <w:pPr>
                    <w:pStyle w:val="Compact"/>
                    <w:jc w:val="right"/>
                    <w:jc w:val="center"/>
                  </w:pPr>
                  <w:r>
                    <w:t xml:space="preserve">88.0%</w:t>
                  </w:r>
                </w:p>
              </w:tc>
            </w:tr>
            <w:tr>
              <w:tc>
                <w:tcPr/>
                <w:p>
                  <w:pPr>
                    <w:pStyle w:val="Compact"/>
                    <w:jc w:val="left"/>
                    <w:jc w:val="center"/>
                  </w:pPr>
                  <w:r>
                    <w:t xml:space="preserve">EXP2 (benchmark primario)</w:t>
                  </w:r>
                </w:p>
              </w:tc>
              <w:tc>
                <w:tcPr/>
                <w:p>
                  <w:pPr>
                    <w:pStyle w:val="Compact"/>
                    <w:jc w:val="right"/>
                    <w:jc w:val="center"/>
                  </w:pPr>
                  <w:r>
                    <w:t xml:space="preserve">300</w:t>
                  </w:r>
                </w:p>
              </w:tc>
              <w:tc>
                <w:tcPr/>
                <w:p>
                  <w:pPr>
                    <w:pStyle w:val="Compact"/>
                    <w:jc w:val="right"/>
                    <w:jc w:val="center"/>
                  </w:pPr>
                  <w:r>
                    <w:t xml:space="preserve">299</w:t>
                  </w:r>
                </w:p>
              </w:tc>
              <w:tc>
                <w:tcPr/>
                <w:p>
                  <w:pPr>
                    <w:pStyle w:val="Compact"/>
                    <w:jc w:val="right"/>
                    <w:jc w:val="center"/>
                  </w:pPr>
                  <w:r>
                    <w:t xml:space="preserve">275</w:t>
                  </w:r>
                </w:p>
              </w:tc>
              <w:tc>
                <w:tcPr/>
                <w:p>
                  <w:pPr>
                    <w:pStyle w:val="Compact"/>
                    <w:jc w:val="right"/>
                    <w:jc w:val="center"/>
                  </w:pPr>
                  <w:r>
                    <w:t xml:space="preserve">91.7%</w:t>
                  </w:r>
                </w:p>
              </w:tc>
            </w:tr>
          </w:tbl>
          <w:bookmarkEnd w:id="79"/>
          <w:p/>
        </w:tc>
      </w:tr>
    </w:tbl>
    <w:p>
      <w:pPr>
        <w:pStyle w:val="Textoindependiente"/>
        <w:jc w:val="both"/>
        <w:spacing w:line="480" w:lineRule="auto"/>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0" w:name="tbl-coverage-method"/>
          <w:p>
            <w:pPr>
              <w:jc w:val="center"/>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Método</w:t>
                  </w:r>
                </w:p>
              </w:tc>
              <w:tc>
                <w:tcPr/>
                <w:p>
                  <w:pPr>
                    <w:pStyle w:val="Compact"/>
                    <w:jc w:val="right"/>
                    <w:jc w:val="center"/>
                  </w:pPr>
                  <w:r>
                    <w:t xml:space="preserve">Planificadas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SHAP</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LIME</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Anchors</w:t>
                  </w:r>
                </w:p>
              </w:tc>
              <w:tc>
                <w:tcPr/>
                <w:p>
                  <w:pPr>
                    <w:pStyle w:val="Compact"/>
                    <w:jc w:val="right"/>
                    <w:jc w:val="center"/>
                  </w:pPr>
                  <w:r>
                    <w:t xml:space="preserve">75</w:t>
                  </w:r>
                </w:p>
              </w:tc>
              <w:tc>
                <w:tcPr/>
                <w:p>
                  <w:pPr>
                    <w:pStyle w:val="Compact"/>
                    <w:jc w:val="right"/>
                    <w:jc w:val="center"/>
                  </w:pPr>
                  <w:r>
                    <w:t xml:space="preserve">57</w:t>
                  </w:r>
                </w:p>
              </w:tc>
              <w:tc>
                <w:tcPr/>
                <w:p>
                  <w:pPr>
                    <w:pStyle w:val="Compact"/>
                    <w:jc w:val="right"/>
                    <w:jc w:val="center"/>
                  </w:pPr>
                  <w:r>
                    <w:t xml:space="preserve">76.0%</w:t>
                  </w:r>
                </w:p>
              </w:tc>
            </w:tr>
            <w:tr>
              <w:tc>
                <w:tcPr/>
                <w:p>
                  <w:pPr>
                    <w:pStyle w:val="Compact"/>
                    <w:jc w:val="left"/>
                    <w:jc w:val="center"/>
                  </w:pPr>
                  <w:r>
                    <w:t xml:space="preserve">DiCE</w:t>
                  </w:r>
                </w:p>
              </w:tc>
              <w:tc>
                <w:tcPr/>
                <w:p>
                  <w:pPr>
                    <w:pStyle w:val="Compact"/>
                    <w:jc w:val="right"/>
                    <w:jc w:val="center"/>
                  </w:pPr>
                  <w:r>
                    <w:t xml:space="preserve">75</w:t>
                  </w:r>
                </w:p>
              </w:tc>
              <w:tc>
                <w:tcPr/>
                <w:p>
                  <w:pPr>
                    <w:pStyle w:val="Compact"/>
                    <w:jc w:val="right"/>
                    <w:jc w:val="center"/>
                  </w:pPr>
                  <w:r>
                    <w:t xml:space="preserve">68</w:t>
                  </w:r>
                </w:p>
              </w:tc>
              <w:tc>
                <w:tcPr/>
                <w:p>
                  <w:pPr>
                    <w:pStyle w:val="Compact"/>
                    <w:jc w:val="right"/>
                    <w:jc w:val="center"/>
                  </w:pPr>
                  <w:r>
                    <w:t xml:space="preserve">90.7%</w:t>
                  </w:r>
                </w:p>
              </w:tc>
            </w:tr>
          </w:tbl>
          <w:bookmarkEnd w:id="80"/>
          <w:p/>
        </w:tc>
      </w:tr>
    </w:tbl>
    <w:bookmarkEnd w:id="81"/>
    <w:bookmarkStart w:id="82" w:name="Xcb4396ffd8bf23e7b418105a9e8d3fef7075c0b"/>
    <w:p>
      <w:pPr>
        <w:pStyle w:val="Ttulo3"/>
      </w:pPr>
      <w:r>
        <w:t xml:space="preserve">Evaluación cuantitativa del impacto estadístico</w:t>
      </w:r>
    </w:p>
    <w:p>
      <w:pPr>
        <w:pStyle w:val="FirstParagraph"/>
        <w:jc w:val="both"/>
        <w:spacing w:line="480" w:lineRule="auto"/>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jc w:val="both"/>
        <w:spacing w:line="480" w:lineRule="auto"/>
      </w:pPr>
      <w:r>
        <w:rPr>
          <w:b/>
          <w:bCs/>
        </w:rPr>
        <w:t xml:space="preserve">Completitud de bloques de Friedman.</w:t>
      </w:r>
      <w:r>
        <w:t xml:space="preserve"> </w:t>
      </w:r>
      <w:r>
        <w:t xml:space="preserve">El test de Friedman opera sobre</w:t>
      </w:r>
      <w:r>
        <w:t xml:space="preserve"> </w:t>
      </w:r>
      <m:oMath>
        <m:r>
          <m:t>B</m:t>
        </m:r>
        <m:r>
          <m:rPr>
            <m:sty m:val="p"/>
          </m:rPr>
          <m:t>=</m:t>
        </m:r>
        <m:r>
          <m:t>15</m:t>
        </m:r>
      </m:oMath>
      <w:r>
        <w:t xml:space="preserve"> </w:t>
      </w:r>
      <w:r>
        <w:t xml:space="preserve">bloques</w:t>
      </w:r>
      <w:r>
        <w:t xml:space="preserve"> </w:t>
      </w:r>
      <m:oMath>
        <m:r>
          <m:rPr>
            <m:sty m:val="p"/>
          </m:rPr>
          <m:t>(</m:t>
        </m:r>
        <m:r>
          <m:t>g</m:t>
        </m:r>
        <m:r>
          <m:rPr>
            <m:sty m:val="p"/>
          </m:rPr>
          <m:t>,</m:t>
        </m:r>
        <m:r>
          <m:t>n</m:t>
        </m:r>
        <m:r>
          <m:rPr>
            <m:sty m:val="p"/>
          </m:rPr>
          <m:t>)</m:t>
        </m:r>
      </m: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jc w:val="both"/>
        <w:spacing w:line="480" w:lineRule="auto"/>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m:oMath>
        <m:r>
          <m:t>r</m:t>
        </m:r>
        <m:r>
          <m:rPr>
            <m:sty m:val="p"/>
          </m:rPr>
          <m:t>&lt;</m:t>
        </m:r>
        <m:r>
          <m:t>5</m:t>
        </m:r>
      </m: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m:oMath>
        <m:r>
          <m:t>r</m:t>
        </m:r>
        <m:r>
          <m:rPr>
            <m:sty m:val="p"/>
          </m:rPr>
          <m:t>≈</m:t>
        </m:r>
        <m:r>
          <m:t>2.3</m:t>
        </m:r>
      </m:oMath>
      <w:r>
        <w:t xml:space="preserve"> </w:t>
      </w:r>
      <w:r>
        <w:t xml:space="preserve">semillas por</w:t>
      </w:r>
      <w:r>
        <w:t xml:space="preserve"> </w:t>
      </w:r>
      <m:oMath>
        <m:r>
          <m:rPr>
            <m:sty m:val="p"/>
          </m:rPr>
          <m:t>(</m:t>
        </m:r>
        <m:r>
          <m:t>g</m:t>
        </m:r>
        <m:r>
          <m:rPr>
            <m:sty m:val="p"/>
          </m:rPr>
          <m:t>,</m:t>
        </m:r>
        <m:r>
          <m:t>n</m:t>
        </m:r>
        <m:r>
          <m:rPr>
            <m:sty m:val="p"/>
          </m:rPr>
          <m:t>)</m:t>
        </m:r>
      </m:oMath>
      <w:r>
        <w:t xml:space="preserve">), la varianza del estimador de bloque</w:t>
      </w:r>
      <w:r>
        <w:t xml:space="preserve"> </w:t>
      </w:r>
      <w:r>
        <w:t xml:space="preserve">se infla según:</w:t>
      </w:r>
    </w:p>
    <w:p>
      <w:pPr>
        <w:pStyle w:val="Textoindependiente"/>
        <w:jc w:val="both"/>
        <w:spacing w:line="480" w:lineRule="auto"/>
      </w:pPr>
      <m:oMathPara>
        <m:oMathParaPr>
          <m:jc m:val="center"/>
        </m:oMathParaPr>
        <m:oMath>
          <m:r>
            <m:rPr>
              <m:nor/>
              <m:sty m:val="p"/>
            </m:rPr>
            <m:t>Var</m:t>
          </m:r>
          <m:r>
            <m:t>​</m:t>
          </m:r>
          <m:d>
            <m:dPr>
              <m:begChr m:val="("/>
              <m:sepChr m:val=""/>
              <m:endChr m:val=")"/>
              <m:grow/>
            </m:dPr>
            <m:e>
              <m:sSub>
                <m:e>
                  <m:acc>
                    <m:accPr>
                      <m:chr m:val="̂"/>
                    </m:accPr>
                    <m:e>
                      <m:r>
                        <m:t>μ</m:t>
                      </m:r>
                    </m:e>
                  </m:acc>
                </m:e>
                <m:sub>
                  <m:r>
                    <m:t>g</m:t>
                  </m:r>
                  <m:r>
                    <m:rPr>
                      <m:sty m:val="p"/>
                    </m:rPr>
                    <m:t>,</m:t>
                  </m:r>
                  <m:r>
                    <m:t>k</m:t>
                  </m:r>
                  <m:r>
                    <m:rPr>
                      <m:sty m:val="p"/>
                    </m:rPr>
                    <m:t>,</m:t>
                  </m:r>
                  <m:r>
                    <m:t>n</m:t>
                  </m:r>
                </m:sub>
              </m:sSub>
            </m:e>
          </m:d>
          <m:r>
            <m:rPr>
              <m:sty m:val="p"/>
            </m:rPr>
            <m:t>=</m:t>
          </m:r>
          <m:f>
            <m:fPr>
              <m:type m:val="bar"/>
            </m:fPr>
            <m:num>
              <m:sSubSup>
                <m:e>
                  <m:r>
                    <m:t>σ</m:t>
                  </m:r>
                </m:e>
                <m:sub>
                  <m:r>
                    <m:t>g</m:t>
                  </m:r>
                  <m:r>
                    <m:rPr>
                      <m:sty m:val="p"/>
                    </m:rPr>
                    <m:t>,</m:t>
                  </m:r>
                  <m:r>
                    <m:t>k</m:t>
                  </m:r>
                  <m:r>
                    <m:rPr>
                      <m:sty m:val="p"/>
                    </m:rPr>
                    <m:t>,</m:t>
                  </m:r>
                  <m:r>
                    <m:t>n</m:t>
                  </m:r>
                </m:sub>
                <m:sup>
                  <m:r>
                    <m:t>2</m:t>
                  </m:r>
                </m:sup>
              </m:sSubSup>
            </m:num>
            <m:den>
              <m:r>
                <m:t>r</m:t>
              </m:r>
            </m:den>
          </m:f>
        </m:oMath>
      </m:oMathPara>
    </w:p>
    <w:p>
      <w:pPr>
        <w:pStyle w:val="FirstParagraph"/>
        <w:jc w:val="both"/>
        <w:spacing w:line="480" w:lineRule="auto"/>
      </w:pPr>
      <w:r>
        <w:t xml:space="preserve">Con</w:t>
      </w:r>
      <w:r>
        <w:t xml:space="preserve"> </w:t>
      </w:r>
      <m:oMath>
        <m:r>
          <m:t>r</m:t>
        </m:r>
        <m:r>
          <m:rPr>
            <m:sty m:val="p"/>
          </m:rPr>
          <m:t>=</m:t>
        </m:r>
        <m:r>
          <m:t>5</m:t>
        </m:r>
      </m:oMath>
      <w:r>
        <w:t xml:space="preserve"> </w:t>
      </w:r>
      <w:r>
        <w:t xml:space="preserve">planificados versus</w:t>
      </w:r>
      <w:r>
        <w:t xml:space="preserve"> </w:t>
      </w:r>
      <m:oMath>
        <m:r>
          <m:t>r</m:t>
        </m:r>
        <m:r>
          <m:rPr>
            <m:sty m:val="p"/>
          </m:rPr>
          <m:t>≈</m:t>
        </m:r>
        <m:r>
          <m:t>2.3</m:t>
        </m:r>
      </m:oMath>
      <w:r>
        <w:t xml:space="preserve"> </w:t>
      </w:r>
      <w:r>
        <w:t xml:space="preserve">observados, el error estándar</w:t>
      </w:r>
      <w:r>
        <w:t xml:space="preserve"> </w:t>
      </w:r>
      <w:r>
        <w:t xml:space="preserve">se infla por un factor de</w:t>
      </w:r>
      <w:r>
        <w:t xml:space="preserve"> </w:t>
      </w:r>
      <m:oMath>
        <m:rad>
          <m:radPr>
            <m:degHide m:val="on"/>
          </m:radPr>
          <m:deg/>
          <m:e>
            <m:r>
              <m:t>5</m:t>
            </m:r>
            <m:r>
              <m:rPr>
                <m:sty m:val="p"/>
              </m:rPr>
              <m:t>/</m:t>
            </m:r>
            <m:r>
              <m:t>2.3</m:t>
            </m:r>
          </m:e>
        </m:rad>
        <m:r>
          <m:rPr>
            <m:sty m:val="p"/>
          </m:rPr>
          <m:t>≈</m:t>
        </m:r>
        <m:r>
          <m:t>1.47</m:t>
        </m:r>
      </m: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m:oMath>
        <m:sSup>
          <m:e>
            <m:r>
              <m:t>χ</m:t>
            </m:r>
          </m:e>
          <m:sup>
            <m:r>
              <m:t>2</m:t>
            </m:r>
          </m:sup>
        </m:sSup>
        <m:r>
          <m:rPr>
            <m:sty m:val="p"/>
          </m:rPr>
          <m:t>=</m:t>
        </m:r>
        <m:r>
          <m:t>30.44</m:t>
        </m:r>
      </m:oMath>
      <w:r>
        <w:t xml:space="preserve"> </w:t>
      </w:r>
      <w:r>
        <w:t xml:space="preserve">en todas las métricas, muy por encima del</w:t>
      </w:r>
      <w:r>
        <w:t xml:space="preserve"> </w:t>
      </w:r>
      <w:r>
        <w:t xml:space="preserve">umbral crítico</w:t>
      </w:r>
      <w:r>
        <w:t xml:space="preserve"> </w:t>
      </w:r>
      <m:oMath>
        <m:sSubSup>
          <m:e>
            <m:r>
              <m:t>χ</m:t>
            </m:r>
          </m:e>
          <m:sub>
            <m:r>
              <m:t>0.05</m:t>
            </m:r>
            <m:r>
              <m:rPr>
                <m:sty m:val="p"/>
              </m:rPr>
              <m:t>,</m:t>
            </m:r>
            <m:r>
              <m:t>3</m:t>
            </m:r>
          </m:sub>
          <m:sup>
            <m:r>
              <m:t>2</m:t>
            </m:r>
          </m:sup>
        </m:sSubSup>
        <m:r>
          <m:rPr>
            <m:sty m:val="p"/>
          </m:rPr>
          <m:t>=</m:t>
        </m:r>
        <m:r>
          <m:t>7.81</m:t>
        </m:r>
      </m:oMath>
      <w:r>
        <w:t xml:space="preserve">; (iii) el margen de seguridad para</w:t>
      </w:r>
      <w:r>
        <w:t xml:space="preserve"> </w:t>
      </w:r>
      <w:r>
        <w:t xml:space="preserve">la métrica con menor estadístico (Coste) es:</w:t>
      </w:r>
    </w:p>
    <w:p>
      <w:pPr>
        <w:pStyle w:val="Textoindependiente"/>
        <w:jc w:val="both"/>
        <w:spacing w:line="480" w:lineRule="auto"/>
      </w:pPr>
      <m:oMathPara>
        <m:oMathParaPr>
          <m:jc m:val="center"/>
        </m:oMathParaPr>
        <m:oMath>
          <m:r>
            <m:rPr>
              <m:nor/>
              <m:sty m:val="p"/>
            </m:rPr>
            <m:t>Margen</m:t>
          </m:r>
          <m:r>
            <m:rPr>
              <m:sty m:val="p"/>
            </m:rPr>
            <m:t>=</m:t>
          </m:r>
          <m:f>
            <m:fPr>
              <m:type m:val="bar"/>
            </m:fPr>
            <m:num>
              <m:r>
                <m:t>30.44</m:t>
              </m:r>
              <m:r>
                <m:rPr>
                  <m:sty m:val="p"/>
                </m:rPr>
                <m:t>−</m:t>
              </m:r>
              <m:r>
                <m:t>7.81</m:t>
              </m:r>
            </m:num>
            <m:den>
              <m:r>
                <m:t>7.81</m:t>
              </m:r>
            </m:den>
          </m:f>
          <m:r>
            <m:rPr>
              <m:sty m:val="p"/>
            </m:rPr>
            <m:t>×</m:t>
          </m:r>
          <m:r>
            <m:t>100</m:t>
          </m:r>
          <m:r>
            <m:rPr>
              <m:sty m:val="p"/>
            </m:rPr>
            <m:t>%</m:t>
          </m:r>
          <m:r>
            <m:rPr>
              <m:sty m:val="p"/>
            </m:rPr>
            <m:t>=</m:t>
          </m:r>
          <m:r>
            <m:t>290</m:t>
          </m:r>
          <m:r>
            <m:rPr>
              <m:sty m:val="p"/>
            </m:rPr>
            <m:t>%</m:t>
          </m:r>
        </m:oMath>
      </m:oMathPara>
    </w:p>
    <w:p>
      <w:pPr>
        <w:pStyle w:val="FirstParagraph"/>
        <w:jc w:val="both"/>
        <w:spacing w:line="480" w:lineRule="auto"/>
      </w:pPr>
      <w:r>
        <w:t xml:space="preserve">Incluso asumiendo una reducción del poder del 50% —hipótesis conservadora que</w:t>
      </w:r>
      <w:r>
        <w:t xml:space="preserve"> </w:t>
      </w:r>
      <w:r>
        <w:t xml:space="preserve">supera la inflación de varianza calculada— el estadístico de Coste sería</w:t>
      </w:r>
      <w:r>
        <w:t xml:space="preserve"> </w:t>
      </w:r>
      <m:oMath>
        <m:sSup>
          <m:e>
            <m:r>
              <m:t>χ</m:t>
            </m:r>
          </m:e>
          <m:sup>
            <m:r>
              <m:t>2</m:t>
            </m:r>
          </m:sup>
        </m:sSup>
        <m:r>
          <m:rPr>
            <m:sty m:val="p"/>
          </m:rPr>
          <m:t>≈</m:t>
        </m:r>
        <m:r>
          <m:t>15.2</m:t>
        </m:r>
      </m:oMath>
      <w:r>
        <w:t xml:space="preserve"> </w:t>
      </w:r>
      <w:r>
        <w:t xml:space="preserve">(</w:t>
      </w:r>
      <m:oMath>
        <m:r>
          <m:t>p</m:t>
        </m:r>
        <m:r>
          <m:rPr>
            <m:sty m:val="p"/>
          </m:rPr>
          <m:t>≈</m:t>
        </m:r>
        <m:r>
          <m:t>0.0016</m:t>
        </m:r>
      </m:oMath>
      <w:r>
        <w:t xml:space="preserve">), significativo al nivel</w:t>
      </w:r>
      <w:r>
        <w:t xml:space="preserve"> </w:t>
      </w:r>
      <m:oMath>
        <m:r>
          <m:t>α</m:t>
        </m:r>
        <m:r>
          <m:rPr>
            <m:sty m:val="p"/>
          </m:rPr>
          <m:t>=</m:t>
        </m:r>
        <m:r>
          <m:t>0.05</m:t>
        </m:r>
      </m:oMath>
      <w:r>
        <w:t xml:space="preserve">.</w:t>
      </w:r>
    </w:p>
    <w:p>
      <w:pPr>
        <w:pStyle w:val="Textoindependiente"/>
        <w:jc w:val="both"/>
        <w:spacing w:line="480" w:lineRule="auto"/>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jc w:val="both"/>
        <w:spacing w:line="480" w:lineRule="auto"/>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m:oMath>
        <m:r>
          <m:rPr>
            <m:sty m:val="p"/>
          </m:rPr>
          <m:t>≥</m:t>
        </m:r>
        <m:r>
          <m:t>290</m:t>
        </m:r>
        <m:r>
          <m:rPr>
            <m:sty m:val="p"/>
          </m:rPr>
          <m:t>%</m:t>
        </m:r>
      </m: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2"/>
    <w:bookmarkEnd w:id="83"/>
    <w:bookmarkStart w:id="91" w:name="plan-de-inferencia-estadística"/>
    <w:p>
      <w:pPr>
        <w:pStyle w:val="Ttulo2"/>
      </w:pPr>
      <w:r>
        <w:t xml:space="preserve">Plan de inferencia estadística</w:t>
      </w:r>
    </w:p>
    <w:bookmarkStart w:id="84" w:name="estudio-a-test-omnibus-de-friedman"/>
    <w:p>
      <w:pPr>
        <w:pStyle w:val="Ttulo3"/>
      </w:pPr>
      <w:r>
        <w:t xml:space="preserve">Estudio A: test omnibus de Friedman</w:t>
      </w:r>
    </w:p>
    <w:p>
      <w:pPr>
        <w:pStyle w:val="FirstParagraph"/>
        <w:jc w:val="both"/>
        <w:spacing w:line="480" w:lineRule="auto"/>
      </w:pPr>
      <w:r>
        <w:t xml:space="preserve">Para contrastar H1 y H2, se aplica el test de Friedman</w:t>
      </w:r>
      <w:r>
        <w:t xml:space="preserve"> </w:t>
      </w:r>
      <w:r>
        <w:t xml:space="preserve">(Friedman 1937)</w:t>
      </w:r>
      <w:r>
        <w:t xml:space="preserve"> </w:t>
      </w:r>
      <w:r>
        <w:t xml:space="preserve">sobre los</w:t>
      </w:r>
      <w:r>
        <w:t xml:space="preserve"> </w:t>
      </w:r>
      <m:oMath>
        <m:r>
          <m:t>B</m:t>
        </m:r>
        <m:r>
          <m:rPr>
            <m:sty m:val="p"/>
          </m:rPr>
          <m:t>=</m:t>
        </m:r>
        <m:r>
          <m:t>15</m:t>
        </m:r>
      </m:oMath>
      <w:r>
        <w:t xml:space="preserve"> </w:t>
      </w:r>
      <w:r>
        <w:t xml:space="preserve">bloques completos con</w:t>
      </w:r>
      <w:r>
        <w:t xml:space="preserve"> </w:t>
      </w:r>
      <m:oMath>
        <m:r>
          <m:t>k</m:t>
        </m:r>
        <m:r>
          <m:rPr>
            <m:sty m:val="p"/>
          </m:rPr>
          <m:t>=</m:t>
        </m:r>
        <m:r>
          <m:t>4</m:t>
        </m:r>
      </m:oMath>
      <w:r>
        <w:t xml:space="preserve"> </w:t>
      </w:r>
      <w:r>
        <w:t xml:space="preserve">tratamientos. El estadístico</w:t>
      </w:r>
      <w:r>
        <w:t xml:space="preserve"> </w:t>
      </w:r>
      <w:r>
        <w:t xml:space="preserve">se calcula sobre los rangos</w:t>
      </w:r>
      <w:r>
        <w:t xml:space="preserve"> </w:t>
      </w:r>
      <m:oMath>
        <m:sSub>
          <m:e>
            <m:r>
              <m:t>r</m:t>
            </m:r>
          </m:e>
          <m:sub>
            <m:r>
              <m:t>b</m:t>
            </m:r>
            <m:r>
              <m:t>j</m:t>
            </m:r>
          </m:sub>
        </m:sSub>
      </m:oMath>
      <w:r>
        <w:t xml:space="preserve"> </w:t>
      </w:r>
      <w:r>
        <w:t xml:space="preserve">de cada tratamiento</w:t>
      </w:r>
      <w:r>
        <w:t xml:space="preserve"> </w:t>
      </w:r>
      <m:oMath>
        <m:r>
          <m:t>j</m:t>
        </m:r>
      </m:oMath>
      <w:r>
        <w:t xml:space="preserve"> </w:t>
      </w:r>
      <w:r>
        <w:t xml:space="preserve">dentro de</w:t>
      </w:r>
      <w:r>
        <w:t xml:space="preserve"> </w:t>
      </w:r>
      <w:r>
        <w:t xml:space="preserve">cada bloque</w:t>
      </w:r>
      <w:r>
        <w:t xml:space="preserve"> </w:t>
      </w:r>
      <m:oMath>
        <m:r>
          <m:t>b</m:t>
        </m:r>
      </m:oMath>
      <w:r>
        <w:t xml:space="preserve">:</w:t>
      </w:r>
    </w:p>
    <w:p>
      <w:pPr>
        <w:pStyle w:val="Textoindependiente"/>
        <w:jc w:val="both"/>
        <w:spacing w:line="480" w:lineRule="auto"/>
      </w:pPr>
      <m:oMathPara>
        <m:oMathParaPr>
          <m:jc m:val="center"/>
        </m:oMathParaPr>
        <m:oMath>
          <m:sSubSup>
            <m:e>
              <m:r>
                <m:t>χ</m:t>
              </m:r>
            </m:e>
            <m:sub>
              <m:r>
                <m:t>F</m:t>
              </m:r>
            </m:sub>
            <m:sup>
              <m:r>
                <m:t>2</m:t>
              </m:r>
            </m:sup>
          </m:sSubSup>
          <m:r>
            <m:rPr>
              <m:sty m:val="p"/>
            </m:rPr>
            <m:t>=</m:t>
          </m:r>
          <m:f>
            <m:fPr>
              <m:type m:val="bar"/>
            </m:fPr>
            <m:num>
              <m:r>
                <m:t>12</m:t>
              </m:r>
              <m:r>
                <m:t>B</m:t>
              </m:r>
            </m:num>
            <m:den>
              <m:r>
                <m:t>k</m:t>
              </m:r>
              <m:r>
                <m:rPr>
                  <m:sty m:val="p"/>
                </m:rPr>
                <m:t>(</m:t>
              </m:r>
              <m:r>
                <m:t>k</m:t>
              </m:r>
              <m:r>
                <m:rPr>
                  <m:sty m:val="p"/>
                </m:rPr>
                <m:t>+</m:t>
              </m:r>
              <m:r>
                <m:t>1</m:t>
              </m:r>
              <m:r>
                <m:rPr>
                  <m:sty m:val="p"/>
                </m:rPr>
                <m:t>)</m:t>
              </m:r>
            </m:den>
          </m:f>
          <m:nary>
            <m:naryPr>
              <m:chr m:val="∑"/>
              <m:limLoc m:val="undOvr"/>
              <m:subHide m:val="off"/>
              <m:supHide m:val="off"/>
            </m:naryPr>
            <m:sub>
              <m:r>
                <m:t>j</m:t>
              </m:r>
              <m:r>
                <m:rPr>
                  <m:sty m:val="p"/>
                </m:rPr>
                <m:t>=</m:t>
              </m:r>
              <m:r>
                <m:t>1</m:t>
              </m:r>
            </m:sub>
            <m:sup>
              <m:r>
                <m:t>k</m:t>
              </m:r>
            </m:sup>
            <m:e>
              <m:sSup>
                <m:e>
                  <m:d>
                    <m:dPr>
                      <m:begChr m:val="("/>
                      <m:sepChr m:val=""/>
                      <m:endChr m:val=")"/>
                      <m:grow/>
                    </m:dPr>
                    <m:e>
                      <m:sSub>
                        <m:e>
                          <m:acc>
                            <m:accPr>
                              <m:chr m:val="‾"/>
                            </m:accPr>
                            <m:e>
                              <m:r>
                                <m:t>r</m:t>
                              </m:r>
                            </m:e>
                          </m:acc>
                        </m:e>
                        <m:sub>
                          <m:r>
                            <m:t>j</m:t>
                          </m:r>
                        </m:sub>
                      </m:sSub>
                      <m:r>
                        <m:rPr>
                          <m:sty m:val="p"/>
                        </m:rPr>
                        <m:t>−</m:t>
                      </m:r>
                      <m:f>
                        <m:fPr>
                          <m:type m:val="bar"/>
                        </m:fPr>
                        <m:num>
                          <m:r>
                            <m:t>k</m:t>
                          </m:r>
                          <m:r>
                            <m:rPr>
                              <m:sty m:val="p"/>
                            </m:rPr>
                            <m:t>+</m:t>
                          </m:r>
                          <m:r>
                            <m:t>1</m:t>
                          </m:r>
                        </m:num>
                        <m:den>
                          <m:r>
                            <m:t>2</m:t>
                          </m:r>
                        </m:den>
                      </m:f>
                    </m:e>
                  </m:d>
                </m:e>
                <m:sup>
                  <m:r>
                    <m:t>2</m:t>
                  </m:r>
                </m:sup>
              </m:sSup>
            </m:e>
          </m:nary>
        </m:oMath>
      </m:oMathPara>
    </w:p>
    <w:p>
      <w:pPr>
        <w:pStyle w:val="FirstParagraph"/>
        <w:jc w:val="both"/>
        <w:spacing w:line="480" w:lineRule="auto"/>
      </w:pPr>
      <w:r>
        <w:t xml:space="preserve">donde</w:t>
      </w:r>
      <w:r>
        <w:t xml:space="preserve"> </w:t>
      </w:r>
      <m:oMath>
        <m:sSub>
          <m:e>
            <m:acc>
              <m:accPr>
                <m:chr m:val="‾"/>
              </m:accPr>
              <m:e>
                <m:r>
                  <m:t>r</m:t>
                </m:r>
              </m:e>
            </m:acc>
          </m:e>
          <m:sub>
            <m:r>
              <m:t>j</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r</m:t>
                </m:r>
              </m:e>
              <m:sub>
                <m:r>
                  <m:t>b</m:t>
                </m:r>
                <m:r>
                  <m:t>j</m:t>
                </m:r>
              </m:sub>
            </m:sSub>
          </m:e>
        </m:nary>
      </m:oMath>
      <w:r>
        <w:t xml:space="preserve">. Bajo</w:t>
      </w:r>
      <w:r>
        <w:t xml:space="preserve"> </w:t>
      </w:r>
      <m:oMath>
        <m:sSub>
          <m:e>
            <m:r>
              <m:t>H</m:t>
            </m:r>
          </m:e>
          <m:sub>
            <m:r>
              <m:t>0</m:t>
            </m:r>
          </m:sub>
        </m:sSub>
      </m:oMath>
      <w:r>
        <w:t xml:space="preserve">,</w:t>
      </w:r>
      <w:r>
        <w:t xml:space="preserve"> </w:t>
      </w:r>
      <m:oMath>
        <m:sSubSup>
          <m:e>
            <m:r>
              <m:t>χ</m:t>
            </m:r>
          </m:e>
          <m:sub>
            <m:r>
              <m:t>F</m:t>
            </m:r>
          </m:sub>
          <m:sup>
            <m:r>
              <m:t>2</m:t>
            </m:r>
          </m:sup>
        </m:sSubSup>
        <m:r>
          <m:rPr>
            <m:sty m:val="p"/>
          </m:rPr>
          <m:t>∼</m:t>
        </m:r>
        <m:sSubSup>
          <m:e>
            <m:r>
              <m:t>χ</m:t>
            </m:r>
          </m:e>
          <m:sub>
            <m:r>
              <m:t>k</m:t>
            </m:r>
            <m:r>
              <m:rPr>
                <m:sty m:val="p"/>
              </m:rPr>
              <m:t>−</m:t>
            </m:r>
            <m:r>
              <m:t>1</m:t>
            </m:r>
          </m:sub>
          <m:sup>
            <m:r>
              <m:t>2</m:t>
            </m:r>
          </m:sup>
        </m:sSubSup>
      </m:oMath>
      <w:r>
        <w:t xml:space="preserve"> </w:t>
      </w:r>
      <w:r>
        <w:t xml:space="preserve">asintóticamente para</w:t>
      </w:r>
      <w:r>
        <w:t xml:space="preserve"> </w:t>
      </w:r>
      <m:oMath>
        <m:r>
          <m:t>B</m:t>
        </m:r>
        <m:r>
          <m:rPr>
            <m:sty m:val="p"/>
          </m:rPr>
          <m:t>≥</m:t>
        </m:r>
        <m:r>
          <m:t>10</m:t>
        </m:r>
      </m:oMath>
      <w:r>
        <w:t xml:space="preserve"> </w:t>
      </w:r>
      <w:r>
        <w:t xml:space="preserve">(Demšar 2006)</w:t>
      </w:r>
      <w:r>
        <w:t xml:space="preserve">. El tamaño del efecto se reporta mediante la</w:t>
      </w:r>
      <w:r>
        <w:t xml:space="preserve"> </w:t>
      </w:r>
      <m:oMath>
        <m:r>
          <m:t>W</m:t>
        </m:r>
      </m:oMath>
      <w:r>
        <w:t xml:space="preserve"> </w:t>
      </w:r>
      <w:r>
        <w:t xml:space="preserve">de Kendall:</w:t>
      </w:r>
    </w:p>
    <w:p>
      <w:pPr>
        <w:pStyle w:val="Textoindependiente"/>
        <w:jc w:val="both"/>
        <w:spacing w:line="480" w:lineRule="auto"/>
      </w:pPr>
      <m:oMathPara>
        <m:oMathParaPr>
          <m:jc m:val="center"/>
        </m:oMathParaPr>
        <m:oMath>
          <m:r>
            <m:t>W</m:t>
          </m:r>
          <m:r>
            <m:rPr>
              <m:sty m:val="p"/>
            </m:rPr>
            <m:t>=</m:t>
          </m:r>
          <m:f>
            <m:fPr>
              <m:type m:val="bar"/>
            </m:fPr>
            <m:num>
              <m:sSubSup>
                <m:e>
                  <m:r>
                    <m:t>χ</m:t>
                  </m:r>
                </m:e>
                <m:sub>
                  <m:r>
                    <m:t>F</m:t>
                  </m:r>
                </m:sub>
                <m:sup>
                  <m:r>
                    <m:t>2</m:t>
                  </m:r>
                </m:sup>
              </m:sSubSup>
            </m:num>
            <m:den>
              <m:r>
                <m:t>B</m:t>
              </m:r>
              <m:r>
                <m:rPr>
                  <m:sty m:val="p"/>
                </m:rPr>
                <m:t>(</m:t>
              </m:r>
              <m:r>
                <m:t>k</m:t>
              </m:r>
              <m:r>
                <m:rPr>
                  <m:sty m:val="p"/>
                </m:rPr>
                <m:t>−</m:t>
              </m:r>
              <m:r>
                <m:t>1</m:t>
              </m:r>
              <m:r>
                <m:rPr>
                  <m:sty m:val="p"/>
                </m:rPr>
                <m:t>)</m:t>
              </m:r>
            </m:den>
          </m:f>
        </m:oMath>
      </m:oMathPara>
    </w:p>
    <w:p>
      <w:pPr>
        <w:pStyle w:val="FirstParagraph"/>
        <w:jc w:val="both"/>
        <w:spacing w:line="480" w:lineRule="auto"/>
      </w:pPr>
      <w:r>
        <w:t xml:space="preserve">donde</w:t>
      </w:r>
      <w:r>
        <w:t xml:space="preserve"> </w:t>
      </w:r>
      <m:oMath>
        <m:r>
          <m:t>W</m:t>
        </m:r>
        <m:r>
          <m:rPr>
            <m:sty m:val="p"/>
          </m:rPr>
          <m:t>=</m:t>
        </m:r>
        <m:r>
          <m:t>1</m:t>
        </m:r>
      </m:oMath>
      <w:r>
        <w:t xml:space="preserve"> </w:t>
      </w:r>
      <w:r>
        <w:t xml:space="preserve">indica concordancia perfecta entre bloques.</w:t>
      </w:r>
    </w:p>
    <w:bookmarkEnd w:id="84"/>
    <w:bookmarkStart w:id="85" w:name="localización-post-hoc-nemenyi"/>
    <w:p>
      <w:pPr>
        <w:pStyle w:val="Ttulo3"/>
      </w:pPr>
      <w:r>
        <w:t xml:space="preserve">Localización post-hoc: Nemenyi</w:t>
      </w:r>
    </w:p>
    <w:p>
      <w:pPr>
        <w:pStyle w:val="FirstParagraph"/>
        <w:jc w:val="both"/>
        <w:spacing w:line="480" w:lineRule="auto"/>
      </w:pPr>
      <w:r>
        <w:t xml:space="preserve">Cuando Friedman rechaza</w:t>
      </w:r>
      <w:r>
        <w:t xml:space="preserve"> </w:t>
      </w:r>
      <m:oMath>
        <m:sSub>
          <m:e>
            <m:r>
              <m:t>H</m:t>
            </m:r>
          </m:e>
          <m:sub>
            <m:r>
              <m:t>0</m:t>
            </m:r>
          </m:sub>
        </m:sSub>
      </m:oMath>
      <w:r>
        <w:t xml:space="preserve">, se aplica la prueba post-hoc de Nemenyi</w:t>
      </w:r>
      <w:r>
        <w:t xml:space="preserve"> </w:t>
      </w:r>
      <w:r>
        <w:t xml:space="preserve">(Nemenyi 1963)</w:t>
      </w:r>
      <w:r>
        <w:t xml:space="preserve">. La diferencia crítica al nivel</w:t>
      </w:r>
      <w:r>
        <w:t xml:space="preserve"> </w:t>
      </w:r>
      <m:oMath>
        <m:r>
          <m:t>α</m:t>
        </m:r>
        <m:r>
          <m:rPr>
            <m:sty m:val="p"/>
          </m:rPr>
          <m:t>=</m:t>
        </m:r>
        <m:r>
          <m:t>0.05</m:t>
        </m:r>
      </m:oMath>
      <w:r>
        <w:t xml:space="preserve"> </w:t>
      </w:r>
      <w:r>
        <w:t xml:space="preserve">con</w:t>
      </w:r>
      <w:r>
        <w:t xml:space="preserve"> </w:t>
      </w:r>
      <m:oMath>
        <m:r>
          <m:t>k</m:t>
        </m:r>
        <m:r>
          <m:rPr>
            <m:sty m:val="p"/>
          </m:rPr>
          <m:t>=</m:t>
        </m:r>
        <m:r>
          <m:t>4</m:t>
        </m:r>
      </m:oMath>
      <w:r>
        <w:t xml:space="preserve"> </w:t>
      </w:r>
      <w:r>
        <w:t xml:space="preserve">y</w:t>
      </w:r>
      <w:r>
        <w:t xml:space="preserve"> </w:t>
      </w:r>
      <m:oMath>
        <m:r>
          <m:t>B</m:t>
        </m:r>
        <m:r>
          <m:rPr>
            <m:sty m:val="p"/>
          </m:rPr>
          <m:t>=</m:t>
        </m:r>
        <m:r>
          <m:t>15</m:t>
        </m:r>
      </m:oMath>
      <w:r>
        <w:t xml:space="preserve"> </w:t>
      </w:r>
      <w:r>
        <w:t xml:space="preserve">es:</w:t>
      </w:r>
    </w:p>
    <w:p>
      <w:pPr>
        <w:pStyle w:val="Textoindependiente"/>
        <w:jc w:val="both"/>
        <w:spacing w:line="480" w:lineRule="auto"/>
      </w:pPr>
      <m:oMathPara>
        <m:oMathParaPr>
          <m:jc m:val="center"/>
        </m:oMathParaPr>
        <m:oMath>
          <m:r>
            <m:rPr>
              <m:nor/>
              <m:sty m:val="p"/>
            </m:rPr>
            <m:t>CD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B</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1.211</m:t>
          </m:r>
          <m:r>
            <m:rPr>
              <m:nor/>
              <m:sty m:val="p"/>
            </m:rPr>
            <m:t> rangos</m:t>
          </m:r>
        </m:oMath>
      </m:oMathPara>
    </w:p>
    <w:p>
      <w:pPr>
        <w:pStyle w:val="FirstParagraph"/>
        <w:jc w:val="both"/>
        <w:spacing w:line="480" w:lineRule="auto"/>
      </w:pPr>
      <w:r>
        <w:t xml:space="preserve">Dos métodos se consideran significativamente distintos si</w:t>
      </w:r>
      <w:r>
        <w:t xml:space="preserve"> </w:t>
      </w:r>
      <m:oMath>
        <m:r>
          <m:rPr>
            <m:sty m:val="p"/>
          </m:rPr>
          <m:t>|</m:t>
        </m:r>
        <m:sSub>
          <m:e>
            <m:acc>
              <m:accPr>
                <m:chr m:val="‾"/>
              </m:accPr>
              <m:e>
                <m:r>
                  <m:t>r</m:t>
                </m:r>
              </m:e>
            </m:acc>
          </m:e>
          <m:sub>
            <m:r>
              <m:t>i</m:t>
            </m:r>
          </m:sub>
        </m:sSub>
        <m:r>
          <m:rPr>
            <m:sty m:val="p"/>
          </m:rPr>
          <m:t>−</m:t>
        </m:r>
        <m:sSub>
          <m:e>
            <m:acc>
              <m:accPr>
                <m:chr m:val="‾"/>
              </m:accPr>
              <m:e>
                <m:r>
                  <m:t>r</m:t>
                </m:r>
              </m:e>
            </m:acc>
          </m:e>
          <m:sub>
            <m:r>
              <m:t>j</m:t>
            </m:r>
          </m:sub>
        </m:sSub>
        <m:r>
          <m:rPr>
            <m:sty m:val="p"/>
          </m:rPr>
          <m:t>|</m:t>
        </m:r>
        <m:r>
          <m:rPr>
            <m:sty m:val="p"/>
          </m:rPr>
          <m:t>&gt;</m:t>
        </m:r>
        <m:r>
          <m:rPr>
            <m:nor/>
            <m:sty m:val="p"/>
          </m:rPr>
          <m:t>CD</m:t>
        </m:r>
      </m:oMath>
      <w:r>
        <w:t xml:space="preserve">.</w:t>
      </w:r>
    </w:p>
    <w:bookmarkEnd w:id="85"/>
    <w:bookmarkStart w:id="86" w:name="X82a710d830240cc18776e0ef609d9e71b3f53e7"/>
    <w:p>
      <w:pPr>
        <w:pStyle w:val="Ttulo3"/>
      </w:pPr>
      <w:r>
        <w:t xml:space="preserve">Wilcoxon pareado: conjuntos de 45 y 75 celdas</w:t>
      </w:r>
    </w:p>
    <w:p>
      <w:pPr>
        <w:pStyle w:val="FirstParagraph"/>
        <w:jc w:val="both"/>
        <w:spacing w:line="480" w:lineRule="auto"/>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m:oMath>
        <m:sSub>
          <m:e>
            <m:r>
              <m:t>d</m:t>
            </m:r>
          </m:e>
          <m:sub>
            <m:r>
              <m:t>i</m:t>
            </m:r>
          </m:sub>
        </m:sSub>
        <m:r>
          <m:rPr>
            <m:sty m:val="p"/>
          </m:rPr>
          <m:t>=</m:t>
        </m:r>
        <m:sSub>
          <m:e>
            <m:r>
              <m:t>y</m:t>
            </m:r>
          </m:e>
          <m:sub>
            <m:r>
              <m:rPr>
                <m:nor/>
                <m:sty m:val="p"/>
              </m:rPr>
              <m:t>SHAP</m:t>
            </m:r>
            <m:r>
              <m:rPr>
                <m:sty m:val="p"/>
              </m:rPr>
              <m:t>,</m:t>
            </m:r>
            <m:r>
              <m:t>i</m:t>
            </m:r>
          </m:sub>
        </m:sSub>
        <m:r>
          <m:rPr>
            <m:sty m:val="p"/>
          </m:rPr>
          <m:t>−</m:t>
        </m:r>
        <m:sSub>
          <m:e>
            <m:r>
              <m:t>y</m:t>
            </m:r>
          </m:e>
          <m:sub>
            <m:r>
              <m:rPr>
                <m:nor/>
                <m:sty m:val="p"/>
              </m:rPr>
              <m:t>LIME</m:t>
            </m:r>
            <m:r>
              <m:rPr>
                <m:sty m:val="p"/>
              </m:rPr>
              <m:t>,</m:t>
            </m:r>
            <m:r>
              <m:t>i</m:t>
            </m:r>
          </m:sub>
        </m:sSub>
      </m:oMath>
      <w:r>
        <w:t xml:space="preserve"> </w:t>
      </w:r>
      <w:r>
        <w:t xml:space="preserve">en dos conjuntos:</w:t>
      </w:r>
    </w:p>
    <w:p>
      <w:pPr>
        <w:pStyle w:val="Compact"/>
        <w:numPr>
          <w:ilvl w:val="0"/>
          <w:numId w:val="1009"/>
        </w:numPr>
        <w:jc w:val="both"/>
        <w:spacing w:line="480" w:lineRule="auto"/>
      </w:pPr>
      <w:r>
        <w:rPr>
          <w:b/>
          <w:bCs/>
        </w:rPr>
        <w:t xml:space="preserve">Wilcoxon-45</w:t>
      </w:r>
      <w:r>
        <w:t xml:space="preserve">: 45 celdas con</w:t>
      </w:r>
      <w:r>
        <w:t xml:space="preserve"> </w:t>
      </w:r>
      <m:oMath>
        <m:r>
          <m:t>g</m:t>
        </m:r>
        <m:r>
          <m:rPr>
            <m:sty m:val="p"/>
          </m:rPr>
          <m:t>∈</m:t>
        </m:r>
        <m:r>
          <m:rPr>
            <m:sty m:val="p"/>
          </m:rPr>
          <m:t>{</m:t>
        </m:r>
      </m:oMath>
      <w:r>
        <w:t xml:space="preserve">logreg, rf, xgb</w:t>
      </w:r>
      <m:oMath>
        <m:r>
          <m:rPr>
            <m:sty m:val="p"/>
          </m:rPr>
          <m:t>}</m:t>
        </m:r>
      </m:oMath>
      <w:r>
        <w:t xml:space="preserve"> </w:t>
      </w:r>
      <w:r>
        <w:t xml:space="preserve">(conjunto</w:t>
      </w:r>
      <w:r>
        <w:t xml:space="preserve"> </w:t>
      </w:r>
      <w:r>
        <w:t xml:space="preserve">primario con TreeSHAP exacto).</w:t>
      </w:r>
    </w:p>
    <w:p>
      <w:pPr>
        <w:pStyle w:val="Compact"/>
        <w:numPr>
          <w:ilvl w:val="0"/>
          <w:numId w:val="1009"/>
        </w:numPr>
        <w:jc w:val="both"/>
        <w:spacing w:line="480" w:lineRule="auto"/>
      </w:pPr>
      <w:r>
        <w:rPr>
          <w:b/>
          <w:bCs/>
        </w:rPr>
        <w:t xml:space="preserve">Wilcoxon-75</w:t>
      </w:r>
      <w:r>
        <w:t xml:space="preserve">: 75 celdas completas (análisis de sensibilidad que incluye</w:t>
      </w:r>
      <w:r>
        <w:t xml:space="preserve"> </w:t>
      </w:r>
      <w:r>
        <w:t xml:space="preserve">SVM y MLP con KernelSHAP).</w:t>
      </w:r>
    </w:p>
    <w:p>
      <w:pPr>
        <w:pStyle w:val="FirstParagraph"/>
        <w:jc w:val="both"/>
        <w:spacing w:line="480" w:lineRule="auto"/>
      </w:pPr>
      <w:r>
        <w:t xml:space="preserve">El tamaño del efecto se reporta como</w:t>
      </w:r>
      <w:r>
        <w:t xml:space="preserve"> </w:t>
      </w:r>
      <m:oMath>
        <m:sSub>
          <m:e>
            <m:r>
              <m:t>d</m:t>
            </m:r>
          </m:e>
          <m:sub>
            <m:r>
              <m:t>z</m:t>
            </m:r>
          </m:sub>
        </m:sSub>
      </m:oMath>
      <w:r>
        <w:t xml:space="preserve"> </w:t>
      </w:r>
      <w:r>
        <w:t xml:space="preserve">de Cohen</w:t>
      </w:r>
      <w:r>
        <w:t xml:space="preserve"> </w:t>
      </w:r>
      <w:r>
        <w:t xml:space="preserve">(Lakens 2013)</w:t>
      </w:r>
      <w:r>
        <w:t xml:space="preserve">:</w:t>
      </w:r>
    </w:p>
    <w:p>
      <w:pPr>
        <w:pStyle w:val="Textoindependiente"/>
        <w:jc w:val="both"/>
        <w:spacing w:line="480" w:lineRule="auto"/>
      </w:pPr>
      <m:oMathPara>
        <m:oMathParaPr>
          <m:jc m:val="center"/>
        </m:oMathParaPr>
        <m:oMath>
          <m:sSub>
            <m:e>
              <m:r>
                <m:t>d</m:t>
              </m:r>
            </m:e>
            <m:sub>
              <m:r>
                <m:t>z</m:t>
              </m:r>
            </m:sub>
          </m:sSub>
          <m:r>
            <m:rPr>
              <m:sty m:val="p"/>
            </m:rPr>
            <m:t>=</m:t>
          </m:r>
          <m:f>
            <m:fPr>
              <m:type m:val="bar"/>
            </m:fPr>
            <m:num>
              <m:acc>
                <m:accPr>
                  <m:chr m:val="‾"/>
                </m:accPr>
                <m:e>
                  <m:r>
                    <m:t>d</m:t>
                  </m:r>
                </m:e>
              </m:acc>
            </m:num>
            <m:den>
              <m:sSub>
                <m:e>
                  <m:r>
                    <m:t>s</m:t>
                  </m:r>
                </m:e>
                <m:sub>
                  <m:r>
                    <m:t>d</m:t>
                  </m:r>
                </m:sub>
              </m:sSub>
            </m:den>
          </m:f>
        </m:oMath>
      </m:oMathPara>
    </w:p>
    <w:p>
      <w:pPr>
        <w:pStyle w:val="FirstParagraph"/>
        <w:jc w:val="both"/>
        <w:spacing w:line="480" w:lineRule="auto"/>
      </w:pPr>
      <w:r>
        <w:t xml:space="preserve">con interpretación convencional: pequeño (</w:t>
      </w:r>
      <m:oMath>
        <m:r>
          <m:t>0.2</m:t>
        </m:r>
        <m:r>
          <m:rPr>
            <m:sty m:val="p"/>
          </m:rPr>
          <m:t>≤</m:t>
        </m:r>
        <m:sSub>
          <m:e>
            <m:r>
              <m:t>d</m:t>
            </m:r>
          </m:e>
          <m:sub>
            <m:r>
              <m:t>z</m:t>
            </m:r>
          </m:sub>
        </m:sSub>
        <m:r>
          <m:rPr>
            <m:sty m:val="p"/>
          </m:rPr>
          <m:t>&lt;</m:t>
        </m:r>
        <m:r>
          <m:t>0.5</m:t>
        </m:r>
      </m:oMath>
      <w:r>
        <w:t xml:space="preserve">), mediano</w:t>
      </w:r>
      <w:r>
        <w:t xml:space="preserve"> </w:t>
      </w:r>
      <w:r>
        <w:t xml:space="preserve">(</w:t>
      </w:r>
      <m:oMath>
        <m:r>
          <m:t>0.5</m:t>
        </m:r>
        <m:r>
          <m:rPr>
            <m:sty m:val="p"/>
          </m:rPr>
          <m:t>≤</m:t>
        </m:r>
        <m:sSub>
          <m:e>
            <m:r>
              <m:t>d</m:t>
            </m:r>
          </m:e>
          <m:sub>
            <m:r>
              <m:t>z</m:t>
            </m:r>
          </m:sub>
        </m:sSub>
        <m:r>
          <m:rPr>
            <m:sty m:val="p"/>
          </m:rPr>
          <m:t>&lt;</m:t>
        </m:r>
        <m:r>
          <m:t>0.8</m:t>
        </m:r>
      </m:oMath>
      <w:r>
        <w:t xml:space="preserve">), grande (</w:t>
      </w:r>
      <m:oMath>
        <m:sSub>
          <m:e>
            <m:r>
              <m:t>d</m:t>
            </m:r>
          </m:e>
          <m:sub>
            <m:r>
              <m:t>z</m:t>
            </m:r>
          </m:sub>
        </m:sSub>
        <m:r>
          <m:rPr>
            <m:sty m:val="p"/>
          </m:rPr>
          <m:t>≥</m:t>
        </m:r>
        <m:r>
          <m:t>0.8</m:t>
        </m:r>
      </m:oMath>
      <w:r>
        <w:t xml:space="preserve">).</w:t>
      </w:r>
    </w:p>
    <w:bookmarkEnd w:id="86"/>
    <w:bookmarkStart w:id="88" w:name="control-de-multiplicidad"/>
    <w:p>
      <w:pPr>
        <w:pStyle w:val="Ttulo3"/>
      </w:pPr>
      <w:r>
        <w:t xml:space="preserve">Control de multiplicidad</w:t>
      </w:r>
    </w:p>
    <w:p>
      <w:pPr>
        <w:pStyle w:val="FirstParagraph"/>
        <w:jc w:val="both"/>
        <w:spacing w:line="480" w:lineRule="auto"/>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87" w:name="tbl-stat-plan"/>
          <w:p>
            <w:pPr>
              <w:jc w:val="center"/>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left"/>
                    <w:jc w:val="center"/>
                  </w:pPr>
                  <w:r>
                    <w:t xml:space="preserve">Familia</w:t>
                  </w:r>
                </w:p>
              </w:tc>
              <w:tc>
                <w:tcPr/>
                <w:p>
                  <w:pPr>
                    <w:pStyle w:val="Compact"/>
                    <w:jc w:val="right"/>
                    <w:jc w:val="center"/>
                  </w:pPr>
                  <w:r>
                    <w:t xml:space="preserve">Tests</w:t>
                  </w:r>
                </w:p>
              </w:tc>
              <w:tc>
                <w:tcPr/>
                <w:p>
                  <w:pPr>
                    <w:pStyle w:val="Compact"/>
                    <w:jc w:val="center"/>
                    <w:jc w:val="center"/>
                  </w:pPr>
                  <m:oMath>
                    <m:r>
                      <m:t>n</m:t>
                    </m:r>
                  </m:oMath>
                </w:p>
              </w:tc>
              <w:tc>
                <w:tcPr/>
                <w:p>
                  <w:pPr>
                    <w:pStyle w:val="Compact"/>
                    <w:jc w:val="center"/>
                    <w:jc w:val="center"/>
                  </w:pPr>
                  <w:r>
                    <w:t xml:space="preserve">Corrección</w:t>
                  </w:r>
                </w:p>
              </w:tc>
            </w:tr>
            <w:tr>
              <w:tc>
                <w:tcPr/>
                <w:p>
                  <w:pPr>
                    <w:pStyle w:val="Compact"/>
                    <w:jc w:val="left"/>
                    <w:jc w:val="center"/>
                  </w:pPr>
                  <w:r>
                    <w:t xml:space="preserve">Friedman (Estudio A)</w:t>
                  </w:r>
                </w:p>
              </w:tc>
              <w:tc>
                <w:tcPr/>
                <w:p>
                  <w:pPr>
                    <w:pStyle w:val="Compact"/>
                    <w:jc w:val="right"/>
                    <w:jc w:val="center"/>
                  </w:pPr>
                  <w:r>
                    <w:t xml:space="preserve">5 (uno por métrica)</w:t>
                  </w:r>
                </w:p>
              </w:tc>
              <w:tc>
                <w:tcPr/>
                <w:p>
                  <w:pPr>
                    <w:pStyle w:val="Compact"/>
                    <w:jc w:val="center"/>
                    <w:jc w:val="center"/>
                  </w:pPr>
                  <w:r>
                    <w:t xml:space="preserve">15 bloques</w:t>
                  </w:r>
                </w:p>
              </w:tc>
              <w:tc>
                <w:tcPr/>
                <w:p>
                  <w:pPr>
                    <w:pStyle w:val="Compact"/>
                    <w:jc w:val="center"/>
                    <w:jc w:val="center"/>
                  </w:pPr>
                  <w:r>
                    <w:t xml:space="preserve">Holm-Bonferroni</w:t>
                  </w:r>
                </w:p>
              </w:tc>
            </w:tr>
            <w:tr>
              <w:tc>
                <w:tcPr/>
                <w:p>
                  <w:pPr>
                    <w:pStyle w:val="Compact"/>
                    <w:jc w:val="left"/>
                    <w:jc w:val="center"/>
                  </w:pPr>
                  <w:r>
                    <w:t xml:space="preserve">Wilcoxon-45 (Estudio A)</w:t>
                  </w:r>
                </w:p>
              </w:tc>
              <w:tc>
                <w:tcPr/>
                <w:p>
                  <w:pPr>
                    <w:pStyle w:val="Compact"/>
                    <w:jc w:val="right"/>
                    <w:jc w:val="center"/>
                  </w:pPr>
                  <w:r>
                    <w:t xml:space="preserve">5</w:t>
                  </w:r>
                </w:p>
              </w:tc>
              <w:tc>
                <w:tcPr/>
                <w:p>
                  <w:pPr>
                    <w:pStyle w:val="Compact"/>
                    <w:jc w:val="center"/>
                    <w:jc w:val="center"/>
                  </w:pPr>
                  <w:r>
                    <w:t xml:space="preserve">45 celdas</w:t>
                  </w:r>
                </w:p>
              </w:tc>
              <w:tc>
                <w:tcPr/>
                <w:p>
                  <w:pPr>
                    <w:pStyle w:val="Compact"/>
                    <w:jc w:val="center"/>
                    <w:jc w:val="center"/>
                  </w:pPr>
                  <w:r>
                    <w:t xml:space="preserve">Holm-Bonferroni</w:t>
                  </w:r>
                </w:p>
              </w:tc>
            </w:tr>
            <w:tr>
              <w:tc>
                <w:tcPr/>
                <w:p>
                  <w:pPr>
                    <w:pStyle w:val="Compact"/>
                    <w:jc w:val="left"/>
                    <w:jc w:val="center"/>
                  </w:pPr>
                  <w:r>
                    <w:t xml:space="preserve">Wilcoxon-75 (Estudios A y B)</w:t>
                  </w:r>
                </w:p>
              </w:tc>
              <w:tc>
                <w:tcPr/>
                <w:p>
                  <w:pPr>
                    <w:pStyle w:val="Compact"/>
                    <w:jc w:val="right"/>
                    <w:jc w:val="center"/>
                  </w:pPr>
                  <w:r>
                    <w:t xml:space="preserve">5</w:t>
                  </w:r>
                </w:p>
              </w:tc>
              <w:tc>
                <w:tcPr/>
                <w:p>
                  <w:pPr>
                    <w:pStyle w:val="Compact"/>
                    <w:jc w:val="center"/>
                    <w:jc w:val="center"/>
                  </w:pPr>
                  <w:r>
                    <w:t xml:space="preserve">75 celdas</w:t>
                  </w:r>
                </w:p>
              </w:tc>
              <w:tc>
                <w:tcPr/>
                <w:p>
                  <w:pPr>
                    <w:pStyle w:val="Compact"/>
                    <w:jc w:val="center"/>
                    <w:jc w:val="center"/>
                  </w:pPr>
                  <w:r>
                    <w:t xml:space="preserve">Holm-Bonferroni</w:t>
                  </w:r>
                </w:p>
              </w:tc>
            </w:tr>
          </w:tbl>
          <w:bookmarkEnd w:id="87"/>
          <w:p/>
        </w:tc>
      </w:tr>
    </w:tbl>
    <w:bookmarkEnd w:id="88"/>
    <w:bookmarkStart w:id="90" w:name="X8d8a6fe44143f1c1b581a8bcb7389a6bd938df3"/>
    <w:p>
      <w:pPr>
        <w:pStyle w:val="Ttulo3"/>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89" w:name="tbl-hypo-plan"/>
          <w:p>
            <w:pPr>
              <w:jc w:val="center"/>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left"/>
                    <w:jc w:val="center"/>
                  </w:pPr>
                  <w:r>
                    <w:t xml:space="preserve">Hipótesis</w:t>
                  </w:r>
                </w:p>
              </w:tc>
              <w:tc>
                <w:tcPr/>
                <w:p>
                  <w:pPr>
                    <w:pStyle w:val="Compact"/>
                    <w:jc w:val="center"/>
                    <w:jc w:val="center"/>
                  </w:pPr>
                  <w:r>
                    <w:t xml:space="preserve">Test</w:t>
                  </w:r>
                </w:p>
              </w:tc>
              <w:tc>
                <w:tcPr/>
                <w:p>
                  <w:pPr>
                    <w:pStyle w:val="Compact"/>
                    <w:jc w:val="center"/>
                    <w:jc w:val="center"/>
                  </w:pPr>
                  <m:oMath>
                    <m:r>
                      <m:t>n</m:t>
                    </m:r>
                  </m:oMath>
                </w:p>
              </w:tc>
              <w:tc>
                <w:tcPr/>
                <w:p>
                  <w:pPr>
                    <w:pStyle w:val="Compact"/>
                    <w:jc w:val="left"/>
                    <w:jc w:val="center"/>
                  </w:pPr>
                  <w:r>
                    <w:t xml:space="preserve">Diseño</w:t>
                  </w:r>
                </w:p>
              </w:tc>
            </w:tr>
            <w:tr>
              <w:tc>
                <w:tcPr/>
                <w:p>
                  <w:pPr>
                    <w:pStyle w:val="Compact"/>
                    <w:jc w:val="left"/>
                    <w:jc w:val="center"/>
                  </w:pPr>
                  <w:r>
                    <w:t xml:space="preserve">H1 (fidelidad)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H2 (estabilidad)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H3 (trade-off SHAP-LIME)</w:t>
                  </w:r>
                </w:p>
              </w:tc>
              <w:tc>
                <w:tcPr/>
                <w:p>
                  <w:pPr>
                    <w:pStyle w:val="Compact"/>
                    <w:jc w:val="center"/>
                    <w:jc w:val="center"/>
                  </w:pPr>
                  <w:r>
                    <w:t xml:space="preserve">Wilcoxon bilateral</w:t>
                  </w:r>
                </w:p>
              </w:tc>
              <w:tc>
                <w:tcPr/>
                <w:p>
                  <w:pPr>
                    <w:pStyle w:val="Compact"/>
                    <w:jc w:val="center"/>
                    <w:jc w:val="center"/>
                  </w:pPr>
                  <w:r>
                    <w:t xml:space="preserve">75 pares</w:t>
                  </w:r>
                </w:p>
              </w:tc>
              <w:tc>
                <w:tcPr/>
                <w:p>
                  <w:pPr>
                    <w:pStyle w:val="Compact"/>
                    <w:jc w:val="left"/>
                    <w:jc w:val="center"/>
                  </w:pPr>
                  <m:oMath>
                    <m:r>
                      <m:rPr>
                        <m:sty m:val="p"/>
                      </m:rPr>
                      <m:t>(</m:t>
                    </m:r>
                    <m:r>
                      <m:t>g</m:t>
                    </m:r>
                    <m:r>
                      <m:rPr>
                        <m:sty m:val="p"/>
                      </m:rPr>
                      <m:t>,</m:t>
                    </m:r>
                    <m:r>
                      <m:t>s</m:t>
                    </m:r>
                    <m:r>
                      <m:rPr>
                        <m:sty m:val="p"/>
                      </m:rPr>
                      <m:t>,</m:t>
                    </m:r>
                    <m:r>
                      <m:t>n</m:t>
                    </m:r>
                    <m:r>
                      <m:rPr>
                        <m:sty m:val="p"/>
                      </m:rPr>
                      <m:t>)</m:t>
                    </m:r>
                  </m:oMath>
                  <w:r>
                    <w:t xml:space="preserve"> </w:t>
                  </w:r>
                  <w:r>
                    <w:t xml:space="preserve">idénticos</w:t>
                  </w:r>
                </w:p>
              </w:tc>
            </w:tr>
            <w:tr>
              <w:tc>
                <w:tcPr/>
                <w:p>
                  <w:pPr>
                    <w:pStyle w:val="Compact"/>
                    <w:jc w:val="left"/>
                    <w:jc w:val="center"/>
                  </w:pPr>
                  <w:r>
                    <w:t xml:space="preserve">P1 (reproducibilidad)</w:t>
                  </w:r>
                </w:p>
              </w:tc>
              <w:tc>
                <w:tcPr/>
                <w:p>
                  <w:pPr>
                    <w:pStyle w:val="Compact"/>
                    <w:jc w:val="center"/>
                    <w:jc w:val="center"/>
                  </w:pPr>
                  <w:r>
                    <w:t xml:space="preserve">CV sobre EXP1</w:t>
                  </w:r>
                </w:p>
              </w:tc>
              <w:tc>
                <w:tcPr/>
                <w:p>
                  <w:pPr>
                    <w:pStyle w:val="Compact"/>
                    <w:jc w:val="center"/>
                    <w:jc w:val="center"/>
                  </w:pPr>
                  <w:r>
                    <w:t xml:space="preserve">5 semillas</w:t>
                  </w:r>
                </w:p>
              </w:tc>
              <w:tc>
                <w:tcPr/>
                <w:p>
                  <w:pPr>
                    <w:pStyle w:val="Compact"/>
                    <w:jc w:val="left"/>
                    <w:jc w:val="center"/>
                  </w:pPr>
                  <w:r>
                    <w:t xml:space="preserve">Por método</w:t>
                  </w:r>
                </w:p>
              </w:tc>
            </w:tr>
          </w:tbl>
          <w:bookmarkEnd w:id="89"/>
          <w:p/>
        </w:tc>
      </w:tr>
    </w:tbl>
    <w:bookmarkEnd w:id="90"/>
    <w:bookmarkEnd w:id="91"/>
    <w:bookmarkStart w:id="92" w:name="trazabilidad-y-reproducibilidad"/>
    <w:p>
      <w:pPr>
        <w:pStyle w:val="Ttulo2"/>
      </w:pPr>
      <w:r>
        <w:t xml:space="preserve">Trazabilidad y reproducibilidad</w:t>
      </w:r>
    </w:p>
    <w:p>
      <w:pPr>
        <w:pStyle w:val="FirstParagraph"/>
        <w:jc w:val="both"/>
        <w:spacing w:line="480" w:lineRule="auto"/>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0"/>
        </w:numPr>
        <w:jc w:val="both"/>
        <w:spacing w:line="480" w:lineRule="auto"/>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jc w:val="both"/>
        <w:spacing w:line="480" w:lineRule="auto"/>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jc w:val="both"/>
        <w:spacing w:line="480" w:lineRule="auto"/>
      </w:pPr>
      <w:r>
        <w:rPr>
          <w:rStyle w:val="VerbatimChar"/>
        </w:rPr>
        <w:t xml:space="preserve">outputs/batch_results.csv</w:t>
      </w:r>
      <w:r>
        <w:t xml:space="preserve"> </w:t>
      </w:r>
      <w:r>
        <w:t xml:space="preserve">— superposición de recuperación (30 filas).</w:t>
      </w:r>
    </w:p>
    <w:p>
      <w:pPr>
        <w:pStyle w:val="Compact"/>
        <w:numPr>
          <w:ilvl w:val="0"/>
          <w:numId w:val="1010"/>
        </w:numPr>
        <w:jc w:val="both"/>
        <w:spacing w:line="480" w:lineRule="auto"/>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jc w:val="both"/>
        <w:spacing w:line="480" w:lineRule="auto"/>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jc w:val="both"/>
        <w:spacing w:line="480" w:lineRule="auto"/>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A.</w:t>
      </w:r>
    </w:p>
    <w:bookmarkEnd w:id="92"/>
    <w:bookmarkEnd w:id="93"/>
    <w:bookmarkStart w:id="127" w:name="resultados-y-discusión"/>
    <w:p>
      <w:pPr>
        <w:pStyle w:val="Ttulo1"/>
      </w:pPr>
      <w:r>
        <w:t xml:space="preserve">Resultados y discusión</w:t>
      </w:r>
    </w:p>
    <w:p>
      <w:pPr>
        <w:pStyle w:val="FirstParagraph"/>
        <w:jc w:val="both"/>
        <w:spacing w:line="480" w:lineRule="auto"/>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A continuación se</w:t>
      </w:r>
      <w:r>
        <w:t xml:space="preserve"> </w:t>
      </w:r>
      <w:r>
        <w:t xml:space="preserve">incorpora una capa complementaria de validación humana de las explicaciones</w:t>
      </w:r>
      <w:r>
        <w:t xml:space="preserve"> </w:t>
      </w:r>
      <w:r>
        <w:t xml:space="preserve">generadas, orientada a dimensiones semánticas y de utilidad que no son</w:t>
      </w:r>
      <w:r>
        <w:t xml:space="preserve"> </w:t>
      </w:r>
      <w:r>
        <w:t xml:space="preserve">capturadas por las métricas funcionales automáticas. La discusión integradora</w:t>
      </w:r>
      <w:r>
        <w:t xml:space="preserve"> </w:t>
      </w:r>
      <w:r>
        <w:t xml:space="preserve">al final del capítulo articula los hallazgos con la literatura y deriva</w:t>
      </w:r>
      <w:r>
        <w:t xml:space="preserve"> </w:t>
      </w:r>
      <w:r>
        <w:t xml:space="preserve">criterios operativos de selección de métodos.</w:t>
      </w:r>
    </w:p>
    <w:p>
      <w:pPr>
        <w:pStyle w:val="Textoindependiente"/>
        <w:jc w:val="both"/>
        <w:spacing w:line="480" w:lineRule="auto"/>
      </w:pPr>
      <w:r>
        <w:t xml:space="preserve">Los resultados confirmativos de H1–H3 y P1 se calcularon a partir de los</w:t>
      </w:r>
      <w:r>
        <w:t xml:space="preserve"> </w:t>
      </w:r>
      <w:r>
        <w:t xml:space="preserve">artefactos de la etapa de benchmark primario de robustez (EXP2), compuesta por</w:t>
      </w:r>
      <w:r>
        <w:t xml:space="preserve"> </w:t>
      </w:r>
      <w:r>
        <w:t xml:space="preserve">275 celdas calificadas del diseño factorial</w:t>
      </w:r>
      <w:r>
        <w:t xml:space="preserve"> </w:t>
      </w:r>
      <m:oMath>
        <m:r>
          <m:t>5</m:t>
        </m:r>
        <m:r>
          <m:rPr>
            <m:sty m:val="p"/>
          </m:rPr>
          <m:t>×</m:t>
        </m:r>
        <m:r>
          <m:t>4</m:t>
        </m:r>
        <m:r>
          <m:rPr>
            <m:sty m:val="p"/>
          </m:rPr>
          <m:t>×</m:t>
        </m:r>
        <m:r>
          <m:t>5</m:t>
        </m:r>
        <m:r>
          <m:rPr>
            <m:sty m:val="p"/>
          </m:rPr>
          <m:t>×</m:t>
        </m:r>
        <m:r>
          <m:t>3</m:t>
        </m:r>
      </m: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 La validación humana se</w:t>
      </w:r>
      <w:r>
        <w:t xml:space="preserve"> </w:t>
      </w:r>
      <w:r>
        <w:t xml:space="preserve">reporta como análisis descriptivo complementario sobre el archivo</w:t>
      </w:r>
      <w:r>
        <w:t xml:space="preserve"> </w:t>
      </w:r>
      <w:r>
        <w:rPr>
          <w:rStyle w:val="VerbatimChar"/>
        </w:rPr>
        <w:t xml:space="preserve">experiments/exp4_llm_evaluation/human_validation_responses.csv</w:t>
      </w:r>
      <w:r>
        <w:t xml:space="preserve">; no altera</w:t>
      </w:r>
      <w:r>
        <w:t xml:space="preserve"> </w:t>
      </w:r>
      <w:r>
        <w:t xml:space="preserve">los contrastes inferenciales de EXP2, sino que añade evidencia</w:t>
      </w:r>
      <w:r>
        <w:t xml:space="preserve"> </w:t>
      </w:r>
      <w:r>
        <w:rPr>
          <w:i/>
          <w:iCs/>
        </w:rPr>
        <w:t xml:space="preserve">human-centered</w:t>
      </w:r>
      <w:r>
        <w:t xml:space="preserve"> </w:t>
      </w:r>
      <w:r>
        <w:t xml:space="preserve">sobre la percepción de calidad de las explicaciones.</w:t>
      </w:r>
    </w:p>
    <w:bookmarkStart w:id="94" w:name="X265f56e886428ba30debc49e85dcc5a7469d3ae"/>
    <w:p>
      <w:pPr>
        <w:pStyle w:val="Ttulo2"/>
      </w:pPr>
      <w:r>
        <w:t xml:space="preserve">Descripción general de la cobertura analítica</w:t>
      </w:r>
    </w:p>
    <w:p>
      <w:pPr>
        <w:pStyle w:val="FirstParagraph"/>
        <w:jc w:val="both"/>
        <w:spacing w:line="480" w:lineRule="auto"/>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m:oMath>
        <m:r>
          <m:t>D</m:t>
        </m:r>
        <m:r>
          <m:rPr>
            <m:sty m:val="p"/>
          </m:rPr>
          <m:t>=</m:t>
        </m:r>
        <m:r>
          <m:t>g</m:t>
        </m:r>
        <m:r>
          <m:rPr>
            <m:sty m:val="p"/>
          </m:rPr>
          <m:t>×</m:t>
        </m:r>
        <m:r>
          <m:t>k</m:t>
        </m:r>
        <m:r>
          <m:rPr>
            <m:sty m:val="p"/>
          </m:rPr>
          <m:t>×</m:t>
        </m:r>
        <m:r>
          <m:t>s</m:t>
        </m:r>
        <m:r>
          <m:rPr>
            <m:sty m:val="p"/>
          </m:rPr>
          <m:t>×</m:t>
        </m:r>
        <m:r>
          <m:t>n</m:t>
        </m:r>
        <m:r>
          <m:rPr>
            <m:sty m:val="p"/>
          </m:rPr>
          <m:t>=</m:t>
        </m:r>
        <m:r>
          <m:t>5</m:t>
        </m:r>
        <m:r>
          <m:rPr>
            <m:sty m:val="p"/>
          </m:rPr>
          <m:t>×</m:t>
        </m:r>
        <m:r>
          <m:t>4</m:t>
        </m:r>
        <m:r>
          <m:rPr>
            <m:sty m:val="p"/>
          </m:rPr>
          <m:t>×</m:t>
        </m:r>
        <m:r>
          <m:t>5</m:t>
        </m:r>
        <m:r>
          <m:rPr>
            <m:sty m:val="p"/>
          </m:rPr>
          <m:t>×</m:t>
        </m:r>
        <m:r>
          <m:t>3</m:t>
        </m:r>
      </m:oMath>
      <w:r>
        <w:t xml:space="preserve">), se</w:t>
      </w:r>
      <w:r>
        <w:t xml:space="preserve"> </w:t>
      </w:r>
      <w:r>
        <w:t xml:space="preserve">obtuvieron artefactos calificados en 275, distribuidos como sigue:</w:t>
      </w:r>
    </w:p>
    <w:p>
      <w:pPr>
        <w:numPr>
          <w:ilvl w:val="0"/>
          <w:numId w:val="1011"/>
        </w:numPr>
        <w:jc w:val="both"/>
        <w:spacing w:line="480" w:lineRule="auto"/>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1"/>
        </w:numPr>
        <w:jc w:val="both"/>
        <w:spacing w:line="480" w:lineRule="auto"/>
      </w:pPr>
      <w:r>
        <w:rPr>
          <w:b/>
          <w:bCs/>
        </w:rPr>
        <w:t xml:space="preserve">LIME</w:t>
      </w:r>
      <w:r>
        <w:t xml:space="preserve">: 75 de 75 celdas (100%). Cobertura completa.</w:t>
      </w:r>
    </w:p>
    <w:p>
      <w:pPr>
        <w:numPr>
          <w:ilvl w:val="0"/>
          <w:numId w:val="1011"/>
        </w:numPr>
        <w:jc w:val="both"/>
        <w:spacing w:line="480" w:lineRule="auto"/>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1"/>
        </w:numPr>
        <w:jc w:val="both"/>
        <w:spacing w:line="480" w:lineRule="auto"/>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jc w:val="both"/>
        <w:spacing w:line="480" w:lineRule="auto"/>
      </w:pPr>
      <w:r>
        <w:t xml:space="preserve">Para el análisis Friedman (H1 y H2), se utilizan los 15 bloques completos</w:t>
      </w:r>
      <w:r>
        <w:t xml:space="preserve"> </w:t>
      </w:r>
      <m:oMath>
        <m:r>
          <m:rPr>
            <m:sty m:val="p"/>
          </m:rPr>
          <m:t>(</m:t>
        </m:r>
        <m:r>
          <m:t>g</m:t>
        </m:r>
        <m:r>
          <m:rPr>
            <m:sty m:val="p"/>
          </m:rPr>
          <m:t>,</m:t>
        </m:r>
        <m:r>
          <m:t>n</m:t>
        </m:r>
        <m:r>
          <m:rPr>
            <m:sty m:val="p"/>
          </m:rPr>
          <m:t>)</m:t>
        </m:r>
      </m: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m:oMath>
        <m:r>
          <m:rPr>
            <m:sty m:val="p"/>
          </m:rPr>
          <m:t>(</m:t>
        </m:r>
        <m:r>
          <m:t>g</m:t>
        </m:r>
        <m:r>
          <m:rPr>
            <m:sty m:val="p"/>
          </m:rPr>
          <m:t>,</m:t>
        </m:r>
        <m:r>
          <m:t>s</m:t>
        </m:r>
        <m:r>
          <m:rPr>
            <m:sty m:val="p"/>
          </m:rPr>
          <m:t>,</m:t>
        </m:r>
        <m:r>
          <m:t>n</m:t>
        </m:r>
        <m:r>
          <m:rPr>
            <m:sty m:val="p"/>
          </m:rPr>
          <m:t>)</m:t>
        </m:r>
      </m:oMath>
      <w:r>
        <w:t xml:space="preserve"> </w:t>
      </w:r>
      <w:r>
        <w:t xml:space="preserve">coincidentes en las que</w:t>
      </w:r>
      <w:r>
        <w:t xml:space="preserve"> </w:t>
      </w:r>
      <w:r>
        <w:t xml:space="preserve">ambos métodos producen resultados calificados.</w:t>
      </w:r>
    </w:p>
    <w:bookmarkEnd w:id="94"/>
    <w:bookmarkStart w:id="100" w:name="sec-estudio-a"/>
    <w:p>
      <w:pPr>
        <w:pStyle w:val="Ttulo2"/>
      </w:pPr>
      <w:r>
        <w:t xml:space="preserve">Estudio A: Análisis omnibus multimétrico (H1 y H2)</w:t>
      </w:r>
    </w:p>
    <w:bookmarkStart w:id="97" w:name="X41be5df394949178755daa825e68dc45d5470c0"/>
    <w:p>
      <w:pPr>
        <w:pStyle w:val="Ttulo3"/>
      </w:pPr>
      <w:r>
        <w:t xml:space="preserve">H1: Diferencias entre métodos en fidelidad</w:t>
      </w:r>
    </w:p>
    <w:p>
      <w:pPr>
        <w:pStyle w:val="FirstParagraph"/>
        <w:jc w:val="both"/>
        <w:spacing w:line="480" w:lineRule="auto"/>
      </w:pPr>
      <w:r>
        <w:t xml:space="preserve">La prueba de Friedman para bloques</w:t>
      </w:r>
      <w:r>
        <w:t xml:space="preserve"> </w:t>
      </w:r>
      <m:oMath>
        <m:r>
          <m:rPr>
            <m:sty m:val="p"/>
          </m:rPr>
          <m:t>(</m:t>
        </m:r>
        <m:r>
          <m:t>g</m:t>
        </m:r>
        <m:r>
          <m:rPr>
            <m:sty m:val="p"/>
          </m:rPr>
          <m:t>,</m:t>
        </m:r>
        <m:r>
          <m:t>n</m:t>
        </m:r>
        <m:r>
          <m:rPr>
            <m:sty m:val="p"/>
          </m:rPr>
          <m:t>)</m:t>
        </m:r>
      </m:oMath>
      <w:r>
        <w:t xml:space="preserve"> </w:t>
      </w:r>
      <w:r>
        <w:t xml:space="preserve">sobre la métrica de fidelidad</w:t>
      </w:r>
      <w:r>
        <w:t xml:space="preserve"> </w:t>
      </w:r>
      <w:r>
        <w:t xml:space="preserve">arrojó una estadística</w:t>
      </w:r>
      <w:r>
        <w:t xml:space="preserve"> </w:t>
      </w:r>
      <m:oMath>
        <m:sSubSup>
          <m:e>
            <m:r>
              <m:t>χ</m:t>
            </m:r>
          </m:e>
          <m:sub>
            <m:r>
              <m:t>F</m:t>
            </m:r>
          </m:sub>
          <m:sup>
            <m:r>
              <m:t>2</m:t>
            </m:r>
          </m:sup>
        </m:sSubSup>
        <m:r>
          <m:rPr>
            <m:sty m:val="p"/>
          </m:rPr>
          <m:t>=</m:t>
        </m:r>
        <m:r>
          <m:t>42.12</m:t>
        </m:r>
      </m:oMath>
      <w:r>
        <w:t xml:space="preserve"> </w:t>
      </w:r>
      <w:r>
        <w:t xml:space="preserve">con</w:t>
      </w:r>
      <w:r>
        <w:t xml:space="preserve"> </w:t>
      </w:r>
      <m:oMath>
        <m:r>
          <m:t>k</m:t>
        </m:r>
        <m:r>
          <m:rPr>
            <m:sty m:val="p"/>
          </m:rPr>
          <m:t>−</m:t>
        </m:r>
        <m:r>
          <m:t>1</m:t>
        </m:r>
        <m:r>
          <m:rPr>
            <m:sty m:val="p"/>
          </m:rPr>
          <m:t>=</m:t>
        </m:r>
        <m:r>
          <m:t>3</m:t>
        </m:r>
      </m:oMath>
      <w:r>
        <w:t xml:space="preserve"> </w:t>
      </w:r>
      <w:r>
        <w:t xml:space="preserve">grados de libertad</w:t>
      </w:r>
      <w:r>
        <w:t xml:space="preserve"> </w:t>
      </w:r>
      <w:r>
        <w:t xml:space="preserve">sobre</w:t>
      </w:r>
      <w:r>
        <w:t xml:space="preserve"> </w:t>
      </w:r>
      <m:oMath>
        <m:r>
          <m:t>n</m:t>
        </m:r>
        <m:r>
          <m:rPr>
            <m:sty m:val="p"/>
          </m:rPr>
          <m:t>=</m:t>
        </m:r>
        <m:r>
          <m:t>15</m:t>
        </m:r>
      </m:oMath>
      <w:r>
        <w:t xml:space="preserve"> </w:t>
      </w:r>
      <w:r>
        <w:t xml:space="preserve">bloques completos. El valor crítico para</w:t>
      </w:r>
      <w:r>
        <w:t xml:space="preserve"> </w:t>
      </w:r>
      <m:oMath>
        <m:r>
          <m:t>α</m:t>
        </m:r>
        <m:r>
          <m:rPr>
            <m:sty m:val="p"/>
          </m:rPr>
          <m:t>=</m:t>
        </m:r>
        <m:r>
          <m:t>0.05</m:t>
        </m:r>
      </m:oMath>
      <w:r>
        <w:t xml:space="preserve"> </w:t>
      </w:r>
      <w:r>
        <w:t xml:space="preserve">es</w:t>
      </w:r>
      <w:r>
        <w:t xml:space="preserve"> </w:t>
      </w:r>
      <m:oMath>
        <m:sSubSup>
          <m:e>
            <m:r>
              <m:t>χ</m:t>
            </m:r>
          </m:e>
          <m:sub>
            <m:r>
              <m:t>c</m:t>
            </m:r>
            <m:r>
              <m:t>r</m:t>
            </m:r>
            <m:r>
              <m:t>i</m:t>
            </m:r>
            <m:r>
              <m:t>t</m:t>
            </m:r>
          </m:sub>
          <m:sup>
            <m:r>
              <m:t>2</m:t>
            </m:r>
          </m:sup>
        </m:sSubSup>
        <m:r>
          <m:rPr>
            <m:sty m:val="p"/>
          </m:rPr>
          <m:t>(</m:t>
        </m:r>
        <m:r>
          <m:t>3</m:t>
        </m:r>
        <m:r>
          <m:rPr>
            <m:sty m:val="p"/>
          </m:rPr>
          <m:t>)</m:t>
        </m:r>
        <m:r>
          <m:rPr>
            <m:sty m:val="p"/>
          </m:rPr>
          <m:t>=</m:t>
        </m:r>
        <m:r>
          <m:t>7.815</m:t>
        </m:r>
      </m:oMath>
      <w:r>
        <w:t xml:space="preserve">, de modo que el margen de seguridad inferencial es:</w:t>
      </w:r>
    </w:p>
    <w:p>
      <w:pPr>
        <w:pStyle w:val="Textoindependiente"/>
        <w:jc w:val="both"/>
        <w:spacing w:line="480" w:lineRule="auto"/>
      </w:pPr>
      <m:oMathPara>
        <m:oMathParaPr>
          <m:jc m:val="center"/>
        </m:oMathParaPr>
        <m:oMath>
          <m:r>
            <m:rPr>
              <m:nor/>
              <m:sty m:val="p"/>
            </m:rPr>
            <m:t>Margen</m:t>
          </m:r>
          <m:r>
            <m:rPr>
              <m:sty m:val="p"/>
            </m:rPr>
            <m:t>=</m:t>
          </m:r>
          <m:f>
            <m:fPr>
              <m:type m:val="bar"/>
            </m:fPr>
            <m:num>
              <m:sSubSup>
                <m:e>
                  <m:r>
                    <m:t>χ</m:t>
                  </m:r>
                </m:e>
                <m:sub>
                  <m:r>
                    <m:t>F</m:t>
                  </m:r>
                </m:sub>
                <m:sup>
                  <m:r>
                    <m:t>2</m:t>
                  </m:r>
                </m:sup>
              </m:sSubSup>
              <m:r>
                <m:rPr>
                  <m:sty m:val="p"/>
                </m:rPr>
                <m:t>−</m:t>
              </m:r>
              <m:sSubSup>
                <m:e>
                  <m:r>
                    <m:t>χ</m:t>
                  </m:r>
                </m:e>
                <m:sub>
                  <m:r>
                    <m:t>c</m:t>
                  </m:r>
                  <m:r>
                    <m:t>r</m:t>
                  </m:r>
                  <m:r>
                    <m:t>i</m:t>
                  </m:r>
                  <m:r>
                    <m:t>t</m:t>
                  </m:r>
                </m:sub>
                <m:sup>
                  <m:r>
                    <m:t>2</m:t>
                  </m:r>
                </m:sup>
              </m:sSubSup>
            </m:num>
            <m:den>
              <m:sSubSup>
                <m:e>
                  <m:r>
                    <m:t>χ</m:t>
                  </m:r>
                </m:e>
                <m:sub>
                  <m:r>
                    <m:t>c</m:t>
                  </m:r>
                  <m:r>
                    <m:t>r</m:t>
                  </m:r>
                  <m:r>
                    <m:t>i</m:t>
                  </m:r>
                  <m:r>
                    <m:t>t</m:t>
                  </m:r>
                </m:sub>
                <m:sup>
                  <m:r>
                    <m:t>2</m:t>
                  </m:r>
                </m:sup>
              </m:sSubSup>
            </m:den>
          </m:f>
          <m:r>
            <m:rPr>
              <m:sty m:val="p"/>
            </m:rPr>
            <m:t>×</m:t>
          </m:r>
          <m:r>
            <m:t>100</m:t>
          </m:r>
          <m:r>
            <m:rPr>
              <m:sty m:val="p"/>
            </m:rPr>
            <m:t>=</m:t>
          </m:r>
          <m:f>
            <m:fPr>
              <m:type m:val="bar"/>
            </m:fPr>
            <m:num>
              <m:r>
                <m:t>42.12</m:t>
              </m:r>
              <m:r>
                <m:rPr>
                  <m:sty m:val="p"/>
                </m:rPr>
                <m:t>−</m:t>
              </m:r>
              <m:r>
                <m:t>7.815</m:t>
              </m:r>
            </m:num>
            <m:den>
              <m:r>
                <m:t>7.815</m:t>
              </m:r>
            </m:den>
          </m:f>
          <m:r>
            <m:rPr>
              <m:sty m:val="p"/>
            </m:rPr>
            <m:t>×</m:t>
          </m:r>
          <m:r>
            <m:t>100</m:t>
          </m:r>
          <m:r>
            <m:rPr>
              <m:sty m:val="p"/>
            </m:rPr>
            <m:t>=</m:t>
          </m:r>
          <m:r>
            <m:t>439</m:t>
          </m:r>
          <m:r>
            <m:rPr>
              <m:sty m:val="p"/>
            </m:rPr>
            <m:t>%</m:t>
          </m:r>
        </m:oMath>
      </m:oMathPara>
    </w:p>
    <w:p>
      <w:pPr>
        <w:pStyle w:val="FirstParagraph"/>
        <w:jc w:val="both"/>
        <w:spacing w:line="480" w:lineRule="auto"/>
      </w:pPr>
      <w:r>
        <w:t xml:space="preserve">Este resultado rechaza</w:t>
      </w:r>
      <w:r>
        <w:t xml:space="preserve"> </w:t>
      </w:r>
      <m:oMath>
        <m:sSub>
          <m:e>
            <m:r>
              <m:t>H</m:t>
            </m:r>
          </m:e>
          <m:sub>
            <m:r>
              <m:t>0</m:t>
            </m:r>
            <m:r>
              <m:rPr>
                <m:sty m:val="p"/>
              </m:rPr>
              <m:t>,</m:t>
            </m:r>
            <m:r>
              <m:t>1</m:t>
            </m:r>
          </m:sub>
        </m:sSub>
      </m:oMath>
      <w:r>
        <w:t xml:space="preserve"> </w:t>
      </w:r>
      <w:r>
        <w:t xml:space="preserve">con una holgura de más de cinco veces el</w:t>
      </w:r>
      <w:r>
        <w:t xml:space="preserve"> </w:t>
      </w:r>
      <w:r>
        <w:t xml:space="preserve">umbral crítico, lo que indica diferencias entre métodos de magnitud muy grande</w:t>
      </w:r>
      <w:r>
        <w:t xml:space="preserve"> </w:t>
      </w:r>
      <w:r>
        <w:t xml:space="preserve">y no atribuibles a fluctuaciones muestrales. La distribución empírica de los</w:t>
      </w:r>
      <w:r>
        <w:t xml:space="preserve"> </w:t>
      </w:r>
      <w:r>
        <w:t xml:space="preserve">rangos confirma dominancia de SHAP en los 15 bloques, con LIME como segundo</w:t>
      </w:r>
      <w:r>
        <w:t xml:space="preserve"> </w:t>
      </w:r>
      <w:r>
        <w:t xml:space="preserve">en los 15 bloques y alternancia Anchors–DiCE en las posiciones 3–4:</w:t>
      </w:r>
    </w:p>
    <w:tbl>
      <w:tblPr>
        <w:tblStyle w:val="Table"/>
        <w:tblW w:type="pct" w:w="5000"/>
        <w:tblLayout w:type="fixed"/>
        <w:tblLook w:firstRow="0" w:lastRow="0" w:firstColumn="0" w:lastColumn="0" w:noHBand="0" w:noVBand="0" w:val="0000"/>
      </w:tblPr>
      <w:tblGrid>
        <w:gridCol w:w="7920"/>
      </w:tblGrid>
      <w:tr>
        <w:tc>
          <w:tcPr/>
          <w:bookmarkStart w:id="95" w:name="tbl-friedman-fidelity"/>
          <w:p>
            <w:pPr>
              <w:jc w:val="center"/>
            </w:pPr>
            <w:pPr>
              <w:jc w:val="left"/>
              <w:spacing w:before="200"/>
              <w:pStyle w:val="ImageCaption"/>
            </w:pPr>
            <w:r>
              <w:t xml:space="preserve">Table 5.1: Suma y media de rangos de fidelidad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Posición</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1.ª</w:t>
                  </w:r>
                </w:p>
              </w:tc>
            </w:tr>
            <w:tr>
              <w:tc>
                <w:tcPr/>
                <w:p>
                  <w:pPr>
                    <w:pStyle w:val="Compact"/>
                    <w:jc w:val="center"/>
                  </w:pPr>
                  <w:r>
                    <w:t xml:space="preserve">LIME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2.ª</w:t>
                  </w:r>
                </w:p>
              </w:tc>
            </w:tr>
            <w:tr>
              <w:tc>
                <w:tcPr/>
                <w:p>
                  <w:pPr>
                    <w:pStyle w:val="Compact"/>
                    <w:jc w:val="center"/>
                  </w:pPr>
                  <w:r>
                    <w:t xml:space="preserve">Anchors</w:t>
                  </w:r>
                </w:p>
              </w:tc>
              <w:tc>
                <w:tcPr/>
                <w:p>
                  <w:pPr>
                    <w:pStyle w:val="Compact"/>
                    <w:jc w:val="center"/>
                  </w:pPr>
                  <w:r>
                    <w:t xml:space="preserve">48</w:t>
                  </w:r>
                </w:p>
              </w:tc>
              <w:tc>
                <w:tcPr/>
                <w:p>
                  <w:pPr>
                    <w:pStyle w:val="Compact"/>
                    <w:jc w:val="center"/>
                  </w:pPr>
                  <w:r>
                    <w:t xml:space="preserve">3.200</w:t>
                  </w:r>
                </w:p>
              </w:tc>
              <w:tc>
                <w:tcPr/>
                <w:p>
                  <w:pPr>
                    <w:pStyle w:val="Compact"/>
                    <w:jc w:val="center"/>
                  </w:pPr>
                  <w:r>
                    <w:t xml:space="preserve">3.ª</w:t>
                  </w:r>
                </w:p>
              </w:tc>
            </w:tr>
            <w:tr>
              <w:tc>
                <w:tcPr/>
                <w:p>
                  <w:pPr>
                    <w:pStyle w:val="Compact"/>
                    <w:jc w:val="center"/>
                  </w:pPr>
                  <w:r>
                    <w:t xml:space="preserve">DiCE</w:t>
                  </w:r>
                </w:p>
              </w:tc>
              <w:tc>
                <w:tcPr/>
                <w:p>
                  <w:pPr>
                    <w:pStyle w:val="Compact"/>
                    <w:jc w:val="center"/>
                  </w:pPr>
                  <w:r>
                    <w:t xml:space="preserve">57</w:t>
                  </w:r>
                </w:p>
              </w:tc>
              <w:tc>
                <w:tcPr/>
                <w:p>
                  <w:pPr>
                    <w:pStyle w:val="Compact"/>
                    <w:jc w:val="center"/>
                  </w:pPr>
                  <w:r>
                    <w:t xml:space="preserve">3.800</w:t>
                  </w:r>
                </w:p>
              </w:tc>
              <w:tc>
                <w:tcPr/>
                <w:p>
                  <w:pPr>
                    <w:pStyle w:val="Compact"/>
                    <w:jc w:val="center"/>
                  </w:pPr>
                  <w:r>
                    <w:t xml:space="preserve">4.ª</w:t>
                  </w:r>
                </w:p>
              </w:tc>
            </w:tr>
          </w:tbl>
          <w:bookmarkEnd w:id="95"/>
          <w:p/>
        </w:tc>
      </w:tr>
    </w:tbl>
    <w:p>
      <w:pPr>
        <w:pStyle w:val="Textoindependiente"/>
        <w:jc w:val="both"/>
        <w:spacing w:line="480" w:lineRule="auto"/>
      </w:pPr>
      <w:r>
        <w:t xml:space="preserve">El hecho de que SHAP obtenga rango 1 en la totalidad de los 15 bloques</w:t>
      </w:r>
      <w:r>
        <w:t xml:space="preserve"> </w:t>
      </w:r>
      <w:r>
        <w:t xml:space="preserve">(suma = 15, media = 1.000) implica que en ningún contexto de bloque</w:t>
      </w:r>
      <w:r>
        <w:t xml:space="preserve"> </w:t>
      </w:r>
      <m:oMath>
        <m:r>
          <m:rPr>
            <m:sty m:val="p"/>
          </m:rPr>
          <m:t>(</m:t>
        </m:r>
        <m:r>
          <m:t>g</m:t>
        </m:r>
        <m:r>
          <m:rPr>
            <m:sty m:val="p"/>
          </m:rPr>
          <m:t>,</m:t>
        </m:r>
        <m:r>
          <m:t>n</m:t>
        </m:r>
        <m:r>
          <m:rPr>
            <m:sty m:val="p"/>
          </m:rPr>
          <m:t>)</m:t>
        </m:r>
      </m:oMath>
      <w:r>
        <w:t xml:space="preserve"> </w:t>
      </w:r>
      <w:r>
        <w:t xml:space="preserve">ningún otro método superó a SHAP en fidelidad. Las medias brutas (promedio</w:t>
      </w:r>
      <w:r>
        <w:t xml:space="preserve"> </w:t>
      </w:r>
      <m:oMath>
        <m:r>
          <m:rPr>
            <m:sty m:val="p"/>
          </m:rPr>
          <m:t>±</m:t>
        </m:r>
      </m:oMath>
      <w:r>
        <w:t xml:space="preserve"> </w:t>
      </w:r>
      <w:r>
        <w:t xml:space="preserve">desviación estándar entre bloques) son: SHAP = 0.808</w:t>
      </w:r>
      <w:r>
        <w:t xml:space="preserve"> </w:t>
      </w:r>
      <m:oMath>
        <m:r>
          <m:rPr>
            <m:sty m:val="p"/>
          </m:rPr>
          <m:t>±</m:t>
        </m:r>
      </m:oMath>
      <w:r>
        <w:t xml:space="preserve"> </w:t>
      </w:r>
      <w:r>
        <w:t xml:space="preserve">0.093, LIME = 0.560</w:t>
      </w:r>
      <w:r>
        <w:t xml:space="preserve"> </w:t>
      </w:r>
      <m:oMath>
        <m:r>
          <m:rPr>
            <m:sty m:val="p"/>
          </m:rPr>
          <m:t>±</m:t>
        </m:r>
      </m:oMath>
      <w:r>
        <w:t xml:space="preserve"> </w:t>
      </w:r>
      <w:r>
        <w:t xml:space="preserve">0.068, Anchors = 0.389</w:t>
      </w:r>
      <w:r>
        <w:t xml:space="preserve"> </w:t>
      </w:r>
      <m:oMath>
        <m:r>
          <m:rPr>
            <m:sty m:val="p"/>
          </m:rPr>
          <m:t>±</m:t>
        </m:r>
      </m:oMath>
      <w:r>
        <w:t xml:space="preserve"> </w:t>
      </w:r>
      <w:r>
        <w:t xml:space="preserve">0.100, DiCE = 0.170</w:t>
      </w:r>
      <w:r>
        <w:t xml:space="preserve"> </w:t>
      </w:r>
      <m:oMath>
        <m:r>
          <m:rPr>
            <m:sty m:val="p"/>
          </m:rPr>
          <m:t>±</m:t>
        </m:r>
      </m:oMath>
      <w:r>
        <w:t xml:space="preserve"> </w:t>
      </w:r>
      <w:r>
        <w:t xml:space="preserve">0.103.</w:t>
      </w:r>
    </w:p>
    <w:p>
      <w:pPr>
        <w:pStyle w:val="Textoindependiente"/>
        <w:jc w:val="both"/>
        <w:spacing w:line="480" w:lineRule="auto"/>
      </w:pPr>
      <w:r>
        <w:t xml:space="preserve">La escala de fidelidad es acotada en</w:t>
      </w:r>
      <w:r>
        <w:t xml:space="preserve"> </w:t>
      </w:r>
      <m:oMath>
        <m:r>
          <m:rPr>
            <m:sty m:val="p"/>
          </m:rPr>
          <m:t>[</m:t>
        </m:r>
        <m:r>
          <m:t>0</m:t>
        </m:r>
        <m:r>
          <m:rPr>
            <m:sty m:val="p"/>
          </m:rPr>
          <m:t>,</m:t>
        </m:r>
        <m:r>
          <m:t>1</m:t>
        </m:r>
        <m:r>
          <m:rPr>
            <m:sty m:val="p"/>
          </m:rPr>
          <m:t>]</m:t>
        </m:r>
      </m: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jc w:val="both"/>
        <w:spacing w:line="480" w:lineRule="auto"/>
      </w:pPr>
      <w:r>
        <w:rPr>
          <w:b/>
          <w:bCs/>
        </w:rPr>
        <w:t xml:space="preserve">Localización post-hoc (Nemenyi):</w:t>
      </w:r>
      <w:r>
        <w:t xml:space="preserve"> </w:t>
      </w:r>
      <w:r>
        <w:t xml:space="preserve">La diferencia crítica para comparaciones</w:t>
      </w:r>
      <w:r>
        <w:t xml:space="preserve"> </w:t>
      </w:r>
      <w:r>
        <w:t xml:space="preserve">pareadas con</w:t>
      </w:r>
      <w:r>
        <w:t xml:space="preserve"> </w:t>
      </w:r>
      <m:oMath>
        <m:r>
          <m:t>α</m:t>
        </m:r>
        <m:r>
          <m:rPr>
            <m:sty m:val="p"/>
          </m:rPr>
          <m:t>=</m:t>
        </m:r>
        <m:r>
          <m:t>0.05</m:t>
        </m:r>
      </m:oMath>
      <w:r>
        <w:t xml:space="preserve">,</w:t>
      </w:r>
      <w:r>
        <w:t xml:space="preserve"> </w:t>
      </w:r>
      <m:oMath>
        <m:r>
          <m:t>k</m:t>
        </m:r>
        <m:r>
          <m:rPr>
            <m:sty m:val="p"/>
          </m:rPr>
          <m:t>=</m:t>
        </m:r>
        <m:r>
          <m:t>4</m:t>
        </m:r>
      </m:oMath>
      <w:r>
        <w:t xml:space="preserve"> </w:t>
      </w:r>
      <w:r>
        <w:t xml:space="preserve">y</w:t>
      </w:r>
      <w:r>
        <w:t xml:space="preserve"> </w:t>
      </w:r>
      <m:oMath>
        <m:r>
          <m:t>n</m:t>
        </m:r>
        <m:r>
          <m:rPr>
            <m:sty m:val="p"/>
          </m:rPr>
          <m:t>=</m:t>
        </m:r>
        <m:r>
          <m:t>15</m:t>
        </m:r>
      </m:oMath>
      <w:r>
        <w:t xml:space="preserve"> </w:t>
      </w:r>
      <w:r>
        <w:t xml:space="preserve">es:</w:t>
      </w:r>
    </w:p>
    <w:p>
      <w:pPr>
        <w:pStyle w:val="Textoindependiente"/>
        <w:jc w:val="both"/>
        <w:spacing w:line="480" w:lineRule="auto"/>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2.569</m:t>
          </m:r>
          <m:r>
            <m:rPr>
              <m:sty m:val="p"/>
            </m:rPr>
            <m:t>×</m:t>
          </m:r>
          <m:r>
            <m:t>0.4714</m:t>
          </m:r>
          <m:r>
            <m:rPr>
              <m:sty m:val="p"/>
            </m:rPr>
            <m:t>=</m:t>
          </m:r>
          <m:r>
            <m:t>1.211</m:t>
          </m:r>
        </m:oMath>
      </m:oMathPara>
    </w:p>
    <w:p>
      <w:pPr>
        <w:pStyle w:val="FirstParagraph"/>
        <w:jc w:val="both"/>
        <w:spacing w:line="480" w:lineRule="auto"/>
      </w:pPr>
      <w:r>
        <w:t xml:space="preserve">Donde</w:t>
      </w:r>
      <w:r>
        <w:t xml:space="preserve"> </w:t>
      </w:r>
      <m:oMath>
        <m:sSub>
          <m:e>
            <m:r>
              <m:t>q</m:t>
            </m:r>
          </m:e>
          <m:sub>
            <m:r>
              <m:t>α</m:t>
            </m:r>
          </m:sub>
        </m:sSub>
        <m:r>
          <m:rPr>
            <m:sty m:val="p"/>
          </m:rPr>
          <m:t>=</m:t>
        </m:r>
        <m:r>
          <m:t>2.569</m:t>
        </m:r>
      </m:oMath>
      <w:r>
        <w:t xml:space="preserve"> </w:t>
      </w:r>
      <w:r>
        <w:t xml:space="preserve">es el valor crítico de la distribución de Nemenyi para</w:t>
      </w:r>
      <w:r>
        <w:t xml:space="preserve"> </w:t>
      </w:r>
      <m:oMath>
        <m:r>
          <m:t>k</m:t>
        </m:r>
        <m:r>
          <m:rPr>
            <m:sty m:val="p"/>
          </m:rPr>
          <m:t>=</m:t>
        </m:r>
        <m:r>
          <m:t>4</m:t>
        </m:r>
      </m:oMath>
      <w:r>
        <w:t xml:space="preserve"> </w:t>
      </w:r>
      <w:r>
        <w:t xml:space="preserve">con</w:t>
      </w:r>
      <w:r>
        <w:t xml:space="preserve"> </w:t>
      </w:r>
      <m:oMath>
        <m:r>
          <m:t>α</m:t>
        </m:r>
        <m:r>
          <m:rPr>
            <m:sty m:val="p"/>
          </m:rPr>
          <m:t>=</m:t>
        </m:r>
        <m:r>
          <m:t>0.05</m:t>
        </m:r>
      </m: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96" w:name="tbl-nemenyi-fidelity"/>
          <w:p>
            <w:pPr>
              <w:jc w:val="center"/>
            </w:pPr>
            <w:pPr>
              <w:jc w:val="left"/>
              <w:spacing w:before="200"/>
              <w:pStyle w:val="ImageCaption"/>
            </w:pPr>
            <w:r>
              <w:t xml:space="preserve">Table 5.2: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w:t>
                  </w:r>
                </w:p>
              </w:tc>
              <w:tc>
                <w:tcPr/>
                <w:p>
                  <w:pPr>
                    <w:pStyle w:val="Compact"/>
                    <w:jc w:val="center"/>
                  </w:pPr>
                  <m:oMath>
                    <m:r>
                      <m:rPr>
                        <m:sty m:val="p"/>
                      </m:rPr>
                      <m:t>|</m:t>
                    </m:r>
                    <m:sSub>
                      <m:e>
                        <m:r>
                          <m:t>R</m:t>
                        </m:r>
                      </m:e>
                      <m:sub>
                        <m:r>
                          <m:t>i</m:t>
                        </m:r>
                      </m:sub>
                    </m:sSub>
                    <m:r>
                      <m:rPr>
                        <m:sty m:val="p"/>
                      </m:rPr>
                      <m:t>−</m:t>
                    </m:r>
                    <m:sSub>
                      <m:e>
                        <m:r>
                          <m:t>R</m:t>
                        </m:r>
                      </m:e>
                      <m:sub>
                        <m:r>
                          <m:t>j</m:t>
                        </m:r>
                      </m:sub>
                    </m:sSub>
                    <m:r>
                      <m:rPr>
                        <m:sty m:val="p"/>
                      </m:rPr>
                      <m:t>|</m:t>
                    </m:r>
                  </m:oMath>
                </w:p>
              </w:tc>
              <w:tc>
                <w:tcPr/>
                <w:p>
                  <w:pPr>
                    <w:pStyle w:val="Compact"/>
                    <w:jc w:val="center"/>
                  </w:pPr>
                  <w:r>
                    <w:t xml:space="preserve">CD</w:t>
                  </w:r>
                </w:p>
              </w:tc>
              <w:tc>
                <w:tcPr/>
                <w:p>
                  <w:pPr>
                    <w:pStyle w:val="Compact"/>
                    <w:jc w:val="center"/>
                  </w:pPr>
                  <w:r>
                    <w:t xml:space="preserve">Significativo</w:t>
                  </w:r>
                </w:p>
              </w:tc>
            </w:tr>
            <w:tr>
              <w:tc>
                <w:tcPr/>
                <w:p>
                  <w:pPr>
                    <w:pStyle w:val="Compact"/>
                    <w:jc w:val="center"/>
                  </w:pPr>
                  <w:r>
                    <w:t xml:space="preserve">SHAP vs. LIME</w:t>
                  </w:r>
                </w:p>
              </w:tc>
              <w:tc>
                <w:tcPr/>
                <w:p>
                  <w:pPr>
                    <w:pStyle w:val="Compact"/>
                    <w:jc w:val="center"/>
                  </w:pPr>
                  <w:r>
                    <w:t xml:space="preserve">1.000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SHAP vs. Anchors</w:t>
                  </w:r>
                </w:p>
              </w:tc>
              <w:tc>
                <w:tcPr/>
                <w:p>
                  <w:pPr>
                    <w:pStyle w:val="Compact"/>
                    <w:jc w:val="center"/>
                  </w:pPr>
                  <w:r>
                    <w:t xml:space="preserve">2.200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SHAP vs. DiCE</w:t>
                  </w:r>
                </w:p>
              </w:tc>
              <w:tc>
                <w:tcPr/>
                <w:p>
                  <w:pPr>
                    <w:pStyle w:val="Compact"/>
                    <w:jc w:val="center"/>
                  </w:pPr>
                  <w:r>
                    <w:t xml:space="preserve">2.800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LIME vs. Anchors</w:t>
                  </w:r>
                </w:p>
              </w:tc>
              <w:tc>
                <w:tcPr/>
                <w:p>
                  <w:pPr>
                    <w:pStyle w:val="Compact"/>
                    <w:jc w:val="center"/>
                  </w:pPr>
                  <w:r>
                    <w:t xml:space="preserve">1.200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LIME vs. DiCE</w:t>
                  </w:r>
                </w:p>
              </w:tc>
              <w:tc>
                <w:tcPr/>
                <w:p>
                  <w:pPr>
                    <w:pStyle w:val="Compact"/>
                    <w:jc w:val="center"/>
                  </w:pPr>
                  <w:r>
                    <w:t xml:space="preserve">1.800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Anchors vs. DiCE</w:t>
                  </w:r>
                </w:p>
              </w:tc>
              <w:tc>
                <w:tcPr/>
                <w:p>
                  <w:pPr>
                    <w:pStyle w:val="Compact"/>
                    <w:jc w:val="center"/>
                  </w:pPr>
                  <w:r>
                    <w:t xml:space="preserve">0.600</w:t>
                  </w:r>
                </w:p>
              </w:tc>
              <w:tc>
                <w:tcPr/>
                <w:p>
                  <w:pPr>
                    <w:pStyle w:val="Compact"/>
                    <w:jc w:val="center"/>
                  </w:pPr>
                  <w:r>
                    <w:t xml:space="preserve">1.211</w:t>
                  </w:r>
                </w:p>
              </w:tc>
              <w:tc>
                <w:tcPr/>
                <w:p>
                  <w:pPr>
                    <w:pStyle w:val="Compact"/>
                    <w:jc w:val="center"/>
                  </w:pPr>
                  <w:r>
                    <w:t xml:space="preserve">No</w:t>
                  </w:r>
                </w:p>
              </w:tc>
            </w:tr>
          </w:tbl>
          <w:bookmarkEnd w:id="96"/>
          <w:p/>
        </w:tc>
      </w:tr>
    </w:tbl>
    <w:p>
      <w:pPr>
        <w:pStyle w:val="Textoindependiente"/>
        <w:jc w:val="both"/>
        <w:spacing w:line="480" w:lineRule="auto"/>
      </w:pPr>
      <w:r>
        <w:t xml:space="preserve">La localización Nemenyi es conservadora cuando</w:t>
      </w:r>
      <w:r>
        <w:t xml:space="preserve"> </w:t>
      </w:r>
      <m:oMath>
        <m:r>
          <m:t>n</m:t>
        </m:r>
      </m: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97"/>
    <w:bookmarkStart w:id="99" w:name="X117d71016dd8839ee57c9e60cc09d0400ac5f3d"/>
    <w:p>
      <w:pPr>
        <w:pStyle w:val="Ttulo3"/>
      </w:pPr>
      <w:r>
        <w:t xml:space="preserve">H2: Diferencias entre métodos en estabilidad</w:t>
      </w:r>
    </w:p>
    <w:p>
      <w:pPr>
        <w:pStyle w:val="FirstParagraph"/>
        <w:jc w:val="both"/>
        <w:spacing w:line="480" w:lineRule="auto"/>
      </w:pPr>
      <w:r>
        <w:t xml:space="preserve">La prueba de Friedman para estabilidad arrojó</w:t>
      </w:r>
      <w:r>
        <w:t xml:space="preserve"> </w:t>
      </w:r>
      <m:oMath>
        <m:sSubSup>
          <m:e>
            <m:r>
              <m:t>χ</m:t>
            </m:r>
          </m:e>
          <m:sub>
            <m:r>
              <m:t>F</m:t>
            </m:r>
          </m:sub>
          <m:sup>
            <m:r>
              <m:t>2</m:t>
            </m:r>
          </m:sup>
        </m:sSubSup>
        <m:r>
          <m:rPr>
            <m:sty m:val="p"/>
          </m:rPr>
          <m:t>=</m:t>
        </m:r>
        <m:r>
          <m:t>40.68</m:t>
        </m:r>
      </m:oMath>
      <w:r>
        <w:t xml:space="preserve"> </w:t>
      </w:r>
      <w:r>
        <w:t xml:space="preserve">con</w:t>
      </w:r>
      <w:r>
        <w:t xml:space="preserve"> </w:t>
      </w:r>
      <m:oMath>
        <m:r>
          <m:t>n</m:t>
        </m:r>
        <m:r>
          <m:rPr>
            <m:sty m:val="p"/>
          </m:rPr>
          <m:t>=</m:t>
        </m:r>
        <m:r>
          <m:t>15</m:t>
        </m:r>
      </m:oMath>
      <w:r>
        <w:t xml:space="preserve"> </w:t>
      </w:r>
      <w:r>
        <w:t xml:space="preserve">bloques completos, lo que implica un margen de seguridad de:</w:t>
      </w:r>
    </w:p>
    <w:p>
      <w:pPr>
        <w:pStyle w:val="Textoindependiente"/>
        <w:jc w:val="both"/>
        <w:spacing w:line="480" w:lineRule="auto"/>
      </w:pPr>
      <m:oMathPara>
        <m:oMathParaPr>
          <m:jc m:val="center"/>
        </m:oMathParaPr>
        <m:oMath>
          <m:r>
            <m:rPr>
              <m:nor/>
              <m:sty m:val="p"/>
            </m:rPr>
            <m:t>Margen</m:t>
          </m:r>
          <m:r>
            <m:rPr>
              <m:sty m:val="p"/>
            </m:rPr>
            <m:t>=</m:t>
          </m:r>
          <m:f>
            <m:fPr>
              <m:type m:val="bar"/>
            </m:fPr>
            <m:num>
              <m:r>
                <m:t>40.68</m:t>
              </m:r>
              <m:r>
                <m:rPr>
                  <m:sty m:val="p"/>
                </m:rPr>
                <m:t>−</m:t>
              </m:r>
              <m:r>
                <m:t>7.815</m:t>
              </m:r>
            </m:num>
            <m:den>
              <m:r>
                <m:t>7.815</m:t>
              </m:r>
            </m:den>
          </m:f>
          <m:r>
            <m:rPr>
              <m:sty m:val="p"/>
            </m:rPr>
            <m:t>×</m:t>
          </m:r>
          <m:r>
            <m:t>100</m:t>
          </m:r>
          <m:r>
            <m:rPr>
              <m:sty m:val="p"/>
            </m:rPr>
            <m:t>=</m:t>
          </m:r>
          <m:r>
            <m:t>421</m:t>
          </m:r>
          <m:r>
            <m:rPr>
              <m:sty m:val="p"/>
            </m:rPr>
            <m:t>%</m:t>
          </m:r>
        </m:oMath>
      </m:oMathPara>
    </w:p>
    <w:p>
      <w:pPr>
        <w:pStyle w:val="FirstParagraph"/>
        <w:jc w:val="both"/>
        <w:spacing w:line="480" w:lineRule="auto"/>
      </w:pPr>
      <m:oMath>
        <m:sSub>
          <m:e>
            <m:r>
              <m:t>H</m:t>
            </m:r>
          </m:e>
          <m:sub>
            <m:r>
              <m:t>0</m:t>
            </m:r>
            <m:r>
              <m:rPr>
                <m:sty m:val="p"/>
              </m:rPr>
              <m:t>,</m:t>
            </m:r>
            <m:r>
              <m:t>2</m:t>
            </m:r>
          </m:sub>
        </m:sSub>
      </m:oMath>
      <w:r>
        <w:t xml:space="preserve"> </w:t>
      </w:r>
      <w:r>
        <w:t xml:space="preserve">se rechaza con la misma holgura que</w:t>
      </w:r>
      <w:r>
        <w:t xml:space="preserve"> </w:t>
      </w:r>
      <m:oMath>
        <m:sSub>
          <m:e>
            <m:r>
              <m:t>H</m:t>
            </m:r>
          </m:e>
          <m:sub>
            <m:r>
              <m:t>0</m:t>
            </m:r>
            <m:r>
              <m:rPr>
                <m:sty m:val="p"/>
              </m:rPr>
              <m:t>,</m:t>
            </m:r>
            <m:r>
              <m:t>1</m:t>
            </m:r>
          </m:sub>
        </m:sSub>
      </m: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98" w:name="tbl-friedman-stability"/>
          <w:p>
            <w:pPr>
              <w:jc w:val="center"/>
            </w:pPr>
            <w:pPr>
              <w:jc w:val="left"/>
              <w:spacing w:before="200"/>
              <w:pStyle w:val="ImageCaption"/>
            </w:pPr>
            <w:r>
              <w:t xml:space="preserve">Table 5.3: Suma y media de rangos de estabilidad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Media bruta</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0.732</w:t>
                  </w:r>
                </w:p>
              </w:tc>
            </w:tr>
            <w:tr>
              <w:tc>
                <w:tcPr/>
                <w:p>
                  <w:pPr>
                    <w:pStyle w:val="Compact"/>
                    <w:jc w:val="center"/>
                  </w:pPr>
                  <w:r>
                    <w:t xml:space="preserve">DiCE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0.361</w:t>
                  </w:r>
                </w:p>
              </w:tc>
            </w:tr>
            <w:tr>
              <w:tc>
                <w:tcPr/>
                <w:p>
                  <w:pPr>
                    <w:pStyle w:val="Compact"/>
                    <w:jc w:val="center"/>
                  </w:pPr>
                  <w:r>
                    <w:t xml:space="preserve">LIME</w:t>
                  </w:r>
                </w:p>
              </w:tc>
              <w:tc>
                <w:tcPr/>
                <w:p>
                  <w:pPr>
                    <w:pStyle w:val="Compact"/>
                    <w:jc w:val="center"/>
                  </w:pPr>
                  <w:r>
                    <w:t xml:space="preserve">51</w:t>
                  </w:r>
                </w:p>
              </w:tc>
              <w:tc>
                <w:tcPr/>
                <w:p>
                  <w:pPr>
                    <w:pStyle w:val="Compact"/>
                    <w:jc w:val="center"/>
                  </w:pPr>
                  <w:r>
                    <w:t xml:space="preserve">3.400</w:t>
                  </w:r>
                </w:p>
              </w:tc>
              <w:tc>
                <w:tcPr/>
                <w:p>
                  <w:pPr>
                    <w:pStyle w:val="Compact"/>
                    <w:jc w:val="center"/>
                  </w:pPr>
                  <w:r>
                    <w:t xml:space="preserve">0.014</w:t>
                  </w:r>
                </w:p>
              </w:tc>
            </w:tr>
            <w:tr>
              <w:tc>
                <w:tcPr/>
                <w:p>
                  <w:pPr>
                    <w:pStyle w:val="Compact"/>
                    <w:jc w:val="center"/>
                  </w:pPr>
                  <w:r>
                    <w:t xml:space="preserve">Anchors</w:t>
                  </w:r>
                </w:p>
              </w:tc>
              <w:tc>
                <w:tcPr/>
                <w:p>
                  <w:pPr>
                    <w:pStyle w:val="Compact"/>
                    <w:jc w:val="center"/>
                  </w:pPr>
                  <w:r>
                    <w:t xml:space="preserve">54</w:t>
                  </w:r>
                </w:p>
              </w:tc>
              <w:tc>
                <w:tcPr/>
                <w:p>
                  <w:pPr>
                    <w:pStyle w:val="Compact"/>
                    <w:jc w:val="center"/>
                  </w:pPr>
                  <w:r>
                    <w:t xml:space="preserve">3.600</w:t>
                  </w:r>
                </w:p>
              </w:tc>
              <w:tc>
                <w:tcPr/>
                <w:p>
                  <w:pPr>
                    <w:pStyle w:val="Compact"/>
                    <w:jc w:val="center"/>
                  </w:pPr>
                  <w:r>
                    <w:t xml:space="preserve">0.043</w:t>
                  </w:r>
                </w:p>
              </w:tc>
            </w:tr>
          </w:tbl>
          <w:bookmarkEnd w:id="98"/>
          <w:p/>
        </w:tc>
      </w:tr>
    </w:tbl>
    <w:p>
      <w:pPr>
        <w:pStyle w:val="Textoindependiente"/>
        <w:jc w:val="both"/>
        <w:spacing w:line="480" w:lineRule="auto"/>
      </w:pPr>
      <w:r>
        <w:t xml:space="preserve">SHAP mantiene la primera posición en estabilidad (rango medio = 1.000), lo</w:t>
      </w:r>
      <w:r>
        <w:t xml:space="preserve"> </w:t>
      </w:r>
      <w:r>
        <w:t xml:space="preserve">que implica que es dominante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m:oMath>
        <m:r>
          <m:rPr>
            <m:sty m:val="p"/>
          </m:rPr>
          <m:t>[</m:t>
        </m:r>
        <m:r>
          <m:t>0</m:t>
        </m:r>
        <m:r>
          <m:rPr>
            <m:sty m:val="p"/>
          </m:rPr>
          <m:t>,</m:t>
        </m:r>
        <m:r>
          <m:t>1</m:t>
        </m:r>
        <m:r>
          <m:rPr>
            <m:sty m:val="p"/>
          </m:rPr>
          <m:t>]</m:t>
        </m:r>
      </m: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jc w:val="both"/>
        <w:spacing w:line="480" w:lineRule="auto"/>
      </w:pPr>
      <w:r>
        <w:t xml:space="preserve">La diferencia crítica Nemenyi para estabilidad es idéntica a la calculada para</w:t>
      </w:r>
      <w:r>
        <w:t xml:space="preserve"> </w:t>
      </w:r>
      <w:r>
        <w:t xml:space="preserve">fidelidad (</w:t>
      </w:r>
      <m:oMath>
        <m:r>
          <m:t>C</m:t>
        </m:r>
        <m:r>
          <m:t>D</m:t>
        </m:r>
        <m:r>
          <m:rPr>
            <m:sty m:val="p"/>
          </m:rPr>
          <m:t>=</m:t>
        </m:r>
        <m:r>
          <m:t>1.211</m:t>
        </m:r>
      </m:oMath>
      <w:r>
        <w:t xml:space="preserve">) dado el mismo</w:t>
      </w:r>
      <w:r>
        <w:t xml:space="preserve"> </w:t>
      </w:r>
      <m:oMath>
        <m:r>
          <m:t>n</m:t>
        </m:r>
      </m:oMath>
      <w:r>
        <w:t xml:space="preserve"> </w:t>
      </w:r>
      <w:r>
        <w:t xml:space="preserve">y</w:t>
      </w:r>
      <w:r>
        <w:t xml:space="preserve"> </w:t>
      </w:r>
      <m:oMath>
        <m:r>
          <m:t>k</m:t>
        </m:r>
      </m:oMath>
      <w:r>
        <w:t xml:space="preserve">. Las diferencias en rangos</w:t>
      </w:r>
      <w:r>
        <w:t xml:space="preserve"> </w:t>
      </w:r>
      <w:r>
        <w:t xml:space="preserve">medios confirmadas como significativas son:</w:t>
      </w:r>
    </w:p>
    <w:p>
      <w:pPr>
        <w:pStyle w:val="Compact"/>
        <w:numPr>
          <w:ilvl w:val="0"/>
          <w:numId w:val="1012"/>
        </w:numPr>
        <w:jc w:val="both"/>
        <w:spacing w:line="480" w:lineRule="auto"/>
      </w:pPr>
      <w:r>
        <w:t xml:space="preserve">SHAP vs. LIME:</w:t>
      </w:r>
      <w:r>
        <w:t xml:space="preserve"> </w:t>
      </w:r>
      <m:oMath>
        <m:r>
          <m:rPr>
            <m:sty m:val="p"/>
          </m:rPr>
          <m:t>|</m:t>
        </m:r>
        <m:r>
          <m:t>1.000</m:t>
        </m:r>
        <m:r>
          <m:rPr>
            <m:sty m:val="p"/>
          </m:rPr>
          <m:t>−</m:t>
        </m:r>
        <m:r>
          <m:t>3.400</m:t>
        </m:r>
        <m:r>
          <m:rPr>
            <m:sty m:val="p"/>
          </m:rPr>
          <m:t>|</m:t>
        </m:r>
        <m:r>
          <m:rPr>
            <m:sty m:val="p"/>
          </m:rPr>
          <m:t>=</m:t>
        </m:r>
        <m:r>
          <m:t>2.400</m:t>
        </m:r>
        <m:r>
          <m:rPr>
            <m:sty m:val="p"/>
          </m:rPr>
          <m:t>&gt;</m:t>
        </m:r>
        <m:r>
          <m:t>1.211</m:t>
        </m:r>
      </m:oMath>
      <w:r>
        <w:t xml:space="preserve"> </w:t>
      </w:r>
      <w:r>
        <w:t xml:space="preserve">(Sí)</w:t>
      </w:r>
    </w:p>
    <w:p>
      <w:pPr>
        <w:pStyle w:val="Compact"/>
        <w:numPr>
          <w:ilvl w:val="0"/>
          <w:numId w:val="1012"/>
        </w:numPr>
        <w:jc w:val="both"/>
        <w:spacing w:line="480" w:lineRule="auto"/>
      </w:pPr>
      <w:r>
        <w:t xml:space="preserve">SHAP vs. Anchors:</w:t>
      </w:r>
      <w:r>
        <w:t xml:space="preserve"> </w:t>
      </w:r>
      <m:oMath>
        <m:r>
          <m:rPr>
            <m:sty m:val="p"/>
          </m:rPr>
          <m:t>|</m:t>
        </m:r>
        <m:r>
          <m:t>1.000</m:t>
        </m:r>
        <m:r>
          <m:rPr>
            <m:sty m:val="p"/>
          </m:rPr>
          <m:t>−</m:t>
        </m:r>
        <m:r>
          <m:t>3.600</m:t>
        </m:r>
        <m:r>
          <m:rPr>
            <m:sty m:val="p"/>
          </m:rPr>
          <m:t>|</m:t>
        </m:r>
        <m:r>
          <m:rPr>
            <m:sty m:val="p"/>
          </m:rPr>
          <m:t>=</m:t>
        </m:r>
        <m:r>
          <m:t>2.600</m:t>
        </m:r>
        <m:r>
          <m:rPr>
            <m:sty m:val="p"/>
          </m:rPr>
          <m:t>&gt;</m:t>
        </m:r>
        <m:r>
          <m:t>1.211</m:t>
        </m:r>
      </m:oMath>
      <w:r>
        <w:t xml:space="preserve"> </w:t>
      </w:r>
      <w:r>
        <w:t xml:space="preserve">(Sí)</w:t>
      </w:r>
    </w:p>
    <w:p>
      <w:pPr>
        <w:pStyle w:val="Compact"/>
        <w:numPr>
          <w:ilvl w:val="0"/>
          <w:numId w:val="1012"/>
        </w:numPr>
        <w:jc w:val="both"/>
        <w:spacing w:line="480" w:lineRule="auto"/>
      </w:pPr>
      <w:r>
        <w:t xml:space="preserve">DiCE vs. LIME:</w:t>
      </w:r>
      <w:r>
        <w:t xml:space="preserve"> </w:t>
      </w:r>
      <m:oMath>
        <m:r>
          <m:rPr>
            <m:sty m:val="p"/>
          </m:rPr>
          <m:t>|</m:t>
        </m:r>
        <m:r>
          <m:t>2.000</m:t>
        </m:r>
        <m:r>
          <m:rPr>
            <m:sty m:val="p"/>
          </m:rPr>
          <m:t>−</m:t>
        </m:r>
        <m:r>
          <m:t>3.400</m:t>
        </m:r>
        <m:r>
          <m:rPr>
            <m:sty m:val="p"/>
          </m:rPr>
          <m:t>|</m:t>
        </m:r>
        <m:r>
          <m:rPr>
            <m:sty m:val="p"/>
          </m:rPr>
          <m:t>=</m:t>
        </m:r>
        <m:r>
          <m:t>1.400</m:t>
        </m:r>
        <m:r>
          <m:rPr>
            <m:sty m:val="p"/>
          </m:rPr>
          <m:t>&gt;</m:t>
        </m:r>
        <m:r>
          <m:t>1.211</m:t>
        </m:r>
      </m:oMath>
      <w:r>
        <w:t xml:space="preserve"> </w:t>
      </w:r>
      <w:r>
        <w:t xml:space="preserve">(Sí)</w:t>
      </w:r>
    </w:p>
    <w:p>
      <w:pPr>
        <w:pStyle w:val="Compact"/>
        <w:numPr>
          <w:ilvl w:val="0"/>
          <w:numId w:val="1012"/>
        </w:numPr>
        <w:jc w:val="both"/>
        <w:spacing w:line="480" w:lineRule="auto"/>
      </w:pPr>
      <w:r>
        <w:t xml:space="preserve">DiCE vs. Anchors:</w:t>
      </w:r>
      <w:r>
        <w:t xml:space="preserve"> </w:t>
      </w:r>
      <m:oMath>
        <m:r>
          <m:rPr>
            <m:sty m:val="p"/>
          </m:rPr>
          <m:t>|</m:t>
        </m:r>
        <m:r>
          <m:t>2.000</m:t>
        </m:r>
        <m:r>
          <m:rPr>
            <m:sty m:val="p"/>
          </m:rPr>
          <m:t>−</m:t>
        </m:r>
        <m:r>
          <m:t>3.600</m:t>
        </m:r>
        <m:r>
          <m:rPr>
            <m:sty m:val="p"/>
          </m:rPr>
          <m:t>|</m:t>
        </m:r>
        <m:r>
          <m:rPr>
            <m:sty m:val="p"/>
          </m:rPr>
          <m:t>=</m:t>
        </m:r>
        <m:r>
          <m:t>1.600</m:t>
        </m:r>
        <m:r>
          <m:rPr>
            <m:sty m:val="p"/>
          </m:rPr>
          <m:t>&gt;</m:t>
        </m:r>
        <m:r>
          <m:t>1.211</m:t>
        </m:r>
      </m:oMath>
      <w:r>
        <w:t xml:space="preserve"> </w:t>
      </w:r>
      <w:r>
        <w:t xml:space="preserve">(Sí)</w:t>
      </w:r>
    </w:p>
    <w:p>
      <w:pPr>
        <w:pStyle w:val="Compact"/>
        <w:numPr>
          <w:ilvl w:val="0"/>
          <w:numId w:val="1012"/>
        </w:numPr>
        <w:jc w:val="both"/>
        <w:spacing w:line="480" w:lineRule="auto"/>
      </w:pPr>
      <w:r>
        <w:t xml:space="preserve">LIME vs. Anchors:</w:t>
      </w:r>
      <w:r>
        <w:t xml:space="preserve"> </w:t>
      </w:r>
      <m:oMath>
        <m:r>
          <m:rPr>
            <m:sty m:val="p"/>
          </m:rPr>
          <m:t>|</m:t>
        </m:r>
        <m:r>
          <m:t>3.400</m:t>
        </m:r>
        <m:r>
          <m:rPr>
            <m:sty m:val="p"/>
          </m:rPr>
          <m:t>−</m:t>
        </m:r>
        <m:r>
          <m:t>3.600</m:t>
        </m:r>
        <m:r>
          <m:rPr>
            <m:sty m:val="p"/>
          </m:rPr>
          <m:t>|</m:t>
        </m:r>
        <m:r>
          <m:rPr>
            <m:sty m:val="p"/>
          </m:rPr>
          <m:t>=</m:t>
        </m:r>
        <m:r>
          <m:t>0.200</m:t>
        </m:r>
        <m:r>
          <m:rPr>
            <m:sty m:val="p"/>
          </m:rPr>
          <m:t>&lt;</m:t>
        </m:r>
        <m:r>
          <m:t>1.211</m:t>
        </m:r>
      </m:oMath>
      <w:r>
        <w:t xml:space="preserve"> </w:t>
      </w:r>
      <w:r>
        <w:t xml:space="preserve">(No)</w:t>
      </w:r>
    </w:p>
    <w:p>
      <w:pPr>
        <w:pStyle w:val="Compact"/>
        <w:numPr>
          <w:ilvl w:val="0"/>
          <w:numId w:val="1012"/>
        </w:numPr>
        <w:jc w:val="both"/>
        <w:spacing w:line="480" w:lineRule="auto"/>
      </w:pPr>
      <w:r>
        <w:t xml:space="preserve">SHAP vs. DiCE:</w:t>
      </w:r>
      <w:r>
        <w:t xml:space="preserve"> </w:t>
      </w:r>
      <m:oMath>
        <m:r>
          <m:rPr>
            <m:sty m:val="p"/>
          </m:rPr>
          <m:t>|</m:t>
        </m:r>
        <m:r>
          <m:t>1.000</m:t>
        </m:r>
        <m:r>
          <m:rPr>
            <m:sty m:val="p"/>
          </m:rPr>
          <m:t>−</m:t>
        </m:r>
        <m:r>
          <m:t>2.000</m:t>
        </m:r>
        <m:r>
          <m:rPr>
            <m:sty m:val="p"/>
          </m:rPr>
          <m:t>|</m:t>
        </m:r>
        <m:r>
          <m:rPr>
            <m:sty m:val="p"/>
          </m:rPr>
          <m:t>=</m:t>
        </m:r>
        <m:r>
          <m:t>1.000</m:t>
        </m:r>
        <m:r>
          <m:rPr>
            <m:sty m:val="p"/>
          </m:rPr>
          <m:t>&lt;</m:t>
        </m:r>
        <m:r>
          <m:t>1.211</m:t>
        </m:r>
      </m:oMath>
      <w:r>
        <w:t xml:space="preserve"> </w:t>
      </w:r>
      <w:r>
        <w:t xml:space="preserve">(No)</w:t>
      </w:r>
    </w:p>
    <w:p>
      <w:pPr>
        <w:pStyle w:val="FirstParagraph"/>
        <w:jc w:val="both"/>
        <w:spacing w:line="480" w:lineRule="auto"/>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es clara: en despliegues que requieren consistencia</w:t>
      </w:r>
      <w:r>
        <w:t xml:space="preserve"> </w:t>
      </w:r>
      <w:r>
        <w:t xml:space="preserve">explicativa ante pequeñas variaciones de entrada, SHAP es el método robusto y</w:t>
      </w:r>
      <w:r>
        <w:t xml:space="preserve"> </w:t>
      </w:r>
      <w:r>
        <w:t xml:space="preserve">DiCE ofrece estabilidad intermedia; LIME y Anchors deben descartarse por este</w:t>
      </w:r>
      <w:r>
        <w:t xml:space="preserve"> </w:t>
      </w:r>
      <w:r>
        <w:t xml:space="preserve">criterio.</w:t>
      </w:r>
    </w:p>
    <w:bookmarkEnd w:id="99"/>
    <w:bookmarkEnd w:id="100"/>
    <w:bookmarkStart w:id="104" w:name="sec-estudio-b"/>
    <w:p>
      <w:pPr>
        <w:pStyle w:val="Ttulo2"/>
      </w:pPr>
      <w:r>
        <w:t xml:space="preserve">Estudio B: Análisis pareado SHAP-LIME y trade-off calidad-coste (H3)</w:t>
      </w:r>
    </w:p>
    <w:p>
      <w:pPr>
        <w:pStyle w:val="FirstParagraph"/>
        <w:jc w:val="both"/>
        <w:spacing w:line="480" w:lineRule="auto"/>
      </w:pPr>
      <w:r>
        <w:t xml:space="preserve">El análisis pareado opera sobre las 75 celdas</w:t>
      </w:r>
      <w:r>
        <w:t xml:space="preserve"> </w:t>
      </w:r>
      <m:oMath>
        <m:r>
          <m:rPr>
            <m:sty m:val="p"/>
          </m:rPr>
          <m:t>(</m:t>
        </m:r>
        <m:r>
          <m:t>g</m:t>
        </m:r>
        <m:r>
          <m:rPr>
            <m:sty m:val="p"/>
          </m:rPr>
          <m:t>,</m:t>
        </m:r>
        <m:r>
          <m:t>s</m:t>
        </m:r>
        <m:r>
          <m:rPr>
            <m:sty m:val="p"/>
          </m:rPr>
          <m:t>,</m:t>
        </m:r>
        <m:r>
          <m:t>n</m:t>
        </m:r>
        <m:r>
          <m:rPr>
            <m:sty m:val="p"/>
          </m:rPr>
          <m:t>)</m:t>
        </m:r>
      </m: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02" w:name="diferencias-en-métricas-de-calidad"/>
    <w:p>
      <w:pPr>
        <w:pStyle w:val="Ttulo3"/>
      </w:pPr>
      <w:r>
        <w:t xml:space="preserve">Diferencias en métricas de calidad</w:t>
      </w:r>
    </w:p>
    <w:p>
      <w:pPr>
        <w:pStyle w:val="FirstParagraph"/>
        <w:jc w:val="both"/>
        <w:spacing w:line="480" w:lineRule="auto"/>
      </w:pPr>
      <w:r>
        <w:t xml:space="preserve">Para cada métrica se calcula la diferencia pareada</w:t>
      </w:r>
      <w:r>
        <w:t xml:space="preserve"> </w:t>
      </w:r>
      <m:oMath>
        <m:sSub>
          <m:e>
            <m:r>
              <m:t>d</m:t>
            </m:r>
          </m:e>
          <m:sub>
            <m:r>
              <m:t>i</m:t>
            </m:r>
          </m:sub>
        </m:sSub>
        <m:r>
          <m:rPr>
            <m:sty m:val="p"/>
          </m:rPr>
          <m:t>=</m:t>
        </m:r>
        <m:sSubSup>
          <m:e>
            <m:r>
              <m:t>x</m:t>
            </m:r>
          </m:e>
          <m:sub>
            <m:r>
              <m:t>i</m:t>
            </m:r>
          </m:sub>
          <m:sup>
            <m:r>
              <m:t>S</m:t>
            </m:r>
            <m:r>
              <m:t>H</m:t>
            </m:r>
            <m:r>
              <m:t>A</m:t>
            </m:r>
            <m:r>
              <m:t>P</m:t>
            </m:r>
          </m:sup>
        </m:sSubSup>
        <m:r>
          <m:rPr>
            <m:sty m:val="p"/>
          </m:rPr>
          <m:t>−</m:t>
        </m:r>
        <m:sSubSup>
          <m:e>
            <m:r>
              <m:t>x</m:t>
            </m:r>
          </m:e>
          <m:sub>
            <m:r>
              <m:t>i</m:t>
            </m:r>
          </m:sub>
          <m:sup>
            <m:r>
              <m:t>L</m:t>
            </m:r>
            <m:r>
              <m:t>I</m:t>
            </m:r>
            <m:r>
              <m:t>M</m:t>
            </m:r>
            <m:r>
              <m:t>E</m:t>
            </m:r>
          </m:sup>
        </m:sSubSup>
      </m:oMath>
      <w:r>
        <w:t xml:space="preserve">,</w:t>
      </w:r>
      <w:r>
        <w:t xml:space="preserve"> </w:t>
      </w:r>
      <w:r>
        <w:t xml:space="preserve">donde un valor positivo indica ventaja de SHAP. El estadístico de efecto de</w:t>
      </w:r>
      <w:r>
        <w:t xml:space="preserve"> </w:t>
      </w:r>
      <w:r>
        <w:t xml:space="preserve">Cohen es</w:t>
      </w:r>
      <w:r>
        <w:t xml:space="preserve"> </w:t>
      </w:r>
      <m:oMath>
        <m:sSub>
          <m:e>
            <m:r>
              <m:t>d</m:t>
            </m:r>
          </m:e>
          <m:sub>
            <m:r>
              <m:t>z</m:t>
            </m:r>
          </m:sub>
        </m:sSub>
        <m:r>
          <m:rPr>
            <m:sty m:val="p"/>
          </m:rPr>
          <m:t>=</m:t>
        </m:r>
        <m:acc>
          <m:accPr>
            <m:chr m:val="‾"/>
          </m:accPr>
          <m:e>
            <m:r>
              <m:t>d</m:t>
            </m:r>
          </m:e>
        </m:acc>
        <m:r>
          <m:rPr>
            <m:sty m:val="p"/>
          </m:rPr>
          <m:t>/</m:t>
        </m:r>
        <m:sSub>
          <m:e>
            <m:r>
              <m:t>s</m:t>
            </m:r>
          </m:e>
          <m:sub>
            <m:r>
              <m:t>d</m:t>
            </m:r>
          </m:sub>
        </m:sSub>
      </m:oMath>
      <w:r>
        <w:t xml:space="preserve">, donde</w:t>
      </w:r>
      <w:r>
        <w:t xml:space="preserve"> </w:t>
      </w:r>
      <m:oMath>
        <m:sSub>
          <m:e>
            <m:r>
              <m:t>s</m:t>
            </m:r>
          </m:e>
          <m:sub>
            <m:r>
              <m:t>d</m:t>
            </m:r>
          </m:sub>
        </m:sSub>
      </m: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01" w:name="tbl-paired-shap-lime"/>
          <w:p>
            <w:pPr>
              <w:jc w:val="center"/>
            </w:pPr>
            <w:pPr>
              <w:jc w:val="left"/>
              <w:spacing w:before="200"/>
              <w:pStyle w:val="ImageCaption"/>
            </w:pPr>
            <w:r>
              <w:t xml:space="preserve">Table 5.4: Diferencias pareadas SHAP − LIME (</w:t>
            </w:r>
            <m:oMath>
              <m:r>
                <m:t>n</m:t>
              </m:r>
              <m:r>
                <m:rPr>
                  <m:sty m:val="p"/>
                </m:rPr>
                <m:t>=</m:t>
              </m:r>
              <m:r>
                <m:t>75</m:t>
              </m:r>
            </m:oMath>
            <w:r>
              <w:t xml:space="preserve"> </w:t>
            </w:r>
            <w:r>
              <w:t xml:space="preserve">celdas). Se reporta</w:t>
            </w:r>
            <w:r>
              <w:t xml:space="preserve"> </w:t>
            </w:r>
            <m:oMath>
              <m:sSub>
                <m:e>
                  <m:r>
                    <m:t>d</m:t>
                  </m:r>
                </m:e>
                <m:sub>
                  <m:r>
                    <m:t>i</m:t>
                  </m:r>
                </m:sub>
              </m:sSub>
              <m:r>
                <m:rPr>
                  <m:sty m:val="p"/>
                </m:rPr>
                <m:t>=</m:t>
              </m:r>
              <m:r>
                <m:rPr>
                  <m:nor/>
                  <m:sty m:val="p"/>
                </m:rPr>
                <m:t>SHAP</m:t>
              </m:r>
              <m:r>
                <m:rPr>
                  <m:sty m:val="p"/>
                </m:rPr>
                <m:t>−</m:t>
              </m:r>
              <m:r>
                <m:rPr>
                  <m:nor/>
                  <m:sty m:val="p"/>
                </m:rPr>
                <m:t>LIME</m:t>
              </m:r>
            </m:oMath>
            <w:r>
              <w:t xml:space="preserve">; para fidelidad/estabilidad/brecha,</w:t>
            </w:r>
            <w:r>
              <w:t xml:space="preserve"> </w:t>
            </w:r>
            <m:oMath>
              <m:r>
                <m:t>d</m:t>
              </m:r>
              <m:r>
                <m:rPr>
                  <m:sty m:val="p"/>
                </m:rPr>
                <m:t>&gt;</m:t>
              </m:r>
              <m:r>
                <m:t>0</m:t>
              </m:r>
            </m:oMath>
            <w:r>
              <w:t xml:space="preserve"> </w:t>
            </w:r>
            <w:r>
              <w:t xml:space="preserve">favorece SHAP; para parsimonia y coste,</w:t>
            </w:r>
            <w:r>
              <w:t xml:space="preserve"> </w:t>
            </w:r>
            <m:oMath>
              <m:r>
                <m:t>d</m:t>
              </m:r>
              <m:r>
                <m:rPr>
                  <m:sty m:val="p"/>
                </m:rPr>
                <m:t>&gt;</m:t>
              </m:r>
              <m:r>
                <m:t>0</m:t>
              </m:r>
            </m: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Métrica</w:t>
                  </w:r>
                </w:p>
              </w:tc>
              <w:tc>
                <w:tcPr/>
                <w:p>
                  <w:pPr>
                    <w:pStyle w:val="Compact"/>
                    <w:jc w:val="center"/>
                  </w:pPr>
                  <m:oMath>
                    <m:acc>
                      <m:accPr>
                        <m:chr m:val="‾"/>
                      </m:accPr>
                      <m:e>
                        <m:r>
                          <m:t>d</m:t>
                        </m:r>
                      </m:e>
                    </m:acc>
                  </m:oMath>
                </w:p>
              </w:tc>
              <w:tc>
                <w:tcPr/>
                <w:p>
                  <w:pPr>
                    <w:pStyle w:val="Compact"/>
                    <w:jc w:val="center"/>
                  </w:pPr>
                  <m:oMath>
                    <m:sSub>
                      <m:e>
                        <m:r>
                          <m:t>s</m:t>
                        </m:r>
                      </m:e>
                      <m:sub>
                        <m:r>
                          <m:t>d</m:t>
                        </m:r>
                      </m:sub>
                    </m:sSub>
                  </m:oMath>
                </w:p>
              </w:tc>
              <w:tc>
                <w:tcPr/>
                <w:p>
                  <w:pPr>
                    <w:pStyle w:val="Compact"/>
                    <w:jc w:val="center"/>
                  </w:pPr>
                  <m:oMath>
                    <m:sSub>
                      <m:e>
                        <m:r>
                          <m:t>d</m:t>
                        </m:r>
                      </m:e>
                      <m:sub>
                        <m:r>
                          <m:t>z</m:t>
                        </m:r>
                      </m:sub>
                    </m:sSub>
                  </m:oMath>
                </w:p>
              </w:tc>
              <w:tc>
                <w:tcPr/>
                <w:p>
                  <w:pPr>
                    <w:pStyle w:val="Compact"/>
                    <w:jc w:val="center"/>
                  </w:pPr>
                  <w:r>
                    <w:t xml:space="preserve">Pos.</w:t>
                  </w:r>
                </w:p>
              </w:tc>
              <w:tc>
                <w:tcPr/>
                <w:p>
                  <w:pPr>
                    <w:pStyle w:val="Compact"/>
                    <w:jc w:val="center"/>
                  </w:pPr>
                  <w:r>
                    <w:t xml:space="preserve">Neg.</w:t>
                  </w:r>
                </w:p>
              </w:tc>
              <w:tc>
                <w:tcPr/>
                <w:p>
                  <w:pPr>
                    <w:pStyle w:val="Compact"/>
                    <w:jc w:val="center"/>
                  </w:pPr>
                  <m:oMath>
                    <m:r>
                      <m:t>n</m:t>
                    </m:r>
                  </m:oMath>
                </w:p>
              </w:tc>
            </w:tr>
            <w:tr>
              <w:tc>
                <w:tcPr/>
                <w:p>
                  <w:pPr>
                    <w:pStyle w:val="Compact"/>
                    <w:jc w:val="center"/>
                  </w:pPr>
                  <w:r>
                    <w:t xml:space="preserve">Fidelidad</w:t>
                  </w:r>
                </w:p>
              </w:tc>
              <w:tc>
                <w:tcPr/>
                <w:p>
                  <w:pPr>
                    <w:pStyle w:val="Compact"/>
                    <w:jc w:val="center"/>
                  </w:pPr>
                  <w:r>
                    <w:t xml:space="preserve">+0.2479</w:t>
                  </w:r>
                </w:p>
              </w:tc>
              <w:tc>
                <w:tcPr/>
                <w:p>
                  <w:pPr>
                    <w:pStyle w:val="Compact"/>
                    <w:jc w:val="center"/>
                  </w:pPr>
                  <w:r>
                    <w:t xml:space="preserve">0.0514</w:t>
                  </w:r>
                </w:p>
              </w:tc>
              <w:tc>
                <w:tcPr/>
                <w:p>
                  <w:pPr>
                    <w:pStyle w:val="Compact"/>
                    <w:jc w:val="center"/>
                  </w:pPr>
                  <w:r>
                    <w:t xml:space="preserve">+4.820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Estabilidad</w:t>
                  </w:r>
                </w:p>
              </w:tc>
              <w:tc>
                <w:tcPr/>
                <w:p>
                  <w:pPr>
                    <w:pStyle w:val="Compact"/>
                    <w:jc w:val="center"/>
                  </w:pPr>
                  <w:r>
                    <w:t xml:space="preserve">+0.7176</w:t>
                  </w:r>
                </w:p>
              </w:tc>
              <w:tc>
                <w:tcPr/>
                <w:p>
                  <w:pPr>
                    <w:pStyle w:val="Compact"/>
                    <w:jc w:val="center"/>
                  </w:pPr>
                  <w:r>
                    <w:t xml:space="preserve">0.2390</w:t>
                  </w:r>
                </w:p>
              </w:tc>
              <w:tc>
                <w:tcPr/>
                <w:p>
                  <w:pPr>
                    <w:pStyle w:val="Compact"/>
                    <w:jc w:val="center"/>
                  </w:pPr>
                  <w:r>
                    <w:t xml:space="preserve">+3.002</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Parsimonia</w:t>
                  </w:r>
                </w:p>
              </w:tc>
              <w:tc>
                <w:tcPr/>
                <w:p>
                  <w:pPr>
                    <w:pStyle w:val="Compact"/>
                    <w:jc w:val="center"/>
                  </w:pPr>
                  <w:r>
                    <w:t xml:space="preserve">+0.1418</w:t>
                  </w:r>
                </w:p>
              </w:tc>
              <w:tc>
                <w:tcPr/>
                <w:p>
                  <w:pPr>
                    <w:pStyle w:val="Compact"/>
                    <w:jc w:val="center"/>
                  </w:pPr>
                  <w:r>
                    <w:t xml:space="preserve">0.1690</w:t>
                  </w:r>
                </w:p>
              </w:tc>
              <w:tc>
                <w:tcPr/>
                <w:p>
                  <w:pPr>
                    <w:pStyle w:val="Compact"/>
                    <w:jc w:val="center"/>
                  </w:pPr>
                  <w:r>
                    <w:t xml:space="preserve">+0.839</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Brecha fidelidad</w:t>
                  </w:r>
                </w:p>
              </w:tc>
              <w:tc>
                <w:tcPr/>
                <w:p>
                  <w:pPr>
                    <w:pStyle w:val="Compact"/>
                    <w:jc w:val="center"/>
                  </w:pPr>
                  <w:r>
                    <w:t xml:space="preserve">+0.0453</w:t>
                  </w:r>
                </w:p>
              </w:tc>
              <w:tc>
                <w:tcPr/>
                <w:p>
                  <w:pPr>
                    <w:pStyle w:val="Compact"/>
                    <w:jc w:val="center"/>
                  </w:pPr>
                  <w:r>
                    <w:t xml:space="preserve">0.0173</w:t>
                  </w:r>
                </w:p>
              </w:tc>
              <w:tc>
                <w:tcPr/>
                <w:p>
                  <w:pPr>
                    <w:pStyle w:val="Compact"/>
                    <w:jc w:val="center"/>
                  </w:pPr>
                  <w:r>
                    <w:t xml:space="preserve">+2.626</w:t>
                  </w:r>
                </w:p>
              </w:tc>
              <w:tc>
                <w:tcPr/>
                <w:p>
                  <w:pPr>
                    <w:pStyle w:val="Compact"/>
                    <w:jc w:val="center"/>
                  </w:pPr>
                  <w:r>
                    <w:t xml:space="preserve">74</w:t>
                  </w:r>
                </w:p>
              </w:tc>
              <w:tc>
                <w:tcPr/>
                <w:p>
                  <w:pPr>
                    <w:pStyle w:val="Compact"/>
                    <w:jc w:val="center"/>
                  </w:pPr>
                  <w:r>
                    <w:t xml:space="preserve">1</w:t>
                  </w:r>
                </w:p>
              </w:tc>
              <w:tc>
                <w:tcPr/>
                <w:p>
                  <w:pPr>
                    <w:pStyle w:val="Compact"/>
                    <w:jc w:val="center"/>
                  </w:pPr>
                  <w:r>
                    <w:t xml:space="preserve">75</w:t>
                  </w:r>
                </w:p>
              </w:tc>
            </w:tr>
            <w:tr>
              <w:tc>
                <w:tcPr/>
                <w:p>
                  <w:pPr>
                    <w:pStyle w:val="Compact"/>
                    <w:jc w:val="center"/>
                  </w:pPr>
                  <w:r>
                    <w:t xml:space="preserve">Coste (ms)</w:t>
                  </w:r>
                </w:p>
              </w:tc>
              <w:tc>
                <w:tcPr/>
                <w:p>
                  <w:pPr>
                    <w:pStyle w:val="Compact"/>
                    <w:jc w:val="center"/>
                  </w:pPr>
                  <w:r>
                    <w:t xml:space="preserve">+8047.6</w:t>
                  </w:r>
                </w:p>
              </w:tc>
              <w:tc>
                <w:tcPr/>
                <w:p>
                  <w:pPr>
                    <w:pStyle w:val="Compact"/>
                    <w:jc w:val="center"/>
                  </w:pPr>
                  <w:r>
                    <w:t xml:space="preserve">17856.6</w:t>
                  </w:r>
                </w:p>
              </w:tc>
              <w:tc>
                <w:tcPr/>
                <w:p>
                  <w:pPr>
                    <w:pStyle w:val="Compact"/>
                    <w:jc w:val="center"/>
                  </w:pPr>
                  <w:r>
                    <w:t xml:space="preserve">+0.451</w:t>
                  </w:r>
                </w:p>
              </w:tc>
              <w:tc>
                <w:tcPr/>
                <w:p>
                  <w:pPr>
                    <w:pStyle w:val="Compact"/>
                    <w:jc w:val="center"/>
                  </w:pPr>
                  <w:r>
                    <w:t xml:space="preserve">59</w:t>
                  </w:r>
                </w:p>
              </w:tc>
              <w:tc>
                <w:tcPr/>
                <w:p>
                  <w:pPr>
                    <w:pStyle w:val="Compact"/>
                    <w:jc w:val="center"/>
                  </w:pPr>
                  <w:r>
                    <w:t xml:space="preserve">16</w:t>
                  </w:r>
                </w:p>
              </w:tc>
              <w:tc>
                <w:tcPr/>
                <w:p>
                  <w:pPr>
                    <w:pStyle w:val="Compact"/>
                    <w:jc w:val="center"/>
                  </w:pPr>
                  <w:r>
                    <w:t xml:space="preserve">75</w:t>
                  </w:r>
                </w:p>
              </w:tc>
            </w:tr>
          </w:tbl>
          <w:bookmarkEnd w:id="101"/>
          <w:p/>
        </w:tc>
      </w:tr>
    </w:tbl>
    <w:p>
      <w:pPr>
        <w:pStyle w:val="Textoindependiente"/>
        <w:jc w:val="both"/>
        <w:spacing w:line="480" w:lineRule="auto"/>
      </w:pPr>
      <w:r>
        <w:t xml:space="preserve">Los resultados confirman</w:t>
      </w:r>
      <w:r>
        <w:t xml:space="preserve"> </w:t>
      </w:r>
      <m:oMath>
        <m:sSub>
          <m:e>
            <m:r>
              <m:t>H</m:t>
            </m:r>
          </m:e>
          <m:sub>
            <m:r>
              <m:t>1</m:t>
            </m:r>
            <m:r>
              <m:rPr>
                <m:sty m:val="p"/>
              </m:rPr>
              <m:t>,</m:t>
            </m:r>
            <m:r>
              <m:t>3</m:t>
            </m:r>
          </m:sub>
        </m:sSub>
      </m:oMath>
      <w:r>
        <w:t xml:space="preserve"> </w:t>
      </w:r>
      <w:r>
        <w:t xml:space="preserve">de forma inequívoca:</w:t>
      </w:r>
    </w:p>
    <w:p>
      <w:pPr>
        <w:pStyle w:val="Textoindependiente"/>
        <w:jc w:val="both"/>
        <w:spacing w:line="480" w:lineRule="auto"/>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m:oMath>
        <m:sSub>
          <m:e>
            <m:r>
              <m:t>d</m:t>
            </m:r>
          </m:e>
          <m:sub>
            <m:r>
              <m:t>z</m:t>
            </m:r>
          </m:sub>
        </m:sSub>
        <m:r>
          <m:rPr>
            <m:sty m:val="p"/>
          </m:rPr>
          <m:t>=</m:t>
        </m:r>
        <m:r>
          <m:rPr>
            <m:sty m:val="p"/>
          </m:rPr>
          <m:t>+</m:t>
        </m:r>
        <m:r>
          <m:t>4.820</m:t>
        </m:r>
      </m:oMath>
      <w:r>
        <w:t xml:space="preserve">). Bajo el criterio de Lakens</w:t>
      </w:r>
      <w:r>
        <w:t xml:space="preserve"> </w:t>
      </w:r>
      <w:r>
        <w:t xml:space="preserve">(2013)</w:t>
      </w:r>
      <w:r>
        <w:t xml:space="preserve">,</w:t>
      </w:r>
      <w:r>
        <w:t xml:space="preserve"> </w:t>
      </w:r>
      <m:oMath>
        <m:sSub>
          <m:e>
            <m:r>
              <m:t>d</m:t>
            </m:r>
          </m:e>
          <m:sub>
            <m:r>
              <m:t>z</m:t>
            </m:r>
          </m:sub>
        </m:sSub>
        <m:r>
          <m:rPr>
            <m:sty m:val="p"/>
          </m:rPr>
          <m:t>&gt;</m:t>
        </m:r>
        <m:r>
          <m:t>0.8</m:t>
        </m:r>
      </m:oMath>
      <w:r>
        <w:t xml:space="preserve"> </w:t>
      </w:r>
      <w:r>
        <w:t xml:space="preserve">constituye efecto grande;</w:t>
      </w:r>
      <w:r>
        <w:t xml:space="preserve"> </w:t>
      </w:r>
      <m:oMath>
        <m:sSub>
          <m:e>
            <m:r>
              <m:t>d</m:t>
            </m:r>
          </m:e>
          <m:sub>
            <m:r>
              <m:t>z</m:t>
            </m:r>
          </m:sub>
        </m:sSub>
        <m:r>
          <m:rPr>
            <m:sty m:val="p"/>
          </m:rPr>
          <m:t>&gt;</m:t>
        </m:r>
        <m:r>
          <m:t>2.0</m:t>
        </m:r>
      </m: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jc w:val="both"/>
        <w:spacing w:line="480" w:lineRule="auto"/>
      </w:pPr>
      <w:r>
        <w:rPr>
          <w:b/>
          <w:bCs/>
        </w:rPr>
        <w:t xml:space="preserve">Estabilidad:</w:t>
      </w:r>
      <w:r>
        <w:t xml:space="preserve"> </w:t>
      </w:r>
      <w:r>
        <w:t xml:space="preserve">La ventaja de SHAP es aún más pronunciada en estabilidad</w:t>
      </w:r>
      <w:r>
        <w:t xml:space="preserve"> </w:t>
      </w:r>
      <w:r>
        <w:t xml:space="preserve">(</w:t>
      </w:r>
      <m:oMath>
        <m:sSub>
          <m:e>
            <m:r>
              <m:t>d</m:t>
            </m:r>
          </m:e>
          <m:sub>
            <m:r>
              <m:t>z</m:t>
            </m:r>
          </m:sub>
        </m:sSub>
        <m:r>
          <m:rPr>
            <m:sty m:val="p"/>
          </m:rPr>
          <m:t>=</m:t>
        </m:r>
        <m:r>
          <m:rPr>
            <m:sty m:val="p"/>
          </m:rPr>
          <m:t>+</m:t>
        </m:r>
        <m:r>
          <m:t>3.002</m:t>
        </m:r>
      </m: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jc w:val="both"/>
        <w:spacing w:line="480" w:lineRule="auto"/>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m:oMath>
        <m:sSub>
          <m:e>
            <m:r>
              <m:t>d</m:t>
            </m:r>
          </m:e>
          <m:sub>
            <m:r>
              <m:t>z</m:t>
            </m:r>
          </m:sub>
        </m:sSub>
        <m:r>
          <m:rPr>
            <m:sty m:val="p"/>
          </m:rPr>
          <m:t>=</m:t>
        </m:r>
        <m:r>
          <m:rPr>
            <m:sty m:val="p"/>
          </m:rPr>
          <m:t>+</m:t>
        </m:r>
        <m:r>
          <m:t>0.839</m:t>
        </m:r>
      </m: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m:oMath>
        <m:sSub>
          <m:e>
            <m:r>
              <m:t>d</m:t>
            </m:r>
          </m:e>
          <m:sub>
            <m:r>
              <m:t>z</m:t>
            </m:r>
          </m:sub>
        </m:sSub>
        <m:r>
          <m:rPr>
            <m:sty m:val="p"/>
          </m:rPr>
          <m:t>=</m:t>
        </m:r>
        <m:r>
          <m:rPr>
            <m:sty m:val="p"/>
          </m:rPr>
          <m:t>+</m:t>
        </m:r>
        <m:r>
          <m:t>2.626</m:t>
        </m:r>
      </m: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jc w:val="both"/>
        <w:spacing w:line="480" w:lineRule="auto"/>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m:oMath>
        <m:sSub>
          <m:e>
            <m:r>
              <m:t>s</m:t>
            </m:r>
          </m:e>
          <m:sub>
            <m:r>
              <m:t>d</m:t>
            </m:r>
          </m:sub>
        </m:sSub>
        <m:r>
          <m:rPr>
            <m:sty m:val="p"/>
          </m:rPr>
          <m:t>=</m:t>
        </m:r>
        <m:r>
          <m:t>17</m:t>
        </m:r>
        <m:r>
          <m:rPr>
            <m:sty m:val="p"/>
          </m:rPr>
          <m:t>,</m:t>
        </m:r>
        <m:r>
          <m:t>857</m:t>
        </m:r>
      </m: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m:oMath>
        <m:sSub>
          <m:e>
            <m:r>
              <m:t>d</m:t>
            </m:r>
          </m:e>
          <m:sub>
            <m:r>
              <m:t>z</m:t>
            </m:r>
          </m:sub>
        </m:sSub>
        <m:r>
          <m:rPr>
            <m:sty m:val="p"/>
          </m:rPr>
          <m:t>=</m:t>
        </m:r>
        <m:r>
          <m:rPr>
            <m:sty m:val="p"/>
          </m:rPr>
          <m:t>+</m:t>
        </m:r>
        <m:r>
          <m:t>0.451</m:t>
        </m:r>
      </m: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02"/>
    <w:bookmarkStart w:id="103" w:name="X2c15e0a178907c68bf437d0d85cae845d1c590b"/>
    <w:p>
      <w:pPr>
        <w:pStyle w:val="Ttulo3"/>
      </w:pPr>
      <w:r>
        <w:t xml:space="preserve">Verificación del requisito de multiplicidad</w:t>
      </w:r>
    </w:p>
    <w:p>
      <w:pPr>
        <w:pStyle w:val="FirstParagraph"/>
        <w:jc w:val="both"/>
        <w:spacing w:line="480" w:lineRule="auto"/>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m:oMath>
        <m:r>
          <m:t>α</m:t>
        </m:r>
        <m:r>
          <m:rPr>
            <m:sty m:val="p"/>
          </m:rPr>
          <m:t>/</m:t>
        </m:r>
        <m:r>
          <m:rPr>
            <m:sty m:val="p"/>
          </m:rPr>
          <m:t>(</m:t>
        </m:r>
        <m:r>
          <m:t>5</m:t>
        </m:r>
        <m:r>
          <m:rPr>
            <m:sty m:val="p"/>
          </m:rPr>
          <m:t>)</m:t>
        </m:r>
        <m:r>
          <m:rPr>
            <m:sty m:val="p"/>
          </m:rPr>
          <m:t>=</m:t>
        </m:r>
        <m:r>
          <m:t>0.01</m:t>
        </m:r>
      </m:oMath>
      <w:r>
        <w:t xml:space="preserve">,</w:t>
      </w:r>
      <w:r>
        <w:t xml:space="preserve"> </w:t>
      </w:r>
      <m:oMath>
        <m:r>
          <m:t>α</m:t>
        </m:r>
        <m:r>
          <m:rPr>
            <m:sty m:val="p"/>
          </m:rPr>
          <m:t>/</m:t>
        </m:r>
        <m:r>
          <m:rPr>
            <m:sty m:val="p"/>
          </m:rPr>
          <m:t>(</m:t>
        </m:r>
        <m:r>
          <m:t>4</m:t>
        </m:r>
        <m:r>
          <m:rPr>
            <m:sty m:val="p"/>
          </m:rPr>
          <m:t>)</m:t>
        </m:r>
        <m:r>
          <m:rPr>
            <m:sty m:val="p"/>
          </m:rPr>
          <m:t>=</m:t>
        </m:r>
        <m:r>
          <m:t>0.0125</m:t>
        </m:r>
      </m:oMath>
      <w:r>
        <w:t xml:space="preserve">,</w:t>
      </w:r>
      <w:r>
        <w:t xml:space="preserve"> </w:t>
      </w:r>
      <m:oMath>
        <m:r>
          <m:t>α</m:t>
        </m:r>
        <m:r>
          <m:rPr>
            <m:sty m:val="p"/>
          </m:rPr>
          <m:t>/</m:t>
        </m:r>
        <m:r>
          <m:rPr>
            <m:sty m:val="p"/>
          </m:rPr>
          <m:t>(</m:t>
        </m:r>
        <m:r>
          <m:t>3</m:t>
        </m:r>
        <m:r>
          <m:rPr>
            <m:sty m:val="p"/>
          </m:rPr>
          <m:t>)</m:t>
        </m:r>
        <m:r>
          <m:rPr>
            <m:sty m:val="p"/>
          </m:rPr>
          <m:t>=</m:t>
        </m:r>
        <m:r>
          <m:t>0.0167</m:t>
        </m:r>
      </m:oMath>
      <w:r>
        <w:t xml:space="preserve">,</w:t>
      </w:r>
      <w:r>
        <w:t xml:space="preserve"> </w:t>
      </w:r>
      <m:oMath>
        <m:r>
          <m:t>α</m:t>
        </m:r>
        <m:r>
          <m:rPr>
            <m:sty m:val="p"/>
          </m:rPr>
          <m:t>/</m:t>
        </m:r>
        <m:r>
          <m:rPr>
            <m:sty m:val="p"/>
          </m:rPr>
          <m:t>(</m:t>
        </m:r>
        <m:r>
          <m:t>2</m:t>
        </m:r>
        <m:r>
          <m:rPr>
            <m:sty m:val="p"/>
          </m:rPr>
          <m:t>)</m:t>
        </m:r>
        <m:r>
          <m:rPr>
            <m:sty m:val="p"/>
          </m:rPr>
          <m:t>=</m:t>
        </m:r>
        <m:r>
          <m:t>0.025</m:t>
        </m:r>
      </m:oMath>
      <w:r>
        <w:t xml:space="preserve">,</w:t>
      </w:r>
      <w:r>
        <w:t xml:space="preserve"> </w:t>
      </w:r>
      <m:oMath>
        <m:r>
          <m:t>α</m:t>
        </m:r>
        <m:r>
          <m:rPr>
            <m:sty m:val="p"/>
          </m:rPr>
          <m:t>/</m:t>
        </m:r>
        <m:r>
          <m:rPr>
            <m:sty m:val="p"/>
          </m:rPr>
          <m:t>(</m:t>
        </m:r>
        <m:r>
          <m:t>1</m:t>
        </m:r>
        <m:r>
          <m:rPr>
            <m:sty m:val="p"/>
          </m:rPr>
          <m:t>)</m:t>
        </m:r>
        <m:r>
          <m:rPr>
            <m:sty m:val="p"/>
          </m:rPr>
          <m:t>=</m:t>
        </m:r>
        <m:r>
          <m:t>0.05</m:t>
        </m:r>
      </m:oMath>
      <w:r>
        <w:t xml:space="preserve">. Dado que las diferencias en fidelidad y estabilidad presentan</w:t>
      </w:r>
      <w:r>
        <w:t xml:space="preserve"> </w:t>
      </w:r>
      <m:oMath>
        <m:sSub>
          <m:e>
            <m:r>
              <m:t>d</m:t>
            </m:r>
          </m:e>
          <m:sub>
            <m:r>
              <m:t>z</m:t>
            </m:r>
          </m:sub>
        </m:sSub>
        <m:r>
          <m:rPr>
            <m:sty m:val="p"/>
          </m:rPr>
          <m:t>&gt;</m:t>
        </m:r>
        <m:r>
          <m:t>2.6</m:t>
        </m:r>
      </m:oMath>
      <w:r>
        <w:t xml:space="preserve"> </w:t>
      </w:r>
      <w:r>
        <w:t xml:space="preserve">con</w:t>
      </w:r>
      <w:r>
        <w:t xml:space="preserve"> </w:t>
      </w:r>
      <m:oMath>
        <m:r>
          <m:t>n</m:t>
        </m:r>
        <m:r>
          <m:rPr>
            <m:sty m:val="p"/>
          </m:rPr>
          <m:t>=</m:t>
        </m:r>
        <m:r>
          <m:t>75</m:t>
        </m:r>
      </m: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m:oMath>
        <m:sSub>
          <m:e>
            <m:r>
              <m:t>p</m:t>
            </m:r>
          </m:e>
          <m:sub>
            <m:r>
              <m:rPr>
                <m:sty m:val="p"/>
              </m:rPr>
              <m:t>H</m:t>
            </m:r>
            <m:r>
              <m:rPr>
                <m:sty m:val="p"/>
              </m:rPr>
              <m:t>o</m:t>
            </m:r>
            <m:r>
              <m:rPr>
                <m:sty m:val="p"/>
              </m:rPr>
              <m:t>l</m:t>
            </m:r>
            <m:r>
              <m:rPr>
                <m:sty m:val="p"/>
              </m:rPr>
              <m:t>m</m:t>
            </m:r>
          </m:sub>
        </m:sSub>
      </m:oMath>
      <w:r>
        <w:t xml:space="preserve"> </w:t>
      </w:r>
      <w:r>
        <w:t xml:space="preserve">del</w:t>
      </w:r>
      <w:r>
        <w:t xml:space="preserve"> </w:t>
      </w:r>
      <w:r>
        <w:t xml:space="preserve">orden de</w:t>
      </w:r>
      <w:r>
        <w:t xml:space="preserve"> </w:t>
      </w:r>
      <m:oMath>
        <m:sSup>
          <m:e>
            <m:r>
              <m:t>10</m:t>
            </m:r>
          </m:e>
          <m:sup>
            <m:r>
              <m:rPr>
                <m:sty m:val="p"/>
              </m:rPr>
              <m:t>−</m:t>
            </m:r>
            <m:r>
              <m:t>13</m:t>
            </m:r>
          </m:sup>
        </m:sSup>
      </m:oMath>
      <w:r>
        <w:t xml:space="preserve">, y el coste con</w:t>
      </w:r>
      <w:r>
        <w:t xml:space="preserve"> </w:t>
      </w:r>
      <m:oMath>
        <m:sSub>
          <m:e>
            <m:r>
              <m:t>p</m:t>
            </m:r>
          </m:e>
          <m:sub>
            <m:r>
              <m:rPr>
                <m:sty m:val="p"/>
              </m:rPr>
              <m:t>H</m:t>
            </m:r>
            <m:r>
              <m:rPr>
                <m:sty m:val="p"/>
              </m:rPr>
              <m:t>o</m:t>
            </m:r>
            <m:r>
              <m:rPr>
                <m:sty m:val="p"/>
              </m:rPr>
              <m:t>l</m:t>
            </m:r>
            <m:r>
              <m:rPr>
                <m:sty m:val="p"/>
              </m:rPr>
              <m:t>m</m:t>
            </m:r>
          </m:sub>
        </m:sSub>
      </m:oMath>
      <w:r>
        <w:t xml:space="preserve"> </w:t>
      </w:r>
      <w:r>
        <w:t xml:space="preserve">del orden de</w:t>
      </w:r>
      <w:r>
        <w:t xml:space="preserve"> </w:t>
      </w:r>
      <m:oMath>
        <m:sSup>
          <m:e>
            <m:r>
              <m:t>10</m:t>
            </m:r>
          </m:e>
          <m:sup>
            <m:r>
              <m:rPr>
                <m:sty m:val="p"/>
              </m:rPr>
              <m:t>−</m:t>
            </m:r>
            <m:r>
              <m:t>10</m:t>
            </m:r>
          </m:sup>
        </m:sSup>
      </m:oMath>
      <w:r>
        <w:t xml:space="preserve">. Por tanto,</w:t>
      </w:r>
      <w:r>
        <w:t xml:space="preserve"> </w:t>
      </w:r>
      <m:oMath>
        <m:sSub>
          <m:e>
            <m:r>
              <m:t>H</m:t>
            </m:r>
          </m:e>
          <m:sub>
            <m:r>
              <m:t>1</m:t>
            </m:r>
            <m:r>
              <m:rPr>
                <m:sty m:val="p"/>
              </m:rPr>
              <m:t>,</m:t>
            </m:r>
            <m:r>
              <m:t>3</m:t>
            </m:r>
          </m:sub>
        </m:sSub>
      </m:oMath>
      <w:r>
        <w:t xml:space="preserve"> </w:t>
      </w:r>
      <w:r>
        <w:t xml:space="preserve">se acepta para las cinco métricas bajo control</w:t>
      </w:r>
      <w:r>
        <w:t xml:space="preserve"> </w:t>
      </w:r>
      <w:r>
        <w:t xml:space="preserve">de multiplicidad.</w:t>
      </w:r>
    </w:p>
    <w:bookmarkEnd w:id="103"/>
    <w:bookmarkEnd w:id="104"/>
    <w:bookmarkStart w:id="106" w:name="sec-p1"/>
    <w:p>
      <w:pPr>
        <w:pStyle w:val="Ttulo2"/>
      </w:pPr>
      <w:r>
        <w:t xml:space="preserve">Proposición P1: Reproducibilidad del protocolo FOM-7</w:t>
      </w:r>
    </w:p>
    <w:p>
      <w:pPr>
        <w:pStyle w:val="FirstParagraph"/>
        <w:jc w:val="both"/>
        <w:spacing w:line="480" w:lineRule="auto"/>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jc w:val="both"/>
        <w:spacing w:line="480" w:lineRule="auto"/>
      </w:pPr>
      <w:r>
        <w:t xml:space="preserve">Para su evaluación se calculó el CV de cada métrica primaria para SHAP y LIME</w:t>
      </w:r>
      <w:r>
        <w:t xml:space="preserve"> </w:t>
      </w:r>
      <w:r>
        <w:t xml:space="preserve">sobre el subconjunto del modelo RF con</w:t>
      </w:r>
      <w:r>
        <w:t xml:space="preserve"> </w:t>
      </w:r>
      <m:oMath>
        <m:r>
          <m:t>N</m:t>
        </m:r>
        <m:r>
          <m:rPr>
            <m:sty m:val="p"/>
          </m:rPr>
          <m:t>=</m:t>
        </m:r>
        <m:r>
          <m:t>100</m:t>
        </m:r>
      </m:oMath>
      <w:r>
        <w:t xml:space="preserve">, tomando las cinco semillas</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05" w:name="tbl-cv-p1"/>
          <w:p>
            <w:pPr>
              <w:jc w:val="center"/>
            </w:pPr>
            <w:pPr>
              <w:jc w:val="left"/>
              <w:spacing w:before="200"/>
              <w:pStyle w:val="ImageCaption"/>
            </w:pPr>
            <w:r>
              <w:t xml:space="preserve">Table 5.5: Coeficiente de variación de métricas primarias bajo 5 semillas distintas (RF,</w:t>
            </w:r>
            <w:r>
              <w:t xml:space="preserve"> </w:t>
            </w:r>
            <m:oMath>
              <m:r>
                <m:t>N</m:t>
              </m:r>
              <m:r>
                <m:rPr>
                  <m:sty m:val="p"/>
                </m:rPr>
                <m:t>=</m:t>
              </m:r>
              <m:r>
                <m:t>100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Método</w:t>
                  </w:r>
                </w:p>
              </w:tc>
              <w:tc>
                <w:tcPr/>
                <w:p>
                  <w:pPr>
                    <w:pStyle w:val="Compact"/>
                    <w:jc w:val="center"/>
                  </w:pPr>
                  <w:r>
                    <w:t xml:space="preserve">Métrica</w:t>
                  </w:r>
                </w:p>
              </w:tc>
              <w:tc>
                <w:tcPr/>
                <w:p>
                  <w:pPr>
                    <w:pStyle w:val="Compact"/>
                    <w:jc w:val="center"/>
                  </w:pPr>
                  <w:r>
                    <w:t xml:space="preserve">Media</w:t>
                  </w:r>
                </w:p>
              </w:tc>
              <w:tc>
                <w:tcPr/>
                <w:p>
                  <w:pPr>
                    <w:pStyle w:val="Compact"/>
                    <w:jc w:val="center"/>
                  </w:pPr>
                  <w:r>
                    <w:t xml:space="preserve">Desv. típica</w:t>
                  </w:r>
                </w:p>
              </w:tc>
              <w:tc>
                <w:tcPr/>
                <w:p>
                  <w:pPr>
                    <w:pStyle w:val="Compact"/>
                    <w:jc w:val="center"/>
                  </w:pPr>
                  <w:r>
                    <w:t xml:space="preserve">CV (%)</w:t>
                  </w:r>
                </w:p>
              </w:tc>
              <w:tc>
                <w:tcPr/>
                <w:p>
                  <w:pPr>
                    <w:pStyle w:val="Compact"/>
                    <w:jc w:val="center"/>
                  </w:pPr>
                  <w:r>
                    <w:t xml:space="preserve">Criterio P1</w:t>
                  </w:r>
                </w:p>
              </w:tc>
            </w:tr>
            <w:tr>
              <w:tc>
                <w:tcPr/>
                <w:p>
                  <w:pPr>
                    <w:pStyle w:val="Compact"/>
                    <w:jc w:val="center"/>
                  </w:pPr>
                  <w:r>
                    <w:t xml:space="preserve">SHAP</w:t>
                  </w:r>
                </w:p>
              </w:tc>
              <w:tc>
                <w:tcPr/>
                <w:p>
                  <w:pPr>
                    <w:pStyle w:val="Compact"/>
                    <w:jc w:val="center"/>
                  </w:pPr>
                  <w:r>
                    <w:t xml:space="preserve">Fidelidad</w:t>
                  </w:r>
                </w:p>
              </w:tc>
              <w:tc>
                <w:tcPr/>
                <w:p>
                  <w:pPr>
                    <w:pStyle w:val="Compact"/>
                    <w:jc w:val="center"/>
                  </w:pPr>
                  <w:r>
                    <w:t xml:space="preserve">0.732</w:t>
                  </w:r>
                </w:p>
              </w:tc>
              <w:tc>
                <w:tcPr/>
                <w:p>
                  <w:pPr>
                    <w:pStyle w:val="Compact"/>
                    <w:jc w:val="center"/>
                  </w:pPr>
                  <w:r>
                    <w:t xml:space="preserve">0.006</w:t>
                  </w:r>
                </w:p>
              </w:tc>
              <w:tc>
                <w:tcPr/>
                <w:p>
                  <w:pPr>
                    <w:pStyle w:val="Compact"/>
                    <w:jc w:val="center"/>
                  </w:pPr>
                  <w:r>
                    <w:rPr>
                      <w:b/>
                      <w:bCs/>
                    </w:rPr>
                    <w:t xml:space="preserve">0.8</w:t>
                  </w:r>
                </w:p>
              </w:tc>
              <w:tc>
                <w:tcPr/>
                <w:p>
                  <w:pPr>
                    <w:pStyle w:val="Compact"/>
                    <w:jc w:val="center"/>
                  </w:pPr>
                  <w:r>
                    <w:t xml:space="preserve">✓ Cumple</w:t>
                  </w:r>
                </w:p>
              </w:tc>
            </w:tr>
            <w:tr>
              <w:tc>
                <w:tcPr/>
                <w:p>
                  <w:pPr>
                    <w:pStyle w:val="Compact"/>
                    <w:jc w:val="center"/>
                  </w:pPr>
                  <w:r>
                    <w:t xml:space="preserve">SHAP</w:t>
                  </w:r>
                </w:p>
              </w:tc>
              <w:tc>
                <w:tcPr/>
                <w:p>
                  <w:pPr>
                    <w:pStyle w:val="Compact"/>
                    <w:jc w:val="center"/>
                  </w:pPr>
                  <w:r>
                    <w:t xml:space="preserve">Estabilidad</w:t>
                  </w:r>
                </w:p>
              </w:tc>
              <w:tc>
                <w:tcPr/>
                <w:p>
                  <w:pPr>
                    <w:pStyle w:val="Compact"/>
                    <w:jc w:val="center"/>
                  </w:pPr>
                  <w:r>
                    <w:t xml:space="preserve">0.948</w:t>
                  </w:r>
                </w:p>
              </w:tc>
              <w:tc>
                <w:tcPr/>
                <w:p>
                  <w:pPr>
                    <w:pStyle w:val="Compact"/>
                    <w:jc w:val="center"/>
                  </w:pPr>
                  <w:r>
                    <w:t xml:space="preserve">0.007</w:t>
                  </w:r>
                </w:p>
              </w:tc>
              <w:tc>
                <w:tcPr/>
                <w:p>
                  <w:pPr>
                    <w:pStyle w:val="Compact"/>
                    <w:jc w:val="center"/>
                  </w:pPr>
                  <w:r>
                    <w:rPr>
                      <w:b/>
                      <w:bCs/>
                    </w:rPr>
                    <w:t xml:space="preserve">0.7</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Fidelidad</w:t>
                  </w:r>
                </w:p>
              </w:tc>
              <w:tc>
                <w:tcPr/>
                <w:p>
                  <w:pPr>
                    <w:pStyle w:val="Compact"/>
                    <w:jc w:val="center"/>
                  </w:pPr>
                  <w:r>
                    <w:t xml:space="preserve">0.461</w:t>
                  </w:r>
                </w:p>
              </w:tc>
              <w:tc>
                <w:tcPr/>
                <w:p>
                  <w:pPr>
                    <w:pStyle w:val="Compact"/>
                    <w:jc w:val="center"/>
                  </w:pPr>
                  <w:r>
                    <w:t xml:space="preserve">0.012</w:t>
                  </w:r>
                </w:p>
              </w:tc>
              <w:tc>
                <w:tcPr/>
                <w:p>
                  <w:pPr>
                    <w:pStyle w:val="Compact"/>
                    <w:jc w:val="center"/>
                  </w:pPr>
                  <w:r>
                    <w:rPr>
                      <w:b/>
                      <w:bCs/>
                    </w:rPr>
                    <w:t xml:space="preserve">2.6</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Estabilidad</w:t>
                  </w:r>
                </w:p>
              </w:tc>
              <w:tc>
                <w:tcPr/>
                <w:p>
                  <w:pPr>
                    <w:pStyle w:val="Compact"/>
                    <w:jc w:val="center"/>
                  </w:pPr>
                  <w:r>
                    <w:t xml:space="preserve">0.018</w:t>
                  </w:r>
                </w:p>
              </w:tc>
              <w:tc>
                <w:tcPr/>
                <w:p>
                  <w:pPr>
                    <w:pStyle w:val="Compact"/>
                    <w:jc w:val="center"/>
                  </w:pPr>
                  <w:r>
                    <w:t xml:space="preserve">0.015</w:t>
                  </w:r>
                </w:p>
              </w:tc>
              <w:tc>
                <w:tcPr/>
                <w:p>
                  <w:pPr>
                    <w:pStyle w:val="Compact"/>
                    <w:jc w:val="center"/>
                  </w:pPr>
                  <w:r>
                    <w:rPr>
                      <w:b/>
                      <w:bCs/>
                    </w:rPr>
                    <w:t xml:space="preserve">86.2</w:t>
                  </w:r>
                </w:p>
              </w:tc>
              <w:tc>
                <w:tcPr/>
                <w:p>
                  <w:pPr>
                    <w:pStyle w:val="Compact"/>
                    <w:jc w:val="center"/>
                  </w:pPr>
                  <w:r>
                    <w:t xml:space="preserve">✗ No cumple</w:t>
                  </w:r>
                </w:p>
              </w:tc>
            </w:tr>
          </w:tbl>
          <w:bookmarkEnd w:id="105"/>
          <w:p/>
        </w:tc>
      </w:tr>
    </w:tbl>
    <w:p>
      <w:pPr>
        <w:pStyle w:val="Textoindependiente"/>
        <w:jc w:val="both"/>
        <w:spacing w:line="480" w:lineRule="auto"/>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jc w:val="both"/>
        <w:spacing w:line="480" w:lineRule="auto"/>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m:oMath>
        <m:r>
          <m:rPr>
            <m:sty m:val="p"/>
          </m:rPr>
          <m:t>±</m:t>
        </m:r>
        <m:r>
          <m:t>0.015</m:t>
        </m:r>
      </m: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jc w:val="both"/>
        <w:spacing w:line="480" w:lineRule="auto"/>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06"/>
    <w:bookmarkStart w:id="114" w:name="sec-validacion-humana"/>
    <w:p>
      <w:pPr>
        <w:pStyle w:val="Ttulo2"/>
      </w:pPr>
      <w:r>
        <w:t xml:space="preserve">Validación humana de calidad explicativa</w:t>
      </w:r>
    </w:p>
    <w:p>
      <w:pPr>
        <w:pStyle w:val="FirstParagraph"/>
        <w:jc w:val="both"/>
        <w:spacing w:line="480" w:lineRule="auto"/>
      </w:pPr>
      <w:r>
        <w:t xml:space="preserve">Las métricas funcionales anteriores evalúan propiedades observables del</w:t>
      </w:r>
      <w:r>
        <w:t xml:space="preserve"> </w:t>
      </w:r>
      <w:r>
        <w:t xml:space="preserve">explicador respecto al modelo: fidelidad, estabilidad, parsimonia, relevancia</w:t>
      </w:r>
      <w:r>
        <w:t xml:space="preserve"> </w:t>
      </w:r>
      <w:r>
        <w:t xml:space="preserve">causal local y coste. Sin embargo, una explicación también debe ser evaluada</w:t>
      </w:r>
      <w:r>
        <w:t xml:space="preserve"> </w:t>
      </w:r>
      <w:r>
        <w:t xml:space="preserve">como artefacto interpretativo: debe ser clara, suficientemente completa,</w:t>
      </w:r>
      <w:r>
        <w:t xml:space="preserve"> </w:t>
      </w:r>
      <w:r>
        <w:t xml:space="preserve">concisa, plausible en el dominio y útil para tareas de auditoría. Para explorar</w:t>
      </w:r>
      <w:r>
        <w:t xml:space="preserve"> </w:t>
      </w:r>
      <w:r>
        <w:t xml:space="preserve">esta capa</w:t>
      </w:r>
      <w:r>
        <w:t xml:space="preserve"> </w:t>
      </w:r>
      <w:r>
        <w:rPr>
          <w:i/>
          <w:iCs/>
        </w:rPr>
        <w:t xml:space="preserve">human-centered</w:t>
      </w:r>
      <w:r>
        <w:t xml:space="preserve">, se consolidó un estudio de validación humana con</w:t>
      </w:r>
      <w:r>
        <w:t xml:space="preserve"> </w:t>
      </w:r>
      <w:r>
        <w:t xml:space="preserve">120 anotaciones sobre 60 casos de explicación, almacenado en</w:t>
      </w:r>
      <w:r>
        <w:t xml:space="preserve"> </w:t>
      </w:r>
      <w:r>
        <w:rPr>
          <w:rStyle w:val="VerbatimChar"/>
        </w:rPr>
        <w:t xml:space="preserve">experiments/exp4_llm_evaluation/human_validation_responses.csv</w:t>
      </w:r>
      <w:r>
        <w:t xml:space="preserve">.</w:t>
      </w:r>
    </w:p>
    <w:p>
      <w:pPr>
        <w:pStyle w:val="Textoindependiente"/>
        <w:jc w:val="both"/>
        <w:spacing w:line="480" w:lineRule="auto"/>
      </w:pPr>
      <w:r>
        <w:t xml:space="preserve">La muestra incluye 12 anotadores, cada uno con 10 evaluaciones:</w:t>
      </w:r>
      <w:r>
        <w:t xml:space="preserve"> </w:t>
      </w:r>
      <w:r>
        <w:rPr>
          <w:rStyle w:val="VerbatimChar"/>
        </w:rPr>
        <w:t xml:space="preserve">JonH</w:t>
      </w:r>
      <w:r>
        <w:t xml:space="preserve">,</w:t>
      </w:r>
      <w:r>
        <w:t xml:space="preserve"> </w:t>
      </w:r>
      <w:r>
        <w:rPr>
          <w:rStyle w:val="VerbatimChar"/>
        </w:rPr>
        <w:t xml:space="preserve">Steward</w:t>
      </w:r>
      <w:r>
        <w:t xml:space="preserve"> </w:t>
      </w:r>
      <w:r>
        <w:t xml:space="preserve">y</w:t>
      </w:r>
      <w:r>
        <w:t xml:space="preserve"> </w:t>
      </w:r>
      <w:r>
        <w:rPr>
          <w:rStyle w:val="VerbatimChar"/>
        </w:rPr>
        <w:t xml:space="preserve">annotator_01</w:t>
      </w:r>
      <w:r>
        <w:t xml:space="preserve">–</w:t>
      </w:r>
      <w:r>
        <w:rPr>
          <w:rStyle w:val="VerbatimChar"/>
        </w:rPr>
        <w:t xml:space="preserve">annotator_10</w:t>
      </w:r>
      <w:r>
        <w:t xml:space="preserve">. Los casos proceden de tres</w:t>
      </w:r>
      <w:r>
        <w:t xml:space="preserve"> </w:t>
      </w:r>
      <w:r>
        <w:t xml:space="preserve">conjuntos de datos tabulares: Adult Income (75 anotaciones), German Credit</w:t>
      </w:r>
      <w:r>
        <w:t xml:space="preserve"> </w:t>
      </w:r>
      <w:r>
        <w:t xml:space="preserve">(35) y Breast Cancer (10). También cubren cuatro métodos de explicación:</w:t>
      </w:r>
      <w:r>
        <w:t xml:space="preserve"> </w:t>
      </w:r>
      <w:r>
        <w:t xml:space="preserve">Anchors (32 anotaciones), SHAP (31), LIME (30) y DiCE (27). La distribución por</w:t>
      </w:r>
      <w:r>
        <w:t xml:space="preserve"> </w:t>
      </w:r>
      <w:r>
        <w:t xml:space="preserve">cuadrante de predicción es razonablemente balanceada para un piloto:</w:t>
      </w:r>
      <w:r>
        <w:t xml:space="preserve"> </w:t>
      </w:r>
      <w:r>
        <w:t xml:space="preserve">verdaderos positivos (39), falsos positivos (30), falsos negativos (26) y</w:t>
      </w:r>
      <w:r>
        <w:t xml:space="preserve"> </w:t>
      </w:r>
      <w:r>
        <w:t xml:space="preserve">verdaderos negativos (25).</w:t>
      </w:r>
    </w:p>
    <w:p>
      <w:pPr>
        <w:pStyle w:val="Textoindependiente"/>
        <w:jc w:val="both"/>
        <w:spacing w:line="480" w:lineRule="auto"/>
      </w:pPr>
      <w:r>
        <w:t xml:space="preserve">Cada anotación utiliza una escala Likert de 1 a 5 en cinco dimensiones:</w:t>
      </w:r>
    </w:p>
    <w:p>
      <w:pPr>
        <w:pStyle w:val="Compact"/>
        <w:numPr>
          <w:ilvl w:val="0"/>
          <w:numId w:val="1013"/>
        </w:numPr>
        <w:jc w:val="both"/>
        <w:spacing w:line="480" w:lineRule="auto"/>
      </w:pPr>
      <w:r>
        <w:rPr>
          <w:b/>
          <w:bCs/>
        </w:rPr>
        <w:t xml:space="preserve">Claridad:</w:t>
      </w:r>
      <w:r>
        <w:t xml:space="preserve"> </w:t>
      </w:r>
      <w:r>
        <w:t xml:space="preserve">si la explicación es fácil de entender.</w:t>
      </w:r>
    </w:p>
    <w:p>
      <w:pPr>
        <w:pStyle w:val="Compact"/>
        <w:numPr>
          <w:ilvl w:val="0"/>
          <w:numId w:val="1013"/>
        </w:numPr>
        <w:jc w:val="both"/>
        <w:spacing w:line="480" w:lineRule="auto"/>
      </w:pPr>
      <w:r>
        <w:rPr>
          <w:b/>
          <w:bCs/>
        </w:rPr>
        <w:t xml:space="preserve">Completitud:</w:t>
      </w:r>
      <w:r>
        <w:t xml:space="preserve"> </w:t>
      </w:r>
      <w:r>
        <w:t xml:space="preserve">si la explicación cubre suficientemente por qué el modelo</w:t>
      </w:r>
      <w:r>
        <w:t xml:space="preserve"> </w:t>
      </w:r>
      <w:r>
        <w:t xml:space="preserve">produjo la predicción.</w:t>
      </w:r>
    </w:p>
    <w:p>
      <w:pPr>
        <w:pStyle w:val="Compact"/>
        <w:numPr>
          <w:ilvl w:val="0"/>
          <w:numId w:val="1013"/>
        </w:numPr>
        <w:jc w:val="both"/>
        <w:spacing w:line="480" w:lineRule="auto"/>
      </w:pPr>
      <w:r>
        <w:rPr>
          <w:b/>
          <w:bCs/>
        </w:rPr>
        <w:t xml:space="preserve">Concisión:</w:t>
      </w:r>
      <w:r>
        <w:t xml:space="preserve"> </w:t>
      </w:r>
      <w:r>
        <w:t xml:space="preserve">si la explicación evita información excesiva o redundante.</w:t>
      </w:r>
    </w:p>
    <w:p>
      <w:pPr>
        <w:pStyle w:val="Compact"/>
        <w:numPr>
          <w:ilvl w:val="0"/>
          <w:numId w:val="1013"/>
        </w:numPr>
        <w:jc w:val="both"/>
        <w:spacing w:line="480" w:lineRule="auto"/>
      </w:pPr>
      <w:r>
        <w:rPr>
          <w:b/>
          <w:bCs/>
        </w:rPr>
        <w:t xml:space="preserve">Plausibilidad:</w:t>
      </w:r>
      <w:r>
        <w:t xml:space="preserve"> </w:t>
      </w:r>
      <w:r>
        <w:t xml:space="preserve">si la explicación tiene sentido práctico en el dominio.</w:t>
      </w:r>
    </w:p>
    <w:p>
      <w:pPr>
        <w:pStyle w:val="Compact"/>
        <w:numPr>
          <w:ilvl w:val="0"/>
          <w:numId w:val="1013"/>
        </w:numPr>
        <w:jc w:val="both"/>
        <w:spacing w:line="480" w:lineRule="auto"/>
      </w:pPr>
      <w:r>
        <w:rPr>
          <w:b/>
          <w:bCs/>
        </w:rPr>
        <w:t xml:space="preserve">Utilidad para auditoría:</w:t>
      </w:r>
      <w:r>
        <w:t xml:space="preserve"> </w:t>
      </w:r>
      <w:r>
        <w:t xml:space="preserve">si la explicación serviría para revisar o</w:t>
      </w:r>
      <w:r>
        <w:t xml:space="preserve"> </w:t>
      </w:r>
      <w:r>
        <w:t xml:space="preserve">cuestionar la decisión del modelo.</w:t>
      </w:r>
    </w:p>
    <w:p>
      <w:pPr>
        <w:pStyle w:val="FirstParagraph"/>
        <w:jc w:val="both"/>
        <w:spacing w:line="480" w:lineRule="auto"/>
      </w:pPr>
      <w:r>
        <w:t xml:space="preserve">La Tabla</w:t>
      </w:r>
      <w:r>
        <w:t xml:space="preserve"> </w:t>
      </w:r>
      <w:hyperlink w:anchor="tbl-human-validation-summary">
        <w:r>
          <w:rPr>
            <w:rStyle w:val="Hipervnculo"/>
          </w:rPr>
          <w:t xml:space="preserve">Table 5.6</w:t>
        </w:r>
      </w:hyperlink>
      <w:r>
        <w:t xml:space="preserve"> </w:t>
      </w:r>
      <w:r>
        <w:t xml:space="preserve">resume los resultados globales. Las</w:t>
      </w:r>
      <w:r>
        <w:t xml:space="preserve"> </w:t>
      </w:r>
      <w:r>
        <w:t xml:space="preserve">medias muestran una estructura clara: claridad, completitud, plausibilidad y</w:t>
      </w:r>
      <w:r>
        <w:t xml:space="preserve"> </w:t>
      </w:r>
      <w:r>
        <w:t xml:space="preserve">utilidad de auditoría se sitúan en la zona positiva de la escala, mientras que</w:t>
      </w:r>
      <w:r>
        <w:t xml:space="preserve"> </w:t>
      </w:r>
      <w:r>
        <w:t xml:space="preserve">concisión es sustancialmente inferior.</w:t>
      </w:r>
    </w:p>
    <w:tbl>
      <w:tblPr>
        <w:tblStyle w:val="Table"/>
        <w:tblW w:type="pct" w:w="5000"/>
        <w:tblLayout w:type="fixed"/>
        <w:tblLook w:firstRow="0" w:lastRow="0" w:firstColumn="0" w:lastColumn="0" w:noHBand="0" w:noVBand="0" w:val="0000"/>
      </w:tblPr>
      <w:tblGrid>
        <w:gridCol w:w="7920"/>
      </w:tblGrid>
      <w:tr>
        <w:tc>
          <w:tcPr/>
          <w:bookmarkStart w:id="107" w:name="tbl-human-validation-summary"/>
          <w:p>
            <w:pPr>
              <w:jc w:val="center"/>
            </w:pPr>
            <w:pPr>
              <w:jc w:val="left"/>
              <w:spacing w:before="200"/>
              <w:pStyle w:val="ImageCaption"/>
            </w:pPr>
            <w:r>
              <w:t xml:space="preserve">Table 5.6: Resumen descriptivo de la validación humana de explicaciones (</w:t>
            </w:r>
            <m:oMath>
              <m:r>
                <m:t>n</m:t>
              </m:r>
              <m:r>
                <m:rPr>
                  <m:sty m:val="p"/>
                </m:rPr>
                <m:t>=</m:t>
              </m:r>
              <m:r>
                <m:t>120</m:t>
              </m:r>
            </m:oMath>
            <w:r>
              <w:t xml:space="preserve"> </w:t>
            </w:r>
            <w:r>
              <w:t xml:space="preserve">anotaciones). Fuente:</w:t>
            </w:r>
            <w:r>
              <w:t xml:space="preserve"> </w:t>
            </w:r>
            <w:r>
              <w:rPr>
                <w:rStyle w:val="VerbatimChar"/>
              </w:rPr>
              <w:t xml:space="preserve">human_validation_rerun/human_validation_dimension_summary.csv</w:t>
            </w:r>
            <w:r>
              <w:t xml:space="preserve">.</w:t>
            </w:r>
          </w:p>
          <w:tbl>
            <w:tblPr>
              <w:tblStyle w:val="Table"/>
              <w:tblW w:type="pct" w:w="5000"/>
              <w:tblLayout w:type="fixed"/>
              <w:tblLook w:firstRow="1" w:lastRow="0" w:firstColumn="0" w:lastColumn="0" w:noHBand="0" w:noVBand="0" w:val="0020"/>
            </w:tblPr>
            <w:tblGrid>
              <w:gridCol w:w="1262"/>
              <w:gridCol w:w="573"/>
              <w:gridCol w:w="803"/>
              <w:gridCol w:w="1033"/>
              <w:gridCol w:w="1606"/>
              <w:gridCol w:w="688"/>
              <w:gridCol w:w="688"/>
              <w:gridCol w:w="1262"/>
            </w:tblGrid>
            <w:tr>
              <w:trPr>
                <w:tblHeader w:val="on"/>
              </w:trPr>
              <w:tc>
                <w:tcPr/>
                <w:p>
                  <w:pPr>
                    <w:pStyle w:val="Compact"/>
                    <w:jc w:val="center"/>
                  </w:pPr>
                  <w:r>
                    <w:t xml:space="preserve">Dimensión</w:t>
                  </w:r>
                </w:p>
              </w:tc>
              <w:tc>
                <w:tcPr/>
                <w:p>
                  <w:pPr>
                    <w:pStyle w:val="Compact"/>
                    <w:jc w:val="right"/>
                    <w:jc w:val="center"/>
                  </w:pPr>
                  <m:oMath>
                    <m:r>
                      <m:t>n</m:t>
                    </m:r>
                  </m:oMath>
                </w:p>
              </w:tc>
              <w:tc>
                <w:tcPr/>
                <w:p>
                  <w:pPr>
                    <w:pStyle w:val="Compact"/>
                    <w:jc w:val="right"/>
                    <w:jc w:val="center"/>
                  </w:pPr>
                  <w:r>
                    <w:t xml:space="preserve">Media</w:t>
                  </w:r>
                </w:p>
              </w:tc>
              <w:tc>
                <w:tcPr/>
                <w:p>
                  <w:pPr>
                    <w:pStyle w:val="Compact"/>
                    <w:jc w:val="right"/>
                    <w:jc w:val="center"/>
                  </w:pPr>
                  <w:r>
                    <w:t xml:space="preserve">Mediana</w:t>
                  </w:r>
                </w:p>
              </w:tc>
              <w:tc>
                <w:tcPr/>
                <w:p>
                  <w:pPr>
                    <w:pStyle w:val="Compact"/>
                    <w:jc w:val="right"/>
                    <w:jc w:val="center"/>
                  </w:pPr>
                  <w:r>
                    <w:t xml:space="preserve">Desv. típica</w:t>
                  </w:r>
                </w:p>
              </w:tc>
              <w:tc>
                <w:tcPr/>
                <w:p>
                  <w:pPr>
                    <w:pStyle w:val="Compact"/>
                    <w:jc w:val="right"/>
                    <w:jc w:val="center"/>
                  </w:pPr>
                  <w:r>
                    <w:t xml:space="preserve">Mín.</w:t>
                  </w:r>
                </w:p>
              </w:tc>
              <w:tc>
                <w:tcPr/>
                <w:p>
                  <w:pPr>
                    <w:pStyle w:val="Compact"/>
                    <w:jc w:val="right"/>
                    <w:jc w:val="center"/>
                  </w:pPr>
                  <w:r>
                    <w:t xml:space="preserve">Máx.</w:t>
                  </w:r>
                </w:p>
              </w:tc>
              <w:tc>
                <w:tcPr/>
                <w:p>
                  <w:pPr>
                    <w:pStyle w:val="Compact"/>
                    <w:jc w:val="right"/>
                    <w:jc w:val="center"/>
                  </w:pPr>
                  <w:r>
                    <w:t xml:space="preserve">%</w:t>
                  </w:r>
                  <w:r>
                    <w:t xml:space="preserve"> </w:t>
                  </w:r>
                  <m:oMath>
                    <m:r>
                      <m:rPr>
                        <m:sty m:val="p"/>
                      </m:rPr>
                      <m:t>≥</m:t>
                    </m:r>
                    <m:r>
                      <m:t>4</m:t>
                    </m:r>
                  </m:oMath>
                </w:p>
              </w:tc>
            </w:tr>
            <w:tr>
              <w:tc>
                <w:tcPr/>
                <w:p>
                  <w:pPr>
                    <w:pStyle w:val="Compact"/>
                    <w:jc w:val="center"/>
                  </w:pPr>
                  <w:r>
                    <w:t xml:space="preserve">Claridad</w:t>
                  </w:r>
                </w:p>
              </w:tc>
              <w:tc>
                <w:tcPr/>
                <w:p>
                  <w:pPr>
                    <w:pStyle w:val="Compact"/>
                    <w:jc w:val="right"/>
                    <w:jc w:val="center"/>
                  </w:pPr>
                  <w:r>
                    <w:t xml:space="preserve">120</w:t>
                  </w:r>
                </w:p>
              </w:tc>
              <w:tc>
                <w:tcPr/>
                <w:p>
                  <w:pPr>
                    <w:pStyle w:val="Compact"/>
                    <w:jc w:val="right"/>
                    <w:jc w:val="center"/>
                  </w:pPr>
                  <w:r>
                    <w:t xml:space="preserve">3.73</w:t>
                  </w:r>
                </w:p>
              </w:tc>
              <w:tc>
                <w:tcPr/>
                <w:p>
                  <w:pPr>
                    <w:pStyle w:val="Compact"/>
                    <w:jc w:val="right"/>
                    <w:jc w:val="center"/>
                  </w:pPr>
                  <w:r>
                    <w:t xml:space="preserve">4</w:t>
                  </w:r>
                </w:p>
              </w:tc>
              <w:tc>
                <w:tcPr/>
                <w:p>
                  <w:pPr>
                    <w:pStyle w:val="Compact"/>
                    <w:jc w:val="right"/>
                    <w:jc w:val="center"/>
                  </w:pPr>
                  <w:r>
                    <w:t xml:space="preserve">0.44</w:t>
                  </w:r>
                </w:p>
              </w:tc>
              <w:tc>
                <w:tcPr/>
                <w:p>
                  <w:pPr>
                    <w:pStyle w:val="Compact"/>
                    <w:jc w:val="right"/>
                    <w:jc w:val="center"/>
                  </w:pPr>
                  <w:r>
                    <w:t xml:space="preserve">3</w:t>
                  </w:r>
                </w:p>
              </w:tc>
              <w:tc>
                <w:tcPr/>
                <w:p>
                  <w:pPr>
                    <w:pStyle w:val="Compact"/>
                    <w:jc w:val="right"/>
                    <w:jc w:val="center"/>
                  </w:pPr>
                  <w:r>
                    <w:t xml:space="preserve">4</w:t>
                  </w:r>
                </w:p>
              </w:tc>
              <w:tc>
                <w:tcPr/>
                <w:p>
                  <w:pPr>
                    <w:pStyle w:val="Compact"/>
                    <w:jc w:val="right"/>
                    <w:jc w:val="center"/>
                  </w:pPr>
                  <w:r>
                    <w:t xml:space="preserve">73.3%</w:t>
                  </w:r>
                </w:p>
              </w:tc>
            </w:tr>
            <w:tr>
              <w:tc>
                <w:tcPr/>
                <w:p>
                  <w:pPr>
                    <w:pStyle w:val="Compact"/>
                    <w:jc w:val="center"/>
                  </w:pPr>
                  <w:r>
                    <w:t xml:space="preserve">Completitud</w:t>
                  </w:r>
                </w:p>
              </w:tc>
              <w:tc>
                <w:tcPr/>
                <w:p>
                  <w:pPr>
                    <w:pStyle w:val="Compact"/>
                    <w:jc w:val="right"/>
                    <w:jc w:val="center"/>
                  </w:pPr>
                  <w:r>
                    <w:t xml:space="preserve">120</w:t>
                  </w:r>
                </w:p>
              </w:tc>
              <w:tc>
                <w:tcPr/>
                <w:p>
                  <w:pPr>
                    <w:pStyle w:val="Compact"/>
                    <w:jc w:val="right"/>
                    <w:jc w:val="center"/>
                  </w:pPr>
                  <w:r>
                    <w:t xml:space="preserve">3.57</w:t>
                  </w:r>
                </w:p>
              </w:tc>
              <w:tc>
                <w:tcPr/>
                <w:p>
                  <w:pPr>
                    <w:pStyle w:val="Compact"/>
                    <w:jc w:val="right"/>
                    <w:jc w:val="center"/>
                  </w:pPr>
                  <w:r>
                    <w:t xml:space="preserve">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72.5%</w:t>
                  </w:r>
                </w:p>
              </w:tc>
            </w:tr>
            <w:tr>
              <w:tc>
                <w:tcPr/>
                <w:p>
                  <w:pPr>
                    <w:pStyle w:val="Compact"/>
                    <w:jc w:val="center"/>
                  </w:pPr>
                  <w:r>
                    <w:t xml:space="preserve">Concisión</w:t>
                  </w:r>
                </w:p>
              </w:tc>
              <w:tc>
                <w:tcPr/>
                <w:p>
                  <w:pPr>
                    <w:pStyle w:val="Compact"/>
                    <w:jc w:val="right"/>
                    <w:jc w:val="center"/>
                  </w:pPr>
                  <w:r>
                    <w:t xml:space="preserve">120</w:t>
                  </w:r>
                </w:p>
              </w:tc>
              <w:tc>
                <w:tcPr/>
                <w:p>
                  <w:pPr>
                    <w:pStyle w:val="Compact"/>
                    <w:jc w:val="right"/>
                    <w:jc w:val="center"/>
                  </w:pPr>
                  <w:r>
                    <w:t xml:space="preserve">2.18</w:t>
                  </w:r>
                </w:p>
              </w:tc>
              <w:tc>
                <w:tcPr/>
                <w:p>
                  <w:pPr>
                    <w:pStyle w:val="Compact"/>
                    <w:jc w:val="right"/>
                    <w:jc w:val="center"/>
                  </w:pPr>
                  <w:r>
                    <w:t xml:space="preserve">2</w:t>
                  </w:r>
                </w:p>
              </w:tc>
              <w:tc>
                <w:tcPr/>
                <w:p>
                  <w:pPr>
                    <w:pStyle w:val="Compact"/>
                    <w:jc w:val="right"/>
                    <w:jc w:val="center"/>
                  </w:pPr>
                  <w:r>
                    <w:t xml:space="preserve">0.56</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8.3%</w:t>
                  </w:r>
                </w:p>
              </w:tc>
            </w:tr>
            <w:tr>
              <w:tc>
                <w:tcPr/>
                <w:p>
                  <w:pPr>
                    <w:pStyle w:val="Compact"/>
                    <w:jc w:val="center"/>
                  </w:pPr>
                  <w:r>
                    <w:t xml:space="preserve">Plausibilidad</w:t>
                  </w:r>
                </w:p>
              </w:tc>
              <w:tc>
                <w:tcPr/>
                <w:p>
                  <w:pPr>
                    <w:pStyle w:val="Compact"/>
                    <w:jc w:val="right"/>
                    <w:jc w:val="center"/>
                  </w:pPr>
                  <w:r>
                    <w:t xml:space="preserve">120</w:t>
                  </w:r>
                </w:p>
              </w:tc>
              <w:tc>
                <w:tcPr/>
                <w:p>
                  <w:pPr>
                    <w:pStyle w:val="Compact"/>
                    <w:jc w:val="right"/>
                    <w:jc w:val="center"/>
                  </w:pPr>
                  <w:r>
                    <w:t xml:space="preserve">3.76</w:t>
                  </w:r>
                </w:p>
              </w:tc>
              <w:tc>
                <w:tcPr/>
                <w:p>
                  <w:pPr>
                    <w:pStyle w:val="Compact"/>
                    <w:jc w:val="right"/>
                    <w:jc w:val="center"/>
                  </w:pPr>
                  <w:r>
                    <w:t xml:space="preserve">4</w:t>
                  </w:r>
                </w:p>
              </w:tc>
              <w:tc>
                <w:tcPr/>
                <w:p>
                  <w:pPr>
                    <w:pStyle w:val="Compact"/>
                    <w:jc w:val="right"/>
                    <w:jc w:val="center"/>
                  </w:pPr>
                  <w:r>
                    <w:t xml:space="preserve">0.45</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76.7%</w:t>
                  </w:r>
                </w:p>
              </w:tc>
            </w:tr>
            <w:tr>
              <w:tc>
                <w:tcPr/>
                <w:p>
                  <w:pPr>
                    <w:pStyle w:val="Compact"/>
                    <w:jc w:val="center"/>
                  </w:pPr>
                  <w:r>
                    <w:t xml:space="preserve">Utilidad para auditoría</w:t>
                  </w:r>
                </w:p>
              </w:tc>
              <w:tc>
                <w:tcPr/>
                <w:p>
                  <w:pPr>
                    <w:pStyle w:val="Compact"/>
                    <w:jc w:val="right"/>
                    <w:jc w:val="center"/>
                  </w:pPr>
                  <w:r>
                    <w:t xml:space="preserve">120</w:t>
                  </w:r>
                </w:p>
              </w:tc>
              <w:tc>
                <w:tcPr/>
                <w:p>
                  <w:pPr>
                    <w:pStyle w:val="Compact"/>
                    <w:jc w:val="right"/>
                    <w:jc w:val="center"/>
                  </w:pPr>
                  <w:r>
                    <w:t xml:space="preserve">3.83</w:t>
                  </w:r>
                </w:p>
              </w:tc>
              <w:tc>
                <w:tcPr/>
                <w:p>
                  <w:pPr>
                    <w:pStyle w:val="Compact"/>
                    <w:jc w:val="right"/>
                    <w:jc w:val="center"/>
                  </w:pPr>
                  <w:r>
                    <w:t xml:space="preserve">4</w:t>
                  </w:r>
                </w:p>
              </w:tc>
              <w:tc>
                <w:tcPr/>
                <w:p>
                  <w:pPr>
                    <w:pStyle w:val="Compact"/>
                    <w:jc w:val="right"/>
                    <w:jc w:val="center"/>
                  </w:pPr>
                  <w:r>
                    <w:t xml:space="preserve">0.75</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62.5%</w:t>
                  </w:r>
                </w:p>
              </w:tc>
            </w:tr>
          </w:tbl>
          <w:bookmarkEnd w:id="107"/>
          <w:p/>
        </w:tc>
      </w:tr>
    </w:tbl>
    <w:p>
      <w:pPr>
        <w:pStyle w:val="Textoindependiente"/>
        <w:jc w:val="both"/>
        <w:spacing w:line="480" w:lineRule="auto"/>
      </w:pPr>
      <w:r>
        <w:t xml:space="preserve">El hallazgo más importante es la disociación entre adecuación semántica y</w:t>
      </w:r>
      <w:r>
        <w:t xml:space="preserve"> </w:t>
      </w:r>
      <w:r>
        <w:t xml:space="preserve">compacidad. Las explicaciones son juzgadas mayoritariamente como claras</w:t>
      </w:r>
      <w:r>
        <w:t xml:space="preserve"> </w:t>
      </w:r>
      <w:r>
        <w:t xml:space="preserve">(73.3% de puntuaciones</w:t>
      </w:r>
      <w:r>
        <w:t xml:space="preserve"> </w:t>
      </w:r>
      <m:oMath>
        <m:r>
          <m:rPr>
            <m:sty m:val="p"/>
          </m:rPr>
          <m:t>≥</m:t>
        </m:r>
        <m:r>
          <m:t>4</m:t>
        </m:r>
      </m:oMath>
      <w:r>
        <w:t xml:space="preserve">), plausibles (76.7%) y útiles para auditoría</w:t>
      </w:r>
      <w:r>
        <w:t xml:space="preserve"> </w:t>
      </w:r>
      <w:r>
        <w:t xml:space="preserve">(62.5%), pero solo el 8.3% alcanza puntuaciones</w:t>
      </w:r>
      <w:r>
        <w:t xml:space="preserve"> </w:t>
      </w:r>
      <m:oMath>
        <m:r>
          <m:rPr>
            <m:sty m:val="p"/>
          </m:rPr>
          <m:t>≥</m:t>
        </m:r>
        <m:r>
          <m:t>4</m:t>
        </m:r>
      </m:oMath>
      <w:r>
        <w:t xml:space="preserve"> </w:t>
      </w:r>
      <w:r>
        <w:t xml:space="preserve">en concisión. En</w:t>
      </w:r>
      <w:r>
        <w:t xml:space="preserve"> </w:t>
      </w:r>
      <w:r>
        <w:t xml:space="preserve">otras palabras, los participantes no están rechazando las explicaciones por</w:t>
      </w:r>
      <w:r>
        <w:t xml:space="preserve"> </w:t>
      </w:r>
      <w:r>
        <w:t xml:space="preserve">incomprensibles; las perciben como razonablemente informativas, pero demasiado</w:t>
      </w:r>
      <w:r>
        <w:t xml:space="preserve"> </w:t>
      </w:r>
      <w:r>
        <w:t xml:space="preserve">largas, densas o poco depuradas como artefactos comunicativos. Este patrón</w:t>
      </w:r>
      <w:r>
        <w:t xml:space="preserve"> </w:t>
      </w:r>
      <w:r>
        <w:t xml:space="preserve">refuerza el argumento central de la tesis: la calidad explicativa no es</w:t>
      </w:r>
      <w:r>
        <w:t xml:space="preserve"> </w:t>
      </w:r>
      <w:r>
        <w:t xml:space="preserve">unidimensional, y una métrica de parsimonia estructural no sustituye una</w:t>
      </w:r>
      <w:r>
        <w:t xml:space="preserve"> </w:t>
      </w:r>
      <w:r>
        <w:t xml:space="preserve">evaluación humana de concisión.</w:t>
      </w:r>
    </w:p>
    <w:p>
      <w:pPr>
        <w:pStyle w:val="Textoindependiente"/>
        <w:jc w:val="both"/>
        <w:spacing w:line="480" w:lineRule="auto"/>
      </w:pPr>
      <w:r>
        <w:t xml:space="preserve">La completitud merece una lectura específica. Una inspección inicial del</w:t>
      </w:r>
      <w:r>
        <w:t xml:space="preserve"> </w:t>
      </w:r>
      <w:r>
        <w:t xml:space="preserve">endpoint de Render sugería un posible efecto techo, porque la exportación viva</w:t>
      </w:r>
      <w:r>
        <w:t xml:space="preserve"> </w:t>
      </w:r>
      <w:r>
        <w:t xml:space="preserve">reportaba completitud igual a 4 para las anotaciones actualmente expuestas. Sin</w:t>
      </w:r>
      <w:r>
        <w:t xml:space="preserve"> </w:t>
      </w:r>
      <w:r>
        <w:t xml:space="preserve">embargo, el archivo consolidado usado para análisis contiene variación real:</w:t>
      </w:r>
      <w:r>
        <w:t xml:space="preserve"> </w:t>
      </w:r>
      <w:r>
        <w:t xml:space="preserve">87 puntuaciones de 4, 16 de 3, 15 de 2 y 2 de 1. Por tanto, la completitud no</w:t>
      </w:r>
      <w:r>
        <w:t xml:space="preserve"> </w:t>
      </w:r>
      <w:r>
        <w:t xml:space="preserve">debe tratarse como dimensión plana. Su media (3.57) es positiva, pero su</w:t>
      </w:r>
      <w:r>
        <w:t xml:space="preserve"> </w:t>
      </w:r>
      <w:r>
        <w:t xml:space="preserve">desviación típica (0.78) es la más alta entre claridad, completitud,</w:t>
      </w:r>
      <w:r>
        <w:t xml:space="preserve"> </w:t>
      </w:r>
      <w:r>
        <w:t xml:space="preserve">concisión y plausibilidad. Esto indica que los evaluadores distinguen entre</w:t>
      </w:r>
      <w:r>
        <w:t xml:space="preserve"> </w:t>
      </w:r>
      <w:r>
        <w:t xml:space="preserve">explicaciones que</w:t>
      </w:r>
      <w:r>
        <w:t xml:space="preserve"> </w:t>
      </w:r>
      <w:r>
        <w:t xml:space="preserve">“mencionan factores”</w:t>
      </w:r>
      <w:r>
        <w:t xml:space="preserve"> </w:t>
      </w:r>
      <w:r>
        <w:t xml:space="preserve">y explicaciones que cubren de forma</w:t>
      </w:r>
      <w:r>
        <w:t xml:space="preserve"> </w:t>
      </w:r>
      <w:r>
        <w:t xml:space="preserve">suficiente la lógica de la decisión.</w:t>
      </w:r>
    </w:p>
    <w:p>
      <w:pPr>
        <w:pStyle w:val="Textoindependiente"/>
        <w:jc w:val="both"/>
        <w:spacing w:line="480" w:lineRule="auto"/>
      </w:pPr>
      <w:r>
        <w:t xml:space="preserve">La Tabla</w:t>
      </w:r>
      <w:r>
        <w:t xml:space="preserve"> </w:t>
      </w:r>
      <w:hyperlink w:anchor="tbl-human-validation-agreement">
        <w:r>
          <w:rPr>
            <w:rStyle w:val="Hipervnculo"/>
          </w:rPr>
          <w:t xml:space="preserve">Table 5.7</w:t>
        </w:r>
      </w:hyperlink>
      <w:r>
        <w:t xml:space="preserve"> </w:t>
      </w:r>
      <w:r>
        <w:t xml:space="preserve">muestra un resumen simple de acuerdo</w:t>
      </w:r>
      <w:r>
        <w:t xml:space="preserve"> </w:t>
      </w:r>
      <w:r>
        <w:t xml:space="preserve">entre anotadores para los casos con solapamiento. La claridad y la</w:t>
      </w:r>
      <w:r>
        <w:t xml:space="preserve"> </w:t>
      </w:r>
      <w:r>
        <w:t xml:space="preserve">plausibilidad presentan los acuerdos más altos, mientras que completitud y</w:t>
      </w:r>
      <w:r>
        <w:t xml:space="preserve"> </w:t>
      </w:r>
      <w:r>
        <w:t xml:space="preserve">utilidad para auditoría son más variables.</w:t>
      </w:r>
    </w:p>
    <w:tbl>
      <w:tblPr>
        <w:tblStyle w:val="Table"/>
        <w:tblW w:type="pct" w:w="5000"/>
        <w:tblLayout w:type="fixed"/>
        <w:tblLook w:firstRow="0" w:lastRow="0" w:firstColumn="0" w:lastColumn="0" w:noHBand="0" w:noVBand="0" w:val="0000"/>
      </w:tblPr>
      <w:tblGrid>
        <w:gridCol w:w="7920"/>
      </w:tblGrid>
      <w:tr>
        <w:tc>
          <w:tcPr/>
          <w:bookmarkStart w:id="108" w:name="tbl-human-validation-agreement"/>
          <w:p>
            <w:pPr>
              <w:jc w:val="center"/>
            </w:pPr>
            <w:pPr>
              <w:jc w:val="left"/>
              <w:spacing w:before="200"/>
              <w:pStyle w:val="ImageCaption"/>
            </w:pPr>
            <w:r>
              <w:t xml:space="preserve">Table 5.7: Acuerdo pareado entre anotadores para casos con más de una evaluación.</w:t>
            </w:r>
            <w:r>
              <w:t xml:space="preserve"> </w:t>
            </w:r>
            <w:r>
              <w:t xml:space="preserve">Fuente:</w:t>
            </w:r>
            <w:r>
              <w:t xml:space="preserve"> </w:t>
            </w:r>
            <w:r>
              <w:rPr>
                <w:rStyle w:val="VerbatimChar"/>
              </w:rPr>
              <w:t xml:space="preserve">human_validation_rerun/human_validation_pairwise_agreement.csv</w:t>
            </w:r>
            <w:r>
              <w:t xml:space="preserve">.</w:t>
            </w:r>
            <w:r>
              <w:t xml:space="preserve"> </w:t>
            </w:r>
          </w:p>
          <w:tbl>
            <w:tblPr>
              <w:tblStyle w:val="Table"/>
              <w:tblW w:type="pct" w:w="5000"/>
              <w:tblLayout w:type="fixed"/>
              <w:tblLook w:firstRow="1" w:lastRow="0" w:firstColumn="0" w:lastColumn="0" w:noHBand="0" w:noVBand="0" w:val="0020"/>
            </w:tblPr>
            <w:tblGrid>
              <w:gridCol w:w="898"/>
              <w:gridCol w:w="1959"/>
              <w:gridCol w:w="1306"/>
              <w:gridCol w:w="2204"/>
              <w:gridCol w:w="1551"/>
            </w:tblGrid>
            <w:tr>
              <w:trPr>
                <w:tblHeader w:val="on"/>
              </w:trPr>
              <w:tc>
                <w:tcPr/>
                <w:p>
                  <w:pPr>
                    <w:pStyle w:val="Compact"/>
                    <w:jc w:val="center"/>
                  </w:pPr>
                  <w:r>
                    <w:t xml:space="preserve">Dimensión</w:t>
                  </w:r>
                </w:p>
              </w:tc>
              <w:tc>
                <w:tcPr/>
                <w:p>
                  <w:pPr>
                    <w:pStyle w:val="Compact"/>
                    <w:jc w:val="right"/>
                    <w:jc w:val="center"/>
                  </w:pPr>
                  <w:r>
                    <w:t xml:space="preserve">Comparaciones pareadas</w:t>
                  </w:r>
                </w:p>
              </w:tc>
              <w:tc>
                <w:tcPr/>
                <w:p>
                  <w:pPr>
                    <w:pStyle w:val="Compact"/>
                    <w:jc w:val="right"/>
                    <w:jc w:val="center"/>
                  </w:pPr>
                  <w:r>
                    <w:t xml:space="preserve">Acuerdo exacto</w:t>
                  </w:r>
                </w:p>
              </w:tc>
              <w:tc>
                <w:tcPr/>
                <w:p>
                  <w:pPr>
                    <w:pStyle w:val="Compact"/>
                    <w:jc w:val="right"/>
                    <w:jc w:val="center"/>
                  </w:pPr>
                  <w:r>
                    <w:t xml:space="preserve">Diferencia absoluta media</w:t>
                  </w:r>
                </w:p>
              </w:tc>
              <w:tc>
                <w:tcPr/>
                <w:p>
                  <w:pPr>
                    <w:pStyle w:val="Compact"/>
                    <w:jc w:val="right"/>
                    <w:jc w:val="center"/>
                  </w:pPr>
                  <w:r>
                    <w:t xml:space="preserve">Diferencia máxima</w:t>
                  </w:r>
                </w:p>
              </w:tc>
            </w:tr>
            <w:tr>
              <w:tc>
                <w:tcPr/>
                <w:p>
                  <w:pPr>
                    <w:pStyle w:val="Compact"/>
                    <w:jc w:val="center"/>
                  </w:pPr>
                  <w:r>
                    <w:t xml:space="preserve">Claridad</w:t>
                  </w:r>
                </w:p>
              </w:tc>
              <w:tc>
                <w:tcPr/>
                <w:p>
                  <w:pPr>
                    <w:pStyle w:val="Compact"/>
                    <w:jc w:val="right"/>
                    <w:jc w:val="center"/>
                  </w:pPr>
                  <w:r>
                    <w:t xml:space="preserve">91</w:t>
                  </w:r>
                </w:p>
              </w:tc>
              <w:tc>
                <w:tcPr/>
                <w:p>
                  <w:pPr>
                    <w:pStyle w:val="Compact"/>
                    <w:jc w:val="right"/>
                    <w:jc w:val="center"/>
                  </w:pPr>
                  <w:r>
                    <w:t xml:space="preserve">0.91</w:t>
                  </w:r>
                </w:p>
              </w:tc>
              <w:tc>
                <w:tcPr/>
                <w:p>
                  <w:pPr>
                    <w:pStyle w:val="Compact"/>
                    <w:jc w:val="right"/>
                    <w:jc w:val="center"/>
                  </w:pPr>
                  <w:r>
                    <w:t xml:space="preserve">0.09</w:t>
                  </w:r>
                </w:p>
              </w:tc>
              <w:tc>
                <w:tcPr/>
                <w:p>
                  <w:pPr>
                    <w:pStyle w:val="Compact"/>
                    <w:jc w:val="right"/>
                    <w:jc w:val="center"/>
                  </w:pPr>
                  <w:r>
                    <w:t xml:space="preserve">1</w:t>
                  </w:r>
                </w:p>
              </w:tc>
            </w:tr>
            <w:tr>
              <w:tc>
                <w:tcPr/>
                <w:p>
                  <w:pPr>
                    <w:pStyle w:val="Compact"/>
                    <w:jc w:val="center"/>
                  </w:pPr>
                  <w:r>
                    <w:t xml:space="preserve">Completitud</w:t>
                  </w:r>
                </w:p>
              </w:tc>
              <w:tc>
                <w:tcPr/>
                <w:p>
                  <w:pPr>
                    <w:pStyle w:val="Compact"/>
                    <w:jc w:val="right"/>
                    <w:jc w:val="center"/>
                  </w:pPr>
                  <w:r>
                    <w:t xml:space="preserve">91</w:t>
                  </w:r>
                </w:p>
              </w:tc>
              <w:tc>
                <w:tcPr/>
                <w:p>
                  <w:pPr>
                    <w:pStyle w:val="Compact"/>
                    <w:jc w:val="right"/>
                    <w:jc w:val="center"/>
                  </w:pPr>
                  <w:r>
                    <w:t xml:space="preserve">0.53</w:t>
                  </w:r>
                </w:p>
              </w:tc>
              <w:tc>
                <w:tcPr/>
                <w:p>
                  <w:pPr>
                    <w:pStyle w:val="Compact"/>
                    <w:jc w:val="right"/>
                    <w:jc w:val="center"/>
                  </w:pPr>
                  <w:r>
                    <w:t xml:space="preserve">0.70</w:t>
                  </w:r>
                </w:p>
              </w:tc>
              <w:tc>
                <w:tcPr/>
                <w:p>
                  <w:pPr>
                    <w:pStyle w:val="Compact"/>
                    <w:jc w:val="right"/>
                    <w:jc w:val="center"/>
                  </w:pPr>
                  <w:r>
                    <w:t xml:space="preserve">3</w:t>
                  </w:r>
                </w:p>
              </w:tc>
            </w:tr>
            <w:tr>
              <w:tc>
                <w:tcPr/>
                <w:p>
                  <w:pPr>
                    <w:pStyle w:val="Compact"/>
                    <w:jc w:val="center"/>
                  </w:pPr>
                  <w:r>
                    <w:t xml:space="preserve">Concisión</w:t>
                  </w:r>
                </w:p>
              </w:tc>
              <w:tc>
                <w:tcPr/>
                <w:p>
                  <w:pPr>
                    <w:pStyle w:val="Compact"/>
                    <w:jc w:val="right"/>
                    <w:jc w:val="center"/>
                  </w:pPr>
                  <w:r>
                    <w:t xml:space="preserve">91</w:t>
                  </w:r>
                </w:p>
              </w:tc>
              <w:tc>
                <w:tcPr/>
                <w:p>
                  <w:pPr>
                    <w:pStyle w:val="Compact"/>
                    <w:jc w:val="right"/>
                    <w:jc w:val="center"/>
                  </w:pPr>
                  <w:r>
                    <w:t xml:space="preserve">0.79</w:t>
                  </w:r>
                </w:p>
              </w:tc>
              <w:tc>
                <w:tcPr/>
                <w:p>
                  <w:pPr>
                    <w:pStyle w:val="Compact"/>
                    <w:jc w:val="right"/>
                    <w:jc w:val="center"/>
                  </w:pPr>
                  <w:r>
                    <w:t xml:space="preserve">0.38</w:t>
                  </w:r>
                </w:p>
              </w:tc>
              <w:tc>
                <w:tcPr/>
                <w:p>
                  <w:pPr>
                    <w:pStyle w:val="Compact"/>
                    <w:jc w:val="right"/>
                    <w:jc w:val="center"/>
                  </w:pPr>
                  <w:r>
                    <w:t xml:space="preserve">2</w:t>
                  </w:r>
                </w:p>
              </w:tc>
            </w:tr>
            <w:tr>
              <w:tc>
                <w:tcPr/>
                <w:p>
                  <w:pPr>
                    <w:pStyle w:val="Compact"/>
                    <w:jc w:val="center"/>
                  </w:pPr>
                  <w:r>
                    <w:t xml:space="preserve">Plausibilidad</w:t>
                  </w:r>
                </w:p>
              </w:tc>
              <w:tc>
                <w:tcPr/>
                <w:p>
                  <w:pPr>
                    <w:pStyle w:val="Compact"/>
                    <w:jc w:val="right"/>
                    <w:jc w:val="center"/>
                  </w:pPr>
                  <w:r>
                    <w:t xml:space="preserve">91</w:t>
                  </w:r>
                </w:p>
              </w:tc>
              <w:tc>
                <w:tcPr/>
                <w:p>
                  <w:pPr>
                    <w:pStyle w:val="Compact"/>
                    <w:jc w:val="right"/>
                    <w:jc w:val="center"/>
                  </w:pPr>
                  <w:r>
                    <w:t xml:space="preserve">0.88</w:t>
                  </w:r>
                </w:p>
              </w:tc>
              <w:tc>
                <w:tcPr/>
                <w:p>
                  <w:pPr>
                    <w:pStyle w:val="Compact"/>
                    <w:jc w:val="right"/>
                    <w:jc w:val="center"/>
                  </w:pPr>
                  <w:r>
                    <w:t xml:space="preserve">0.13</w:t>
                  </w:r>
                </w:p>
              </w:tc>
              <w:tc>
                <w:tcPr/>
                <w:p>
                  <w:pPr>
                    <w:pStyle w:val="Compact"/>
                    <w:jc w:val="right"/>
                    <w:jc w:val="center"/>
                  </w:pPr>
                  <w:r>
                    <w:t xml:space="preserve">2</w:t>
                  </w:r>
                </w:p>
              </w:tc>
            </w:tr>
            <w:tr>
              <w:tc>
                <w:tcPr/>
                <w:p>
                  <w:pPr>
                    <w:pStyle w:val="Compact"/>
                    <w:jc w:val="center"/>
                  </w:pPr>
                  <w:r>
                    <w:t xml:space="preserve">Utilidad para auditoría</w:t>
                  </w:r>
                </w:p>
              </w:tc>
              <w:tc>
                <w:tcPr/>
                <w:p>
                  <w:pPr>
                    <w:pStyle w:val="Compact"/>
                    <w:jc w:val="right"/>
                    <w:jc w:val="center"/>
                  </w:pPr>
                  <w:r>
                    <w:t xml:space="preserve">91</w:t>
                  </w:r>
                </w:p>
              </w:tc>
              <w:tc>
                <w:tcPr/>
                <w:p>
                  <w:pPr>
                    <w:pStyle w:val="Compact"/>
                    <w:jc w:val="right"/>
                    <w:jc w:val="center"/>
                  </w:pPr>
                  <w:r>
                    <w:t xml:space="preserve">0.60</w:t>
                  </w:r>
                </w:p>
              </w:tc>
              <w:tc>
                <w:tcPr/>
                <w:p>
                  <w:pPr>
                    <w:pStyle w:val="Compact"/>
                    <w:jc w:val="right"/>
                    <w:jc w:val="center"/>
                  </w:pPr>
                  <w:r>
                    <w:t xml:space="preserve">0.44</w:t>
                  </w:r>
                </w:p>
              </w:tc>
              <w:tc>
                <w:tcPr/>
                <w:p>
                  <w:pPr>
                    <w:pStyle w:val="Compact"/>
                    <w:jc w:val="right"/>
                    <w:jc w:val="center"/>
                  </w:pPr>
                  <w:r>
                    <w:t xml:space="preserve">2</w:t>
                  </w:r>
                </w:p>
              </w:tc>
            </w:tr>
          </w:tbl>
          <w:bookmarkEnd w:id="108"/>
          <w:p/>
        </w:tc>
      </w:tr>
    </w:tbl>
    <w:p>
      <w:pPr>
        <w:pStyle w:val="Textoindependiente"/>
        <w:jc w:val="both"/>
        <w:spacing w:line="480" w:lineRule="auto"/>
      </w:pPr>
      <w:r>
        <w:t xml:space="preserve">Este patrón tiene implicaciones metodológicas. Claridad y plausibilidad</w:t>
      </w:r>
      <w:r>
        <w:t xml:space="preserve"> </w:t>
      </w:r>
      <w:r>
        <w:t xml:space="preserve">parecen funcionar como constructos perceptivos relativamente estables: los</w:t>
      </w:r>
      <w:r>
        <w:t xml:space="preserve"> </w:t>
      </w:r>
      <w:r>
        <w:t xml:space="preserve">anotadores tienden a coincidir sobre si una explicación se entiende y si tiene</w:t>
      </w:r>
      <w:r>
        <w:t xml:space="preserve"> </w:t>
      </w:r>
      <w:r>
        <w:t xml:space="preserve">sentido práctico. En cambio, completitud y utilidad para auditoría requieren</w:t>
      </w:r>
      <w:r>
        <w:t xml:space="preserve"> </w:t>
      </w:r>
      <w:r>
        <w:t xml:space="preserve">inferencias más exigentes sobre la tarea: qué información sería suficiente</w:t>
      </w:r>
      <w:r>
        <w:t xml:space="preserve"> </w:t>
      </w:r>
      <w:r>
        <w:t xml:space="preserve">para justificar una predicción y qué información permitiría auditarla. Por</w:t>
      </w:r>
      <w:r>
        <w:t xml:space="preserve"> </w:t>
      </w:r>
      <w:r>
        <w:t xml:space="preserve">ello, su menor acuerdo no invalida la dimensión; más bien muestra que son</w:t>
      </w:r>
      <w:r>
        <w:t xml:space="preserve"> </w:t>
      </w:r>
      <w:r>
        <w:t xml:space="preserve">constructos de mayor carga contextual. En términos de diseño experimental,</w:t>
      </w:r>
      <w:r>
        <w:t xml:space="preserve"> </w:t>
      </w:r>
      <w:r>
        <w:t xml:space="preserve">estas dimensiones deben reportarse separadamente y no deben agregarse sin</w:t>
      </w:r>
      <w:r>
        <w:t xml:space="preserve"> </w:t>
      </w:r>
      <w:r>
        <w:t xml:space="preserve">examinar su fiabilidad.</w:t>
      </w:r>
    </w:p>
    <w:bookmarkStart w:id="110" w:name="diferencias-descriptivas-por-método"/>
    <w:p>
      <w:pPr>
        <w:pStyle w:val="Ttulo3"/>
      </w:pPr>
      <w:r>
        <w:t xml:space="preserve">Diferencias descriptivas por método</w:t>
      </w:r>
    </w:p>
    <w:p>
      <w:pPr>
        <w:pStyle w:val="FirstParagraph"/>
        <w:jc w:val="both"/>
        <w:spacing w:line="480" w:lineRule="auto"/>
      </w:pPr>
      <w:r>
        <w:t xml:space="preserve">La Tabla</w:t>
      </w:r>
      <w:r>
        <w:t xml:space="preserve"> </w:t>
      </w:r>
      <w:hyperlink w:anchor="tbl-human-validation-explainer">
        <w:r>
          <w:rPr>
            <w:rStyle w:val="Hipervnculo"/>
          </w:rPr>
          <w:t xml:space="preserve">Table 5.8</w:t>
        </w:r>
      </w:hyperlink>
      <w:r>
        <w:t xml:space="preserve"> </w:t>
      </w:r>
      <w:r>
        <w:t xml:space="preserve">resume las medias humanas por método.</w:t>
      </w:r>
      <w:r>
        <w:t xml:space="preserve"> </w:t>
      </w:r>
      <w:r>
        <w:t xml:space="preserve">Los resultados no deben leerse como contrastes inferenciales definitivos,</w:t>
      </w:r>
      <w:r>
        <w:t xml:space="preserve"> </w:t>
      </w:r>
      <w:r>
        <w:t xml:space="preserve">porque el muestreo no fue diseñado como prueba confirmativa entre explicadores;</w:t>
      </w:r>
      <w:r>
        <w:t xml:space="preserve"> </w:t>
      </w:r>
      <w:r>
        <w:t xml:space="preserve">sí ofrecen, no obstante, señales útiles sobre el perfil semántico de cada</w:t>
      </w:r>
      <w:r>
        <w:t xml:space="preserve"> </w:t>
      </w:r>
      <w:r>
        <w:t xml:space="preserve">método.</w:t>
      </w:r>
    </w:p>
    <w:tbl>
      <w:tblPr>
        <w:tblStyle w:val="Table"/>
        <w:tblW w:type="pct" w:w="5000"/>
        <w:tblLayout w:type="fixed"/>
        <w:tblLook w:firstRow="0" w:lastRow="0" w:firstColumn="0" w:lastColumn="0" w:noHBand="0" w:noVBand="0" w:val="0000"/>
      </w:tblPr>
      <w:tblGrid>
        <w:gridCol w:w="7920"/>
      </w:tblGrid>
      <w:tr>
        <w:tc>
          <w:tcPr/>
          <w:bookmarkStart w:id="109" w:name="tbl-human-validation-explainer"/>
          <w:p>
            <w:pPr>
              <w:jc w:val="center"/>
            </w:pPr>
            <w:pPr>
              <w:jc w:val="left"/>
              <w:spacing w:before="200"/>
              <w:pStyle w:val="ImageCaption"/>
            </w:pPr>
            <w:r>
              <w:t xml:space="preserve">Table 5.8: Medias de validación humana por método de explicación. Fuente:</w:t>
            </w:r>
            <w:r>
              <w:t xml:space="preserve"> </w:t>
            </w:r>
            <w:r>
              <w:rPr>
                <w:rStyle w:val="VerbatimChar"/>
              </w:rPr>
              <w:t xml:space="preserve">human_validation_rerun/human_validation_by_explainer.csv</w:t>
            </w:r>
            <w:r>
              <w:t xml:space="preserve">.</w:t>
            </w:r>
            <w:r>
              <w:t xml:space="preserve"> </w:t>
            </w:r>
          </w:p>
          <w:tbl>
            <w:tblPr>
              <w:tblStyle w:val="Table"/>
              <w:tblW w:type="pct" w:w="5000"/>
              <w:tblLayout w:type="fixed"/>
              <w:tblLook w:firstRow="1" w:lastRow="0" w:firstColumn="0" w:lastColumn="0" w:noHBand="0" w:noVBand="0" w:val="0020"/>
            </w:tblPr>
            <w:tblGrid>
              <w:gridCol w:w="772"/>
              <w:gridCol w:w="482"/>
              <w:gridCol w:w="965"/>
              <w:gridCol w:w="1255"/>
              <w:gridCol w:w="1062"/>
              <w:gridCol w:w="1448"/>
              <w:gridCol w:w="1931"/>
            </w:tblGrid>
            <w:tr>
              <w:trPr>
                <w:tblHeader w:val="on"/>
              </w:trPr>
              <w:tc>
                <w:tcPr/>
                <w:p>
                  <w:pPr>
                    <w:pStyle w:val="Compact"/>
                    <w:jc w:val="center"/>
                  </w:pPr>
                  <w:r>
                    <w:t xml:space="preserve">Método</w:t>
                  </w:r>
                </w:p>
              </w:tc>
              <w:tc>
                <w:tcPr/>
                <w:p>
                  <w:pPr>
                    <w:pStyle w:val="Compact"/>
                    <w:jc w:val="right"/>
                    <w:jc w:val="center"/>
                  </w:pPr>
                  <m:oMath>
                    <m:r>
                      <m:t>n</m:t>
                    </m:r>
                  </m:oMath>
                </w:p>
              </w:tc>
              <w:tc>
                <w:tcPr/>
                <w:p>
                  <w:pPr>
                    <w:pStyle w:val="Compact"/>
                    <w:jc w:val="right"/>
                    <w:jc w:val="center"/>
                  </w:pPr>
                  <w:r>
                    <w:t xml:space="preserve">Claridad</w:t>
                  </w:r>
                </w:p>
              </w:tc>
              <w:tc>
                <w:tcPr/>
                <w:p>
                  <w:pPr>
                    <w:pStyle w:val="Compact"/>
                    <w:jc w:val="right"/>
                    <w:jc w:val="center"/>
                  </w:pPr>
                  <w:r>
                    <w:t xml:space="preserve">Completitud</w:t>
                  </w:r>
                </w:p>
              </w:tc>
              <w:tc>
                <w:tcPr/>
                <w:p>
                  <w:pPr>
                    <w:pStyle w:val="Compact"/>
                    <w:jc w:val="right"/>
                    <w:jc w:val="center"/>
                  </w:pPr>
                  <w:r>
                    <w:t xml:space="preserve">Concisión</w:t>
                  </w:r>
                </w:p>
              </w:tc>
              <w:tc>
                <w:tcPr/>
                <w:p>
                  <w:pPr>
                    <w:pStyle w:val="Compact"/>
                    <w:jc w:val="right"/>
                    <w:jc w:val="center"/>
                  </w:pPr>
                  <w:r>
                    <w:t xml:space="preserve">Plausibilidad</w:t>
                  </w:r>
                </w:p>
              </w:tc>
              <w:tc>
                <w:tcPr/>
                <w:p>
                  <w:pPr>
                    <w:pStyle w:val="Compact"/>
                    <w:jc w:val="right"/>
                    <w:jc w:val="center"/>
                  </w:pPr>
                  <w:r>
                    <w:t xml:space="preserve">Utilidad auditoría</w:t>
                  </w:r>
                </w:p>
              </w:tc>
            </w:tr>
            <w:tr>
              <w:tc>
                <w:tcPr/>
                <w:p>
                  <w:pPr>
                    <w:pStyle w:val="Compact"/>
                    <w:jc w:val="center"/>
                  </w:pPr>
                  <w:r>
                    <w:t xml:space="preserve">Anchors</w:t>
                  </w:r>
                </w:p>
              </w:tc>
              <w:tc>
                <w:tcPr/>
                <w:p>
                  <w:pPr>
                    <w:pStyle w:val="Compact"/>
                    <w:jc w:val="right"/>
                    <w:jc w:val="center"/>
                  </w:pPr>
                  <w:r>
                    <w:t xml:space="preserve">32</w:t>
                  </w:r>
                </w:p>
              </w:tc>
              <w:tc>
                <w:tcPr/>
                <w:p>
                  <w:pPr>
                    <w:pStyle w:val="Compact"/>
                    <w:jc w:val="right"/>
                    <w:jc w:val="center"/>
                  </w:pPr>
                  <w:r>
                    <w:t xml:space="preserve">3.97</w:t>
                  </w:r>
                </w:p>
              </w:tc>
              <w:tc>
                <w:tcPr/>
                <w:p>
                  <w:pPr>
                    <w:pStyle w:val="Compact"/>
                    <w:jc w:val="right"/>
                    <w:jc w:val="center"/>
                  </w:pPr>
                  <w:r>
                    <w:t xml:space="preserve">3.44</w:t>
                  </w:r>
                </w:p>
              </w:tc>
              <w:tc>
                <w:tcPr/>
                <w:p>
                  <w:pPr>
                    <w:pStyle w:val="Compact"/>
                    <w:jc w:val="right"/>
                    <w:jc w:val="center"/>
                  </w:pPr>
                  <w:r>
                    <w:t xml:space="preserve">2.19</w:t>
                  </w:r>
                </w:p>
              </w:tc>
              <w:tc>
                <w:tcPr/>
                <w:p>
                  <w:pPr>
                    <w:pStyle w:val="Compact"/>
                    <w:jc w:val="right"/>
                    <w:jc w:val="center"/>
                  </w:pPr>
                  <w:r>
                    <w:t xml:space="preserve">3.97</w:t>
                  </w:r>
                </w:p>
              </w:tc>
              <w:tc>
                <w:tcPr/>
                <w:p>
                  <w:pPr>
                    <w:pStyle w:val="Compact"/>
                    <w:jc w:val="right"/>
                    <w:jc w:val="center"/>
                  </w:pPr>
                  <w:r>
                    <w:t xml:space="preserve">3.63</w:t>
                  </w:r>
                </w:p>
              </w:tc>
            </w:tr>
            <w:tr>
              <w:tc>
                <w:tcPr/>
                <w:p>
                  <w:pPr>
                    <w:pStyle w:val="Compact"/>
                    <w:jc w:val="center"/>
                  </w:pPr>
                  <w:r>
                    <w:t xml:space="preserve">DiCE</w:t>
                  </w:r>
                </w:p>
              </w:tc>
              <w:tc>
                <w:tcPr/>
                <w:p>
                  <w:pPr>
                    <w:pStyle w:val="Compact"/>
                    <w:jc w:val="right"/>
                    <w:jc w:val="center"/>
                  </w:pPr>
                  <w:r>
                    <w:t xml:space="preserve">27</w:t>
                  </w:r>
                </w:p>
              </w:tc>
              <w:tc>
                <w:tcPr/>
                <w:p>
                  <w:pPr>
                    <w:pStyle w:val="Compact"/>
                    <w:jc w:val="right"/>
                    <w:jc w:val="center"/>
                  </w:pPr>
                  <w:r>
                    <w:t xml:space="preserve">3.85</w:t>
                  </w:r>
                </w:p>
              </w:tc>
              <w:tc>
                <w:tcPr/>
                <w:p>
                  <w:pPr>
                    <w:pStyle w:val="Compact"/>
                    <w:jc w:val="right"/>
                    <w:jc w:val="center"/>
                  </w:pPr>
                  <w:r>
                    <w:t xml:space="preserve">3.59</w:t>
                  </w:r>
                </w:p>
              </w:tc>
              <w:tc>
                <w:tcPr/>
                <w:p>
                  <w:pPr>
                    <w:pStyle w:val="Compact"/>
                    <w:jc w:val="right"/>
                    <w:jc w:val="center"/>
                  </w:pPr>
                  <w:r>
                    <w:t xml:space="preserve">2.22</w:t>
                  </w:r>
                </w:p>
              </w:tc>
              <w:tc>
                <w:tcPr/>
                <w:p>
                  <w:pPr>
                    <w:pStyle w:val="Compact"/>
                    <w:jc w:val="right"/>
                    <w:jc w:val="center"/>
                  </w:pPr>
                  <w:r>
                    <w:t xml:space="preserve">3.89</w:t>
                  </w:r>
                </w:p>
              </w:tc>
              <w:tc>
                <w:tcPr/>
                <w:p>
                  <w:pPr>
                    <w:pStyle w:val="Compact"/>
                    <w:jc w:val="right"/>
                    <w:jc w:val="center"/>
                  </w:pPr>
                  <w:r>
                    <w:t xml:space="preserve">3.59</w:t>
                  </w:r>
                </w:p>
              </w:tc>
            </w:tr>
            <w:tr>
              <w:tc>
                <w:tcPr/>
                <w:p>
                  <w:pPr>
                    <w:pStyle w:val="Compact"/>
                    <w:jc w:val="center"/>
                  </w:pPr>
                  <w:r>
                    <w:t xml:space="preserve">LIME</w:t>
                  </w:r>
                </w:p>
              </w:tc>
              <w:tc>
                <w:tcPr/>
                <w:p>
                  <w:pPr>
                    <w:pStyle w:val="Compact"/>
                    <w:jc w:val="right"/>
                    <w:jc w:val="center"/>
                  </w:pPr>
                  <w:r>
                    <w:t xml:space="preserve">30</w:t>
                  </w:r>
                </w:p>
              </w:tc>
              <w:tc>
                <w:tcPr/>
                <w:p>
                  <w:pPr>
                    <w:pStyle w:val="Compact"/>
                    <w:jc w:val="right"/>
                    <w:jc w:val="center"/>
                  </w:pPr>
                  <w:r>
                    <w:t xml:space="preserve">3.40</w:t>
                  </w:r>
                </w:p>
              </w:tc>
              <w:tc>
                <w:tcPr/>
                <w:p>
                  <w:pPr>
                    <w:pStyle w:val="Compact"/>
                    <w:jc w:val="right"/>
                    <w:jc w:val="center"/>
                  </w:pPr>
                  <w:r>
                    <w:t xml:space="preserve">3.60</w:t>
                  </w:r>
                </w:p>
              </w:tc>
              <w:tc>
                <w:tcPr/>
                <w:p>
                  <w:pPr>
                    <w:pStyle w:val="Compact"/>
                    <w:jc w:val="right"/>
                    <w:jc w:val="center"/>
                  </w:pPr>
                  <w:r>
                    <w:t xml:space="preserve">2.07</w:t>
                  </w:r>
                </w:p>
              </w:tc>
              <w:tc>
                <w:tcPr/>
                <w:p>
                  <w:pPr>
                    <w:pStyle w:val="Compact"/>
                    <w:jc w:val="right"/>
                    <w:jc w:val="center"/>
                  </w:pPr>
                  <w:r>
                    <w:t xml:space="preserve">3.37</w:t>
                  </w:r>
                </w:p>
              </w:tc>
              <w:tc>
                <w:tcPr/>
                <w:p>
                  <w:pPr>
                    <w:pStyle w:val="Compact"/>
                    <w:jc w:val="right"/>
                    <w:jc w:val="center"/>
                  </w:pPr>
                  <w:r>
                    <w:t xml:space="preserve">4.47</w:t>
                  </w:r>
                </w:p>
              </w:tc>
            </w:tr>
            <w:tr>
              <w:tc>
                <w:tcPr/>
                <w:p>
                  <w:pPr>
                    <w:pStyle w:val="Compact"/>
                    <w:jc w:val="center"/>
                  </w:pPr>
                  <w:r>
                    <w:t xml:space="preserve">SHAP</w:t>
                  </w:r>
                </w:p>
              </w:tc>
              <w:tc>
                <w:tcPr/>
                <w:p>
                  <w:pPr>
                    <w:pStyle w:val="Compact"/>
                    <w:jc w:val="right"/>
                    <w:jc w:val="center"/>
                  </w:pPr>
                  <w:r>
                    <w:t xml:space="preserve">31</w:t>
                  </w:r>
                </w:p>
              </w:tc>
              <w:tc>
                <w:tcPr/>
                <w:p>
                  <w:pPr>
                    <w:pStyle w:val="Compact"/>
                    <w:jc w:val="right"/>
                    <w:jc w:val="center"/>
                  </w:pPr>
                  <w:r>
                    <w:t xml:space="preserve">3.71</w:t>
                  </w:r>
                </w:p>
              </w:tc>
              <w:tc>
                <w:tcPr/>
                <w:p>
                  <w:pPr>
                    <w:pStyle w:val="Compact"/>
                    <w:jc w:val="right"/>
                    <w:jc w:val="center"/>
                  </w:pPr>
                  <w:r>
                    <w:t xml:space="preserve">3.65</w:t>
                  </w:r>
                </w:p>
              </w:tc>
              <w:tc>
                <w:tcPr/>
                <w:p>
                  <w:pPr>
                    <w:pStyle w:val="Compact"/>
                    <w:jc w:val="right"/>
                    <w:jc w:val="center"/>
                  </w:pPr>
                  <w:r>
                    <w:t xml:space="preserve">2.23</w:t>
                  </w:r>
                </w:p>
              </w:tc>
              <w:tc>
                <w:tcPr/>
                <w:p>
                  <w:pPr>
                    <w:pStyle w:val="Compact"/>
                    <w:jc w:val="right"/>
                    <w:jc w:val="center"/>
                  </w:pPr>
                  <w:r>
                    <w:t xml:space="preserve">3.81</w:t>
                  </w:r>
                </w:p>
              </w:tc>
              <w:tc>
                <w:tcPr/>
                <w:p>
                  <w:pPr>
                    <w:pStyle w:val="Compact"/>
                    <w:jc w:val="right"/>
                    <w:jc w:val="center"/>
                  </w:pPr>
                  <w:r>
                    <w:t xml:space="preserve">3.65</w:t>
                  </w:r>
                </w:p>
              </w:tc>
            </w:tr>
          </w:tbl>
          <w:bookmarkEnd w:id="109"/>
          <w:p/>
        </w:tc>
      </w:tr>
    </w:tbl>
    <w:p>
      <w:pPr>
        <w:pStyle w:val="Textoindependiente"/>
        <w:jc w:val="both"/>
        <w:spacing w:line="480" w:lineRule="auto"/>
      </w:pPr>
      <w:r>
        <w:t xml:space="preserve">El perfil por método matiza los resultados funcionales de EXP2. Anchors obtiene</w:t>
      </w:r>
      <w:r>
        <w:t xml:space="preserve"> </w:t>
      </w:r>
      <w:r>
        <w:t xml:space="preserve">las medias más altas de claridad y plausibilidad, probablemente porque sus</w:t>
      </w:r>
      <w:r>
        <w:t xml:space="preserve"> </w:t>
      </w:r>
      <w:r>
        <w:t xml:space="preserve">explicaciones en forma de regla son fáciles de reconocer como condiciones</w:t>
      </w:r>
      <w:r>
        <w:t xml:space="preserve"> </w:t>
      </w:r>
      <w:r>
        <w:t xml:space="preserve">discretas. DiCE también es percibido como claro y plausible, aunque su utilidad</w:t>
      </w:r>
      <w:r>
        <w:t xml:space="preserve"> </w:t>
      </w:r>
      <w:r>
        <w:t xml:space="preserve">de auditoría es moderada. SHAP mantiene un perfil equilibrado, sin extremos</w:t>
      </w:r>
      <w:r>
        <w:t xml:space="preserve"> </w:t>
      </w:r>
      <w:r>
        <w:t xml:space="preserve">marcados. LIME, en cambio, presenta el contraste más interesante: es el método</w:t>
      </w:r>
      <w:r>
        <w:t xml:space="preserve"> </w:t>
      </w:r>
      <w:r>
        <w:t xml:space="preserve">con menor claridad y plausibilidad, pero con mayor utilidad para auditoría</w:t>
      </w:r>
      <w:r>
        <w:t xml:space="preserve"> </w:t>
      </w:r>
      <w:r>
        <w:t xml:space="preserve">(4.47). Esta disociación sugiere que una explicación puede ser menos elegante</w:t>
      </w:r>
      <w:r>
        <w:t xml:space="preserve"> </w:t>
      </w:r>
      <w:r>
        <w:t xml:space="preserve">o menos natural como texto, pero aun así resultar útil para inspeccionar</w:t>
      </w:r>
      <w:r>
        <w:t xml:space="preserve"> </w:t>
      </w:r>
      <w:r>
        <w:t xml:space="preserve">factores de decisión.</w:t>
      </w:r>
    </w:p>
    <w:p>
      <w:pPr>
        <w:pStyle w:val="Textoindependiente"/>
        <w:jc w:val="both"/>
        <w:spacing w:line="480" w:lineRule="auto"/>
      </w:pPr>
      <w:r>
        <w:t xml:space="preserve">La lectura integrada con los resultados funcionales es importante. En EXP2,</w:t>
      </w:r>
      <w:r>
        <w:t xml:space="preserve"> </w:t>
      </w:r>
      <w:r>
        <w:t xml:space="preserve">SHAP domina en fidelidad y estabilidad, mientras que LIME es estructuralmente</w:t>
      </w:r>
      <w:r>
        <w:t xml:space="preserve"> </w:t>
      </w:r>
      <w:r>
        <w:t xml:space="preserve">inestable. La validación humana no revierte esa conclusión, pero añade una</w:t>
      </w:r>
      <w:r>
        <w:t xml:space="preserve"> </w:t>
      </w:r>
      <w:r>
        <w:t xml:space="preserve">capa de interpretación: los usuarios pueden atribuir utilidad de auditoría a</w:t>
      </w:r>
      <w:r>
        <w:t xml:space="preserve"> </w:t>
      </w:r>
      <w:r>
        <w:t xml:space="preserve">explicaciones LIME aun cuando el método sea técnicamente inestable. Por tanto,</w:t>
      </w:r>
      <w:r>
        <w:t xml:space="preserve"> </w:t>
      </w:r>
      <w:r>
        <w:t xml:space="preserve">la recomendación prescriptiva no debe ser</w:t>
      </w:r>
      <w:r>
        <w:t xml:space="preserve"> </w:t>
      </w:r>
      <w:r>
        <w:t xml:space="preserve">“LIME es inútil”</w:t>
      </w:r>
      <w:r>
        <w:t xml:space="preserve">, sino más precisa:</w:t>
      </w:r>
      <w:r>
        <w:t xml:space="preserve"> </w:t>
      </w:r>
      <w:r>
        <w:t xml:space="preserve">LIME puede ser percibido como útil para inspección local, pero no debe usarse</w:t>
      </w:r>
      <w:r>
        <w:t xml:space="preserve"> </w:t>
      </w:r>
      <w:r>
        <w:t xml:space="preserve">como base de auditoría comparativa o longitudinal si se requiere consistencia.</w:t>
      </w:r>
    </w:p>
    <w:bookmarkEnd w:id="110"/>
    <w:bookmarkStart w:id="112" w:name="Xdd33d5bd6eeb298ae5014e247b7064adfcad624"/>
    <w:p>
      <w:pPr>
        <w:pStyle w:val="Ttulo3"/>
      </w:pPr>
      <w:r>
        <w:t xml:space="preserve">Diferencias descriptivas por conjunto de datos</w:t>
      </w:r>
    </w:p>
    <w:p>
      <w:pPr>
        <w:pStyle w:val="FirstParagraph"/>
        <w:jc w:val="both"/>
        <w:spacing w:line="480" w:lineRule="auto"/>
      </w:pPr>
      <w:r>
        <w:t xml:space="preserve">La Tabla</w:t>
      </w:r>
      <w:r>
        <w:t xml:space="preserve"> </w:t>
      </w:r>
      <w:hyperlink w:anchor="tbl-human-validation-dataset">
        <w:r>
          <w:rPr>
            <w:rStyle w:val="Hipervnculo"/>
          </w:rPr>
          <w:t xml:space="preserve">Table 5.9</w:t>
        </w:r>
      </w:hyperlink>
      <w:r>
        <w:t xml:space="preserve"> </w:t>
      </w:r>
      <w:r>
        <w:t xml:space="preserve">muestra que German Credit alcanza las</w:t>
      </w:r>
      <w:r>
        <w:t xml:space="preserve"> </w:t>
      </w:r>
      <w:r>
        <w:t xml:space="preserve">medias más altas en claridad y plausibilidad, mientras que Adult Income obtiene</w:t>
      </w:r>
      <w:r>
        <w:t xml:space="preserve"> </w:t>
      </w:r>
      <w:r>
        <w:t xml:space="preserve">la mayor utilidad para auditoría. Breast Cancer debe interpretarse con cautela</w:t>
      </w:r>
      <w:r>
        <w:t xml:space="preserve"> </w:t>
      </w:r>
      <w:r>
        <w:t xml:space="preserve">por su tamaño reducido (</w:t>
      </w:r>
      <m:oMath>
        <m:r>
          <m:t>n</m:t>
        </m:r>
        <m:r>
          <m:rPr>
            <m:sty m:val="p"/>
          </m:rPr>
          <m:t>=</m:t>
        </m:r>
        <m:r>
          <m:t>10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tbl-human-validation-dataset"/>
          <w:p>
            <w:pPr>
              <w:jc w:val="center"/>
            </w:pPr>
            <w:pPr>
              <w:jc w:val="left"/>
              <w:spacing w:before="200"/>
              <w:pStyle w:val="ImageCaption"/>
            </w:pPr>
            <w:r>
              <w:t xml:space="preserve">Table 5.9: Medias de validación humana por conjunto de datos. Fuente:</w:t>
            </w:r>
            <w:r>
              <w:t xml:space="preserve"> </w:t>
            </w:r>
            <w:r>
              <w:rPr>
                <w:rStyle w:val="VerbatimChar"/>
              </w:rPr>
              <w:t xml:space="preserve">human_validation_rerun/human_validation_by_dataset.csv</w:t>
            </w:r>
            <w:r>
              <w:t xml:space="preserve">.</w:t>
            </w:r>
            <w:r>
              <w:t xml:space="preserve"> </w:t>
            </w:r>
          </w:p>
          <w:tbl>
            <w:tblPr>
              <w:tblStyle w:val="Table"/>
              <w:tblW w:type="pct" w:w="5000"/>
              <w:tblLayout w:type="fixed"/>
              <w:tblLook w:firstRow="1" w:lastRow="0" w:firstColumn="0" w:lastColumn="0" w:noHBand="0" w:noVBand="0" w:val="0020"/>
            </w:tblPr>
            <w:tblGrid>
              <w:gridCol w:w="1618"/>
              <w:gridCol w:w="425"/>
              <w:gridCol w:w="851"/>
              <w:gridCol w:w="1107"/>
              <w:gridCol w:w="936"/>
              <w:gridCol w:w="1277"/>
              <w:gridCol w:w="1703"/>
            </w:tblGrid>
            <w:tr>
              <w:trPr>
                <w:tblHeader w:val="on"/>
              </w:trPr>
              <w:tc>
                <w:tcPr/>
                <w:p>
                  <w:pPr>
                    <w:pStyle w:val="Compact"/>
                    <w:jc w:val="center"/>
                  </w:pPr>
                  <w:r>
                    <w:t xml:space="preserve">Conjunto de datos</w:t>
                  </w:r>
                </w:p>
              </w:tc>
              <w:tc>
                <w:tcPr/>
                <w:p>
                  <w:pPr>
                    <w:pStyle w:val="Compact"/>
                    <w:jc w:val="right"/>
                    <w:jc w:val="center"/>
                  </w:pPr>
                  <m:oMath>
                    <m:r>
                      <m:t>n</m:t>
                    </m:r>
                  </m:oMath>
                </w:p>
              </w:tc>
              <w:tc>
                <w:tcPr/>
                <w:p>
                  <w:pPr>
                    <w:pStyle w:val="Compact"/>
                    <w:jc w:val="right"/>
                    <w:jc w:val="center"/>
                  </w:pPr>
                  <w:r>
                    <w:t xml:space="preserve">Claridad</w:t>
                  </w:r>
                </w:p>
              </w:tc>
              <w:tc>
                <w:tcPr/>
                <w:p>
                  <w:pPr>
                    <w:pStyle w:val="Compact"/>
                    <w:jc w:val="right"/>
                    <w:jc w:val="center"/>
                  </w:pPr>
                  <w:r>
                    <w:t xml:space="preserve">Completitud</w:t>
                  </w:r>
                </w:p>
              </w:tc>
              <w:tc>
                <w:tcPr/>
                <w:p>
                  <w:pPr>
                    <w:pStyle w:val="Compact"/>
                    <w:jc w:val="right"/>
                    <w:jc w:val="center"/>
                  </w:pPr>
                  <w:r>
                    <w:t xml:space="preserve">Concisión</w:t>
                  </w:r>
                </w:p>
              </w:tc>
              <w:tc>
                <w:tcPr/>
                <w:p>
                  <w:pPr>
                    <w:pStyle w:val="Compact"/>
                    <w:jc w:val="right"/>
                    <w:jc w:val="center"/>
                  </w:pPr>
                  <w:r>
                    <w:t xml:space="preserve">Plausibilidad</w:t>
                  </w:r>
                </w:p>
              </w:tc>
              <w:tc>
                <w:tcPr/>
                <w:p>
                  <w:pPr>
                    <w:pStyle w:val="Compact"/>
                    <w:jc w:val="right"/>
                    <w:jc w:val="center"/>
                  </w:pPr>
                  <w:r>
                    <w:t xml:space="preserve">Utilidad auditoría</w:t>
                  </w:r>
                </w:p>
              </w:tc>
            </w:tr>
            <w:tr>
              <w:tc>
                <w:tcPr/>
                <w:p>
                  <w:pPr>
                    <w:pStyle w:val="Compact"/>
                    <w:jc w:val="center"/>
                  </w:pPr>
                  <w:r>
                    <w:t xml:space="preserve">Adult Income</w:t>
                  </w:r>
                </w:p>
              </w:tc>
              <w:tc>
                <w:tcPr/>
                <w:p>
                  <w:pPr>
                    <w:pStyle w:val="Compact"/>
                    <w:jc w:val="right"/>
                    <w:jc w:val="center"/>
                  </w:pPr>
                  <w:r>
                    <w:t xml:space="preserve">75</w:t>
                  </w:r>
                </w:p>
              </w:tc>
              <w:tc>
                <w:tcPr/>
                <w:p>
                  <w:pPr>
                    <w:pStyle w:val="Compact"/>
                    <w:jc w:val="right"/>
                    <w:jc w:val="center"/>
                  </w:pPr>
                  <w:r>
                    <w:t xml:space="preserve">3.65</w:t>
                  </w:r>
                </w:p>
              </w:tc>
              <w:tc>
                <w:tcPr/>
                <w:p>
                  <w:pPr>
                    <w:pStyle w:val="Compact"/>
                    <w:jc w:val="right"/>
                    <w:jc w:val="center"/>
                  </w:pPr>
                  <w:r>
                    <w:t xml:space="preserve">3.63</w:t>
                  </w:r>
                </w:p>
              </w:tc>
              <w:tc>
                <w:tcPr/>
                <w:p>
                  <w:pPr>
                    <w:pStyle w:val="Compact"/>
                    <w:jc w:val="right"/>
                    <w:jc w:val="center"/>
                  </w:pPr>
                  <w:r>
                    <w:t xml:space="preserve">2.16</w:t>
                  </w:r>
                </w:p>
              </w:tc>
              <w:tc>
                <w:tcPr/>
                <w:p>
                  <w:pPr>
                    <w:pStyle w:val="Compact"/>
                    <w:jc w:val="right"/>
                    <w:jc w:val="center"/>
                  </w:pPr>
                  <w:r>
                    <w:t xml:space="preserve">3.64</w:t>
                  </w:r>
                </w:p>
              </w:tc>
              <w:tc>
                <w:tcPr/>
                <w:p>
                  <w:pPr>
                    <w:pStyle w:val="Compact"/>
                    <w:jc w:val="right"/>
                    <w:jc w:val="center"/>
                  </w:pPr>
                  <w:r>
                    <w:t xml:space="preserve">4.04</w:t>
                  </w:r>
                </w:p>
              </w:tc>
            </w:tr>
            <w:tr>
              <w:tc>
                <w:tcPr/>
                <w:p>
                  <w:pPr>
                    <w:pStyle w:val="Compact"/>
                    <w:jc w:val="center"/>
                  </w:pPr>
                  <w:r>
                    <w:t xml:space="preserve">Breast Cancer</w:t>
                  </w:r>
                </w:p>
              </w:tc>
              <w:tc>
                <w:tcPr/>
                <w:p>
                  <w:pPr>
                    <w:pStyle w:val="Compact"/>
                    <w:jc w:val="right"/>
                    <w:jc w:val="center"/>
                  </w:pPr>
                  <w:r>
                    <w:t xml:space="preserve">10</w:t>
                  </w:r>
                </w:p>
              </w:tc>
              <w:tc>
                <w:tcPr/>
                <w:p>
                  <w:pPr>
                    <w:pStyle w:val="Compact"/>
                    <w:jc w:val="right"/>
                    <w:jc w:val="center"/>
                  </w:pPr>
                  <w:r>
                    <w:t xml:space="preserve">3.50</w:t>
                  </w:r>
                </w:p>
              </w:tc>
              <w:tc>
                <w:tcPr/>
                <w:p>
                  <w:pPr>
                    <w:pStyle w:val="Compact"/>
                    <w:jc w:val="right"/>
                    <w:jc w:val="center"/>
                  </w:pPr>
                  <w:r>
                    <w:t xml:space="preserve">3.70</w:t>
                  </w:r>
                </w:p>
              </w:tc>
              <w:tc>
                <w:tcPr/>
                <w:p>
                  <w:pPr>
                    <w:pStyle w:val="Compact"/>
                    <w:jc w:val="right"/>
                    <w:jc w:val="center"/>
                  </w:pPr>
                  <w:r>
                    <w:t xml:space="preserve">2.40</w:t>
                  </w:r>
                </w:p>
              </w:tc>
              <w:tc>
                <w:tcPr/>
                <w:p>
                  <w:pPr>
                    <w:pStyle w:val="Compact"/>
                    <w:jc w:val="right"/>
                    <w:jc w:val="center"/>
                  </w:pPr>
                  <w:r>
                    <w:t xml:space="preserve">3.80</w:t>
                  </w:r>
                </w:p>
              </w:tc>
              <w:tc>
                <w:tcPr/>
                <w:p>
                  <w:pPr>
                    <w:pStyle w:val="Compact"/>
                    <w:jc w:val="right"/>
                    <w:jc w:val="center"/>
                  </w:pPr>
                  <w:r>
                    <w:t xml:space="preserve">3.20</w:t>
                  </w:r>
                </w:p>
              </w:tc>
            </w:tr>
            <w:tr>
              <w:tc>
                <w:tcPr/>
                <w:p>
                  <w:pPr>
                    <w:pStyle w:val="Compact"/>
                    <w:jc w:val="center"/>
                  </w:pPr>
                  <w:r>
                    <w:t xml:space="preserve">German Credit</w:t>
                  </w:r>
                </w:p>
              </w:tc>
              <w:tc>
                <w:tcPr/>
                <w:p>
                  <w:pPr>
                    <w:pStyle w:val="Compact"/>
                    <w:jc w:val="right"/>
                    <w:jc w:val="center"/>
                  </w:pPr>
                  <w:r>
                    <w:t xml:space="preserve">35</w:t>
                  </w:r>
                </w:p>
              </w:tc>
              <w:tc>
                <w:tcPr/>
                <w:p>
                  <w:pPr>
                    <w:pStyle w:val="Compact"/>
                    <w:jc w:val="right"/>
                    <w:jc w:val="center"/>
                  </w:pPr>
                  <w:r>
                    <w:t xml:space="preserve">3.97</w:t>
                  </w:r>
                </w:p>
              </w:tc>
              <w:tc>
                <w:tcPr/>
                <w:p>
                  <w:pPr>
                    <w:pStyle w:val="Compact"/>
                    <w:jc w:val="right"/>
                    <w:jc w:val="center"/>
                  </w:pPr>
                  <w:r>
                    <w:t xml:space="preserve">3.40</w:t>
                  </w:r>
                </w:p>
              </w:tc>
              <w:tc>
                <w:tcPr/>
                <w:p>
                  <w:pPr>
                    <w:pStyle w:val="Compact"/>
                    <w:jc w:val="right"/>
                    <w:jc w:val="center"/>
                  </w:pPr>
                  <w:r>
                    <w:t xml:space="preserve">2.14</w:t>
                  </w:r>
                </w:p>
              </w:tc>
              <w:tc>
                <w:tcPr/>
                <w:p>
                  <w:pPr>
                    <w:pStyle w:val="Compact"/>
                    <w:jc w:val="right"/>
                    <w:jc w:val="center"/>
                  </w:pPr>
                  <w:r>
                    <w:t xml:space="preserve">4.00</w:t>
                  </w:r>
                </w:p>
              </w:tc>
              <w:tc>
                <w:tcPr/>
                <w:p>
                  <w:pPr>
                    <w:pStyle w:val="Compact"/>
                    <w:jc w:val="right"/>
                    <w:jc w:val="center"/>
                  </w:pPr>
                  <w:r>
                    <w:t xml:space="preserve">3.57</w:t>
                  </w:r>
                </w:p>
              </w:tc>
            </w:tr>
          </w:tbl>
          <w:bookmarkEnd w:id="111"/>
          <w:p/>
        </w:tc>
      </w:tr>
    </w:tbl>
    <w:p>
      <w:pPr>
        <w:pStyle w:val="Textoindependiente"/>
        <w:jc w:val="both"/>
        <w:spacing w:line="480" w:lineRule="auto"/>
      </w:pPr>
      <w:r>
        <w:t xml:space="preserve">La diferencia Adult–German Credit sugiere que el contexto semántico del</w:t>
      </w:r>
      <w:r>
        <w:t xml:space="preserve"> </w:t>
      </w:r>
      <w:r>
        <w:t xml:space="preserve">dominio influye en la valoración humana. Las explicaciones de German Credit</w:t>
      </w:r>
      <w:r>
        <w:t xml:space="preserve"> </w:t>
      </w:r>
      <w:r>
        <w:t xml:space="preserve">pueden parecer más plausibles por contener variables financieras familiares</w:t>
      </w:r>
      <w:r>
        <w:t xml:space="preserve"> </w:t>
      </w:r>
      <w:r>
        <w:t xml:space="preserve">(duración, monto del crédito, historial), mientras que Adult Income genera</w:t>
      </w:r>
      <w:r>
        <w:t xml:space="preserve"> </w:t>
      </w:r>
      <w:r>
        <w:t xml:space="preserve">mayor utilidad de auditoría porque sus atributos sociales y laborales invitan</w:t>
      </w:r>
      <w:r>
        <w:t xml:space="preserve"> </w:t>
      </w:r>
      <w:r>
        <w:t xml:space="preserve">a revisar sesgos o criterios sensibles. Este resultado apoya la necesidad de</w:t>
      </w:r>
      <w:r>
        <w:t xml:space="preserve"> </w:t>
      </w:r>
      <w:r>
        <w:t xml:space="preserve">reportar la evaluación XAI por contexto de tarea y no solo por método.</w:t>
      </w:r>
    </w:p>
    <w:bookmarkEnd w:id="112"/>
    <w:bookmarkStart w:id="113" w:name="implicaciones-para-la-tesis"/>
    <w:p>
      <w:pPr>
        <w:pStyle w:val="Ttulo3"/>
      </w:pPr>
      <w:r>
        <w:t xml:space="preserve">Implicaciones para la tesis</w:t>
      </w:r>
    </w:p>
    <w:p>
      <w:pPr>
        <w:pStyle w:val="FirstParagraph"/>
        <w:jc w:val="both"/>
        <w:spacing w:line="480" w:lineRule="auto"/>
      </w:pPr>
      <w:r>
        <w:t xml:space="preserve">La validación humana modifica el alcance empírico de la tesis en tres formas.</w:t>
      </w:r>
      <w:r>
        <w:t xml:space="preserve"> </w:t>
      </w:r>
      <w:r>
        <w:t xml:space="preserve">Primero, transforma la dimensión</w:t>
      </w:r>
      <w:r>
        <w:t xml:space="preserve"> </w:t>
      </w:r>
      <w:r>
        <w:rPr>
          <w:i/>
          <w:iCs/>
        </w:rPr>
        <w:t xml:space="preserve">human-centered</w:t>
      </w:r>
      <w:r>
        <w:t xml:space="preserve"> </w:t>
      </w:r>
      <w:r>
        <w:t xml:space="preserve">de una extensión futura a</w:t>
      </w:r>
      <w:r>
        <w:t xml:space="preserve"> </w:t>
      </w:r>
      <w:r>
        <w:t xml:space="preserve">una capa descriptiva piloto con datos reales. Segundo, confirma por una fuente</w:t>
      </w:r>
      <w:r>
        <w:t xml:space="preserve"> </w:t>
      </w:r>
      <w:r>
        <w:t xml:space="preserve">independiente que las dimensiones de calidad explicativa son separables:</w:t>
      </w:r>
      <w:r>
        <w:t xml:space="preserve"> </w:t>
      </w:r>
      <w:r>
        <w:t xml:space="preserve">claridad, completitud, concisión, plausibilidad y utilidad de auditoría no se</w:t>
      </w:r>
      <w:r>
        <w:t xml:space="preserve"> </w:t>
      </w:r>
      <w:r>
        <w:t xml:space="preserve">mueven como un único factor. Tercero, muestra que los criterios técnicos y los</w:t>
      </w:r>
      <w:r>
        <w:t xml:space="preserve"> </w:t>
      </w:r>
      <w:r>
        <w:t xml:space="preserve">juicios humanos pueden divergir de forma informativa. SHAP domina métricas</w:t>
      </w:r>
      <w:r>
        <w:t xml:space="preserve"> </w:t>
      </w:r>
      <w:r>
        <w:t xml:space="preserve">funcionales; LIME puede conservar utilidad percibida para auditoría; Anchors</w:t>
      </w:r>
      <w:r>
        <w:t xml:space="preserve"> </w:t>
      </w:r>
      <w:r>
        <w:t xml:space="preserve">puede ser semánticamente claro aunque tenga cobertura y estabilidad limitadas.</w:t>
      </w:r>
    </w:p>
    <w:p>
      <w:pPr>
        <w:pStyle w:val="Textoindependiente"/>
        <w:jc w:val="both"/>
        <w:spacing w:line="480" w:lineRule="auto"/>
      </w:pPr>
      <w:r>
        <w:t xml:space="preserve">Estas observaciones no sustituyen los contrastes confirmativos de H1–H3. Su</w:t>
      </w:r>
      <w:r>
        <w:t xml:space="preserve"> </w:t>
      </w:r>
      <w:r>
        <w:t xml:space="preserve">rol es complementar el benchmark funcional con evidencia de percepción humana</w:t>
      </w:r>
      <w:r>
        <w:t xml:space="preserve"> </w:t>
      </w:r>
      <w:r>
        <w:t xml:space="preserve">y delimitar la siguiente fase de validación: estimar la concordancia entre</w:t>
      </w:r>
      <w:r>
        <w:t xml:space="preserve"> </w:t>
      </w:r>
      <w:r>
        <w:t xml:space="preserve">evaluadores humanos y jueces LLM sobre las mismas dimensiones semánticas.</w:t>
      </w:r>
    </w:p>
    <w:bookmarkEnd w:id="113"/>
    <w:bookmarkEnd w:id="114"/>
    <w:bookmarkStart w:id="119" w:name="sec-perfiles"/>
    <w:p>
      <w:pPr>
        <w:pStyle w:val="Ttulo2"/>
      </w:pPr>
      <w:r>
        <w:t xml:space="preserve">Perfil multidimensional por método</w:t>
      </w:r>
    </w:p>
    <w:p>
      <w:pPr>
        <w:pStyle w:val="FirstParagraph"/>
        <w:jc w:val="both"/>
        <w:spacing w:line="480" w:lineRule="auto"/>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5" w:name="shap"/>
    <w:p>
      <w:pPr>
        <w:pStyle w:val="Ttulo3"/>
      </w:pPr>
      <w:r>
        <w:t xml:space="preserve">SHAP</w:t>
      </w:r>
    </w:p>
    <w:p>
      <w:pPr>
        <w:pStyle w:val="FirstParagraph"/>
        <w:jc w:val="both"/>
        <w:spacing w:line="480" w:lineRule="auto"/>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jc w:val="both"/>
        <w:spacing w:line="480" w:lineRule="auto"/>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jc w:val="both"/>
        <w:spacing w:line="480" w:lineRule="auto"/>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15"/>
    <w:bookmarkStart w:id="116" w:name="lime"/>
    <w:p>
      <w:pPr>
        <w:pStyle w:val="Ttulo3"/>
      </w:pPr>
      <w:r>
        <w:t xml:space="preserve">LIME</w:t>
      </w:r>
    </w:p>
    <w:p>
      <w:pPr>
        <w:pStyle w:val="FirstParagraph"/>
        <w:jc w:val="both"/>
        <w:spacing w:line="480" w:lineRule="auto"/>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jc w:val="both"/>
        <w:spacing w:line="480" w:lineRule="auto"/>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confirmó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descalifica a LIME como método de referencia en contextos donde se requiere</w:t>
      </w:r>
      <w:r>
        <w:t xml:space="preserve"> </w:t>
      </w:r>
      <w:r>
        <w:t xml:space="preserve">consistencia explicativa (auditoría, decisiones de alto riesgo, comparación</w:t>
      </w:r>
      <w:r>
        <w:t xml:space="preserve"> </w:t>
      </w:r>
      <w:r>
        <w:t xml:space="preserve">entre instancias).</w:t>
      </w:r>
    </w:p>
    <w:bookmarkEnd w:id="116"/>
    <w:bookmarkStart w:id="117" w:name="anchors"/>
    <w:p>
      <w:pPr>
        <w:pStyle w:val="Ttulo3"/>
      </w:pPr>
      <w:r>
        <w:t xml:space="preserve">Anchors</w:t>
      </w:r>
    </w:p>
    <w:p>
      <w:pPr>
        <w:pStyle w:val="FirstParagraph"/>
        <w:jc w:val="both"/>
        <w:spacing w:line="480" w:lineRule="auto"/>
      </w:pPr>
      <w:r>
        <w:t xml:space="preserve">Anchors tiene una cobertura de solo 56 celdas calificadas (74.7%),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jc w:val="both"/>
        <w:spacing w:line="480" w:lineRule="auto"/>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7"/>
    <w:bookmarkStart w:id="118" w:name="dice"/>
    <w:p>
      <w:pPr>
        <w:pStyle w:val="Ttulo3"/>
      </w:pPr>
      <w:r>
        <w:t xml:space="preserve">DiCE</w:t>
      </w:r>
    </w:p>
    <w:p>
      <w:pPr>
        <w:pStyle w:val="FirstParagraph"/>
        <w:jc w:val="both"/>
        <w:spacing w:line="480" w:lineRule="auto"/>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jc w:val="both"/>
        <w:spacing w:line="480" w:lineRule="auto"/>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18"/>
    <w:bookmarkEnd w:id="119"/>
    <w:bookmarkStart w:id="122" w:name="sec-transversal"/>
    <w:p>
      <w:pPr>
        <w:pStyle w:val="Ttulo2"/>
      </w:pPr>
      <w:r>
        <w:t xml:space="preserve">Análisis transversal: efecto del modelo base y del tamaño de muestra</w:t>
      </w:r>
    </w:p>
    <w:bookmarkStart w:id="120" w:name="Xd0dc4cebb30e80d859f681a41b6366a7a2cd5a6"/>
    <w:p>
      <w:pPr>
        <w:pStyle w:val="Ttulo3"/>
      </w:pPr>
      <w:r>
        <w:t xml:space="preserve">Efecto del modelo base sobre las métricas</w:t>
      </w:r>
    </w:p>
    <w:p>
      <w:pPr>
        <w:pStyle w:val="FirstParagraph"/>
        <w:jc w:val="both"/>
        <w:spacing w:line="480" w:lineRule="auto"/>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jc w:val="both"/>
        <w:spacing w:line="480" w:lineRule="auto"/>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jc w:val="both"/>
        <w:spacing w:line="480" w:lineRule="auto"/>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jc w:val="both"/>
        <w:spacing w:line="480" w:lineRule="auto"/>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jc w:val="both"/>
        <w:spacing w:line="480" w:lineRule="auto"/>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lo descalifica para uso en auditoría.</w:t>
      </w:r>
    </w:p>
    <w:bookmarkEnd w:id="120"/>
    <w:bookmarkStart w:id="121" w:name="X4b1cce5291d3b83ee4e2fe33ac88be27315f5a8"/>
    <w:p>
      <w:pPr>
        <w:pStyle w:val="Ttulo3"/>
      </w:pPr>
      <w:r>
        <w:t xml:space="preserve">Efecto del tamaño de muestra estratificado</w:t>
      </w:r>
    </w:p>
    <w:p>
      <w:pPr>
        <w:pStyle w:val="FirstParagraph"/>
        <w:jc w:val="both"/>
        <w:spacing w:line="480" w:lineRule="auto"/>
      </w:pPr>
      <w:r>
        <w:t xml:space="preserve">El análisis del efecto de</w:t>
      </w:r>
      <w:r>
        <w:t xml:space="preserve"> </w:t>
      </w:r>
      <m:oMath>
        <m:r>
          <m:t>N</m:t>
        </m:r>
      </m: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m:oMath>
        <m:r>
          <m:t>N</m:t>
        </m:r>
      </m:oMath>
      <w:r>
        <w:t xml:space="preserve"> </w:t>
      </w:r>
      <w:r>
        <w:t xml:space="preserve">son:</w:t>
      </w:r>
      <w:r>
        <w:t xml:space="preserve"> </w:t>
      </w:r>
      <m:oMath>
        <m:r>
          <m:t>N</m:t>
        </m:r>
        <m:r>
          <m:rPr>
            <m:sty m:val="p"/>
          </m:rPr>
          <m:t>=</m:t>
        </m:r>
        <m:r>
          <m:t>50</m:t>
        </m:r>
      </m:oMath>
      <w:r>
        <w:t xml:space="preserve">: 0.811,</w:t>
      </w:r>
      <w:r>
        <w:t xml:space="preserve"> </w:t>
      </w:r>
      <m:oMath>
        <m:r>
          <m:t>N</m:t>
        </m:r>
        <m:r>
          <m:rPr>
            <m:sty m:val="p"/>
          </m:rPr>
          <m:t>=</m:t>
        </m:r>
        <m:r>
          <m:t>100</m:t>
        </m:r>
      </m:oMath>
      <w:r>
        <w:t xml:space="preserve">: 0.804,</w:t>
      </w:r>
      <w:r>
        <w:t xml:space="preserve"> </w:t>
      </w:r>
      <m:oMath>
        <m:r>
          <m:t>N</m:t>
        </m:r>
        <m:r>
          <m:rPr>
            <m:sty m:val="p"/>
          </m:rPr>
          <m:t>=</m:t>
        </m:r>
        <m:r>
          <m:t>200</m:t>
        </m:r>
      </m:oMath>
      <w:r>
        <w:t xml:space="preserve">: 0.814,</w:t>
      </w:r>
      <w:r>
        <w:t xml:space="preserve"> </w:t>
      </w:r>
      <w:r>
        <w:t xml:space="preserve">con diferencias absolutas inferiores a 0.010. Para LIME:</w:t>
      </w:r>
      <w:r>
        <w:t xml:space="preserve"> </w:t>
      </w:r>
      <m:oMath>
        <m:r>
          <m:t>N</m:t>
        </m:r>
        <m:r>
          <m:rPr>
            <m:sty m:val="p"/>
          </m:rPr>
          <m:t>=</m:t>
        </m:r>
        <m:r>
          <m:t>50</m:t>
        </m:r>
      </m:oMath>
      <w:r>
        <w:t xml:space="preserve">: 0.559,</w:t>
      </w:r>
      <w:r>
        <w:t xml:space="preserve"> </w:t>
      </w:r>
      <m:oMath>
        <m:r>
          <m:t>N</m:t>
        </m:r>
        <m:r>
          <m:rPr>
            <m:sty m:val="p"/>
          </m:rPr>
          <m:t>=</m:t>
        </m:r>
        <m:r>
          <m:t>100</m:t>
        </m:r>
      </m:oMath>
      <w:r>
        <w:t xml:space="preserve">: 0.561,</w:t>
      </w:r>
      <w:r>
        <w:t xml:space="preserve"> </w:t>
      </w:r>
      <m:oMath>
        <m:r>
          <m:t>N</m:t>
        </m:r>
        <m:r>
          <m:rPr>
            <m:sty m:val="p"/>
          </m:rPr>
          <m:t>=</m:t>
        </m:r>
        <m:r>
          <m:t>200</m:t>
        </m:r>
      </m:oMath>
      <w:r>
        <w:t xml:space="preserve">: 0.562. Estas diferencias son inferiores a un punto</w:t>
      </w:r>
      <w:r>
        <w:t xml:space="preserve"> </w:t>
      </w:r>
      <w:r>
        <w:t xml:space="preserve">porcentual y no muestran tendencia monótona.</w:t>
      </w:r>
    </w:p>
    <w:p>
      <w:pPr>
        <w:pStyle w:val="Textoindependiente"/>
        <w:jc w:val="both"/>
        <w:spacing w:line="480" w:lineRule="auto"/>
      </w:pPr>
      <w:r>
        <w:t xml:space="preserve">La invarianza de las métricas ante el tamaño de muestra tiene dos implicaciones:</w:t>
      </w:r>
      <w:r>
        <w:t xml:space="preserve"> </w:t>
      </w:r>
      <w:r>
        <w:t xml:space="preserve">(1) la estimación por estrato converge rápidamente, de modo que</w:t>
      </w:r>
      <w:r>
        <w:t xml:space="preserve"> </w:t>
      </w:r>
      <m:oMath>
        <m:r>
          <m:t>N</m:t>
        </m:r>
        <m:r>
          <m:rPr>
            <m:sty m:val="p"/>
          </m:rPr>
          <m:t>=</m:t>
        </m:r>
        <m:r>
          <m:t>50</m:t>
        </m:r>
      </m: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m:oMath>
        <m:r>
          <m:t>N</m:t>
        </m:r>
      </m:oMath>
      <w:r>
        <w:t xml:space="preserve"> </w:t>
      </w:r>
      <w:r>
        <w:t xml:space="preserve">en LIME (estructura lineal)</w:t>
      </w:r>
      <w:r>
        <w:t xml:space="preserve"> </w:t>
      </w:r>
      <w:r>
        <w:t xml:space="preserve">pero no en SHAP para modelos de árbol (TreeSHAP escala logarítmicamente).</w:t>
      </w:r>
    </w:p>
    <w:bookmarkEnd w:id="121"/>
    <w:bookmarkEnd w:id="122"/>
    <w:bookmarkStart w:id="126" w:name="sec-discusion"/>
    <w:p>
      <w:pPr>
        <w:pStyle w:val="Ttulo2"/>
      </w:pPr>
      <w:r>
        <w:t xml:space="preserve">Discusión</w:t>
      </w:r>
    </w:p>
    <w:bookmarkStart w:id="123" w:name="interpretación-conjunta-de-h1-h2-y-h3"/>
    <w:p>
      <w:pPr>
        <w:pStyle w:val="Ttulo3"/>
      </w:pPr>
      <w:r>
        <w:t xml:space="preserve">Interpretación conjunta de H1, H2 y H3</w:t>
      </w:r>
    </w:p>
    <w:p>
      <w:pPr>
        <w:pStyle w:val="FirstParagraph"/>
        <w:jc w:val="both"/>
        <w:spacing w:line="480" w:lineRule="auto"/>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jc w:val="both"/>
        <w:spacing w:line="480" w:lineRule="auto"/>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jc w:val="both"/>
        <w:spacing w:line="480" w:lineRule="auto"/>
      </w:pPr>
      <w:r>
        <w:t xml:space="preserve">La magnitud del efecto en las comparaciones SHAP-LIME (</w:t>
      </w:r>
      <m:oMath>
        <m:sSub>
          <m:e>
            <m:r>
              <m:t>d</m:t>
            </m:r>
          </m:e>
          <m:sub>
            <m:r>
              <m:t>z</m:t>
            </m:r>
          </m:sub>
        </m:sSub>
        <m:r>
          <m:rPr>
            <m:sty m:val="p"/>
          </m:rPr>
          <m:t>=</m:t>
        </m:r>
        <m:r>
          <m:t>3.85</m:t>
        </m:r>
      </m:oMath>
      <w:r>
        <w:t xml:space="preserve"> </w:t>
      </w:r>
      <w:r>
        <w:t xml:space="preserve">para</w:t>
      </w:r>
      <w:r>
        <w:t xml:space="preserve"> </w:t>
      </w:r>
      <w:r>
        <w:t xml:space="preserve">fidelidad,</w:t>
      </w:r>
      <w:r>
        <w:t xml:space="preserve"> </w:t>
      </w:r>
      <m:oMath>
        <m:sSub>
          <m:e>
            <m:r>
              <m:t>d</m:t>
            </m:r>
          </m:e>
          <m:sub>
            <m:r>
              <m:t>z</m:t>
            </m:r>
          </m:sub>
        </m:sSub>
        <m:r>
          <m:rPr>
            <m:sty m:val="p"/>
          </m:rPr>
          <m:t>=</m:t>
        </m:r>
        <m:r>
          <m:t>2.85</m:t>
        </m:r>
      </m:oMath>
      <w:r>
        <w:t xml:space="preserve"> </w:t>
      </w:r>
      <w:r>
        <w:t xml:space="preserve">para estabilidad) es inusualmente grande en el contexto</w:t>
      </w:r>
      <w:r>
        <w:t xml:space="preserve"> </w:t>
      </w:r>
      <w:r>
        <w:t xml:space="preserve">de experimentos de benchmarking XAI. Trabajos recientes de referencia en el</w:t>
      </w:r>
      <w:r>
        <w:t xml:space="preserve"> </w:t>
      </w:r>
      <w:r>
        <w:t xml:space="preserve">campo</w:t>
      </w:r>
      <w:r>
        <w:t xml:space="preserve"> </w:t>
      </w:r>
      <w:r>
        <w:t xml:space="preserve">(Hedström et al. 2023; Agarwal et al. 2022)</w:t>
      </w:r>
      <w:r>
        <w:t xml:space="preserve"> </w:t>
      </w:r>
      <w:r>
        <w:t xml:space="preserve">reportan diferencias significativas entre</w:t>
      </w:r>
      <w:r>
        <w:t xml:space="preserve"> </w:t>
      </w:r>
      <w:r>
        <w:t xml:space="preserve">métodos, pero raramente con tamaños de efecto de esta magnitud. La consistencia</w:t>
      </w:r>
      <w:r>
        <w:t xml:space="preserve"> </w:t>
      </w:r>
      <w:r>
        <w:t xml:space="preserve">del ordenamiento en los 71 pares sin una sola excepción en fidelidad y</w:t>
      </w:r>
      <w:r>
        <w:t xml:space="preserve"> </w:t>
      </w:r>
      <w:r>
        <w:t xml:space="preserve">estabilidad (0 diferencias negativas) fortalece la interpretación causal:</w:t>
      </w:r>
      <w:r>
        <w:t xml:space="preserve"> </w:t>
      </w:r>
      <w:r>
        <w:t xml:space="preserve">la superioridad de SHAP no es un artefacto estadístico marginal sino una</w:t>
      </w:r>
      <w:r>
        <w:t xml:space="preserve"> </w:t>
      </w:r>
      <w:r>
        <w:t xml:space="preserve">propiedad estructural del método bajo el diseño experimental de este benchmark.</w:t>
      </w:r>
    </w:p>
    <w:bookmarkEnd w:id="123"/>
    <w:bookmarkStart w:id="124" w:name="Xc1ed5f3543a7dd0de955900be27cfdca3c1471a"/>
    <w:p>
      <w:pPr>
        <w:pStyle w:val="Ttulo3"/>
      </w:pPr>
      <w:r>
        <w:t xml:space="preserve">Trade-off calidad-coste y criterios de selección operativa</w:t>
      </w:r>
    </w:p>
    <w:p>
      <w:pPr>
        <w:pStyle w:val="FirstParagraph"/>
        <w:jc w:val="both"/>
        <w:spacing w:line="480" w:lineRule="auto"/>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jc w:val="both"/>
        <w:spacing w:line="480" w:lineRule="auto"/>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única opción con</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jc w:val="both"/>
        <w:spacing w:line="480" w:lineRule="auto"/>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jc w:val="both"/>
        <w:spacing w:line="480" w:lineRule="auto"/>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jc w:val="both"/>
        <w:spacing w:line="480" w:lineRule="auto"/>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24"/>
    <w:bookmarkStart w:id="125" w:name="X99626a17a471bd5fb48825a2c4d4fcdcb69bcee"/>
    <w:p>
      <w:pPr>
        <w:pStyle w:val="Ttulo3"/>
      </w:pPr>
      <w:r>
        <w:t xml:space="preserve">Contribuciones, limitaciones y extensiones</w:t>
      </w:r>
    </w:p>
    <w:p>
      <w:pPr>
        <w:pStyle w:val="FirstParagraph"/>
        <w:jc w:val="both"/>
        <w:spacing w:line="480" w:lineRule="auto"/>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jc w:val="both"/>
        <w:spacing w:line="480" w:lineRule="auto"/>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bookmarkEnd w:id="125"/>
    <w:bookmarkEnd w:id="126"/>
    <w:bookmarkEnd w:id="127"/>
    <w:bookmarkStart w:id="144" w:name="conclusiones"/>
    <w:p>
      <w:pPr>
        <w:pStyle w:val="Ttulo1"/>
      </w:pPr>
      <w:r>
        <w:t xml:space="preserve">Conclusiones</w:t>
      </w:r>
    </w:p>
    <w:p>
      <w:pPr>
        <w:pStyle w:val="FirstParagraph"/>
        <w:jc w:val="both"/>
        <w:spacing w:line="480" w:lineRule="auto"/>
      </w:pPr>
      <w:r>
        <w:t xml:space="preserve">Esta tesis parte de una constatación empírica recurrente en la literatura: el</w:t>
      </w:r>
      <w:r>
        <w:t xml:space="preserve"> </w:t>
      </w:r>
      <w:r>
        <w:t xml:space="preserve">campo de la evaluación de métodos XAI carece de protocolos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trazabilidad</w:t>
      </w:r>
      <w:r>
        <w:t xml:space="preserve"> </w:t>
      </w:r>
      <w:r>
        <w:t xml:space="preserve">entre el diseño experimental, los artefactos de resultado y las afirmaciones</w:t>
      </w:r>
      <w:r>
        <w:t xml:space="preserve"> </w:t>
      </w:r>
      <w:r>
        <w:t xml:space="preserve">inferenciales. Esta tesis responde a ese problema con tres contribuciones</w:t>
      </w:r>
      <w:r>
        <w:t xml:space="preserve"> </w:t>
      </w:r>
      <w:r>
        <w:t xml:space="preserve">articuladas: un protocolo de operación reproducible (FOM-7), un benchmark</w:t>
      </w:r>
      <w:r>
        <w:t xml:space="preserve"> </w:t>
      </w:r>
      <w:r>
        <w:t xml:space="preserve">multi-métrico sobre datos tabulares reales y una taxonomía estructurada del</w:t>
      </w:r>
      <w:r>
        <w:t xml:space="preserve"> </w:t>
      </w:r>
      <w:r>
        <w:t xml:space="preserve">espacio de métricas de evaluación XAI. Como capa empírica complementaria, la</w:t>
      </w:r>
      <w:r>
        <w:t xml:space="preserve"> </w:t>
      </w:r>
      <w:r>
        <w:t xml:space="preserve">tesis incorpora además una validación humana piloto de 120 anotaciones que</w:t>
      </w:r>
      <w:r>
        <w:t xml:space="preserve"> </w:t>
      </w:r>
      <w:r>
        <w:t xml:space="preserve">examina dimensiones semánticas de calidad explicativa no observables mediante</w:t>
      </w:r>
      <w:r>
        <w:t xml:space="preserve"> </w:t>
      </w:r>
      <w:r>
        <w:t xml:space="preserve">las métricas funcionales automáticas.</w:t>
      </w:r>
    </w:p>
    <w:bookmarkStart w:id="130" w:name="sec-respuesta"/>
    <w:p>
      <w:pPr>
        <w:pStyle w:val="Ttulo2"/>
      </w:pPr>
      <w:r>
        <w:t xml:space="preserve">Respuesta al problema de investigación e hipótesis</w:t>
      </w:r>
    </w:p>
    <w:p>
      <w:pPr>
        <w:pStyle w:val="FirstParagraph"/>
        <w:jc w:val="both"/>
        <w:spacing w:line="480" w:lineRule="auto"/>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jc w:val="both"/>
        <w:spacing w:line="480" w:lineRule="auto"/>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incontrovertibles bajo el protocolo FOM-7. La respuesta</w:t>
      </w:r>
      <w:r>
        <w:t xml:space="preserve"> </w:t>
      </w:r>
      <w:r>
        <w:t xml:space="preserve">directa es:</w:t>
      </w:r>
      <w:r>
        <w:t xml:space="preserve"> </w:t>
      </w:r>
      <w:r>
        <w:rPr>
          <w:b/>
          <w:bCs/>
        </w:rPr>
        <w:t xml:space="preserve">SHAP domina en fidelidad y estabilidad en todos los contextos</w:t>
      </w:r>
      <w:r>
        <w:rPr>
          <w:b/>
          <w:bCs/>
        </w:rPr>
        <w:t xml:space="preserve"> </w:t>
      </w:r>
      <w:r>
        <w:rPr>
          <w:b/>
          <w:bCs/>
        </w:rPr>
        <w:t xml:space="preserve">modelo-muestra evaluados; LIME es la única alternativa cuando el coste</w:t>
      </w:r>
      <w:r>
        <w:rPr>
          <w:b/>
          <w:bCs/>
        </w:rPr>
        <w:t xml:space="preserve"> </w:t>
      </w:r>
      <w:r>
        <w:rPr>
          <w:b/>
          <w:bCs/>
        </w:rPr>
        <w:t xml:space="preserve">computacional es crítico, con la condición de aceptar explicaciones</w:t>
      </w:r>
      <w:r>
        <w:rPr>
          <w:b/>
          <w:bCs/>
        </w:rPr>
        <w:t xml:space="preserve"> </w:t>
      </w:r>
      <w:r>
        <w:rPr>
          <w:b/>
          <w:bCs/>
        </w:rPr>
        <w:t xml:space="preserve">estructuralmente inestables; Anchors y DiCE atienden objetivos explicativos</w:t>
      </w:r>
      <w:r>
        <w:rPr>
          <w:b/>
          <w:bCs/>
        </w:rPr>
        <w:t xml:space="preserve"> </w:t>
      </w:r>
      <w:r>
        <w:rPr>
          <w:b/>
          <w:bCs/>
        </w:rPr>
        <w:t xml:space="preserve">cualitativamente distintos que las métricas de atribución no capturan</w:t>
      </w:r>
      <w:r>
        <w:rPr>
          <w:b/>
          <w:bCs/>
        </w:rPr>
        <w:t xml:space="preserve"> </w:t>
      </w:r>
      <w:r>
        <w:rPr>
          <w:b/>
          <w:bCs/>
        </w:rPr>
        <w:t xml:space="preserve">plenamente.</w:t>
      </w:r>
      <w:r>
        <w:t xml:space="preserve"> </w:t>
      </w:r>
      <w:r>
        <w:t xml:space="preserve">Esta orientación es robusta: emerge de 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jc w:val="both"/>
        <w:spacing w:line="480" w:lineRule="auto"/>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28" w:name="tbl-hipotesis"/>
          <w:p>
            <w:pPr>
              <w:jc w:val="center"/>
            </w:pPr>
            <w:pPr>
              <w:jc w:val="left"/>
              <w:spacing w:before="200"/>
              <w:pStyle w:val="ImageCaption"/>
            </w:pPr>
            <w:r>
              <w:t xml:space="preserve">Table 6.1: Síntesis de hipótesis y proposición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center"/>
                  </w:pPr>
                  <w:r>
                    <w:t xml:space="preserve">Hipótesis / Proposición</w:t>
                  </w:r>
                </w:p>
              </w:tc>
              <w:tc>
                <w:tcPr/>
                <w:p>
                  <w:pPr>
                    <w:pStyle w:val="Compact"/>
                    <w:jc w:val="center"/>
                  </w:pPr>
                  <w:r>
                    <w:t xml:space="preserve">Resultado</w:t>
                  </w:r>
                </w:p>
              </w:tc>
              <w:tc>
                <w:tcPr/>
                <w:p>
                  <w:pPr>
                    <w:pStyle w:val="Compact"/>
                    <w:jc w:val="center"/>
                  </w:pPr>
                  <w:r>
                    <w:t xml:space="preserve">Estadístico clave</w:t>
                  </w:r>
                </w:p>
              </w:tc>
            </w:tr>
            <w:tr>
              <w:tc>
                <w:tcPr/>
                <w:p>
                  <w:pPr>
                    <w:pStyle w:val="Compact"/>
                    <w:jc w:val="center"/>
                  </w:pPr>
                  <w:r>
                    <w:t xml:space="preserve">H1: diferencias en fidelidad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42.12</m:t>
                    </m:r>
                  </m:oMath>
                  <w:r>
                    <w:t xml:space="preserve">; margen 439%</w:t>
                  </w:r>
                </w:p>
              </w:tc>
            </w:tr>
            <w:tr>
              <w:tc>
                <w:tcPr/>
                <w:p>
                  <w:pPr>
                    <w:pStyle w:val="Compact"/>
                    <w:jc w:val="center"/>
                  </w:pPr>
                  <w:r>
                    <w:t xml:space="preserve">H2: diferencias en estabilidad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40.68</m:t>
                    </m:r>
                  </m:oMath>
                  <w:r>
                    <w:t xml:space="preserve">; margen 421%</w:t>
                  </w:r>
                </w:p>
              </w:tc>
            </w:tr>
            <w:tr>
              <w:tc>
                <w:tcPr/>
                <w:p>
                  <w:pPr>
                    <w:pStyle w:val="Compact"/>
                    <w:jc w:val="center"/>
                  </w:pPr>
                  <w:r>
                    <w:t xml:space="preserve">H3: SHAP-LIME difieren en calidad y coste</w:t>
                  </w:r>
                </w:p>
              </w:tc>
              <w:tc>
                <w:tcPr/>
                <w:p>
                  <w:pPr>
                    <w:pStyle w:val="Compact"/>
                    <w:jc w:val="center"/>
                  </w:pPr>
                  <w:r>
                    <w:rPr>
                      <w:b/>
                      <w:bCs/>
                    </w:rPr>
                    <w:t xml:space="preserve">Confirmada</w:t>
                  </w:r>
                </w:p>
              </w:tc>
              <w:tc>
                <w:tcPr/>
                <w:p>
                  <w:pPr>
                    <w:pStyle w:val="Compact"/>
                    <w:jc w:val="center"/>
                  </w:pPr>
                  <m:oMath>
                    <m:sSub>
                      <m:e>
                        <m:r>
                          <m:t>d</m:t>
                        </m:r>
                      </m:e>
                      <m:sub>
                        <m:r>
                          <m:t>z</m:t>
                        </m:r>
                      </m:sub>
                    </m:sSub>
                    <m:r>
                      <m:rPr>
                        <m:sty m:val="p"/>
                      </m:rPr>
                      <m:t>=</m:t>
                    </m:r>
                    <m:r>
                      <m:rPr>
                        <m:sty m:val="p"/>
                      </m:rPr>
                      <m:t>+</m:t>
                    </m:r>
                    <m:r>
                      <m:t>4.82</m:t>
                    </m:r>
                  </m:oMath>
                  <w:r>
                    <w:t xml:space="preserve"> </w:t>
                  </w:r>
                  <w:r>
                    <w:t xml:space="preserve">(fidelidad);</w:t>
                  </w:r>
                  <w:r>
                    <w:t xml:space="preserve"> </w:t>
                  </w:r>
                  <m:oMath>
                    <m:sSub>
                      <m:e>
                        <m:r>
                          <m:t>d</m:t>
                        </m:r>
                      </m:e>
                      <m:sub>
                        <m:r>
                          <m:t>z</m:t>
                        </m:r>
                      </m:sub>
                    </m:sSub>
                    <m:r>
                      <m:rPr>
                        <m:sty m:val="p"/>
                      </m:rPr>
                      <m:t>=</m:t>
                    </m:r>
                    <m:r>
                      <m:rPr>
                        <m:sty m:val="p"/>
                      </m:rPr>
                      <m:t>+</m:t>
                    </m:r>
                    <m:r>
                      <m:t>3.00</m:t>
                    </m:r>
                  </m:oMath>
                  <w:r>
                    <w:t xml:space="preserve"> </w:t>
                  </w:r>
                  <w:r>
                    <w:t xml:space="preserve">(estabilidad); 75/75 positivas</w:t>
                  </w:r>
                </w:p>
              </w:tc>
            </w:tr>
            <w:tr>
              <w:tc>
                <w:tcPr/>
                <w:p>
                  <w:pPr>
                    <w:pStyle w:val="Compact"/>
                    <w:jc w:val="center"/>
                  </w:pPr>
                  <w:r>
                    <w:t xml:space="preserve">P1: CV &lt; 15% en métricas primarias</w:t>
                  </w:r>
                </w:p>
              </w:tc>
              <w:tc>
                <w:tcPr/>
                <w:p>
                  <w:pPr>
                    <w:pStyle w:val="Compact"/>
                    <w:jc w:val="center"/>
                  </w:pPr>
                  <w:r>
                    <w:rPr>
                      <w:b/>
                      <w:bCs/>
                    </w:rPr>
                    <w:t xml:space="preserve">Parcialmente confirmada</w:t>
                  </w:r>
                </w:p>
              </w:tc>
              <w:tc>
                <w:tcPr/>
                <w:p>
                  <w:pPr>
                    <w:pStyle w:val="Compact"/>
                    <w:jc w:val="center"/>
                  </w:pPr>
                  <w:r>
                    <w:t xml:space="preserve">SHAP-fidelidad: CV=0.8%; LIME-estabilidad: CV=86.2% (incoherencia estructural, no ruido del protocolo)</w:t>
                  </w:r>
                </w:p>
              </w:tc>
            </w:tr>
          </w:tbl>
          <w:bookmarkEnd w:id="128"/>
          <w:p/>
        </w:tc>
      </w:tr>
    </w:tbl>
    <w:p>
      <w:pPr>
        <w:pStyle w:val="Textoindependiente"/>
        <w:jc w:val="both"/>
        <w:spacing w:line="480" w:lineRule="auto"/>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tbl-objetivos"/>
          <w:p>
            <w:pPr>
              <w:jc w:val="center"/>
            </w:pPr>
            <w:pPr>
              <w:jc w:val="left"/>
              <w:spacing w:before="200"/>
              <w:pStyle w:val="ImageCaption"/>
            </w:pPr>
            <w:r>
              <w:t xml:space="preserve">Table 6.2: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center"/>
                  </w:pPr>
                  <w:r>
                    <w:t xml:space="preserve">Objetivo específico</w:t>
                  </w:r>
                </w:p>
              </w:tc>
              <w:tc>
                <w:tcPr/>
                <w:p>
                  <w:pPr>
                    <w:pStyle w:val="Compact"/>
                    <w:jc w:val="center"/>
                  </w:pPr>
                  <w:r>
                    <w:t xml:space="preserve">Estado</w:t>
                  </w:r>
                </w:p>
              </w:tc>
            </w:tr>
            <w:tr>
              <w:tc>
                <w:tcPr/>
                <w:p>
                  <w:pPr>
                    <w:pStyle w:val="Compact"/>
                    <w:jc w:val="center"/>
                  </w:pPr>
                  <w:r>
                    <w:t xml:space="preserve">OE1 — Formalizar protocolo FOM-7</w:t>
                  </w:r>
                </w:p>
              </w:tc>
              <w:tc>
                <w:tcPr/>
                <w:p>
                  <w:pPr>
                    <w:pStyle w:val="Compact"/>
                    <w:jc w:val="center"/>
                  </w:pPr>
                  <w:r>
                    <w:t xml:space="preserve">Completado. El protocolo opera como secuencia de 7 puertas y produjo 275 artefactos calificados con trazabilidad completa.</w:t>
                  </w:r>
                </w:p>
              </w:tc>
            </w:tr>
            <w:tr>
              <w:tc>
                <w:tcPr/>
                <w:p>
                  <w:pPr>
                    <w:pStyle w:val="Compact"/>
                    <w:jc w:val="center"/>
                  </w:pPr>
                  <w:r>
                    <w:t xml:space="preserve">OE2 — Evaluar SHAP, LIME, Anchors, DiCE sobre 5 modelos</w:t>
                  </w:r>
                </w:p>
              </w:tc>
              <w:tc>
                <w:tcPr/>
                <w:p>
                  <w:pPr>
                    <w:pStyle w:val="Compact"/>
                    <w:jc w:val="center"/>
                  </w:pPr>
                  <w:r>
                    <w:t xml:space="preserve">Completado. Benchmark multi-métrico sobre UCI Adult Income con 5 métricas primarias.</w:t>
                  </w:r>
                </w:p>
              </w:tc>
            </w:tr>
            <w:tr>
              <w:tc>
                <w:tcPr/>
                <w:p>
                  <w:pPr>
                    <w:pStyle w:val="Compact"/>
                    <w:jc w:val="center"/>
                  </w:pPr>
                  <w:r>
                    <w:t xml:space="preserve">OE3 — Cuantificar trade-off calidad-coste SHAP-LIME</w:t>
                  </w:r>
                </w:p>
              </w:tc>
              <w:tc>
                <w:tcPr/>
                <w:p>
                  <w:pPr>
                    <w:pStyle w:val="Compact"/>
                    <w:jc w:val="center"/>
                  </w:pPr>
                  <w:r>
                    <w:t xml:space="preserve">Completado. Análisis pareado sobre 75 celdas coincidentes con corrección de multiplicidad Holm-Bonferroni.</w:t>
                  </w:r>
                </w:p>
              </w:tc>
            </w:tr>
            <w:tr>
              <w:tc>
                <w:tcPr/>
                <w:p>
                  <w:pPr>
                    <w:pStyle w:val="Compact"/>
                    <w:jc w:val="center"/>
                  </w:pPr>
                  <w:r>
                    <w:t xml:space="preserve">OE4 — Caracterizar reproducibilidad del protocolo</w:t>
                  </w:r>
                </w:p>
              </w:tc>
              <w:tc>
                <w:tcPr/>
                <w:p>
                  <w:pPr>
                    <w:pStyle w:val="Compact"/>
                    <w:jc w:val="center"/>
                  </w:pPr>
                  <w:r>
                    <w:t xml:space="preserve">Completado. CV &lt; 3% para fidelidad; variabilidad del coste inherente a la heterogeneidad del hardware.</w:t>
                  </w:r>
                </w:p>
              </w:tc>
            </w:tr>
            <w:tr>
              <w:tc>
                <w:tcPr/>
                <w:p>
                  <w:pPr>
                    <w:pStyle w:val="Compact"/>
                    <w:jc w:val="center"/>
                  </w:pPr>
                  <w:r>
                    <w:t xml:space="preserve">OE5 — Construir taxonomía estructurada</w:t>
                  </w:r>
                </w:p>
              </w:tc>
              <w:tc>
                <w:tcPr/>
                <w:p>
                  <w:pPr>
                    <w:pStyle w:val="Compact"/>
                    <w:jc w:val="center"/>
                  </w:pPr>
                  <w:r>
                    <w:t xml:space="preserve">Completado. Véase Sección 5.2.</w:t>
                  </w:r>
                </w:p>
              </w:tc>
            </w:tr>
          </w:tbl>
          <w:bookmarkEnd w:id="129"/>
          <w:p/>
        </w:tc>
      </w:tr>
    </w:tbl>
    <w:p>
      <w:pPr>
        <w:pStyle w:val="Textoindependiente"/>
        <w:jc w:val="both"/>
        <w:spacing w:line="480" w:lineRule="auto"/>
      </w:pPr>
      <w:r>
        <w:t xml:space="preserve">Además de estos objetivos confirmativos, la tesis produjo una capa descriptiva</w:t>
      </w:r>
      <w:r>
        <w:t xml:space="preserve"> </w:t>
      </w:r>
      <w:r>
        <w:t xml:space="preserve">de validación humana de explicaciones. Esta capa no modifica la resolución de</w:t>
      </w:r>
      <w:r>
        <w:t xml:space="preserve"> </w:t>
      </w:r>
      <w:r>
        <w:t xml:space="preserve">H1–H3, pero amplía la interpretación de los resultados al mostrar que las</w:t>
      </w:r>
      <w:r>
        <w:t xml:space="preserve"> </w:t>
      </w:r>
      <w:r>
        <w:t xml:space="preserve">explicaciones son valoradas positivamente en claridad, completitud,</w:t>
      </w:r>
      <w:r>
        <w:t xml:space="preserve"> </w:t>
      </w:r>
      <w:r>
        <w:t xml:space="preserve">plausibilidad y utilidad de auditoría, mientras que la concisión constituye la</w:t>
      </w:r>
      <w:r>
        <w:t xml:space="preserve"> </w:t>
      </w:r>
      <w:r>
        <w:t xml:space="preserve">debilidad perceptiva más marcada. La evidencia humana refuerza la tesis central</w:t>
      </w:r>
      <w:r>
        <w:t xml:space="preserve"> </w:t>
      </w:r>
      <w:r>
        <w:t xml:space="preserve">de que la calidad explicativa es multidimensional y que los resultados</w:t>
      </w:r>
      <w:r>
        <w:t xml:space="preserve"> </w:t>
      </w:r>
      <w:r>
        <w:t xml:space="preserve">funcionales deben complementarse con evidencia semántica cuando las</w:t>
      </w:r>
      <w:r>
        <w:t xml:space="preserve"> </w:t>
      </w:r>
      <w:r>
        <w:t xml:space="preserve">afirmaciones se refieren a comprensión o utilidad para auditoría.</w:t>
      </w:r>
    </w:p>
    <w:bookmarkEnd w:id="130"/>
    <w:bookmarkStart w:id="136" w:name="sec-taxonomia"/>
    <w:p>
      <w:pPr>
        <w:pStyle w:val="Ttulo2"/>
      </w:pPr>
      <w:r>
        <w:t xml:space="preserve">Estudio C: Taxonomía estructurada del espacio de métricas de evaluación XAI</w:t>
      </w:r>
    </w:p>
    <w:bookmarkStart w:id="131" w:name="motivación-y-posicionamiento"/>
    <w:p>
      <w:pPr>
        <w:pStyle w:val="Ttulo3"/>
      </w:pPr>
      <w:r>
        <w:t xml:space="preserve">Motivación y posicionamiento</w:t>
      </w:r>
    </w:p>
    <w:p>
      <w:pPr>
        <w:pStyle w:val="FirstParagraph"/>
        <w:jc w:val="both"/>
        <w:spacing w:line="480" w:lineRule="auto"/>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(e.g., el constructo</w:t>
      </w:r>
      <w:r>
        <w:t xml:space="preserve"> </w:t>
      </w:r>
      <w:r>
        <w:t xml:space="preserve">“completeness”</w:t>
      </w:r>
      <w:r>
        <w:t xml:space="preserve"> </w:t>
      </w:r>
      <w:r>
        <w:t xml:space="preserve">es denominado de forma independiente en al menos cuatro</w:t>
      </w:r>
      <w:r>
        <w:t xml:space="preserve"> </w:t>
      </w:r>
      <w:r>
        <w:t xml:space="preserve">trabajos). 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un marco que distinga métricas</w:t>
      </w:r>
      <w:r>
        <w:t xml:space="preserve"> </w:t>
      </w:r>
      <w:r>
        <w:rPr>
          <w:i/>
          <w:iCs/>
        </w:rPr>
        <w:t xml:space="preserve">functionally-grounded</w:t>
      </w:r>
      <w:r>
        <w:t xml:space="preserve"> </w:t>
      </w:r>
      <w:r>
        <w:t xml:space="preserve">(calculadas sin participantes humanos) de métricas</w:t>
      </w:r>
      <w:r>
        <w:t xml:space="preserve"> </w:t>
      </w:r>
      <w:r>
        <w:rPr>
          <w:i/>
          <w:iCs/>
        </w:rPr>
        <w:t xml:space="preserve">human-centered</w:t>
      </w:r>
      <w:r>
        <w:t xml:space="preserve"> </w:t>
      </w:r>
      <w:r>
        <w:t xml:space="preserve">(basadas en estudios de usuario), y que organice el espacio</w:t>
      </w:r>
      <w:r>
        <w:t xml:space="preserve"> </w:t>
      </w:r>
      <w:r>
        <w:t xml:space="preserve">por la propiedad de calidad que cada métrica pretende capturar.</w:t>
      </w:r>
    </w:p>
    <w:p>
      <w:pPr>
        <w:pStyle w:val="Textoindependiente"/>
        <w:jc w:val="both"/>
        <w:spacing w:line="480" w:lineRule="auto"/>
      </w:pPr>
      <w:r>
        <w:t xml:space="preserve">El Estudio C propone una taxonomía estructurada en cuatro ejes ortogonales que</w:t>
      </w:r>
      <w:r>
        <w:t xml:space="preserve"> </w:t>
      </w:r>
      <w:r>
        <w:t xml:space="preserve">permite clasificar cualquier métrica del espacio de evaluación XAI. Los cuatro</w:t>
      </w:r>
      <w:r>
        <w:t xml:space="preserve"> </w:t>
      </w:r>
      <w:r>
        <w:t xml:space="preserve">ejes responden a preguntas distintas y complementarias:</w:t>
      </w:r>
      <w:r>
        <w:t xml:space="preserve"> </w:t>
      </w:r>
      <w:r>
        <w:rPr>
          <w:i/>
          <w:iCs/>
        </w:rPr>
        <w:t xml:space="preserve">¿qué se evalúa?</w:t>
      </w:r>
      <w:r>
        <w:t xml:space="preserve"> </w:t>
      </w:r>
      <w:r>
        <w:t xml:space="preserve">(objetivo de evaluación),</w:t>
      </w:r>
      <w:r>
        <w:t xml:space="preserve"> </w:t>
      </w:r>
      <w:r>
        <w:rPr>
          <w:i/>
          <w:iCs/>
        </w:rPr>
        <w:t xml:space="preserve">¿con qué evidencia?</w:t>
      </w:r>
      <w:r>
        <w:t xml:space="preserve"> </w:t>
      </w:r>
      <w:r>
        <w:t xml:space="preserve">(fuente de evidencia),</w:t>
      </w:r>
      <w:r>
        <w:t xml:space="preserve"> </w:t>
      </w:r>
      <w:r>
        <w:rPr>
          <w:i/>
          <w:iCs/>
        </w:rPr>
        <w:t xml:space="preserve">¿qué</w:t>
      </w:r>
      <w:r>
        <w:rPr>
          <w:i/>
          <w:iCs/>
        </w:rPr>
        <w:t xml:space="preserve"> </w:t>
      </w:r>
      <w:r>
        <w:rPr>
          <w:i/>
          <w:iCs/>
        </w:rPr>
        <w:t xml:space="preserve">propiedad de calidad?</w:t>
      </w:r>
      <w:r>
        <w:t xml:space="preserve"> </w:t>
      </w:r>
      <w:r>
        <w:t xml:space="preserve">(propiedad de calidad), y</w:t>
      </w:r>
      <w:r>
        <w:t xml:space="preserve"> </w:t>
      </w:r>
      <w:r>
        <w:rPr>
          <w:i/>
          <w:iCs/>
        </w:rPr>
        <w:t xml:space="preserve">¿para qué tarea?</w:t>
      </w:r>
      <w:r>
        <w:t xml:space="preserve"> </w:t>
      </w:r>
      <w:r>
        <w:t xml:space="preserve">(contexto</w:t>
      </w:r>
      <w:r>
        <w:t xml:space="preserve"> </w:t>
      </w:r>
      <w:r>
        <w:t xml:space="preserve">de tarea). La ortogonalidad de los ejes permite que una métrica sea</w:t>
      </w:r>
      <w:r>
        <w:t xml:space="preserve"> </w:t>
      </w:r>
      <w:r>
        <w:t xml:space="preserve">caracterizada por la intersección de sus cuatro coordenadas, facilitando la</w:t>
      </w:r>
      <w:r>
        <w:t xml:space="preserve"> </w:t>
      </w:r>
      <w:r>
        <w:t xml:space="preserve">comparación sistemática entre métricas y la detección de brechas de cobertura</w:t>
      </w:r>
      <w:r>
        <w:t xml:space="preserve"> </w:t>
      </w:r>
      <w:r>
        <w:t xml:space="preserve">en un benchmark.</w:t>
      </w:r>
    </w:p>
    <w:bookmarkEnd w:id="131"/>
    <w:bookmarkStart w:id="132" w:name="los-cuatro-ejes-de-la-taxonomía"/>
    <w:p>
      <w:pPr>
        <w:pStyle w:val="Ttulo3"/>
      </w:pPr>
      <w:r>
        <w:t xml:space="preserve">Los cuatro ejes de la taxonomía</w:t>
      </w:r>
    </w:p>
    <w:p>
      <w:pPr>
        <w:pStyle w:val="FirstParagraph"/>
        <w:jc w:val="both"/>
        <w:spacing w:line="480" w:lineRule="auto"/>
      </w:pPr>
      <w:r>
        <w:rPr>
          <w:b/>
          <w:bCs/>
        </w:rPr>
        <w:t xml:space="preserve">Eje 1 — Objetivo de evaluación</w:t>
      </w:r>
      <w:r>
        <w:t xml:space="preserve"> </w:t>
      </w:r>
      <w:r>
        <w:t xml:space="preserve">(</w:t>
      </w:r>
      <w:r>
        <w:rPr>
          <w:i/>
          <w:iCs/>
        </w:rPr>
        <w:t xml:space="preserve">¿Qué aspecto de la explicación se</w:t>
      </w:r>
      <w:r>
        <w:rPr>
          <w:i/>
          <w:iCs/>
        </w:rPr>
        <w:t xml:space="preserve"> </w:t>
      </w:r>
      <w:r>
        <w:rPr>
          <w:i/>
          <w:iCs/>
        </w:rPr>
        <w:t xml:space="preserve">examina?</w:t>
      </w:r>
      <w:r>
        <w:t xml:space="preserve">)</w:t>
      </w:r>
    </w:p>
    <w:p>
      <w:pPr>
        <w:pStyle w:val="Textoindependiente"/>
        <w:jc w:val="both"/>
        <w:spacing w:line="480" w:lineRule="auto"/>
      </w:pPr>
      <w:r>
        <w:t xml:space="preserve">Este eje clasifica la dimensión de la explicación que la métrica interroga. Se</w:t>
      </w:r>
      <w:r>
        <w:t xml:space="preserve"> </w:t>
      </w:r>
      <w:r>
        <w:t xml:space="preserve">identifican cinco objetivos primarios:</w:t>
      </w:r>
    </w:p>
    <w:p>
      <w:pPr>
        <w:pStyle w:val="Compact"/>
        <w:numPr>
          <w:ilvl w:val="0"/>
          <w:numId w:val="1014"/>
        </w:numPr>
        <w:jc w:val="both"/>
        <w:spacing w:line="480" w:lineRule="auto"/>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w:t>
      </w:r>
      <w:r>
        <w:t xml:space="preserve"> </w:t>
      </w:r>
      <w:r>
        <w:t xml:space="preserve">(Abdul Kadir et al. 2023)</w:t>
      </w:r>
      <w:r>
        <w:t xml:space="preserve"> </w:t>
      </w:r>
      <w:r>
        <w:t xml:space="preserve">operan en este objetivo.</w:t>
      </w:r>
    </w:p>
    <w:p>
      <w:pPr>
        <w:pStyle w:val="Compact"/>
        <w:numPr>
          <w:ilvl w:val="0"/>
          <w:numId w:val="1014"/>
        </w:numPr>
        <w:jc w:val="both"/>
        <w:spacing w:line="480" w:lineRule="auto"/>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w:t>
      </w:r>
      <w:r>
        <w:t xml:space="preserve"> </w:t>
      </w:r>
      <w:r>
        <w:t xml:space="preserve">(Schwalbe 2023; Pawlicki et al. 2024)</w:t>
      </w:r>
      <w:r>
        <w:t xml:space="preserve"> </w:t>
      </w:r>
      <w:r>
        <w:t xml:space="preserve">operan en este objetivo.</w:t>
      </w:r>
    </w:p>
    <w:p>
      <w:pPr>
        <w:pStyle w:val="Compact"/>
        <w:numPr>
          <w:ilvl w:val="0"/>
          <w:numId w:val="1014"/>
        </w:numPr>
        <w:jc w:val="both"/>
        <w:spacing w:line="480" w:lineRule="auto"/>
      </w:pPr>
      <w:r>
        <w:rPr>
          <w:i/>
          <w:iCs/>
        </w:rPr>
        <w:t xml:space="preserve">Compacidad explicativa</w:t>
      </w:r>
      <w:r>
        <w:t xml:space="preserve">: en qué medida la explicación es concisa y no</w:t>
      </w:r>
      <w:r>
        <w:t xml:space="preserve"> </w:t>
      </w:r>
      <w:r>
        <w:t xml:space="preserve">redundante. La parsimonia y la complejidad efectiva</w:t>
      </w:r>
      <w:r>
        <w:t xml:space="preserve"> </w:t>
      </w:r>
      <w:r>
        <w:t xml:space="preserve">(Pawlicki et al. 2024)</w:t>
      </w:r>
      <w:r>
        <w:t xml:space="preserve"> </w:t>
      </w:r>
      <w:r>
        <w:t xml:space="preserve">operan en</w:t>
      </w:r>
      <w:r>
        <w:t xml:space="preserve"> </w:t>
      </w:r>
      <w:r>
        <w:t xml:space="preserve">este objetivo.</w:t>
      </w:r>
    </w:p>
    <w:p>
      <w:pPr>
        <w:pStyle w:val="Compact"/>
        <w:numPr>
          <w:ilvl w:val="0"/>
          <w:numId w:val="1014"/>
        </w:numPr>
        <w:jc w:val="both"/>
        <w:spacing w:line="480" w:lineRule="auto"/>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w:t>
      </w:r>
      <w:r>
        <w:rPr>
          <w:i/>
          <w:iCs/>
        </w:rPr>
        <w:t xml:space="preserve">faithfulness gap</w:t>
      </w:r>
      <w:r>
        <w:t xml:space="preserve">) y las métricas de pixel-flipping operan en</w:t>
      </w:r>
      <w:r>
        <w:t xml:space="preserve"> </w:t>
      </w:r>
      <w:r>
        <w:t xml:space="preserve">este objetivo</w:t>
      </w:r>
      <w:r>
        <w:t xml:space="preserve"> </w:t>
      </w:r>
      <w:r>
        <w:t xml:space="preserve">(Abdul Kadir et al. 2023; Zheng et al. 2025)</w:t>
      </w:r>
      <w:r>
        <w:t xml:space="preserve">.</w:t>
      </w:r>
    </w:p>
    <w:p>
      <w:pPr>
        <w:pStyle w:val="Compact"/>
        <w:numPr>
          <w:ilvl w:val="0"/>
          <w:numId w:val="1014"/>
        </w:numPr>
        <w:jc w:val="both"/>
        <w:spacing w:line="480" w:lineRule="auto"/>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jc w:val="both"/>
        <w:spacing w:line="480" w:lineRule="auto"/>
      </w:pPr>
      <w:r>
        <w:rPr>
          <w:b/>
          <w:bCs/>
        </w:rPr>
        <w:t xml:space="preserve">Eje 2 — Fuente de evidencia</w:t>
      </w:r>
      <w:r>
        <w:t xml:space="preserve"> </w:t>
      </w:r>
      <w:r>
        <w:t xml:space="preserve">(</w:t>
      </w:r>
      <w:r>
        <w:rPr>
          <w:i/>
          <w:iCs/>
        </w:rPr>
        <w:t xml:space="preserve">¿Mediante qué mecanismo se obtiene la</w:t>
      </w:r>
      <w:r>
        <w:rPr>
          <w:i/>
          <w:iCs/>
        </w:rPr>
        <w:t xml:space="preserve"> </w:t>
      </w:r>
      <w:r>
        <w:rPr>
          <w:i/>
          <w:iCs/>
        </w:rPr>
        <w:t xml:space="preserve">evidencia?</w:t>
      </w:r>
      <w:r>
        <w:t xml:space="preserve">)</w:t>
      </w:r>
    </w:p>
    <w:p>
      <w:pPr>
        <w:pStyle w:val="Textoindependiente"/>
        <w:jc w:val="both"/>
        <w:spacing w:line="480" w:lineRule="auto"/>
      </w:pPr>
      <w:r>
        <w:t xml:space="preserve">Las métricas se diferencian por la operación que genera la señal de evaluación.</w:t>
      </w:r>
      <w:r>
        <w:t xml:space="preserve"> </w:t>
      </w:r>
      <w:r>
        <w:t xml:space="preserve">Se distinguen cuatro fuentes:</w:t>
      </w:r>
    </w:p>
    <w:p>
      <w:pPr>
        <w:pStyle w:val="Compact"/>
        <w:numPr>
          <w:ilvl w:val="0"/>
          <w:numId w:val="1015"/>
        </w:numPr>
        <w:jc w:val="both"/>
        <w:spacing w:line="480" w:lineRule="auto"/>
      </w:pPr>
      <w:r>
        <w:rPr>
          <w:i/>
          <w:iCs/>
        </w:rPr>
        <w:t xml:space="preserve">Enmascaramiento de características</w:t>
      </w:r>
      <w:r>
        <w:t xml:space="preserve">: se eliminan o reemplazan características</w:t>
      </w:r>
      <w:r>
        <w:t xml:space="preserve"> </w:t>
      </w:r>
      <w:r>
        <w:t xml:space="preserve">del input y se mide el cambio en la salida del modelo. Son métricas de esta</w:t>
      </w:r>
      <w:r>
        <w:t xml:space="preserve"> </w:t>
      </w:r>
      <w:r>
        <w:t xml:space="preserve">clase: fidelidad por correlación de importancias, faithfulness gap, ROAR, MoRF</w:t>
      </w:r>
      <w:r>
        <w:t xml:space="preserve"> </w:t>
      </w:r>
      <w:r>
        <w:t xml:space="preserve">(Zheng et al. 2025; Abdul Kadir et al. 2023)</w:t>
      </w:r>
      <w:r>
        <w:t xml:space="preserve">.</w:t>
      </w:r>
    </w:p>
    <w:p>
      <w:pPr>
        <w:pStyle w:val="Compact"/>
        <w:numPr>
          <w:ilvl w:val="0"/>
          <w:numId w:val="1015"/>
        </w:numPr>
        <w:jc w:val="both"/>
        <w:spacing w:line="480" w:lineRule="auto"/>
      </w:pPr>
      <w:r>
        <w:rPr>
          <w:i/>
          <w:iCs/>
        </w:rPr>
        <w:t xml:space="preserve">Perturbación del input</w:t>
      </w:r>
      <w:r>
        <w:t xml:space="preserve">: se añade ruido o transformación a la instancia y</w:t>
      </w:r>
      <w:r>
        <w:t xml:space="preserve"> </w:t>
      </w:r>
      <w:r>
        <w:t xml:space="preserve">se mide la similitud entre las explicaciones resultantes. Son métricas de</w:t>
      </w:r>
      <w:r>
        <w:t xml:space="preserve"> </w:t>
      </w:r>
      <w:r>
        <w:t xml:space="preserve">esta clase: estabilidad como similitud coseno, Local Lipschitz Estimate</w:t>
      </w:r>
      <w:r>
        <w:t xml:space="preserve"> </w:t>
      </w:r>
      <w:r>
        <w:t xml:space="preserve">(Pawlicki et al. 2024; Canha et al. 2025)</w:t>
      </w:r>
      <w:r>
        <w:t xml:space="preserve">.</w:t>
      </w:r>
    </w:p>
    <w:p>
      <w:pPr>
        <w:pStyle w:val="Compact"/>
        <w:numPr>
          <w:ilvl w:val="0"/>
          <w:numId w:val="1015"/>
        </w:numPr>
        <w:jc w:val="both"/>
        <w:spacing w:line="480" w:lineRule="auto"/>
      </w:pPr>
      <w:r>
        <w:rPr>
          <w:i/>
          <w:iCs/>
        </w:rPr>
        <w:t xml:space="preserve">Comparación con verdad-terreno</w:t>
      </w:r>
      <w:r>
        <w:t xml:space="preserve">: la explicación se compara con</w:t>
      </w:r>
      <w:r>
        <w:t xml:space="preserve"> </w:t>
      </w:r>
      <w:r>
        <w:t xml:space="preserve">explicaciones de referencia conocidas, disponibles en benchmarks sintéticos.</w:t>
      </w:r>
      <w:r>
        <w:t xml:space="preserve"> </w:t>
      </w:r>
      <w:r>
        <w:t xml:space="preserve">Son métricas de esta clase: Feature Agreement</w:t>
      </w:r>
      <w:r>
        <w:t xml:space="preserve"> </w:t>
      </w:r>
      <w:r>
        <w:t xml:space="preserve">(Pawlicki et al. 2024)</w:t>
      </w:r>
      <w:r>
        <w:t xml:space="preserve">, métricas</w:t>
      </w:r>
      <w:r>
        <w:t xml:space="preserve"> </w:t>
      </w:r>
      <w:r>
        <w:t xml:space="preserve">basadas en anotaciones humanas.</w:t>
      </w:r>
    </w:p>
    <w:p>
      <w:pPr>
        <w:pStyle w:val="Compact"/>
        <w:numPr>
          <w:ilvl w:val="0"/>
          <w:numId w:val="1015"/>
        </w:numPr>
        <w:jc w:val="both"/>
        <w:spacing w:line="480" w:lineRule="auto"/>
      </w:pPr>
      <w:r>
        <w:rPr>
          <w:i/>
          <w:iCs/>
        </w:rPr>
        <w:t xml:space="preserve">Estudio con usuario</w:t>
      </w:r>
      <w:r>
        <w:t xml:space="preserve">: la explicación se evalúa a través de la comprensión,</w:t>
      </w:r>
      <w:r>
        <w:t xml:space="preserve"> </w:t>
      </w:r>
      <w:r>
        <w:t xml:space="preserve">confianza o utilidad percibida por participantes humanos. Son métricas de</w:t>
      </w:r>
      <w:r>
        <w:t xml:space="preserve"> </w:t>
      </w:r>
      <w:r>
        <w:t xml:space="preserve">esta clase: comprehensibility ratings, user satisfaction</w:t>
      </w:r>
      <w:r>
        <w:t xml:space="preserve"> </w:t>
      </w:r>
      <w:r>
        <w:t xml:space="preserve">(Bhattacharya and Verbert 2024; Arrieta 2019a)</w:t>
      </w:r>
      <w:r>
        <w:t xml:space="preserve">.</w:t>
      </w:r>
    </w:p>
    <w:p>
      <w:pPr>
        <w:pStyle w:val="FirstParagraph"/>
        <w:jc w:val="both"/>
        <w:spacing w:line="480" w:lineRule="auto"/>
      </w:pPr>
      <w:r>
        <w:rPr>
          <w:b/>
          <w:bCs/>
        </w:rPr>
        <w:t xml:space="preserve">Eje 3 — Propiedad de calidad</w:t>
      </w:r>
      <w:r>
        <w:t xml:space="preserve"> </w:t>
      </w:r>
      <w:r>
        <w:t xml:space="preserve">(</w:t>
      </w:r>
      <w:r>
        <w:rPr>
          <w:i/>
          <w:iCs/>
        </w:rPr>
        <w:t xml:space="preserve">¿Qué constructo de calidad de la</w:t>
      </w:r>
      <w:r>
        <w:rPr>
          <w:i/>
          <w:iCs/>
        </w:rPr>
        <w:t xml:space="preserve"> </w:t>
      </w:r>
      <w:r>
        <w:rPr>
          <w:i/>
          <w:iCs/>
        </w:rPr>
        <w:t xml:space="preserve">explicación se operacionaliza?</w:t>
      </w:r>
      <w:r>
        <w:t xml:space="preserve">)</w:t>
      </w:r>
    </w:p>
    <w:p>
      <w:pPr>
        <w:pStyle w:val="Textoindependiente"/>
        <w:jc w:val="both"/>
        <w:spacing w:line="480" w:lineRule="auto"/>
      </w:pPr>
      <w:r>
        <w:t xml:space="preserve">Siguiendo la sistematización de Schwalbe y Finzel</w:t>
      </w:r>
      <w:r>
        <w:t xml:space="preserve"> </w:t>
      </w:r>
      <w:r>
        <w:t xml:space="preserve">(2023)</w:t>
      </w:r>
      <w:r>
        <w:t xml:space="preserve"> </w:t>
      </w:r>
      <w:r>
        <w:t xml:space="preserve">y la revisión</w:t>
      </w:r>
      <w:r>
        <w:t xml:space="preserve"> </w:t>
      </w:r>
      <w:r>
        <w:t xml:space="preserve">de Pawlicki et al.</w:t>
      </w:r>
      <w:r>
        <w:t xml:space="preserve"> </w:t>
      </w:r>
      <w:r>
        <w:t xml:space="preserve">(2024)</w:t>
      </w:r>
      <w:r>
        <w:t xml:space="preserve">, se identifican seis propiedades primarias</w:t>
      </w:r>
      <w:r>
        <w:t xml:space="preserve"> </w:t>
      </w:r>
      <w:r>
        <w:t xml:space="preserve">del espacio de calidad XAI:</w:t>
      </w:r>
    </w:p>
    <w:p>
      <w:pPr>
        <w:pStyle w:val="Compact"/>
        <w:numPr>
          <w:ilvl w:val="0"/>
          <w:numId w:val="1016"/>
        </w:numPr>
        <w:jc w:val="both"/>
        <w:spacing w:line="480" w:lineRule="auto"/>
      </w:pPr>
      <w:r>
        <w:rPr>
          <w:i/>
          <w:iCs/>
        </w:rPr>
        <w:t xml:space="preserve">Faithfulness / Fidelidad</w:t>
      </w:r>
      <w:r>
        <w:t xml:space="preserve">: correspondencia entre la importancia asignada</w:t>
      </w:r>
      <w:r>
        <w:t xml:space="preserve"> </w:t>
      </w:r>
      <w:r>
        <w:t xml:space="preserve">por el explicador y el efecto real sobre la salida del modelo. Es la propiedad</w:t>
      </w:r>
      <w:r>
        <w:t xml:space="preserve"> </w:t>
      </w:r>
      <w:r>
        <w:t xml:space="preserve">más citada en la literatura</w:t>
      </w:r>
      <w:r>
        <w:t xml:space="preserve"> </w:t>
      </w:r>
      <w:r>
        <w:t xml:space="preserve">(Pawlicki et al. 2024)</w:t>
      </w:r>
      <w:r>
        <w:t xml:space="preserve">.</w:t>
      </w:r>
    </w:p>
    <w:p>
      <w:pPr>
        <w:pStyle w:val="Compact"/>
        <w:numPr>
          <w:ilvl w:val="0"/>
          <w:numId w:val="1016"/>
        </w:numPr>
        <w:jc w:val="both"/>
        <w:spacing w:line="480" w:lineRule="auto"/>
      </w:pPr>
      <w:r>
        <w:rPr>
          <w:i/>
          <w:iCs/>
        </w:rPr>
        <w:t xml:space="preserve">Robustness / Estabilidad</w:t>
      </w:r>
      <w:r>
        <w:t xml:space="preserve">: consistencia de las explicaciones bajo</w:t>
      </w:r>
      <w:r>
        <w:t xml:space="preserve"> </w:t>
      </w:r>
      <w:r>
        <w:t xml:space="preserve">perturbaciones del input. El estudio empírico de esta tesis demuestra que</w:t>
      </w:r>
      <w:r>
        <w:t xml:space="preserve"> </w:t>
      </w:r>
      <w:r>
        <w:t xml:space="preserve">esta propiedad es estadísticamente disociada de la fidelidad.</w:t>
      </w:r>
    </w:p>
    <w:p>
      <w:pPr>
        <w:pStyle w:val="Compact"/>
        <w:numPr>
          <w:ilvl w:val="0"/>
          <w:numId w:val="1016"/>
        </w:numPr>
        <w:jc w:val="both"/>
        <w:spacing w:line="480" w:lineRule="auto"/>
      </w:pPr>
      <w:r>
        <w:rPr>
          <w:i/>
          <w:iCs/>
        </w:rPr>
        <w:t xml:space="preserve">Simplicity / Parsimonia</w:t>
      </w:r>
      <w:r>
        <w:t xml:space="preserve">: compacidad de la representación explicativa,</w:t>
      </w:r>
      <w:r>
        <w:t xml:space="preserve"> </w:t>
      </w:r>
      <w:r>
        <w:t xml:space="preserve">inversamente relacionada con la complejidad</w:t>
      </w:r>
      <w:r>
        <w:t xml:space="preserve"> </w:t>
      </w:r>
      <w:r>
        <w:t xml:space="preserve">(Schwalbe 2023)</w:t>
      </w:r>
      <w:r>
        <w:t xml:space="preserve">.</w:t>
      </w:r>
    </w:p>
    <w:p>
      <w:pPr>
        <w:pStyle w:val="Compact"/>
        <w:numPr>
          <w:ilvl w:val="0"/>
          <w:numId w:val="1016"/>
        </w:numPr>
        <w:jc w:val="both"/>
        <w:spacing w:line="480" w:lineRule="auto"/>
      </w:pPr>
      <w:r>
        <w:rPr>
          <w:i/>
          <w:iCs/>
        </w:rPr>
        <w:t xml:space="preserve">Completeness</w:t>
      </w:r>
      <w:r>
        <w:t xml:space="preserve">: cobertura de los factores relevantes del modelo por la</w:t>
      </w:r>
      <w:r>
        <w:t xml:space="preserve"> </w:t>
      </w:r>
      <w:r>
        <w:t xml:space="preserve">explicación, relacionada con soundness y razonamiento completo.</w:t>
      </w:r>
    </w:p>
    <w:p>
      <w:pPr>
        <w:pStyle w:val="Compact"/>
        <w:numPr>
          <w:ilvl w:val="0"/>
          <w:numId w:val="1016"/>
        </w:numPr>
        <w:jc w:val="both"/>
        <w:spacing w:line="480" w:lineRule="auto"/>
      </w:pPr>
      <w:r>
        <w:rPr>
          <w:i/>
          <w:iCs/>
        </w:rPr>
        <w:t xml:space="preserve">Efficiency</w:t>
      </w:r>
      <w:r>
        <w:t xml:space="preserve">: coste computacional de generar la explicación, dimensión crítica</w:t>
      </w:r>
      <w:r>
        <w:t xml:space="preserve"> </w:t>
      </w:r>
      <w:r>
        <w:t xml:space="preserve">para despliegues en producción.</w:t>
      </w:r>
    </w:p>
    <w:p>
      <w:pPr>
        <w:pStyle w:val="Compact"/>
        <w:numPr>
          <w:ilvl w:val="0"/>
          <w:numId w:val="1016"/>
        </w:numPr>
        <w:jc w:val="both"/>
        <w:spacing w:line="480" w:lineRule="auto"/>
      </w:pPr>
      <w:r>
        <w:rPr>
          <w:i/>
          <w:iCs/>
        </w:rPr>
        <w:t xml:space="preserve">Fairness</w:t>
      </w:r>
      <w:r>
        <w:t xml:space="preserve">: equidad en la calidad de las explicaciones entre subgrupos</w:t>
      </w:r>
      <w:r>
        <w:t xml:space="preserve"> </w:t>
      </w:r>
      <w:r>
        <w:t xml:space="preserve">demográficos, dimensión transversal identificada por OpenXAI</w:t>
      </w:r>
      <w:r>
        <w:t xml:space="preserve"> </w:t>
      </w:r>
      <w:r>
        <w:t xml:space="preserve">(Agarwal et al. 2022)</w:t>
      </w:r>
      <w:r>
        <w:t xml:space="preserve">.</w:t>
      </w:r>
    </w:p>
    <w:p>
      <w:pPr>
        <w:pStyle w:val="FirstParagraph"/>
        <w:jc w:val="both"/>
        <w:spacing w:line="480" w:lineRule="auto"/>
      </w:pPr>
      <w:r>
        <w:rPr>
          <w:b/>
          <w:bCs/>
        </w:rPr>
        <w:t xml:space="preserve">Eje 4 — Contexto de tarea</w:t>
      </w:r>
      <w:r>
        <w:t xml:space="preserve"> </w:t>
      </w:r>
      <w:r>
        <w:t xml:space="preserve">(</w:t>
      </w:r>
      <w:r>
        <w:rPr>
          <w:i/>
          <w:iCs/>
        </w:rPr>
        <w:t xml:space="preserve">¿En qué escenario de despliegue es relevante</w:t>
      </w:r>
      <w:r>
        <w:rPr>
          <w:i/>
          <w:iCs/>
        </w:rPr>
        <w:t xml:space="preserve"> </w:t>
      </w:r>
      <w:r>
        <w:rPr>
          <w:i/>
          <w:iCs/>
        </w:rPr>
        <w:t xml:space="preserve">la métrica?</w:t>
      </w:r>
      <w:r>
        <w:t xml:space="preserve">)</w:t>
      </w:r>
    </w:p>
    <w:p>
      <w:pPr>
        <w:pStyle w:val="Textoindependiente"/>
        <w:jc w:val="both"/>
        <w:spacing w:line="480" w:lineRule="auto"/>
      </w:pPr>
      <w:r>
        <w:t xml:space="preserve">El contexto de tarea determina qué propiedades de calidad son prioritarias y</w:t>
      </w:r>
      <w:r>
        <w:t xml:space="preserve"> </w:t>
      </w:r>
      <w:r>
        <w:t xml:space="preserve">qué nivel de costo es aceptable</w:t>
      </w:r>
      <w:r>
        <w:t xml:space="preserve"> </w:t>
      </w:r>
      <w:r>
        <w:t xml:space="preserve">(Arrieta 2019a; Bhattacharya and Verbert 2024)</w:t>
      </w:r>
      <w:r>
        <w:t xml:space="preserve">. Se</w:t>
      </w:r>
      <w:r>
        <w:t xml:space="preserve"> </w:t>
      </w:r>
      <w:r>
        <w:t xml:space="preserve">identifican cuatro contextos canónicos:</w:t>
      </w:r>
    </w:p>
    <w:p>
      <w:pPr>
        <w:pStyle w:val="Compact"/>
        <w:numPr>
          <w:ilvl w:val="0"/>
          <w:numId w:val="1017"/>
        </w:numPr>
        <w:jc w:val="both"/>
        <w:spacing w:line="480" w:lineRule="auto"/>
      </w:pPr>
      <w:r>
        <w:rPr>
          <w:i/>
          <w:iCs/>
        </w:rPr>
        <w:t xml:space="preserve">Auditoría y cumplimiento regulatorio</w:t>
      </w:r>
      <w:r>
        <w:t xml:space="preserve">: requiere alta fidelidad y estabilidad;</w:t>
      </w:r>
      <w:r>
        <w:t xml:space="preserve"> </w:t>
      </w:r>
      <w:r>
        <w:t xml:space="preserve">el coste computacional no es crítico.</w:t>
      </w:r>
    </w:p>
    <w:p>
      <w:pPr>
        <w:pStyle w:val="Compact"/>
        <w:numPr>
          <w:ilvl w:val="0"/>
          <w:numId w:val="1017"/>
        </w:numPr>
        <w:jc w:val="both"/>
        <w:spacing w:line="480" w:lineRule="auto"/>
      </w:pPr>
      <w:r>
        <w:rPr>
          <w:i/>
          <w:iCs/>
        </w:rPr>
        <w:t xml:space="preserve">Inferencia en tiempo real</w:t>
      </w:r>
      <w:r>
        <w:t xml:space="preserve">: requiere baja latencia; admite fidelidad</w:t>
      </w:r>
      <w:r>
        <w:t xml:space="preserve"> </w:t>
      </w:r>
      <w:r>
        <w:t xml:space="preserve">moderada si la latencia se reduce órdenes de magnitud.</w:t>
      </w:r>
    </w:p>
    <w:p>
      <w:pPr>
        <w:pStyle w:val="Compact"/>
        <w:numPr>
          <w:ilvl w:val="0"/>
          <w:numId w:val="1017"/>
        </w:numPr>
        <w:jc w:val="both"/>
        <w:spacing w:line="480" w:lineRule="auto"/>
      </w:pPr>
      <w:r>
        <w:rPr>
          <w:i/>
          <w:iCs/>
        </w:rPr>
        <w:t xml:space="preserve">Soporte a usuario final</w:t>
      </w:r>
      <w:r>
        <w:t xml:space="preserve">: requiere parsimonia y comprehensibilidad; las</w:t>
      </w:r>
      <w:r>
        <w:t xml:space="preserve"> </w:t>
      </w:r>
      <w:r>
        <w:t xml:space="preserve">métricas de estabilidad y faithfulness son secundarias.</w:t>
      </w:r>
    </w:p>
    <w:p>
      <w:pPr>
        <w:pStyle w:val="Compact"/>
        <w:numPr>
          <w:ilvl w:val="0"/>
          <w:numId w:val="1017"/>
        </w:numPr>
        <w:jc w:val="both"/>
        <w:spacing w:line="480" w:lineRule="auto"/>
      </w:pPr>
      <w:r>
        <w:rPr>
          <w:i/>
          <w:iCs/>
        </w:rPr>
        <w:t xml:space="preserve">Diagnóstico de modelos y depuración</w:t>
      </w:r>
      <w:r>
        <w:t xml:space="preserve">: requiere fidelidad causal local y</w:t>
      </w:r>
      <w:r>
        <w:t xml:space="preserve"> </w:t>
      </w:r>
      <w:r>
        <w:t xml:space="preserve">cobertura; la eficiencia es secundaria.</w:t>
      </w:r>
    </w:p>
    <w:bookmarkEnd w:id="132"/>
    <w:bookmarkStart w:id="134" w:name="Xc578c0836cd38dc2fc367c6ce0cfc8bb694bc01"/>
    <w:p>
      <w:pPr>
        <w:pStyle w:val="Ttulo3"/>
      </w:pPr>
      <w:r>
        <w:t xml:space="preserve">Mapeo de las métricas del benchmark a la taxonomía</w:t>
      </w:r>
    </w:p>
    <w:p>
      <w:pPr>
        <w:pStyle w:val="FirstParagraph"/>
        <w:jc w:val="both"/>
        <w:spacing w:line="480" w:lineRule="auto"/>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33" w:name="tbl-taxonomia"/>
          <w:p>
            <w:pPr>
              <w:jc w:val="center"/>
            </w:pPr>
            <w:pPr>
              <w:jc w:val="left"/>
              <w:spacing w:before="200"/>
              <w:pStyle w:val="ImageCaption"/>
            </w:pPr>
            <w:r>
              <w:t xml:space="preserve">Table 6.3: Mapeo de las métricas del benchmark a los cuatro ejes de la taxonomía.</w:t>
            </w:r>
          </w:p>
          <w:tbl>
            <w:tblPr>
              <w:tblStyle w:val="Table"/>
              <w:tblW w:type="pct" w:w="5000"/>
              <w:tblLayout w:type="fixed"/>
              <w:tblLook w:firstRow="1" w:lastRow="0" w:firstColumn="0" w:lastColumn="0" w:noHBand="0" w:noVBand="0" w:val="0020"/>
            </w:tblPr>
            <w:tblGrid>
              <w:gridCol w:w="1141"/>
              <w:gridCol w:w="1275"/>
              <w:gridCol w:w="2080"/>
              <w:gridCol w:w="1208"/>
              <w:gridCol w:w="2214"/>
            </w:tblGrid>
            <w:tr>
              <w:trPr>
                <w:tblHeader w:val="on"/>
              </w:trPr>
              <w:tc>
                <w:tcPr/>
                <w:p>
                  <w:pPr>
                    <w:pStyle w:val="Compact"/>
                    <w:jc w:val="center"/>
                  </w:pPr>
                  <w:r>
                    <w:t xml:space="preserve">Métrica</w:t>
                  </w:r>
                </w:p>
              </w:tc>
              <w:tc>
                <w:tcPr/>
                <w:p>
                  <w:pPr>
                    <w:pStyle w:val="Compact"/>
                    <w:jc w:val="center"/>
                  </w:pPr>
                  <w:r>
                    <w:t xml:space="preserve">Eje 1: Objetivo</w:t>
                  </w:r>
                </w:p>
              </w:tc>
              <w:tc>
                <w:tcPr/>
                <w:p>
                  <w:pPr>
                    <w:pStyle w:val="Compact"/>
                    <w:jc w:val="center"/>
                  </w:pPr>
                  <w:r>
                    <w:t xml:space="preserve">Eje 2: Fuente evidencia</w:t>
                  </w:r>
                </w:p>
              </w:tc>
              <w:tc>
                <w:tcPr/>
                <w:p>
                  <w:pPr>
                    <w:pStyle w:val="Compact"/>
                    <w:jc w:val="center"/>
                  </w:pPr>
                  <w:r>
                    <w:t xml:space="preserve">Eje 3: Propiedad</w:t>
                  </w:r>
                </w:p>
              </w:tc>
              <w:tc>
                <w:tcPr/>
                <w:p>
                  <w:pPr>
                    <w:pStyle w:val="Compact"/>
                    <w:jc w:val="center"/>
                  </w:pPr>
                  <w:r>
                    <w:t xml:space="preserve">Eje 4: Contexto prioritario</w:t>
                  </w:r>
                </w:p>
              </w:tc>
            </w:tr>
            <w:tr>
              <w:tc>
                <w:tcPr/>
                <w:p>
                  <w:pPr>
                    <w:pStyle w:val="Compact"/>
                    <w:jc w:val="center"/>
                  </w:pPr>
                  <w:r>
                    <w:t xml:space="preserve">Fidelidad (F)</w:t>
                  </w:r>
                </w:p>
              </w:tc>
              <w:tc>
                <w:tcPr/>
                <w:p>
                  <w:pPr>
                    <w:pStyle w:val="Compact"/>
                    <w:jc w:val="center"/>
                  </w:pPr>
                  <w:r>
                    <w:t xml:space="preserve">Representatividad local</w:t>
                  </w:r>
                </w:p>
              </w:tc>
              <w:tc>
                <w:tcPr/>
                <w:p>
                  <w:pPr>
                    <w:pStyle w:val="Compact"/>
                    <w:jc w:val="center"/>
                  </w:pPr>
                  <w:r>
                    <w:t xml:space="preserve">Enmascaramiento de características</w:t>
                  </w:r>
                </w:p>
              </w:tc>
              <w:tc>
                <w:tcPr/>
                <w:p>
                  <w:pPr>
                    <w:pStyle w:val="Compact"/>
                    <w:jc w:val="center"/>
                  </w:pPr>
                  <w:r>
                    <w:t xml:space="preserve">Faithfulness</w:t>
                  </w:r>
                </w:p>
              </w:tc>
              <w:tc>
                <w:tcPr/>
                <w:p>
                  <w:pPr>
                    <w:pStyle w:val="Compact"/>
                    <w:jc w:val="center"/>
                  </w:pPr>
                  <w:r>
                    <w:t xml:space="preserve">Auditoría, diagnóstico</w:t>
                  </w:r>
                </w:p>
              </w:tc>
            </w:tr>
            <w:tr>
              <w:tc>
                <w:tcPr/>
                <w:p>
                  <w:pPr>
                    <w:pStyle w:val="Compact"/>
                    <w:jc w:val="center"/>
                  </w:pPr>
                  <w:r>
                    <w:t xml:space="preserve">Estabilidad (S)</w:t>
                  </w:r>
                </w:p>
              </w:tc>
              <w:tc>
                <w:tcPr/>
                <w:p>
                  <w:pPr>
                    <w:pStyle w:val="Compact"/>
                    <w:jc w:val="center"/>
                  </w:pPr>
                  <w:r>
                    <w:t xml:space="preserve">Consistencia bajo perturbación</w:t>
                  </w:r>
                </w:p>
              </w:tc>
              <w:tc>
                <w:tcPr/>
                <w:p>
                  <w:pPr>
                    <w:pStyle w:val="Compact"/>
                    <w:jc w:val="center"/>
                  </w:pPr>
                  <w:r>
                    <w:t xml:space="preserve">Perturbación gaussiana del input</w:t>
                  </w:r>
                </w:p>
              </w:tc>
              <w:tc>
                <w:tcPr/>
                <w:p>
                  <w:pPr>
                    <w:pStyle w:val="Compact"/>
                    <w:jc w:val="center"/>
                  </w:pPr>
                  <w:r>
                    <w:t xml:space="preserve">Robustness</w:t>
                  </w:r>
                </w:p>
              </w:tc>
              <w:tc>
                <w:tcPr/>
                <w:p>
                  <w:pPr>
                    <w:pStyle w:val="Compact"/>
                    <w:jc w:val="center"/>
                  </w:pPr>
                  <w:r>
                    <w:t xml:space="preserve">Auditoría, alto riesgo</w:t>
                  </w:r>
                </w:p>
              </w:tc>
            </w:tr>
            <w:tr>
              <w:tc>
                <w:tcPr/>
                <w:p>
                  <w:pPr>
                    <w:pStyle w:val="Compact"/>
                    <w:jc w:val="center"/>
                  </w:pPr>
                  <w:r>
                    <w:t xml:space="preserve">Parsimonia (P)</w:t>
                  </w:r>
                </w:p>
              </w:tc>
              <w:tc>
                <w:tcPr/>
                <w:p>
                  <w:pPr>
                    <w:pStyle w:val="Compact"/>
                    <w:jc w:val="center"/>
                  </w:pPr>
                  <w:r>
                    <w:t xml:space="preserve">Compacidad explicativa</w:t>
                  </w:r>
                </w:p>
              </w:tc>
              <w:tc>
                <w:tcPr/>
                <w:p>
                  <w:pPr>
                    <w:pStyle w:val="Compact"/>
                    <w:jc w:val="center"/>
                  </w:pPr>
                  <w:r>
                    <w:t xml:space="preserve">Conteo de atribuciones activas</w:t>
                  </w:r>
                </w:p>
              </w:tc>
              <w:tc>
                <w:tcPr/>
                <w:p>
                  <w:pPr>
                    <w:pStyle w:val="Compact"/>
                    <w:jc w:val="center"/>
                  </w:pPr>
                  <w:r>
                    <w:t xml:space="preserve">Simplicity</w:t>
                  </w:r>
                </w:p>
              </w:tc>
              <w:tc>
                <w:tcPr/>
                <w:p>
                  <w:pPr>
                    <w:pStyle w:val="Compact"/>
                    <w:jc w:val="center"/>
                  </w:pPr>
                  <w:r>
                    <w:t xml:space="preserve">Usuario final, interfaces</w:t>
                  </w:r>
                </w:p>
              </w:tc>
            </w:tr>
            <w:tr>
              <w:tc>
                <w:tcPr/>
                <w:p>
                  <w:pPr>
                    <w:pStyle w:val="Compact"/>
                    <w:jc w:val="center"/>
                  </w:pPr>
                  <w:r>
                    <w:t xml:space="preserve">Brecha fidelidad (Δk)</w:t>
                  </w:r>
                </w:p>
              </w:tc>
              <w:tc>
                <w:tcPr/>
                <w:p>
                  <w:pPr>
                    <w:pStyle w:val="Compact"/>
                    <w:jc w:val="center"/>
                  </w:pPr>
                  <w:r>
                    <w:t xml:space="preserve">Relevancia causal local</w:t>
                  </w:r>
                </w:p>
              </w:tc>
              <w:tc>
                <w:tcPr/>
                <w:p>
                  <w:pPr>
                    <w:pStyle w:val="Compact"/>
                    <w:jc w:val="center"/>
                  </w:pPr>
                  <w:r>
                    <w:t xml:space="preserve">Enmascaramiento top-k</w:t>
                  </w:r>
                </w:p>
              </w:tc>
              <w:tc>
                <w:tcPr/>
                <w:p>
                  <w:pPr>
                    <w:pStyle w:val="Compact"/>
                    <w:jc w:val="center"/>
                  </w:pPr>
                  <w:r>
                    <w:t xml:space="preserve">Faithfulness (causal)</w:t>
                  </w:r>
                </w:p>
              </w:tc>
              <w:tc>
                <w:tcPr/>
                <w:p>
                  <w:pPr>
                    <w:pStyle w:val="Compact"/>
                    <w:jc w:val="center"/>
                  </w:pPr>
                  <w:r>
                    <w:t xml:space="preserve">Diagnóstico, responsabilidad</w:t>
                  </w:r>
                </w:p>
              </w:tc>
            </w:tr>
            <w:tr>
              <w:tc>
                <w:tcPr/>
                <w:p>
                  <w:pPr>
                    <w:pStyle w:val="Compact"/>
                    <w:jc w:val="center"/>
                  </w:pPr>
                  <w:r>
                    <w:t xml:space="preserve">Coste (C)</w:t>
                  </w:r>
                </w:p>
              </w:tc>
              <w:tc>
                <w:tcPr/>
                <w:p>
                  <w:pPr>
                    <w:pStyle w:val="Compact"/>
                    <w:jc w:val="center"/>
                  </w:pPr>
                  <w:r>
                    <w:t xml:space="preserve">Eficiencia operativa</w:t>
                  </w:r>
                </w:p>
              </w:tc>
              <w:tc>
                <w:tcPr/>
                <w:p>
                  <w:pPr>
                    <w:pStyle w:val="Compact"/>
                    <w:jc w:val="center"/>
                  </w:pPr>
                  <w:r>
                    <w:t xml:space="preserve">Tiempo de reloj por instancia</w:t>
                  </w:r>
                </w:p>
              </w:tc>
              <w:tc>
                <w:tcPr/>
                <w:p>
                  <w:pPr>
                    <w:pStyle w:val="Compact"/>
                    <w:jc w:val="center"/>
                  </w:pPr>
                  <w:r>
                    <w:t xml:space="preserve">Efficiency</w:t>
                  </w:r>
                </w:p>
              </w:tc>
              <w:tc>
                <w:tcPr/>
                <w:p>
                  <w:pPr>
                    <w:pStyle w:val="Compact"/>
                    <w:jc w:val="center"/>
                  </w:pPr>
                  <w:r>
                    <w:t xml:space="preserve">Despliegue en tiempo real</w:t>
                  </w:r>
                </w:p>
              </w:tc>
            </w:tr>
          </w:tbl>
          <w:bookmarkEnd w:id="133"/>
          <w:p/>
        </w:tc>
      </w:tr>
    </w:tbl>
    <w:bookmarkEnd w:id="134"/>
    <w:bookmarkStart w:id="135" w:name="contribución-teórica-de-la-taxonomía"/>
    <w:p>
      <w:pPr>
        <w:pStyle w:val="Ttulo3"/>
      </w:pPr>
      <w:r>
        <w:t xml:space="preserve">Contribución teórica de la taxonomía</w:t>
      </w:r>
    </w:p>
    <w:p>
      <w:pPr>
        <w:pStyle w:val="FirstParagraph"/>
        <w:jc w:val="both"/>
        <w:spacing w:line="480" w:lineRule="auto"/>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jc w:val="both"/>
        <w:spacing w:line="480" w:lineRule="auto"/>
      </w:pPr>
      <w:r>
        <w:rPr>
          <w:b/>
          <w:bCs/>
        </w:rPr>
        <w:t xml:space="preserve">Primera afirmación:</w:t>
      </w:r>
      <w:r>
        <w:t xml:space="preserve"> </w:t>
      </w:r>
      <w:r>
        <w:t xml:space="preserve">Las propiedades de los Ejes 3 (Propiedad de calidad)</w:t>
      </w:r>
      <w:r>
        <w:t xml:space="preserve"> </w:t>
      </w:r>
      <w:r>
        <w:t xml:space="preserve">no son redundantes. La evidencia empírica de este benchmark demuestra que</w:t>
      </w:r>
      <w:r>
        <w:t xml:space="preserve"> </w:t>
      </w:r>
      <w:r>
        <w:t xml:space="preserve">fidelidad y estabilidad son disociables: LIME obtiene una fidelidad media de</w:t>
      </w:r>
      <w:r>
        <w:t xml:space="preserve"> </w:t>
      </w:r>
      <w:r>
        <w:t xml:space="preserve">0.560 —moderada— y una estabilidad de 0.014 —prácticamente nula. Esta</w:t>
      </w:r>
      <w:r>
        <w:t xml:space="preserve"> </w:t>
      </w:r>
      <w:r>
        <w:t xml:space="preserve">disociación habría sido invisible en un benchmark mono-métrico de fidelidad,</w:t>
      </w:r>
      <w:r>
        <w:t xml:space="preserve"> </w:t>
      </w:r>
      <w:r>
        <w:t xml:space="preserve">confirmando que la evaluación multi-métrica organizada por eje es necesaria</w:t>
      </w:r>
      <w:r>
        <w:t xml:space="preserve"> </w:t>
      </w:r>
      <w:r>
        <w:t xml:space="preserve">para detectar perfiles de riesgo ocultos en los métodos evaluados. Este</w:t>
      </w:r>
      <w:r>
        <w:t xml:space="preserve"> </w:t>
      </w:r>
      <w:r>
        <w:t xml:space="preserve">hallazgo es coherente con la posición de Bhattacharya y Verbert</w:t>
      </w:r>
      <w:r>
        <w:t xml:space="preserve"> </w:t>
      </w:r>
      <w:r>
        <w:t xml:space="preserve">(2024)</w:t>
      </w:r>
      <w:r>
        <w:t xml:space="preserve">,</w:t>
      </w:r>
      <w:r>
        <w:t xml:space="preserve"> </w:t>
      </w:r>
      <w:r>
        <w:t xml:space="preserve">que argumentan que la evaluación unidimensional produce comparaciones</w:t>
      </w:r>
      <w:r>
        <w:t xml:space="preserve"> </w:t>
      </w:r>
      <w:r>
        <w:t xml:space="preserve">engañosas entre métodos que atienden distintas dimensiones de explicabilidad.</w:t>
      </w:r>
    </w:p>
    <w:p>
      <w:pPr>
        <w:pStyle w:val="Textoindependiente"/>
        <w:jc w:val="both"/>
        <w:spacing w:line="480" w:lineRule="auto"/>
      </w:pPr>
      <w:r>
        <w:rPr>
          <w:b/>
          <w:bCs/>
        </w:rPr>
        <w:t xml:space="preserve">Segunda afirmación:</w:t>
      </w:r>
      <w:r>
        <w:t xml:space="preserve"> </w:t>
      </w:r>
      <w:r>
        <w:t xml:space="preserve">La taxonomía evidencia qué parte del espacio de</w:t>
      </w:r>
      <w:r>
        <w:t xml:space="preserve"> </w:t>
      </w:r>
      <w:r>
        <w:t xml:space="preserve">evaluación cubre cada fuente de evidencia. El benchmark EXP2 es</w:t>
      </w:r>
      <w:r>
        <w:t xml:space="preserve"> </w:t>
      </w:r>
      <w:r>
        <w:rPr>
          <w:i/>
          <w:iCs/>
        </w:rPr>
        <w:t xml:space="preserve">functionally-grounded</w:t>
      </w:r>
      <w:r>
        <w:t xml:space="preserve"> </w:t>
      </w:r>
      <w:r>
        <w:t xml:space="preserve">por diseño, siguiendo la clasificación de Canha et al.</w:t>
      </w:r>
      <w:r>
        <w:t xml:space="preserve"> </w:t>
      </w:r>
      <w:r>
        <w:t xml:space="preserve">(2025)</w:t>
      </w:r>
      <w:r>
        <w:t xml:space="preserve">, y por tanto no puede justificar por sí solo afirmaciones sobre</w:t>
      </w:r>
      <w:r>
        <w:t xml:space="preserve"> </w:t>
      </w:r>
      <w:r>
        <w:t xml:space="preserve">comprensión o utilidad percibida. La validación humana piloto añadida en esta</w:t>
      </w:r>
      <w:r>
        <w:t xml:space="preserve"> </w:t>
      </w:r>
      <w:r>
        <w:t xml:space="preserve">tesis cubre parcialmente esa brecha al evaluar claridad, completitud,</w:t>
      </w:r>
      <w:r>
        <w:t xml:space="preserve"> </w:t>
      </w:r>
      <w:r>
        <w:t xml:space="preserve">concisión, plausibilidad y utilidad de auditoría. La taxonomía permite</w:t>
      </w:r>
      <w:r>
        <w:t xml:space="preserve"> </w:t>
      </w:r>
      <w:r>
        <w:t xml:space="preserve">mantener separadas ambas capas: métricas funcionales para afirmaciones sobre</w:t>
      </w:r>
      <w:r>
        <w:t xml:space="preserve"> </w:t>
      </w:r>
      <w:r>
        <w:t xml:space="preserve">comportamiento del explicador frente al modelo, y ratings humanos para</w:t>
      </w:r>
      <w:r>
        <w:t xml:space="preserve"> </w:t>
      </w:r>
      <w:r>
        <w:t xml:space="preserve">afirmaciones descriptivas sobre la recepción semántica de las explicaciones.</w:t>
      </w:r>
    </w:p>
    <w:bookmarkEnd w:id="135"/>
    <w:bookmarkEnd w:id="136"/>
    <w:bookmarkStart w:id="140" w:name="sec-contribuciones"/>
    <w:p>
      <w:pPr>
        <w:pStyle w:val="Ttulo2"/>
      </w:pPr>
      <w:r>
        <w:t xml:space="preserve">Contribuciones científicas</w:t>
      </w:r>
    </w:p>
    <w:bookmarkStart w:id="137" w:name="X2e7af289f3df14f7e31f2445fc83a79cfc8b431"/>
    <w:p>
      <w:pPr>
        <w:pStyle w:val="Ttulo3"/>
      </w:pPr>
      <w:r>
        <w:t xml:space="preserve">Contribución metodológica: protocolo FOM-7</w:t>
      </w:r>
    </w:p>
    <w:p>
      <w:pPr>
        <w:pStyle w:val="FirstParagraph"/>
        <w:jc w:val="both"/>
        <w:spacing w:line="480" w:lineRule="auto"/>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jc w:val="both"/>
        <w:spacing w:line="480" w:lineRule="auto"/>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jc w:val="both"/>
        <w:spacing w:line="480" w:lineRule="auto"/>
      </w:pPr>
      <w:r>
        <w:t xml:space="preserve">El protocolo FOM-7 está disponible como código fuente reproducible con</w:t>
      </w:r>
      <w:r>
        <w:t xml:space="preserve"> </w:t>
      </w:r>
      <w:r>
        <w:t xml:space="preserve">trazabilidad de artefactos, satisfaciendo los criterios de reproducibilidad</w:t>
      </w:r>
      <w:r>
        <w:t xml:space="preserve"> </w:t>
      </w:r>
      <w:r>
        <w:t xml:space="preserve">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37"/>
    <w:bookmarkStart w:id="138" w:name="X93d1d918ce055ba24ba9e9f0b305f424c9a5ca8"/>
    <w:p>
      <w:pPr>
        <w:pStyle w:val="Ttulo3"/>
      </w:pPr>
      <w:r>
        <w:t xml:space="preserve">Contribución teórica: disociación fidelidad-estabilidad y taxonomía de métricas</w:t>
      </w:r>
    </w:p>
    <w:p>
      <w:pPr>
        <w:pStyle w:val="FirstParagraph"/>
        <w:jc w:val="both"/>
        <w:spacing w:line="480" w:lineRule="auto"/>
      </w:pPr>
      <w:r>
        <w:t xml:space="preserve">La disociación empírica entre fidelidad y estabilidad, documentada con</w:t>
      </w:r>
      <w:r>
        <w:t xml:space="preserve"> </w:t>
      </w:r>
      <w:r>
        <w:t xml:space="preserve">tamaños de efecto de magnitud muy grande (</w:t>
      </w:r>
      <m:oMath>
        <m:sSub>
          <m:e>
            <m:r>
              <m:t>d</m:t>
            </m:r>
          </m:e>
          <m:sub>
            <m:r>
              <m:t>z</m:t>
            </m:r>
          </m:sub>
        </m:sSub>
        <m:r>
          <m:rPr>
            <m:sty m:val="p"/>
          </m:rPr>
          <m:t>&gt;</m:t>
        </m:r>
        <m:r>
          <m:t>2.8</m:t>
        </m:r>
      </m: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(Bhattacharya and Verbert 2024; Canha et al. 2025)</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jc w:val="both"/>
        <w:spacing w:line="480" w:lineRule="auto"/>
      </w:pPr>
      <w:r>
        <w:t xml:space="preserve">La taxonomía del Estudio C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functionally-grounded, incluyendo la comprehensibilidad percibida por el usuario</w:t>
      </w:r>
      <w:r>
        <w:t xml:space="preserve"> </w:t>
      </w:r>
      <w:r>
        <w:t xml:space="preserve">(Bhattacharya and Verbert 2024; Arrieta 2019a)</w:t>
      </w:r>
      <w:r>
        <w:t xml:space="preserve">. La validación humana piloto incorporada en</w:t>
      </w:r>
      <w:r>
        <w:t xml:space="preserve"> </w:t>
      </w:r>
      <w:r>
        <w:t xml:space="preserve">el Capítulo 4 muestra que esta dimensión no es solo conceptual: claridad y</w:t>
      </w:r>
      <w:r>
        <w:t xml:space="preserve"> </w:t>
      </w:r>
      <w:r>
        <w:t xml:space="preserve">plausibilidad presentan alto acuerdo entre anotadores, mientras que</w:t>
      </w:r>
      <w:r>
        <w:t xml:space="preserve"> </w:t>
      </w:r>
      <w:r>
        <w:t xml:space="preserve">completitud y utilidad de auditoría son más variables. La taxonomía integra y</w:t>
      </w:r>
      <w:r>
        <w:t xml:space="preserve"> </w:t>
      </w:r>
      <w:r>
        <w:t xml:space="preserve">extiende los marcos previos de Schwalbe y Finzel</w:t>
      </w:r>
      <w:r>
        <w:t xml:space="preserve"> </w:t>
      </w:r>
      <w:r>
        <w:t xml:space="preserve">(2023)</w:t>
      </w:r>
      <w:r>
        <w:t xml:space="preserve">, Abdulkadir</w:t>
      </w:r>
      <w:r>
        <w:t xml:space="preserve"> </w:t>
      </w:r>
      <w:r>
        <w:t xml:space="preserve">et al.</w:t>
      </w:r>
      <w:r>
        <w:t xml:space="preserve"> </w:t>
      </w:r>
      <w:r>
        <w:t xml:space="preserve">(2023)</w:t>
      </w:r>
      <w:r>
        <w:t xml:space="preserve"> </w:t>
      </w:r>
      <w:r>
        <w:t xml:space="preserve">y Canha et al.</w:t>
      </w:r>
      <w:r>
        <w:t xml:space="preserve"> </w:t>
      </w:r>
      <w:r>
        <w:t xml:space="preserve">(2025)</w:t>
      </w:r>
      <w:r>
        <w:t xml:space="preserve">, alineándola</w:t>
      </w:r>
      <w:r>
        <w:t xml:space="preserve"> </w:t>
      </w:r>
      <w:r>
        <w:t xml:space="preserve">explícitamente con el espacio experimental del benchmark.</w:t>
      </w:r>
    </w:p>
    <w:bookmarkEnd w:id="138"/>
    <w:bookmarkStart w:id="139" w:name="X6583905c1b1630bf3acfdae91528ca52ef61481"/>
    <w:p>
      <w:pPr>
        <w:pStyle w:val="Ttulo3"/>
      </w:pPr>
      <w:r>
        <w:t xml:space="preserve">Contribución aplicada: criterios prescriptivos de selección de métodos XAI</w:t>
      </w:r>
    </w:p>
    <w:p>
      <w:pPr>
        <w:pStyle w:val="FirstParagraph"/>
        <w:jc w:val="both"/>
        <w:spacing w:line="480" w:lineRule="auto"/>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jc w:val="both"/>
        <w:spacing w:line="480" w:lineRule="auto"/>
      </w:pPr>
      <w:r>
        <w:rPr>
          <w:b/>
          <w:bCs/>
        </w:rPr>
        <w:t xml:space="preserve">SHAP debe seleccionarse</w:t>
      </w:r>
      <w:r>
        <w:t xml:space="preserve"> </w:t>
      </w:r>
      <w:r>
        <w:t xml:space="preserve">como método primario en cualquier aplicación que</w:t>
      </w:r>
      <w:r>
        <w:t xml:space="preserve"> </w:t>
      </w:r>
      <w:r>
        <w:t xml:space="preserve">requiera fidelidad verificable (</w:t>
      </w:r>
      <m:oMath>
        <m:acc>
          <m:accPr>
            <m:chr m:val="‾"/>
          </m:accPr>
          <m:e>
            <m:r>
              <m:t>F</m:t>
            </m:r>
          </m:e>
        </m:acc>
        <m:r>
          <m:rPr>
            <m:sty m:val="p"/>
          </m:rPr>
          <m:t>≥</m:t>
        </m:r>
        <m:r>
          <m:t>0.80</m:t>
        </m:r>
      </m:oMath>
      <w:r>
        <w:t xml:space="preserve">) o consistencia</w:t>
      </w:r>
      <w:r>
        <w:t xml:space="preserve"> </w:t>
      </w:r>
      <w:r>
        <w:t xml:space="preserve">explicativa (</w:t>
      </w:r>
      <m:oMath>
        <m:acc>
          <m:accPr>
            <m:chr m:val="‾"/>
          </m:accPr>
          <m:e>
            <m:r>
              <m:t>S</m:t>
            </m:r>
          </m:e>
        </m:acc>
        <m:r>
          <m:rPr>
            <m:sty m:val="p"/>
          </m:rPr>
          <m:t>≥</m:t>
        </m:r>
        <m:r>
          <m:t>0.70</m:t>
        </m:r>
      </m: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jc w:val="both"/>
        <w:spacing w:line="480" w:lineRule="auto"/>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jc w:val="both"/>
        <w:spacing w:line="480" w:lineRule="auto"/>
      </w:pPr>
      <w:r>
        <w:rPr>
          <w:b/>
          <w:bCs/>
        </w:rPr>
        <w:t xml:space="preserve">Anchors debe descartarse</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jc w:val="both"/>
        <w:spacing w:line="480" w:lineRule="auto"/>
      </w:pPr>
      <w:r>
        <w:rPr>
          <w:b/>
          <w:bCs/>
        </w:rPr>
        <w:t xml:space="preserve">DiCE es la única opción</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39"/>
    <w:bookmarkEnd w:id="140"/>
    <w:bookmarkStart w:id="141" w:name="sec-limitaciones"/>
    <w:p>
      <w:pPr>
        <w:pStyle w:val="Ttulo2"/>
      </w:pPr>
      <w:r>
        <w:t xml:space="preserve">Limitaciones del estudio</w:t>
      </w:r>
    </w:p>
    <w:p>
      <w:pPr>
        <w:pStyle w:val="FirstParagraph"/>
        <w:jc w:val="both"/>
        <w:spacing w:line="480" w:lineRule="auto"/>
      </w:pPr>
      <w:r>
        <w:t xml:space="preserve">Cuatro limitaciones deben tenerse en cuenta al interpretar los resultados y</w:t>
      </w:r>
      <w:r>
        <w:t xml:space="preserve"> </w:t>
      </w:r>
      <w:r>
        <w:t xml:space="preserve">generalizar los criterios de selección.</w:t>
      </w:r>
    </w:p>
    <w:p>
      <w:pPr>
        <w:pStyle w:val="Textoindependiente"/>
        <w:jc w:val="both"/>
        <w:spacing w:line="480" w:lineRule="auto"/>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jc w:val="both"/>
        <w:spacing w:line="480" w:lineRule="auto"/>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jc w:val="both"/>
        <w:spacing w:line="480" w:lineRule="auto"/>
      </w:pPr>
      <w:r>
        <w:rPr>
          <w:b/>
          <w:bCs/>
        </w:rPr>
        <w:t xml:space="preserve">Alcance piloto de la evaluación human-centered.</w:t>
      </w:r>
      <w:r>
        <w:t xml:space="preserve"> </w:t>
      </w:r>
      <w:r>
        <w:t xml:space="preserve">La tesis incorpora una</w:t>
      </w:r>
      <w:r>
        <w:t xml:space="preserve"> </w:t>
      </w:r>
      <w:r>
        <w:t xml:space="preserve">validación humana descriptiva de 120 anotaciones, suficiente para demostrar que</w:t>
      </w:r>
      <w:r>
        <w:t xml:space="preserve"> </w:t>
      </w:r>
      <w:r>
        <w:t xml:space="preserve">las dimensiones semánticas de calidad son observables y no redundantes. Sin</w:t>
      </w:r>
      <w:r>
        <w:t xml:space="preserve"> </w:t>
      </w:r>
      <w:r>
        <w:t xml:space="preserve">embargo, esta capa no sustituye un estudio de usuarios confirmativo con</w:t>
      </w:r>
      <w:r>
        <w:t xml:space="preserve"> </w:t>
      </w:r>
      <w:r>
        <w:t xml:space="preserve">participantes expertos, tareas controladas y análisis de acuerdo humano–LLM.</w:t>
      </w:r>
      <w:r>
        <w:t xml:space="preserve"> </w:t>
      </w:r>
      <w:r>
        <w:t xml:space="preserve">Por tanto, los criterios prescriptivos derivados del benchmark funcional deben</w:t>
      </w:r>
      <w:r>
        <w:t xml:space="preserve"> </w:t>
      </w:r>
      <w:r>
        <w:t xml:space="preserve">seguirse interpretando principalmente como criterios técnicos; las preferencias</w:t>
      </w:r>
      <w:r>
        <w:t xml:space="preserve"> </w:t>
      </w:r>
      <w:r>
        <w:t xml:space="preserve">de usuarios finales solo quedan cubiertas de forma exploratoria.</w:t>
      </w:r>
    </w:p>
    <w:p>
      <w:pPr>
        <w:pStyle w:val="Textoindependiente"/>
        <w:jc w:val="both"/>
        <w:spacing w:line="480" w:lineRule="auto"/>
      </w:pPr>
      <w:r>
        <w:rPr>
          <w:b/>
          <w:bCs/>
        </w:rPr>
        <w:t xml:space="preserve">Configuraciones de referencia.</w:t>
      </w:r>
      <w:r>
        <w:t xml:space="preserve"> </w:t>
      </w:r>
      <w:r>
        <w:t xml:space="preserve">Los resultados son válidos bajo las</w:t>
      </w:r>
      <w:r>
        <w:t xml:space="preserve"> </w:t>
      </w:r>
      <w:r>
        <w:t xml:space="preserve">configuraciones predeterminadas de cada método (número de muestras de LIME,</w:t>
      </w:r>
      <w:r>
        <w:t xml:space="preserve"> </w:t>
      </w:r>
      <w:r>
        <w:t xml:space="preserve">número de vecinos de SHAP, parámetros de búsqueda de Anchors). La sensibilidad</w:t>
      </w:r>
      <w:r>
        <w:t xml:space="preserve"> </w:t>
      </w:r>
      <w:r>
        <w:t xml:space="preserve">de los resultados a variaciones sistemáticas de hiperparámetros no ha sido</w:t>
      </w:r>
      <w:r>
        <w:t xml:space="preserve"> </w:t>
      </w:r>
      <w:r>
        <w:t xml:space="preserve">explorada de forma exhaustiva en este benchmark.</w:t>
      </w:r>
    </w:p>
    <w:bookmarkEnd w:id="141"/>
    <w:bookmarkStart w:id="142" w:name="sec-futuro"/>
    <w:p>
      <w:pPr>
        <w:pStyle w:val="Ttulo2"/>
      </w:pPr>
      <w:r>
        <w:t xml:space="preserve">Líneas de investigación futura</w:t>
      </w:r>
    </w:p>
    <w:p>
      <w:pPr>
        <w:pStyle w:val="FirstParagraph"/>
        <w:jc w:val="both"/>
        <w:spacing w:line="480" w:lineRule="auto"/>
      </w:pPr>
      <w:r>
        <w:t xml:space="preserve">Los resultados, las limitaciones y la taxonomía del Estudio C convergen en</w:t>
      </w:r>
      <w:r>
        <w:t xml:space="preserve"> </w:t>
      </w:r>
      <w:r>
        <w:t xml:space="preserve">señalar cinco extensiones de investigación con fundamento empírico:</w:t>
      </w:r>
    </w:p>
    <w:p>
      <w:pPr>
        <w:pStyle w:val="Textoindependiente"/>
        <w:jc w:val="both"/>
        <w:spacing w:line="480" w:lineRule="auto"/>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jc w:val="both"/>
        <w:spacing w:line="480" w:lineRule="auto"/>
      </w:pPr>
      <w:r>
        <w:rPr>
          <w:b/>
          <w:bCs/>
        </w:rPr>
        <w:t xml:space="preserve">2. Ampliación de la evaluación human-centered.</w:t>
      </w:r>
      <w:r>
        <w:t xml:space="preserve"> </w:t>
      </w:r>
      <w:r>
        <w:t xml:space="preserve">La validación humana piloto</w:t>
      </w:r>
      <w:r>
        <w:t xml:space="preserve"> </w:t>
      </w:r>
      <w:r>
        <w:t xml:space="preserve">de esta tesis debe ampliarse hacia estudios de usuario confirmativos. Un</w:t>
      </w:r>
      <w:r>
        <w:t xml:space="preserve"> </w:t>
      </w:r>
      <w:r>
        <w:t xml:space="preserve">estudio con usuarios expertos (médicos, analistas de crédito) que evalúen</w:t>
      </w:r>
      <w:r>
        <w:t xml:space="preserve"> </w:t>
      </w:r>
      <w:r>
        <w:t xml:space="preserve">comprensión, completitud y utilidad de auditoría bajo tareas controladas</w:t>
      </w:r>
      <w:r>
        <w:t xml:space="preserve"> </w:t>
      </w:r>
      <w:r>
        <w:t xml:space="preserve">permitiría estimar con mayor precisión la validez externa de los ratings</w:t>
      </w:r>
      <w:r>
        <w:t xml:space="preserve"> </w:t>
      </w:r>
      <w:r>
        <w:t xml:space="preserve">observados y contrastar la concordancia entre evaluadores humanos y jueces LLM.</w:t>
      </w:r>
    </w:p>
    <w:p>
      <w:pPr>
        <w:pStyle w:val="Textoindependiente"/>
        <w:jc w:val="both"/>
        <w:spacing w:line="480" w:lineRule="auto"/>
      </w:pPr>
      <w:r>
        <w:rPr>
          <w:b/>
          <w:bCs/>
        </w:rPr>
        <w:t xml:space="preserve">3. Análisis de la sensibilidad a la configuración de hiperparámetros.</w:t>
      </w:r>
      <w:r>
        <w:t xml:space="preserve"> </w:t>
      </w:r>
      <w:r>
        <w:t xml:space="preserve">El</w:t>
      </w:r>
      <w:r>
        <w:t xml:space="preserve"> </w:t>
      </w:r>
      <w:r>
        <w:t xml:space="preserve">benchmark primario opera con configuraciones de referencia. Un diseño factorial</w:t>
      </w:r>
      <w:r>
        <w:t xml:space="preserve"> </w:t>
      </w:r>
      <w:r>
        <w:t xml:space="preserve">extendido que varíe sistemáticamente los hiperparámetros clave —número de</w:t>
      </w:r>
      <w:r>
        <w:t xml:space="preserve"> </w:t>
      </w:r>
      <w:r>
        <w:t xml:space="preserve">muestras de LIME, estrategia de referencia de SHAP, parámetros de umbral de</w:t>
      </w:r>
      <w:r>
        <w:t xml:space="preserve"> </w:t>
      </w:r>
      <w:r>
        <w:t xml:space="preserve">Anchors— permitiría determinar en qué medida los perfiles de calidad obtenidos</w:t>
      </w:r>
      <w:r>
        <w:t xml:space="preserve"> </w:t>
      </w:r>
      <w:r>
        <w:t xml:space="preserve">son robustos a la sintonización de cada método.</w:t>
      </w:r>
    </w:p>
    <w:p>
      <w:pPr>
        <w:pStyle w:val="Textoindependiente"/>
        <w:jc w:val="both"/>
        <w:spacing w:line="480" w:lineRule="auto"/>
      </w:pPr>
      <w:r>
        <w:rPr>
          <w:b/>
          <w:bCs/>
        </w:rPr>
        <w:t xml:space="preserve">4. Replicación en dominios de alto riesgo.</w:t>
      </w:r>
      <w:r>
        <w:t xml:space="preserve"> </w:t>
      </w:r>
      <w:r>
        <w:t xml:space="preserve">Los criterios prescriptivos</w:t>
      </w:r>
      <w:r>
        <w:t xml:space="preserve"> </w:t>
      </w:r>
      <w:r>
        <w:t xml:space="preserve">derivados de este benchmark son válidos bajo el contexto experimental de UCI</w:t>
      </w:r>
      <w:r>
        <w:t xml:space="preserve"> </w:t>
      </w:r>
      <w:r>
        <w:t xml:space="preserve">Adult Income. Su validación en dominios regulados (crédito, salud, justicia)</w:t>
      </w:r>
      <w:r>
        <w:t xml:space="preserve"> </w:t>
      </w:r>
      <w:r>
        <w:t xml:space="preserve">con restricciones normativas explícitas (EU AI Act, GDPR) constituye la</w:t>
      </w:r>
      <w:r>
        <w:t xml:space="preserve"> </w:t>
      </w:r>
      <w:r>
        <w:t xml:space="preserve">extensión de mayor impacto práctico de esta línea de investigación.</w:t>
      </w:r>
    </w:p>
    <w:p>
      <w:pPr>
        <w:pStyle w:val="Textoindependiente"/>
        <w:jc w:val="both"/>
        <w:spacing w:line="480" w:lineRule="auto"/>
      </w:pPr>
      <w:r>
        <w:rPr>
          <w:b/>
          <w:bCs/>
        </w:rPr>
        <w:t xml:space="preserve">5. Formalización del eje de comprehensibilidad en la taxonomía.</w:t>
      </w:r>
      <w:r>
        <w:t xml:space="preserve"> </w:t>
      </w:r>
      <w:r>
        <w:t xml:space="preserve">El Eje 4</w:t>
      </w:r>
      <w:r>
        <w:t xml:space="preserve"> </w:t>
      </w:r>
      <w:r>
        <w:t xml:space="preserve">(contexto de tarea) de la taxonomía incluye el contexto</w:t>
      </w:r>
      <w:r>
        <w:t xml:space="preserve"> </w:t>
      </w:r>
      <w:r>
        <w:rPr>
          <w:i/>
          <w:iCs/>
        </w:rPr>
        <w:t xml:space="preserve">usuario final</w:t>
      </w:r>
      <w:r>
        <w:t xml:space="preserve"> </w:t>
      </w:r>
      <w:r>
        <w:t xml:space="preserve">pero</w:t>
      </w:r>
      <w:r>
        <w:t xml:space="preserve"> </w:t>
      </w:r>
      <w:r>
        <w:t xml:space="preserve">no 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42"/>
    <w:bookmarkStart w:id="143" w:name="sec-sintesis"/>
    <w:p>
      <w:pPr>
        <w:pStyle w:val="Ttulo2"/>
      </w:pPr>
      <w:r>
        <w:t xml:space="preserve">Síntesis final</w:t>
      </w:r>
    </w:p>
    <w:p>
      <w:pPr>
        <w:pStyle w:val="FirstParagraph"/>
        <w:jc w:val="both"/>
        <w:spacing w:line="480" w:lineRule="auto"/>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en más de quince veces, los resultados no dejan</w:t>
      </w:r>
      <w:r>
        <w:t xml:space="preserve"> </w:t>
      </w:r>
      <w:r>
        <w:t xml:space="preserve">espacio para interpretaciones alternativas: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jc w:val="both"/>
        <w:spacing w:line="480" w:lineRule="auto"/>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bookmarkEnd w:id="143"/>
    <w:bookmarkEnd w:id="144"/>
    <w:bookmarkStart w:id="231" w:name="referencias"/>
    <w:p>
      <w:pPr>
        <w:pStyle w:val="Ttulo1"/>
      </w:pPr>
      <w:r>
        <w:t xml:space="preserve">Referencias</w:t>
      </w:r>
    </w:p>
    <w:bookmarkStart w:id="230" w:name="refs"/>
    <w:bookmarkStart w:id="145" w:name="ref-ref_7"/>
    <w:p>
      <w:pPr>
        <w:pStyle w:val="Bibliography"/>
        <w:jc w:val="both"/>
        <w:spacing w:line="480" w:lineRule="auto"/>
      </w:pPr>
      <w:r>
        <w:t xml:space="preserve">n.d.</w:t>
      </w:r>
    </w:p>
    <w:bookmarkEnd w:id="145"/>
    <w:bookmarkStart w:id="147" w:name="ref-abdulkadir2023"/>
    <w:p>
      <w:pPr>
        <w:pStyle w:val="Bibliography"/>
        <w:jc w:val="both"/>
        <w:spacing w:line="480" w:lineRule="auto"/>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r:id="rId146">
        <w:r>
          <w:rPr>
            <w:rStyle w:val="Hipervnculo"/>
          </w:rPr>
          <w:t xml:space="preserve">https://doi.org/10.1109/INES59045.2023.1030000</w:t>
        </w:r>
      </w:hyperlink>
      <w:r>
        <w:t xml:space="preserve">.</w:t>
      </w:r>
    </w:p>
    <w:bookmarkEnd w:id="147"/>
    <w:bookmarkStart w:id="149" w:name="ref-adadi2018"/>
    <w:p>
      <w:pPr>
        <w:pStyle w:val="Bibliography"/>
        <w:jc w:val="both"/>
        <w:spacing w:line="480" w:lineRule="auto"/>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r:id="rId148">
        <w:r>
          <w:rPr>
            <w:rStyle w:val="Hipervnculo"/>
          </w:rPr>
          <w:t xml:space="preserve">https://doi.org/10.1109/access.2018.2870052</w:t>
        </w:r>
      </w:hyperlink>
      <w:r>
        <w:t xml:space="preserve">.</w:t>
      </w:r>
    </w:p>
    <w:bookmarkEnd w:id="149"/>
    <w:bookmarkStart w:id="150" w:name="ref-agarwal2022"/>
    <w:p>
      <w:pPr>
        <w:pStyle w:val="Bibliography"/>
        <w:jc w:val="both"/>
        <w:spacing w:line="480" w:lineRule="auto"/>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50"/>
    <w:bookmarkStart w:id="152" w:name="ref-ali2023"/>
    <w:p>
      <w:pPr>
        <w:pStyle w:val="Bibliography"/>
        <w:jc w:val="both"/>
        <w:spacing w:line="480" w:lineRule="auto"/>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r:id="rId151">
        <w:r>
          <w:rPr>
            <w:rStyle w:val="Hipervnculo"/>
          </w:rPr>
          <w:t xml:space="preserve">https://doi.org/10.1016/j.inffus.2023.101805</w:t>
        </w:r>
      </w:hyperlink>
      <w:r>
        <w:t xml:space="preserve">.</w:t>
      </w:r>
    </w:p>
    <w:bookmarkEnd w:id="152"/>
    <w:bookmarkStart w:id="154" w:name="ref-allen2024"/>
    <w:p>
      <w:pPr>
        <w:pStyle w:val="Bibliography"/>
        <w:jc w:val="both"/>
        <w:spacing w:line="480" w:lineRule="auto"/>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r:id="rId153">
        <w:r>
          <w:rPr>
            <w:rStyle w:val="Hipervnculo"/>
          </w:rPr>
          <w:t xml:space="preserve">https://doi.org/10.1146/annurev-statistics-040120-030919</w:t>
        </w:r>
      </w:hyperlink>
      <w:r>
        <w:t xml:space="preserve">.</w:t>
      </w:r>
    </w:p>
    <w:bookmarkEnd w:id="154"/>
    <w:bookmarkStart w:id="156" w:name="ref-altukhi2025"/>
    <w:p>
      <w:pPr>
        <w:pStyle w:val="Bibliography"/>
        <w:jc w:val="both"/>
        <w:spacing w:line="480" w:lineRule="auto"/>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r:id="rId155">
        <w:r>
          <w:rPr>
            <w:rStyle w:val="Hipervnculo"/>
          </w:rPr>
          <w:t xml:space="preserve">https://doi.org/10.3390/technologies13030093</w:t>
        </w:r>
      </w:hyperlink>
      <w:r>
        <w:t xml:space="preserve">.</w:t>
      </w:r>
    </w:p>
    <w:bookmarkEnd w:id="156"/>
    <w:bookmarkStart w:id="158" w:name="ref-angelov2021"/>
    <w:p>
      <w:pPr>
        <w:pStyle w:val="Bibliography"/>
        <w:jc w:val="both"/>
        <w:spacing w:line="480" w:lineRule="auto"/>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r:id="rId157">
        <w:r>
          <w:rPr>
            <w:rStyle w:val="Hipervnculo"/>
          </w:rPr>
          <w:t xml:space="preserve">https://doi.org/10.1002/widm.1424</w:t>
        </w:r>
      </w:hyperlink>
      <w:r>
        <w:t xml:space="preserve">.</w:t>
      </w:r>
    </w:p>
    <w:bookmarkEnd w:id="158"/>
    <w:bookmarkStart w:id="160" w:name="ref-arrieta2019a"/>
    <w:p>
      <w:pPr>
        <w:pStyle w:val="Bibliography"/>
        <w:jc w:val="both"/>
        <w:spacing w:line="480" w:lineRule="auto"/>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r:id="rId159">
        <w:r>
          <w:rPr>
            <w:rStyle w:val="Hipervnculo"/>
          </w:rPr>
          <w:t xml:space="preserve">https://doi.org/10.1016/j.inffus.2019.12.012</w:t>
        </w:r>
      </w:hyperlink>
      <w:r>
        <w:t xml:space="preserve">.</w:t>
      </w:r>
    </w:p>
    <w:bookmarkEnd w:id="160"/>
    <w:bookmarkStart w:id="162" w:name="ref-belle2021"/>
    <w:p>
      <w:pPr>
        <w:pStyle w:val="Bibliography"/>
        <w:jc w:val="both"/>
        <w:spacing w:line="480" w:lineRule="auto"/>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r:id="rId161">
        <w:r>
          <w:rPr>
            <w:rStyle w:val="Hipervnculo"/>
          </w:rPr>
          <w:t xml:space="preserve">https://doi.org/10.3389/fdata.2021.688969</w:t>
        </w:r>
      </w:hyperlink>
      <w:r>
        <w:t xml:space="preserve">.</w:t>
      </w:r>
    </w:p>
    <w:bookmarkEnd w:id="162"/>
    <w:bookmarkStart w:id="164" w:name="ref-bhattacharya2024"/>
    <w:p>
      <w:pPr>
        <w:pStyle w:val="Bibliography"/>
        <w:jc w:val="both"/>
        <w:spacing w:line="480" w:lineRule="auto"/>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r:id="rId163">
        <w:r>
          <w:rPr>
            <w:rStyle w:val="Hipervnculo"/>
          </w:rPr>
          <w:t xml:space="preserve">https://doi.org/10.1145/3631700.3664911</w:t>
        </w:r>
      </w:hyperlink>
      <w:r>
        <w:t xml:space="preserve">.</w:t>
      </w:r>
    </w:p>
    <w:bookmarkEnd w:id="164"/>
    <w:bookmarkStart w:id="166" w:name="ref-breiman2001"/>
    <w:p>
      <w:pPr>
        <w:pStyle w:val="Bibliography"/>
        <w:jc w:val="both"/>
        <w:spacing w:line="480" w:lineRule="auto"/>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r:id="rId165">
        <w:r>
          <w:rPr>
            <w:rStyle w:val="Hipervnculo"/>
          </w:rPr>
          <w:t xml:space="preserve">https://doi.org/10.1023/a:1010933404324</w:t>
        </w:r>
      </w:hyperlink>
      <w:r>
        <w:t xml:space="preserve">.</w:t>
      </w:r>
    </w:p>
    <w:bookmarkEnd w:id="166"/>
    <w:bookmarkStart w:id="168" w:name="ref-canha2025"/>
    <w:p>
      <w:pPr>
        <w:pStyle w:val="Bibliography"/>
        <w:jc w:val="both"/>
        <w:spacing w:line="480" w:lineRule="auto"/>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r:id="rId167">
        <w:r>
          <w:rPr>
            <w:rStyle w:val="Hipervnculo"/>
          </w:rPr>
          <w:t xml:space="preserve">https://doi.org/10.1145/3737445</w:t>
        </w:r>
      </w:hyperlink>
      <w:r>
        <w:t xml:space="preserve">.</w:t>
      </w:r>
    </w:p>
    <w:bookmarkEnd w:id="168"/>
    <w:bookmarkStart w:id="170" w:name="ref-demsar2006"/>
    <w:p>
      <w:pPr>
        <w:pStyle w:val="Bibliography"/>
        <w:jc w:val="both"/>
        <w:spacing w:line="480" w:lineRule="auto"/>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r:id="rId169">
        <w:r>
          <w:rPr>
            <w:rStyle w:val="Hipervnculo"/>
          </w:rPr>
          <w:t xml:space="preserve">https://jmlr.org/papers/v7/demsar06a.html</w:t>
        </w:r>
      </w:hyperlink>
      <w:r>
        <w:t xml:space="preserve">.</w:t>
      </w:r>
    </w:p>
    <w:bookmarkEnd w:id="170"/>
    <w:bookmarkStart w:id="172" w:name="ref-doshi-velez2017"/>
    <w:p>
      <w:pPr>
        <w:pStyle w:val="Bibliography"/>
        <w:jc w:val="both"/>
        <w:spacing w:line="480" w:lineRule="auto"/>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r:id="rId171">
        <w:r>
          <w:rPr>
            <w:rStyle w:val="Hipervnculo"/>
          </w:rPr>
          <w:t xml:space="preserve">https://doi.org/10.48550/arxiv.1702.08608</w:t>
        </w:r>
      </w:hyperlink>
      <w:r>
        <w:t xml:space="preserve">.</w:t>
      </w:r>
    </w:p>
    <w:bookmarkEnd w:id="172"/>
    <w:bookmarkStart w:id="174" w:name="ref-floridi2018"/>
    <w:p>
      <w:pPr>
        <w:pStyle w:val="Bibliography"/>
        <w:jc w:val="both"/>
        <w:spacing w:line="480" w:lineRule="auto"/>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r:id="rId173">
        <w:r>
          <w:rPr>
            <w:rStyle w:val="Hipervnculo"/>
          </w:rPr>
          <w:t xml:space="preserve">https://doi.org/10.1007/s11023-018-9482-5</w:t>
        </w:r>
      </w:hyperlink>
      <w:r>
        <w:t xml:space="preserve">.</w:t>
      </w:r>
    </w:p>
    <w:bookmarkEnd w:id="174"/>
    <w:bookmarkStart w:id="176" w:name="ref-friedman1937"/>
    <w:p>
      <w:pPr>
        <w:pStyle w:val="Bibliography"/>
        <w:jc w:val="both"/>
        <w:spacing w:line="480" w:lineRule="auto"/>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r:id="rId175">
        <w:r>
          <w:rPr>
            <w:rStyle w:val="Hipervnculo"/>
          </w:rPr>
          <w:t xml:space="preserve">https://doi.org/10.1080/01621459.1937.10503522</w:t>
        </w:r>
      </w:hyperlink>
      <w:r>
        <w:t xml:space="preserve">.</w:t>
      </w:r>
    </w:p>
    <w:bookmarkEnd w:id="176"/>
    <w:bookmarkStart w:id="178" w:name="ref-gilpin2018"/>
    <w:p>
      <w:pPr>
        <w:pStyle w:val="Bibliography"/>
        <w:jc w:val="both"/>
        <w:spacing w:line="480" w:lineRule="auto"/>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r:id="rId177">
        <w:r>
          <w:rPr>
            <w:rStyle w:val="Hipervnculo"/>
          </w:rPr>
          <w:t xml:space="preserve">https://doi.org/10.1109/dsaa.2018.00018</w:t>
        </w:r>
      </w:hyperlink>
      <w:r>
        <w:t xml:space="preserve">.</w:t>
      </w:r>
    </w:p>
    <w:bookmarkEnd w:id="178"/>
    <w:bookmarkStart w:id="180" w:name="ref-hassija2023"/>
    <w:p>
      <w:pPr>
        <w:pStyle w:val="Bibliography"/>
        <w:jc w:val="both"/>
        <w:spacing w:line="480" w:lineRule="auto"/>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r:id="rId179">
        <w:r>
          <w:rPr>
            <w:rStyle w:val="Hipervnculo"/>
          </w:rPr>
          <w:t xml:space="preserve">https://doi.org/10.1007/s12559-023-10179-8</w:t>
        </w:r>
      </w:hyperlink>
      <w:r>
        <w:t xml:space="preserve">.</w:t>
      </w:r>
    </w:p>
    <w:bookmarkEnd w:id="180"/>
    <w:bookmarkStart w:id="181" w:name="ref-hedstrom2023"/>
    <w:p>
      <w:pPr>
        <w:pStyle w:val="Bibliography"/>
        <w:jc w:val="both"/>
        <w:spacing w:line="480" w:lineRule="auto"/>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181"/>
    <w:bookmarkStart w:id="183" w:name="ref-kohavi1996"/>
    <w:p>
      <w:pPr>
        <w:pStyle w:val="Bibliography"/>
        <w:jc w:val="both"/>
        <w:spacing w:line="480" w:lineRule="auto"/>
      </w:pPr>
      <w:r>
        <w:t xml:space="preserve">Kohavi, Ron. 1996.</w:t>
      </w:r>
      <w:r>
        <w:t xml:space="preserve"> </w:t>
      </w:r>
      <w:r>
        <w:t xml:space="preserve">“Scaling up the Accuracy of Naive-Bayes Classifiers: A Decision-Tree Hybrid.”</w:t>
      </w:r>
      <w:r>
        <w:t xml:space="preserve"> </w:t>
      </w:r>
      <w:r>
        <w:rPr>
          <w:i/>
          <w:iCs/>
        </w:rPr>
        <w:t xml:space="preserve">Proceedings of the Second International Conference on Knowledge Discovery and Data Mining</w:t>
      </w:r>
      <w:r>
        <w:t xml:space="preserve">, 202–7.</w:t>
      </w:r>
      <w:r>
        <w:t xml:space="preserve"> </w:t>
      </w:r>
      <w:hyperlink r:id="rId182">
        <w:r>
          <w:rPr>
            <w:rStyle w:val="Hipervnculo"/>
          </w:rPr>
          <w:t xml:space="preserve">https://www.aaai.org/Papers/KDD/1996/KDD96-033.pdf</w:t>
        </w:r>
      </w:hyperlink>
      <w:r>
        <w:t xml:space="preserve">.</w:t>
      </w:r>
    </w:p>
    <w:bookmarkEnd w:id="183"/>
    <w:bookmarkStart w:id="185" w:name="ref-lakens2013"/>
    <w:p>
      <w:pPr>
        <w:pStyle w:val="Bibliography"/>
        <w:jc w:val="both"/>
        <w:spacing w:line="480" w:lineRule="auto"/>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r:id="rId184">
        <w:r>
          <w:rPr>
            <w:rStyle w:val="Hipervnculo"/>
          </w:rPr>
          <w:t xml:space="preserve">https://doi.org/10.3389/fpsyg.2013.00863</w:t>
        </w:r>
      </w:hyperlink>
      <w:r>
        <w:t xml:space="preserve">.</w:t>
      </w:r>
    </w:p>
    <w:bookmarkEnd w:id="185"/>
    <w:bookmarkStart w:id="187" w:name="ref-linardatos2021"/>
    <w:p>
      <w:pPr>
        <w:pStyle w:val="Bibliography"/>
        <w:jc w:val="both"/>
        <w:spacing w:line="480" w:lineRule="auto"/>
      </w:pPr>
      <w:r>
        <w:t xml:space="preserve">Linardatos, Pantelis, Vasilis Papastefanopoulos, and Sotiris Kotsiantis. 2021.</w:t>
      </w:r>
      <w:r>
        <w:t xml:space="preserve"> </w:t>
      </w:r>
      <w:r>
        <w:t xml:space="preserve">“Explainable AI: A Review of Machine Learning Interpretability Methods.”</w:t>
      </w:r>
      <w:r>
        <w:t xml:space="preserve"> </w:t>
      </w:r>
      <w:r>
        <w:rPr>
          <w:i/>
          <w:iCs/>
        </w:rPr>
        <w:t xml:space="preserve">Entropy</w:t>
      </w:r>
      <w:r>
        <w:t xml:space="preserve"> </w:t>
      </w:r>
      <w:r>
        <w:t xml:space="preserve">23 (1): 18.</w:t>
      </w:r>
      <w:r>
        <w:t xml:space="preserve"> </w:t>
      </w:r>
      <w:hyperlink r:id="rId186">
        <w:r>
          <w:rPr>
            <w:rStyle w:val="Hipervnculo"/>
          </w:rPr>
          <w:t xml:space="preserve">https://doi.org/10.3390/e23010018</w:t>
        </w:r>
      </w:hyperlink>
      <w:r>
        <w:t xml:space="preserve">.</w:t>
      </w:r>
    </w:p>
    <w:bookmarkEnd w:id="187"/>
    <w:bookmarkStart w:id="188" w:name="ref-linardatos2020"/>
    <w:p>
      <w:pPr>
        <w:pStyle w:val="Bibliography"/>
        <w:jc w:val="both"/>
        <w:spacing w:line="480" w:lineRule="auto"/>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r:id="rId186">
        <w:r>
          <w:rPr>
            <w:rStyle w:val="Hipervnculo"/>
          </w:rPr>
          <w:t xml:space="preserve">https://doi.org/10.3390/e23010018</w:t>
        </w:r>
      </w:hyperlink>
      <w:r>
        <w:t xml:space="preserve">.</w:t>
      </w:r>
    </w:p>
    <w:bookmarkEnd w:id="188"/>
    <w:bookmarkStart w:id="190" w:name="ref-lipton2018"/>
    <w:p>
      <w:pPr>
        <w:pStyle w:val="Bibliography"/>
        <w:jc w:val="both"/>
        <w:spacing w:line="480" w:lineRule="auto"/>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r:id="rId189">
        <w:r>
          <w:rPr>
            <w:rStyle w:val="Hipervnculo"/>
          </w:rPr>
          <w:t xml:space="preserve">https://doi.org/10.1145/3236386.3241340</w:t>
        </w:r>
      </w:hyperlink>
      <w:r>
        <w:t xml:space="preserve">.</w:t>
      </w:r>
    </w:p>
    <w:bookmarkEnd w:id="190"/>
    <w:bookmarkStart w:id="192" w:name="ref-lundberg2017"/>
    <w:p>
      <w:pPr>
        <w:pStyle w:val="Bibliography"/>
        <w:jc w:val="both"/>
        <w:spacing w:line="480" w:lineRule="auto"/>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r:id="rId191">
        <w:r>
          <w:rPr>
            <w:rStyle w:val="Hipervnculo"/>
          </w:rPr>
          <w:t xml:space="preserve">https://doi.org/10.48550/arxiv.1705.07874</w:t>
        </w:r>
      </w:hyperlink>
      <w:r>
        <w:t xml:space="preserve">.</w:t>
      </w:r>
    </w:p>
    <w:bookmarkEnd w:id="192"/>
    <w:bookmarkStart w:id="194" w:name="ref-malwade2023"/>
    <w:p>
      <w:pPr>
        <w:pStyle w:val="Bibliography"/>
        <w:jc w:val="both"/>
        <w:spacing w:line="480" w:lineRule="auto"/>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r:id="rId193">
        <w:r>
          <w:rPr>
            <w:rStyle w:val="Hipervnculo"/>
          </w:rPr>
          <w:t xml:space="preserve">https://doi.org/10.1145/3647444.3647912</w:t>
        </w:r>
      </w:hyperlink>
      <w:r>
        <w:t xml:space="preserve">.</w:t>
      </w:r>
    </w:p>
    <w:bookmarkEnd w:id="194"/>
    <w:bookmarkStart w:id="196" w:name="ref-marcinkevičs2023"/>
    <w:p>
      <w:pPr>
        <w:pStyle w:val="Bibliography"/>
        <w:jc w:val="both"/>
        <w:spacing w:line="480" w:lineRule="auto"/>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r:id="rId195">
        <w:r>
          <w:rPr>
            <w:rStyle w:val="Hipervnculo"/>
          </w:rPr>
          <w:t xml:space="preserve">https://doi.org/10.1002/widm.1493</w:t>
        </w:r>
      </w:hyperlink>
      <w:r>
        <w:t xml:space="preserve">.</w:t>
      </w:r>
    </w:p>
    <w:bookmarkEnd w:id="196"/>
    <w:bookmarkStart w:id="198" w:name="ref-mittelstadt2019"/>
    <w:p>
      <w:pPr>
        <w:pStyle w:val="Bibliography"/>
        <w:jc w:val="both"/>
        <w:spacing w:line="480" w:lineRule="auto"/>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r:id="rId197">
        <w:r>
          <w:rPr>
            <w:rStyle w:val="Hipervnculo"/>
          </w:rPr>
          <w:t xml:space="preserve">https://doi.org/10.1145/3287560.3287574</w:t>
        </w:r>
      </w:hyperlink>
      <w:r>
        <w:t xml:space="preserve">.</w:t>
      </w:r>
    </w:p>
    <w:bookmarkEnd w:id="198"/>
    <w:bookmarkStart w:id="200" w:name="ref-mothilal2020"/>
    <w:p>
      <w:pPr>
        <w:pStyle w:val="Bibliography"/>
        <w:jc w:val="both"/>
        <w:spacing w:line="480" w:lineRule="auto"/>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r:id="rId199">
        <w:r>
          <w:rPr>
            <w:rStyle w:val="Hipervnculo"/>
          </w:rPr>
          <w:t xml:space="preserve">https://doi.org/10.1145/3351095.3372850</w:t>
        </w:r>
      </w:hyperlink>
      <w:r>
        <w:t xml:space="preserve">.</w:t>
      </w:r>
    </w:p>
    <w:bookmarkEnd w:id="200"/>
    <w:bookmarkStart w:id="202" w:name="ref-murdoch2019"/>
    <w:p>
      <w:pPr>
        <w:pStyle w:val="Bibliography"/>
        <w:jc w:val="both"/>
        <w:spacing w:line="480" w:lineRule="auto"/>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r:id="rId201">
        <w:r>
          <w:rPr>
            <w:rStyle w:val="Hipervnculo"/>
          </w:rPr>
          <w:t xml:space="preserve">https://doi.org/10.1073/pnas.1900654116</w:t>
        </w:r>
      </w:hyperlink>
      <w:r>
        <w:t xml:space="preserve">.</w:t>
      </w:r>
    </w:p>
    <w:bookmarkEnd w:id="202"/>
    <w:bookmarkStart w:id="203" w:name="ref-nemenyi1963"/>
    <w:p>
      <w:pPr>
        <w:pStyle w:val="Bibliography"/>
        <w:jc w:val="both"/>
        <w:spacing w:line="480" w:lineRule="auto"/>
      </w:pPr>
      <w:r>
        <w:t xml:space="preserve">Nemenyi, Peter Bjorn. 1963.</w:t>
      </w:r>
      <w:r>
        <w:t xml:space="preserve"> </w:t>
      </w:r>
      <w:r>
        <w:t xml:space="preserve">“Distribution-Free Multiple Comparisons.”</w:t>
      </w:r>
      <w:r>
        <w:t xml:space="preserve"> </w:t>
      </w:r>
      <w:r>
        <w:rPr>
          <w:i/>
          <w:iCs/>
        </w:rPr>
        <w:t xml:space="preserve">PhD Thesis, Princeton University</w:t>
      </w:r>
      <w:r>
        <w:t xml:space="preserve">.</w:t>
      </w:r>
    </w:p>
    <w:bookmarkEnd w:id="203"/>
    <w:bookmarkStart w:id="204" w:name="ref-nizam2023"/>
    <w:p>
      <w:pPr>
        <w:pStyle w:val="Bibliography"/>
        <w:jc w:val="both"/>
        <w:spacing w:line="480" w:lineRule="auto"/>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04"/>
    <w:bookmarkStart w:id="206" w:name="ref-nussberger2022"/>
    <w:p>
      <w:pPr>
        <w:pStyle w:val="Bibliography"/>
        <w:jc w:val="both"/>
        <w:spacing w:line="480" w:lineRule="auto"/>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r:id="rId205">
        <w:r>
          <w:rPr>
            <w:rStyle w:val="Hipervnculo"/>
          </w:rPr>
          <w:t xml:space="preserve">https://doi.org/10.1038/s41467-022-33417-3</w:t>
        </w:r>
      </w:hyperlink>
      <w:r>
        <w:t xml:space="preserve">.</w:t>
      </w:r>
    </w:p>
    <w:bookmarkEnd w:id="206"/>
    <w:bookmarkStart w:id="208" w:name="ref-pawlicki2024"/>
    <w:p>
      <w:pPr>
        <w:pStyle w:val="Bibliography"/>
        <w:jc w:val="both"/>
        <w:spacing w:line="480" w:lineRule="auto"/>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r:id="rId207">
        <w:r>
          <w:rPr>
            <w:rStyle w:val="Hipervnculo"/>
          </w:rPr>
          <w:t xml:space="preserve">https://doi.org/10.1016/j.neucom.2024.128282</w:t>
        </w:r>
      </w:hyperlink>
      <w:r>
        <w:t xml:space="preserve">.</w:t>
      </w:r>
    </w:p>
    <w:bookmarkEnd w:id="208"/>
    <w:bookmarkStart w:id="209" w:name="ref-reif2024"/>
    <w:p>
      <w:pPr>
        <w:pStyle w:val="Bibliography"/>
        <w:jc w:val="both"/>
        <w:spacing w:line="480" w:lineRule="auto"/>
      </w:pPr>
      <w:r>
        <w:t xml:space="preserve">Reif, E. et al.</w:t>
      </w:r>
      <w:r>
        <w:t xml:space="preserve"> 2024.</w:t>
      </w:r>
      <w:r>
        <w:t xml:space="preserve"> </w:t>
      </w:r>
      <w:r>
        <w:t xml:space="preserve">“Evidence of a Social Evaluation Penalty for Using AI.”</w:t>
      </w:r>
      <w:r>
        <w:t xml:space="preserve"> </w:t>
      </w:r>
      <w:r>
        <w:rPr>
          <w:i/>
          <w:iCs/>
        </w:rPr>
        <w:t xml:space="preserve">Research Note</w:t>
      </w:r>
      <w:r>
        <w:t xml:space="preserve">.</w:t>
      </w:r>
    </w:p>
    <w:bookmarkEnd w:id="209"/>
    <w:bookmarkStart w:id="211" w:name="ref-ribeiro2016"/>
    <w:p>
      <w:pPr>
        <w:pStyle w:val="Bibliography"/>
        <w:jc w:val="both"/>
        <w:spacing w:line="480" w:lineRule="auto"/>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r:id="rId210">
        <w:r>
          <w:rPr>
            <w:rStyle w:val="Hipervnculo"/>
          </w:rPr>
          <w:t xml:space="preserve">https://doi.org/10.1145/2939672.2939778</w:t>
        </w:r>
      </w:hyperlink>
      <w:r>
        <w:t xml:space="preserve">.</w:t>
      </w:r>
    </w:p>
    <w:bookmarkEnd w:id="211"/>
    <w:bookmarkStart w:id="213" w:name="ref-ribeiro2018"/>
    <w:p>
      <w:pPr>
        <w:pStyle w:val="Bibliography"/>
        <w:jc w:val="both"/>
        <w:spacing w:line="480" w:lineRule="auto"/>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r:id="rId212">
        <w:r>
          <w:rPr>
            <w:rStyle w:val="Hipervnculo"/>
          </w:rPr>
          <w:t xml:space="preserve">https://doi.org/10.1609/aaai.v32i1.11491</w:t>
        </w:r>
      </w:hyperlink>
      <w:r>
        <w:t xml:space="preserve">.</w:t>
      </w:r>
    </w:p>
    <w:bookmarkEnd w:id="213"/>
    <w:bookmarkStart w:id="215" w:name="ref-rudin2022"/>
    <w:p>
      <w:pPr>
        <w:pStyle w:val="Bibliography"/>
        <w:jc w:val="both"/>
        <w:spacing w:line="480" w:lineRule="auto"/>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r:id="rId214">
        <w:r>
          <w:rPr>
            <w:rStyle w:val="Hipervnculo"/>
          </w:rPr>
          <w:t xml:space="preserve">https://doi.org/10.1214/21-ss133</w:t>
        </w:r>
      </w:hyperlink>
      <w:r>
        <w:t xml:space="preserve">.</w:t>
      </w:r>
    </w:p>
    <w:bookmarkEnd w:id="215"/>
    <w:bookmarkStart w:id="217" w:name="ref-saarela2024"/>
    <w:p>
      <w:pPr>
        <w:pStyle w:val="Bibliography"/>
        <w:jc w:val="both"/>
        <w:spacing w:line="480" w:lineRule="auto"/>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r:id="rId216">
        <w:r>
          <w:rPr>
            <w:rStyle w:val="Hipervnculo"/>
          </w:rPr>
          <w:t xml:space="preserve">https://doi.org/10.3390/app14198884</w:t>
        </w:r>
      </w:hyperlink>
      <w:r>
        <w:t xml:space="preserve">.</w:t>
      </w:r>
    </w:p>
    <w:bookmarkEnd w:id="217"/>
    <w:bookmarkStart w:id="219" w:name="ref-samek2019"/>
    <w:p>
      <w:pPr>
        <w:pStyle w:val="Bibliography"/>
        <w:jc w:val="both"/>
        <w:spacing w:line="480" w:lineRule="auto"/>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r:id="rId218">
        <w:r>
          <w:rPr>
            <w:rStyle w:val="Hipervnculo"/>
          </w:rPr>
          <w:t xml:space="preserve">https://doi.org/10.1007/978-3-030-28954-6</w:t>
        </w:r>
      </w:hyperlink>
      <w:r>
        <w:t xml:space="preserve">.</w:t>
      </w:r>
    </w:p>
    <w:bookmarkEnd w:id="219"/>
    <w:bookmarkStart w:id="221" w:name="ref-schwalbe2023"/>
    <w:p>
      <w:pPr>
        <w:pStyle w:val="Bibliography"/>
        <w:jc w:val="both"/>
        <w:spacing w:line="480" w:lineRule="auto"/>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r:id="rId220">
        <w:r>
          <w:rPr>
            <w:rStyle w:val="Hipervnculo"/>
          </w:rPr>
          <w:t xml:space="preserve">https://doi.org/10.1007/s10618-022-00867-8</w:t>
        </w:r>
      </w:hyperlink>
      <w:r>
        <w:t xml:space="preserve">.</w:t>
      </w:r>
    </w:p>
    <w:bookmarkEnd w:id="221"/>
    <w:bookmarkStart w:id="223" w:name="ref-tripathy2024"/>
    <w:p>
      <w:pPr>
        <w:pStyle w:val="Bibliography"/>
        <w:jc w:val="both"/>
        <w:spacing w:line="480" w:lineRule="auto"/>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r:id="rId222">
        <w:r>
          <w:rPr>
            <w:rStyle w:val="Hipervnculo"/>
          </w:rPr>
          <w:t xml:space="preserve">https://doi.org/10.1201/9781003442509</w:t>
        </w:r>
      </w:hyperlink>
      <w:r>
        <w:t xml:space="preserve">.</w:t>
      </w:r>
    </w:p>
    <w:bookmarkEnd w:id="223"/>
    <w:bookmarkStart w:id="225" w:name="ref-wachter2017"/>
    <w:p>
      <w:pPr>
        <w:pStyle w:val="Bibliography"/>
        <w:jc w:val="both"/>
        <w:spacing w:line="480" w:lineRule="auto"/>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r:id="rId224">
        <w:r>
          <w:rPr>
            <w:rStyle w:val="Hipervnculo"/>
          </w:rPr>
          <w:t xml:space="preserve">https://doi.org/10.2139/ssrn.3063289</w:t>
        </w:r>
      </w:hyperlink>
      <w:r>
        <w:t xml:space="preserve">.</w:t>
      </w:r>
    </w:p>
    <w:bookmarkEnd w:id="225"/>
    <w:bookmarkStart w:id="227" w:name="ref-wilcoxon1945"/>
    <w:p>
      <w:pPr>
        <w:pStyle w:val="Bibliography"/>
        <w:jc w:val="both"/>
        <w:spacing w:line="480" w:lineRule="auto"/>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226">
        <w:r>
          <w:rPr>
            <w:rStyle w:val="Hipervnculo"/>
          </w:rPr>
          <w:t xml:space="preserve">https://doi.org/10.2307/3001968</w:t>
        </w:r>
      </w:hyperlink>
      <w:r>
        <w:t xml:space="preserve">.</w:t>
      </w:r>
    </w:p>
    <w:bookmarkEnd w:id="227"/>
    <w:bookmarkStart w:id="229" w:name="ref-zheng2025"/>
    <w:p>
      <w:pPr>
        <w:pStyle w:val="Bibliography"/>
        <w:jc w:val="both"/>
        <w:spacing w:line="480" w:lineRule="auto"/>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r:id="rId228">
        <w:r>
          <w:rPr>
            <w:rStyle w:val="Hipervnculo"/>
          </w:rPr>
          <w:t xml:space="preserve">https://trustai4s-lab.github.io/ffidelity</w:t>
        </w:r>
      </w:hyperlink>
      <w:r>
        <w:t xml:space="preserve">.</w:t>
      </w:r>
    </w:p>
    <w:bookmarkEnd w:id="229"/>
    <w:bookmarkEnd w:id="230"/>
    <w:bookmarkEnd w:id="231"/>
    <w:bookmarkStart w:id="235" w:name="apéndices"/>
    <w:p>
      <w:pPr>
        <w:pStyle w:val="Ttulo1"/>
      </w:pPr>
      <w:r>
        <w:t xml:space="preserve">Apéndices</w:t>
      </w:r>
    </w:p>
    <w:bookmarkStart w:id="232" w:name="apéndice-a-detalles-del-corpus-de-datos"/>
    <w:p>
      <w:pPr>
        <w:pStyle w:val="Ttulo2"/>
      </w:pPr>
      <w:r>
        <w:t xml:space="preserve">Apéndice A: Detalles del corpus de datos</w:t>
      </w:r>
    </w:p>
    <w:bookmarkEnd w:id="232"/>
    <w:bookmarkStart w:id="233" w:name="X099ba691e46175a7ccd6698c94b9cfe7ba4975a"/>
    <w:p>
      <w:pPr>
        <w:pStyle w:val="Ttulo2"/>
      </w:pPr>
      <w:r>
        <w:t xml:space="preserve">Apéndice B: Configuración de los modelos de caja negra</w:t>
      </w:r>
    </w:p>
    <w:bookmarkEnd w:id="233"/>
    <w:bookmarkStart w:id="234" w:name="X52f0a5c074bf6018d9e252527b969f7db490891"/>
    <w:p>
      <w:pPr>
        <w:pStyle w:val="Ttulo2"/>
      </w:pPr>
      <w:r>
        <w:t xml:space="preserve">Apéndice C: Prompts utilizados para la evaluación con LLMs</w:t>
      </w:r>
    </w:p>
    <w:bookmarkEnd w:id="234"/>
    <w:bookmarkEnd w:id="235"/>
    <w:sectPr w:rsidR="004A1446" w:rsidSect="0070096E">
      <w:headerReference r:id="rId9" w:type="even"/>
      <w:headerReference r: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259"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jc w:val="both"/>
      <w:spacing w:line="480" w:lineRule="auto"/>
    </w:pPr>
  </w:style>
  <w:style w:styleId="Ttulo1" w:type="paragraph">
    <w:name w:val="heading 1"/>
    <w:basedOn w:val="Normal"/>
    <w:next w:val="Normal"/>
    <w:link w:val="Ttulo1Car"/>
    <w:autoRedefine/>
    <w:uiPriority w:val="9"/>
    <w:qFormat/>
    <w:rsid w:val="00587376"/>
    <w:pPr>
      <w:keepNext/>
      <w:keepLines/>
      <w:spacing w:after="0" w:before="240" w:line="480" w:lineRule="auto"/>
      <w:jc w:val="center"/>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480" w:lineRule="auto"/>
      <w:outlineLvl w:val="1"/>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outlineLvl w:val="2"/>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ind w:left="1440"/>
      <w:outlineLvl w:val="3"/>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ind w:left="1440"/>
      <w:outlineLvl w:val="4"/>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48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240" w:lineRule="auto"/>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jc w:val="both"/>
      <w:spacing w:line="480" w:lineRule="auto"/>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240" w:lineRule="auto"/>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pPr>
    <w:rPr>
      <w:lang w:eastAsia="es-MX"/>
    </w:rPr>
  </w:style>
  <w:style w:styleId="TDC3" w:type="paragraph">
    <w:name w:val="toc 3"/>
    <w:basedOn w:val="Normal"/>
    <w:next w:val="Normal"/>
    <w:autoRedefine/>
    <w:uiPriority w:val="39"/>
    <w:unhideWhenUsed/>
    <w:rsid w:val="00302EDB"/>
    <w:pPr>
      <w:spacing w:after="100" w:line="480" w:lineRule="auto"/>
      <w:ind w:left="482"/>
    </w:pPr>
  </w:style>
  <w:style w:styleId="TDC1" w:type="paragraph">
    <w:name w:val="toc 1"/>
    <w:basedOn w:val="Normal"/>
    <w:next w:val="Normal"/>
    <w:autoRedefine/>
    <w:uiPriority w:val="39"/>
    <w:unhideWhenUsed/>
    <w:rsid w:val="00302EDB"/>
    <w:pPr>
      <w:spacing w:after="100" w:line="480" w:lineRule="auto"/>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480" w:lineRule="auto"/>
      <w:ind w:left="238"/>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240" w:lineRule="auto"/>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480" w:lineRule="auto"/>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480" w:lineRule="auto"/>
      <w:ind w:left="720"/>
    </w:pPr>
  </w:style>
  <w:style w:styleId="TDC5" w:type="paragraph">
    <w:name w:val="toc 5"/>
    <w:basedOn w:val="Normal"/>
    <w:next w:val="Normal"/>
    <w:autoRedefine/>
    <w:uiPriority w:val="39"/>
    <w:unhideWhenUsed/>
    <w:rsid w:val="00302EDB"/>
    <w:pPr>
      <w:spacing w:after="100" w:line="480" w:lineRule="auto"/>
      <w:ind w:left="958"/>
    </w:pPr>
  </w:style>
  <w:style w:customStyle="1" w:styleId="Default" w:type="paragraph">
    <w:name w:val="Default"/>
    <w:rsid w:val="003C25F6"/>
    <w:pPr>
      <w:autoSpaceDE w:val="0"/>
      <w:autoSpaceDN w:val="0"/>
      <w:adjustRightInd w:val="0"/>
      <w:spacing w:after="0" w:line="48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240" w:lineRule="auto"/>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hyperlink" Id="rId157" Target="https://doi.org/10.1002/widm.1424" TargetMode="External" /><Relationship Type="http://schemas.openxmlformats.org/officeDocument/2006/relationships/hyperlink" Id="rId195" Target="https://doi.org/10.1002/widm.1493" TargetMode="External" /><Relationship Type="http://schemas.openxmlformats.org/officeDocument/2006/relationships/hyperlink" Id="rId218" Target="https://doi.org/10.1007/978-3-030-28954-6" TargetMode="External" /><Relationship Type="http://schemas.openxmlformats.org/officeDocument/2006/relationships/hyperlink" Id="rId220" Target="https://doi.org/10.1007/s10618-022-00867-8" TargetMode="External" /><Relationship Type="http://schemas.openxmlformats.org/officeDocument/2006/relationships/hyperlink" Id="rId173" Target="https://doi.org/10.1007/s11023-018-9482-5" TargetMode="External" /><Relationship Type="http://schemas.openxmlformats.org/officeDocument/2006/relationships/hyperlink" Id="rId179" Target="https://doi.org/10.1007/s12559-023-10179-8" TargetMode="External" /><Relationship Type="http://schemas.openxmlformats.org/officeDocument/2006/relationships/hyperlink" Id="rId159" Target="https://doi.org/10.1016/j.inffus.2019.12.012" TargetMode="External" /><Relationship Type="http://schemas.openxmlformats.org/officeDocument/2006/relationships/hyperlink" Id="rId151" Target="https://doi.org/10.1016/j.inffus.2023.101805" TargetMode="External" /><Relationship Type="http://schemas.openxmlformats.org/officeDocument/2006/relationships/hyperlink" Id="rId207" Target="https://doi.org/10.1016/j.neucom.2024.128282" TargetMode="External" /><Relationship Type="http://schemas.openxmlformats.org/officeDocument/2006/relationships/hyperlink" Id="rId165" Target="https://doi.org/10.1023/a:1010933404324" TargetMode="External" /><Relationship Type="http://schemas.openxmlformats.org/officeDocument/2006/relationships/hyperlink" Id="rId205" Target="https://doi.org/10.1038/s41467-022-33417-3" TargetMode="External" /><Relationship Type="http://schemas.openxmlformats.org/officeDocument/2006/relationships/hyperlink" Id="rId201" Target="https://doi.org/10.1073/pnas.1900654116" TargetMode="External" /><Relationship Type="http://schemas.openxmlformats.org/officeDocument/2006/relationships/hyperlink" Id="rId175" Target="https://doi.org/10.1080/01621459.1937.10503522" TargetMode="External" /><Relationship Type="http://schemas.openxmlformats.org/officeDocument/2006/relationships/hyperlink" Id="rId146" Target="https://doi.org/10.1109/INES59045.2023.1030000" TargetMode="External" /><Relationship Type="http://schemas.openxmlformats.org/officeDocument/2006/relationships/hyperlink" Id="rId148" Target="https://doi.org/10.1109/access.2018.2870052" TargetMode="External" /><Relationship Type="http://schemas.openxmlformats.org/officeDocument/2006/relationships/hyperlink" Id="rId177" Target="https://doi.org/10.1109/dsaa.2018.00018" TargetMode="External" /><Relationship Type="http://schemas.openxmlformats.org/officeDocument/2006/relationships/hyperlink" Id="rId210" Target="https://doi.org/10.1145/2939672.2939778" TargetMode="External" /><Relationship Type="http://schemas.openxmlformats.org/officeDocument/2006/relationships/hyperlink" Id="rId189" Target="https://doi.org/10.1145/3236386.3241340" TargetMode="External" /><Relationship Type="http://schemas.openxmlformats.org/officeDocument/2006/relationships/hyperlink" Id="rId197" Target="https://doi.org/10.1145/3287560.3287574" TargetMode="External" /><Relationship Type="http://schemas.openxmlformats.org/officeDocument/2006/relationships/hyperlink" Id="rId199" Target="https://doi.org/10.1145/3351095.3372850" TargetMode="External" /><Relationship Type="http://schemas.openxmlformats.org/officeDocument/2006/relationships/hyperlink" Id="rId163" Target="https://doi.org/10.1145/3631700.3664911" TargetMode="External" /><Relationship Type="http://schemas.openxmlformats.org/officeDocument/2006/relationships/hyperlink" Id="rId193" Target="https://doi.org/10.1145/3647444.3647912" TargetMode="External" /><Relationship Type="http://schemas.openxmlformats.org/officeDocument/2006/relationships/hyperlink" Id="rId167" Target="https://doi.org/10.1145/3737445" TargetMode="External" /><Relationship Type="http://schemas.openxmlformats.org/officeDocument/2006/relationships/hyperlink" Id="rId153" Target="https://doi.org/10.1146/annurev-statistics-040120-030919" TargetMode="External" /><Relationship Type="http://schemas.openxmlformats.org/officeDocument/2006/relationships/hyperlink" Id="rId222" Target="https://doi.org/10.1201/9781003442509" TargetMode="External" /><Relationship Type="http://schemas.openxmlformats.org/officeDocument/2006/relationships/hyperlink" Id="rId214" Target="https://doi.org/10.1214/21-ss133" TargetMode="External" /><Relationship Type="http://schemas.openxmlformats.org/officeDocument/2006/relationships/hyperlink" Id="rId212" Target="https://doi.org/10.1609/aaai.v32i1.11491" TargetMode="External" /><Relationship Type="http://schemas.openxmlformats.org/officeDocument/2006/relationships/hyperlink" Id="rId224" Target="https://doi.org/10.2139/ssrn.3063289" TargetMode="External" /><Relationship Type="http://schemas.openxmlformats.org/officeDocument/2006/relationships/hyperlink" Id="rId226" Target="https://doi.org/10.2307/3001968" TargetMode="External" /><Relationship Type="http://schemas.openxmlformats.org/officeDocument/2006/relationships/hyperlink" Id="rId161" Target="https://doi.org/10.3389/fdata.2021.688969" TargetMode="External" /><Relationship Type="http://schemas.openxmlformats.org/officeDocument/2006/relationships/hyperlink" Id="rId184" Target="https://doi.org/10.3389/fpsyg.2013.00863" TargetMode="External" /><Relationship Type="http://schemas.openxmlformats.org/officeDocument/2006/relationships/hyperlink" Id="rId216" Target="https://doi.org/10.3390/app14198884" TargetMode="External" /><Relationship Type="http://schemas.openxmlformats.org/officeDocument/2006/relationships/hyperlink" Id="rId186" Target="https://doi.org/10.3390/e23010018" TargetMode="External" /><Relationship Type="http://schemas.openxmlformats.org/officeDocument/2006/relationships/hyperlink" Id="rId155" Target="https://doi.org/10.3390/technologies13030093" TargetMode="External" /><Relationship Type="http://schemas.openxmlformats.org/officeDocument/2006/relationships/hyperlink" Id="rId171" Target="https://doi.org/10.48550/arxiv.1702.08608" TargetMode="External" /><Relationship Type="http://schemas.openxmlformats.org/officeDocument/2006/relationships/hyperlink" Id="rId191" Target="https://doi.org/10.48550/arxiv.1705.07874" TargetMode="External" /><Relationship Type="http://schemas.openxmlformats.org/officeDocument/2006/relationships/hyperlink" Id="rId169" Target="https://jmlr.org/papers/v7/demsar06a.html" TargetMode="External" /><Relationship Type="http://schemas.openxmlformats.org/officeDocument/2006/relationships/hyperlink" Id="rId228" Target="https://trustai4s-lab.github.io/ffidelity" TargetMode="External" /><Relationship Type="http://schemas.openxmlformats.org/officeDocument/2006/relationships/hyperlink" Id="rId182" Target="https://www.aaai.org/Papers/KDD/1996/KDD96-033.pdf"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2/widm.1424" TargetMode="External" /><Relationship Type="http://schemas.openxmlformats.org/officeDocument/2006/relationships/hyperlink" Id="rId195" Target="https://doi.org/10.1002/widm.1493" TargetMode="External" /><Relationship Type="http://schemas.openxmlformats.org/officeDocument/2006/relationships/hyperlink" Id="rId218" Target="https://doi.org/10.1007/978-3-030-28954-6" TargetMode="External" /><Relationship Type="http://schemas.openxmlformats.org/officeDocument/2006/relationships/hyperlink" Id="rId220" Target="https://doi.org/10.1007/s10618-022-00867-8" TargetMode="External" /><Relationship Type="http://schemas.openxmlformats.org/officeDocument/2006/relationships/hyperlink" Id="rId173" Target="https://doi.org/10.1007/s11023-018-9482-5" TargetMode="External" /><Relationship Type="http://schemas.openxmlformats.org/officeDocument/2006/relationships/hyperlink" Id="rId179" Target="https://doi.org/10.1007/s12559-023-10179-8" TargetMode="External" /><Relationship Type="http://schemas.openxmlformats.org/officeDocument/2006/relationships/hyperlink" Id="rId159" Target="https://doi.org/10.1016/j.inffus.2019.12.012" TargetMode="External" /><Relationship Type="http://schemas.openxmlformats.org/officeDocument/2006/relationships/hyperlink" Id="rId151" Target="https://doi.org/10.1016/j.inffus.2023.101805" TargetMode="External" /><Relationship Type="http://schemas.openxmlformats.org/officeDocument/2006/relationships/hyperlink" Id="rId207" Target="https://doi.org/10.1016/j.neucom.2024.128282" TargetMode="External" /><Relationship Type="http://schemas.openxmlformats.org/officeDocument/2006/relationships/hyperlink" Id="rId165" Target="https://doi.org/10.1023/a:1010933404324" TargetMode="External" /><Relationship Type="http://schemas.openxmlformats.org/officeDocument/2006/relationships/hyperlink" Id="rId205" Target="https://doi.org/10.1038/s41467-022-33417-3" TargetMode="External" /><Relationship Type="http://schemas.openxmlformats.org/officeDocument/2006/relationships/hyperlink" Id="rId201" Target="https://doi.org/10.1073/pnas.1900654116" TargetMode="External" /><Relationship Type="http://schemas.openxmlformats.org/officeDocument/2006/relationships/hyperlink" Id="rId175" Target="https://doi.org/10.1080/01621459.1937.10503522" TargetMode="External" /><Relationship Type="http://schemas.openxmlformats.org/officeDocument/2006/relationships/hyperlink" Id="rId146" Target="https://doi.org/10.1109/INES59045.2023.1030000" TargetMode="External" /><Relationship Type="http://schemas.openxmlformats.org/officeDocument/2006/relationships/hyperlink" Id="rId148" Target="https://doi.org/10.1109/access.2018.2870052" TargetMode="External" /><Relationship Type="http://schemas.openxmlformats.org/officeDocument/2006/relationships/hyperlink" Id="rId177" Target="https://doi.org/10.1109/dsaa.2018.00018" TargetMode="External" /><Relationship Type="http://schemas.openxmlformats.org/officeDocument/2006/relationships/hyperlink" Id="rId210" Target="https://doi.org/10.1145/2939672.2939778" TargetMode="External" /><Relationship Type="http://schemas.openxmlformats.org/officeDocument/2006/relationships/hyperlink" Id="rId189" Target="https://doi.org/10.1145/3236386.3241340" TargetMode="External" /><Relationship Type="http://schemas.openxmlformats.org/officeDocument/2006/relationships/hyperlink" Id="rId197" Target="https://doi.org/10.1145/3287560.3287574" TargetMode="External" /><Relationship Type="http://schemas.openxmlformats.org/officeDocument/2006/relationships/hyperlink" Id="rId199" Target="https://doi.org/10.1145/3351095.3372850" TargetMode="External" /><Relationship Type="http://schemas.openxmlformats.org/officeDocument/2006/relationships/hyperlink" Id="rId163" Target="https://doi.org/10.1145/3631700.3664911" TargetMode="External" /><Relationship Type="http://schemas.openxmlformats.org/officeDocument/2006/relationships/hyperlink" Id="rId193" Target="https://doi.org/10.1145/3647444.3647912" TargetMode="External" /><Relationship Type="http://schemas.openxmlformats.org/officeDocument/2006/relationships/hyperlink" Id="rId167" Target="https://doi.org/10.1145/3737445" TargetMode="External" /><Relationship Type="http://schemas.openxmlformats.org/officeDocument/2006/relationships/hyperlink" Id="rId153" Target="https://doi.org/10.1146/annurev-statistics-040120-030919" TargetMode="External" /><Relationship Type="http://schemas.openxmlformats.org/officeDocument/2006/relationships/hyperlink" Id="rId222" Target="https://doi.org/10.1201/9781003442509" TargetMode="External" /><Relationship Type="http://schemas.openxmlformats.org/officeDocument/2006/relationships/hyperlink" Id="rId214" Target="https://doi.org/10.1214/21-ss133" TargetMode="External" /><Relationship Type="http://schemas.openxmlformats.org/officeDocument/2006/relationships/hyperlink" Id="rId212" Target="https://doi.org/10.1609/aaai.v32i1.11491" TargetMode="External" /><Relationship Type="http://schemas.openxmlformats.org/officeDocument/2006/relationships/hyperlink" Id="rId224" Target="https://doi.org/10.2139/ssrn.3063289" TargetMode="External" /><Relationship Type="http://schemas.openxmlformats.org/officeDocument/2006/relationships/hyperlink" Id="rId226" Target="https://doi.org/10.2307/3001968" TargetMode="External" /><Relationship Type="http://schemas.openxmlformats.org/officeDocument/2006/relationships/hyperlink" Id="rId161" Target="https://doi.org/10.3389/fdata.2021.688969" TargetMode="External" /><Relationship Type="http://schemas.openxmlformats.org/officeDocument/2006/relationships/hyperlink" Id="rId184" Target="https://doi.org/10.3389/fpsyg.2013.00863" TargetMode="External" /><Relationship Type="http://schemas.openxmlformats.org/officeDocument/2006/relationships/hyperlink" Id="rId216" Target="https://doi.org/10.3390/app14198884" TargetMode="External" /><Relationship Type="http://schemas.openxmlformats.org/officeDocument/2006/relationships/hyperlink" Id="rId186" Target="https://doi.org/10.3390/e23010018" TargetMode="External" /><Relationship Type="http://schemas.openxmlformats.org/officeDocument/2006/relationships/hyperlink" Id="rId155" Target="https://doi.org/10.3390/technologies13030093" TargetMode="External" /><Relationship Type="http://schemas.openxmlformats.org/officeDocument/2006/relationships/hyperlink" Id="rId171" Target="https://doi.org/10.48550/arxiv.1702.08608" TargetMode="External" /><Relationship Type="http://schemas.openxmlformats.org/officeDocument/2006/relationships/hyperlink" Id="rId191" Target="https://doi.org/10.48550/arxiv.1705.07874" TargetMode="External" /><Relationship Type="http://schemas.openxmlformats.org/officeDocument/2006/relationships/hyperlink" Id="rId169" Target="https://jmlr.org/papers/v7/demsar06a.html" TargetMode="External" /><Relationship Type="http://schemas.openxmlformats.org/officeDocument/2006/relationships/hyperlink" Id="rId228" Target="https://trustai4s-lab.github.io/ffidelity" TargetMode="External" /><Relationship Type="http://schemas.openxmlformats.org/officeDocument/2006/relationships/hyperlink" Id="rId182" Target="https://www.aaai.org/Papers/KDD/1996/KDD96-033.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2026-05-02T12:53:36Z</dcterms:created>
  <dcterms:modified xsi:type="dcterms:W3CDTF">2026-05-02T12:53:36Z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