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16e50e5c74a01e10cfd5e00d82e8d7cae092ce0"/>
    <w:p>
      <w:pPr>
        <w:pStyle w:val="Heading1"/>
        <w:spacing w:before="280" w:after="160"/>
        <w:jc w:val="left"/>
      </w:pPr>
      <w:r>
        <w:rPr>
          <w:rFonts w:ascii="Times New Roman" w:hAnsi="Times New Roman"/>
          <w:color w:val="000000"/>
        </w:rPr>
        <w:t xml:space="preserve">Carta de Respuesta a los Comentarios Editoriales (Revisión 1)</w:t>
      </w:r>
    </w:p>
    <w:p>
      <w:pPr>
        <w:pStyle w:val="FirstParagraph"/>
        <w:spacing w:before="40" w:after="60" w:line="276" w:lineRule="auto"/>
        <w:jc w:val="left"/>
      </w:pPr>
      <w:r>
        <w:rPr>
          <w:rFonts w:ascii="Times New Roman" w:hAnsi="Times New Roman"/>
          <w:b/>
          <w:bCs/>
          <w:color w:val="000000"/>
          <w:sz w:val="23"/>
        </w:rPr>
        <w:t xml:space="preserve">Capítulo:</w:t>
      </w:r>
      <w:r>
        <w:rPr>
          <w:rFonts w:ascii="Times New Roman" w:hAnsi="Times New Roman"/>
          <w:color w:val="000000"/>
          <w:sz w:val="23"/>
        </w:rPr>
        <w:t xml:space="preserve"> </w:t>
      </w:r>
      <w:r>
        <w:rPr>
          <w:rFonts w:ascii="Times New Roman" w:hAnsi="Times New Roman"/>
          <w:i/>
          <w:iCs/>
          <w:color w:val="000000"/>
          <w:sz w:val="23"/>
        </w:rPr>
        <w:t xml:space="preserve">De la explicación a la evidencia: fundamentos, aplicaciones y evaluación auditable de la inteligencia artificial explicable</w:t>
      </w:r>
      <w:r>
        <w:rPr>
          <w:rFonts w:ascii="Times New Roman" w:hAnsi="Times New Roman"/>
          <w:color w:val="000000"/>
          <w:sz w:val="23"/>
        </w:rPr>
        <w:br/>
      </w:r>
      <w:r>
        <w:rPr>
          <w:rFonts w:ascii="Times New Roman" w:hAnsi="Times New Roman"/>
          <w:b/>
          <w:bCs/>
          <w:color w:val="000000"/>
          <w:sz w:val="23"/>
        </w:rPr>
        <w:t xml:space="preserve">Autor:</w:t>
      </w:r>
      <w:r>
        <w:rPr>
          <w:rFonts w:ascii="Times New Roman" w:hAnsi="Times New Roman"/>
          <w:color w:val="000000"/>
          <w:sz w:val="23"/>
        </w:rPr>
        <w:t xml:space="preserve"> </w:t>
      </w:r>
      <w:r>
        <w:rPr>
          <w:rFonts w:ascii="Times New Roman" w:hAnsi="Times New Roman"/>
          <w:color w:val="000000"/>
          <w:sz w:val="23"/>
        </w:rPr>
        <w:t xml:space="preserve">Jonathan Herrera-Vásquez (Universidad Americana de Europa)</w:t>
      </w:r>
      <w:r>
        <w:rPr>
          <w:rFonts w:ascii="Times New Roman" w:hAnsi="Times New Roman"/>
          <w:color w:val="000000"/>
          <w:sz w:val="23"/>
        </w:rPr>
        <w:br/>
      </w:r>
      <w:r>
        <w:rPr>
          <w:rFonts w:ascii="Times New Roman" w:hAnsi="Times New Roman"/>
          <w:b/>
          <w:bCs/>
          <w:color w:val="000000"/>
          <w:sz w:val="23"/>
        </w:rPr>
        <w:t xml:space="preserve">Editora Académica:</w:t>
      </w:r>
      <w:r>
        <w:rPr>
          <w:rFonts w:ascii="Times New Roman" w:hAnsi="Times New Roman"/>
          <w:color w:val="000000"/>
          <w:sz w:val="23"/>
        </w:rPr>
        <w:t xml:space="preserve"> </w:t>
      </w:r>
      <w:r>
        <w:rPr>
          <w:rFonts w:ascii="Times New Roman" w:hAnsi="Times New Roman"/>
          <w:color w:val="000000"/>
          <w:sz w:val="23"/>
        </w:rPr>
        <w:t xml:space="preserve">Dra. Irene Arostegui (Colección CIFIE / Editorial Tintazul)</w:t>
      </w:r>
      <w:r>
        <w:rPr>
          <w:rFonts w:ascii="Times New Roman" w:hAnsi="Times New Roman"/>
          <w:color w:val="000000"/>
          <w:sz w:val="23"/>
        </w:rPr>
        <w:br/>
      </w:r>
      <w:r>
        <w:rPr>
          <w:rFonts w:ascii="Times New Roman" w:hAnsi="Times New Roman"/>
          <w:b/>
          <w:bCs/>
          <w:color w:val="000000"/>
          <w:sz w:val="23"/>
        </w:rPr>
        <w:t xml:space="preserve">Fecha:</w:t>
      </w:r>
      <w:r>
        <w:rPr>
          <w:rFonts w:ascii="Times New Roman" w:hAnsi="Times New Roman"/>
          <w:color w:val="000000"/>
          <w:sz w:val="23"/>
        </w:rPr>
        <w:t xml:space="preserve"> </w:t>
      </w:r>
      <w:r>
        <w:rPr>
          <w:rFonts w:ascii="Times New Roman" w:hAnsi="Times New Roman"/>
          <w:color w:val="000000"/>
          <w:sz w:val="23"/>
        </w:rPr>
        <w:t xml:space="preserve">24 de octubre de 2026</w:t>
      </w:r>
    </w:p>
    <w:p>
      <w:pPr>
        <w:spacing w:line="312" w:lineRule="auto" w:after="100"/>
        <w:jc w:val="both"/>
      </w:pPr>
      <w:r>
        <w:rPr>
          <w:rFonts w:ascii="Times New Roman" w:hAnsi="Times New Roman"/>
          <w:color w:val="000000"/>
          <w:sz w:val="23"/>
        </w:rPr>
        <w:pict>
          <v:rect style="width:0;height:1.5pt" o:hralign="center" o:hrstd="t" o:hr="t"/>
        </w:pict>
      </w:r>
    </w:p>
    <w:p>
      <w:pPr>
        <w:pStyle w:val="FirstParagraph"/>
        <w:spacing w:before="40" w:after="60" w:line="276" w:lineRule="auto"/>
        <w:jc w:val="left"/>
      </w:pPr>
      <w:r>
        <w:rPr>
          <w:rFonts w:ascii="Times New Roman" w:hAnsi="Times New Roman"/>
          <w:color w:val="000000"/>
          <w:sz w:val="23"/>
        </w:rPr>
        <w:t xml:space="preserve">Estimada Dra. Irene Arostegui:</w:t>
      </w:r>
    </w:p>
    <w:p>
      <w:pPr>
        <w:pStyle w:val="BodyText"/>
        <w:spacing w:line="312" w:lineRule="auto" w:after="100"/>
        <w:jc w:val="both"/>
      </w:pPr>
      <w:r>
        <w:rPr>
          <w:rFonts w:ascii="Times New Roman" w:hAnsi="Times New Roman"/>
          <w:color w:val="000000"/>
          <w:sz w:val="23"/>
        </w:rPr>
        <w:t xml:space="preserve">Agradezco profundamente su detallada y constructiva revisión editorial del capítulo. Sus observaciones han permitido elevar significativamente la precisión metodológica, la claridad conceptual y la honestidad epistémica del manuscrito.</w:t>
      </w:r>
    </w:p>
    <w:p>
      <w:pPr>
        <w:pStyle w:val="BodyText"/>
        <w:spacing w:line="312" w:lineRule="auto" w:after="100"/>
        <w:jc w:val="both"/>
      </w:pPr>
      <w:r>
        <w:rPr>
          <w:rFonts w:ascii="Times New Roman" w:hAnsi="Times New Roman"/>
          <w:color w:val="000000"/>
          <w:sz w:val="23"/>
        </w:rPr>
        <w:t xml:space="preserve">A continuación, se presenta la respuesta detallada punto por punto a cada uno de sus comentarios, señalando las enmiendas específicas incorporadas en el texto revisado.</w:t>
      </w:r>
    </w:p>
    <w:p>
      <w:pPr>
        <w:spacing w:line="312" w:lineRule="auto" w:after="100"/>
        <w:jc w:val="both"/>
      </w:pPr>
      <w:r>
        <w:rPr>
          <w:rFonts w:ascii="Times New Roman" w:hAnsi="Times New Roman"/>
          <w:color w:val="000000"/>
          <w:sz w:val="23"/>
        </w:rPr>
        <w:pict>
          <v:rect style="width:0;height:1.5pt" o:hralign="center" o:hrstd="t" o:hr="t"/>
        </w:pict>
      </w:r>
    </w:p>
    <w:bookmarkStart w:id="9" w:name="X9ab58fe5b8787928cd65f98cbac0c01aa848961"/>
    <w:p>
      <w:pPr>
        <w:pStyle w:val="Heading3"/>
        <w:spacing w:before="240" w:after="80"/>
        <w:jc w:val="left"/>
      </w:pPr>
      <w:r>
        <w:rPr>
          <w:rFonts w:ascii="Times New Roman" w:hAnsi="Times New Roman"/>
          <w:color w:val="000000"/>
        </w:rPr>
        <w:t xml:space="preserve">Comentario 44 — Correspondencia entre las compuertas de FOM-7 y las métricas del benchmark</w:t>
      </w:r>
    </w:p>
    <w:p>
      <w:pPr>
        <w:pStyle w:val="FirstParagraph"/>
        <w:spacing w:before="160" w:after="40" w:line="276" w:lineRule="auto"/>
        <w:jc w:val="left"/>
      </w:pPr>
      <w:r>
        <w:rPr>
          <w:rFonts w:ascii="Times New Roman" w:hAnsi="Times New Roman"/>
          <w:b/>
          <w:bCs/>
          <w:color w:val="000000"/>
          <w:sz w:val="23"/>
        </w:rPr>
        <w:t xml:space="preserve">Comentario de la Editora:</w:t>
      </w:r>
    </w:p>
    <w:p>
      <w:pPr>
        <w:pStyle w:val="BlockText"/>
        <w:spacing w:line="276" w:lineRule="auto" w:before="80" w:after="120"/>
        <w:ind w:left="576" w:right="288"/>
        <w:jc w:val="both"/>
      </w:pPr>
      <w:r>
        <w:rPr>
          <w:rFonts w:ascii="Times New Roman" w:hAnsi="Times New Roman"/>
          <w:i/>
          <w:iCs/>
          <w:color w:val="000000"/>
          <w:sz w:val="21"/>
        </w:rPr>
        <w:t xml:space="preserve">“Haga explícita la correspondencia entre las siete compuertas que conforman FOM-7 y las métricas efectivamente operacionalizadas en el benchmark empírico. La Tabla 1 presenta cinco métricas primarias: fidelidad, estabilidad, parsimonia, brecha de fidelidad y coste computacional, mientras que el protocolo previamente definido comprende siete puertas, incluidas consistencia inter-método (G6) y equidad en la explicación (G7). Es necesario indicar cuáles de las siete puertas fueron evaluadas experimentalmente, cuáles fueron analizadas mediante indicadores equivalentes y cuáles permanecen como componentes del marco pendientes de validación empírica, a fin de evitar que el lector interprete que las siete fueron sometidas al mismo nivel de comprobación.”</w:t>
      </w:r>
    </w:p>
    <w:p>
      <w:pPr>
        <w:pStyle w:val="FirstParagraph"/>
        <w:spacing w:before="160" w:after="40" w:line="276" w:lineRule="auto"/>
        <w:jc w:val="left"/>
      </w:pPr>
      <w:r>
        <w:rPr>
          <w:rFonts w:ascii="Times New Roman" w:hAnsi="Times New Roman"/>
          <w:b/>
          <w:bCs/>
          <w:color w:val="000000"/>
          <w:sz w:val="23"/>
        </w:rPr>
        <w:t xml:space="preserve">Respuesta del Autor:</w:t>
      </w:r>
    </w:p>
    <w:p>
      <w:pPr>
        <w:pStyle w:val="BodyText"/>
        <w:spacing w:line="312" w:lineRule="auto" w:after="100"/>
        <w:jc w:val="both"/>
      </w:pPr>
      <w:r>
        <w:rPr>
          <w:rFonts w:ascii="Times New Roman" w:hAnsi="Times New Roman"/>
          <w:color w:val="000000"/>
          <w:sz w:val="23"/>
        </w:rPr>
        <w:t xml:space="preserve">Se acepta plenamente la observación. Comparto la apreciación de que presentar las siete compuertas del marco teórico de gobernanza junto con las cinco métricas tabulares del benchmark sin un deslinde explícito podía inducir a error al lector respecto al nivel de comprobación de cada componente.</w:t>
      </w:r>
    </w:p>
    <w:p>
      <w:pPr>
        <w:pStyle w:val="BodyText"/>
        <w:spacing w:before="160" w:after="40" w:line="276" w:lineRule="auto"/>
        <w:jc w:val="left"/>
      </w:pPr>
      <w:r>
        <w:rPr>
          <w:rFonts w:ascii="Times New Roman" w:hAnsi="Times New Roman"/>
          <w:b/>
          <w:bCs/>
          <w:color w:val="000000"/>
          <w:sz w:val="23"/>
        </w:rPr>
        <w:t xml:space="preserve">Modificaciones realizadas:</w:t>
      </w:r>
    </w:p>
    <w:p>
      <w:pPr>
        <w:pStyle w:val="Compact"/>
        <w:numPr>
          <w:ilvl w:val="0"/>
          <w:numId w:val="1001"/>
        </w:numPr>
        <w:spacing w:line="312" w:lineRule="auto" w:after="100"/>
        <w:jc w:val="both"/>
      </w:pPr>
      <w:r>
        <w:rPr>
          <w:rFonts w:ascii="Times New Roman" w:hAnsi="Times New Roman"/>
          <w:b/>
          <w:bCs/>
          <w:color w:val="000000"/>
          <w:sz w:val="23"/>
        </w:rPr>
        <w:t xml:space="preserve">Sección 06 (</w:t>
      </w:r>
      <w:r>
        <w:rPr>
          <w:rStyle w:val="VerbatimChar"/>
          <w:rFonts w:ascii="Times New Roman" w:hAnsi="Times New Roman"/>
          <w:b/>
          <w:bCs/>
          <w:color w:val="000000"/>
          <w:sz w:val="23"/>
        </w:rPr>
        <w:t xml:space="preserve">06_protocolo_fom7.md</w:t>
      </w:r>
      <w:r>
        <w:rPr>
          <w:rFonts w:ascii="Times New Roman" w:hAnsi="Times New Roman"/>
          <w:b/>
          <w:bCs/>
          <w:color w:val="000000"/>
          <w:sz w:val="23"/>
        </w:rPr>
        <w:t xml:space="preserve">):</w:t>
      </w:r>
      <w:r>
        <w:rPr>
          <w:rFonts w:ascii="Times New Roman" w:hAnsi="Times New Roman"/>
          <w:color w:val="000000"/>
          <w:sz w:val="23"/>
        </w:rPr>
        <w:t xml:space="preserve"> </w:t>
      </w:r>
      <w:r>
        <w:rPr>
          <w:rFonts w:ascii="Times New Roman" w:hAnsi="Times New Roman"/>
          <w:color w:val="000000"/>
          <w:sz w:val="23"/>
        </w:rPr>
        <w:t xml:space="preserve">Se incorporó una subsección explícita titulada</w:t>
      </w:r>
      <w:r>
        <w:rPr>
          <w:rFonts w:ascii="Times New Roman" w:hAnsi="Times New Roman"/>
          <w:color w:val="000000"/>
          <w:sz w:val="23"/>
        </w:rPr>
        <w:t xml:space="preserve"> </w:t>
      </w:r>
      <w:r>
        <w:rPr>
          <w:rFonts w:ascii="Times New Roman" w:hAnsi="Times New Roman"/>
          <w:i/>
          <w:iCs/>
          <w:color w:val="000000"/>
          <w:sz w:val="23"/>
        </w:rPr>
        <w:t xml:space="preserve">«Correspondencia metodológica y niveles de comprobación»</w:t>
      </w:r>
      <w:r>
        <w:rPr>
          <w:rFonts w:ascii="Times New Roman" w:hAnsi="Times New Roman"/>
          <w:color w:val="000000"/>
          <w:sz w:val="23"/>
        </w:rPr>
        <w:t xml:space="preserve">, donde se formalizan tres niveles de verificación técnica:</w:t>
      </w:r>
    </w:p>
    <w:p>
      <w:pPr>
        <w:pStyle w:val="Compact"/>
        <w:numPr>
          <w:ilvl w:val="1"/>
          <w:numId w:val="1002"/>
        </w:numPr>
        <w:spacing w:line="312" w:lineRule="auto" w:after="100"/>
        <w:jc w:val="both"/>
      </w:pPr>
      <w:r>
        <w:rPr>
          <w:rFonts w:ascii="Times New Roman" w:hAnsi="Times New Roman"/>
          <w:b/>
          <w:bCs/>
          <w:color w:val="000000"/>
          <w:sz w:val="23"/>
        </w:rPr>
        <w:t xml:space="preserve">Nivel 1 (Evaluación experimental directa en el benchmark):</w:t>
      </w:r>
      <w:r>
        <w:rPr>
          <w:rFonts w:ascii="Times New Roman" w:hAnsi="Times New Roman"/>
          <w:color w:val="000000"/>
          <w:sz w:val="23"/>
        </w:rPr>
        <w:t xml:space="preserve"> </w:t>
      </w:r>
      <w:r>
        <w:rPr>
          <w:rFonts w:ascii="Times New Roman" w:hAnsi="Times New Roman"/>
          <w:color w:val="000000"/>
          <w:sz w:val="23"/>
        </w:rPr>
        <w:t xml:space="preserve">Fidelidad (</w:t>
      </w:r>
      <m:oMath>
        <m:r>
          <m:t>F</m:t>
        </m:r>
      </m:oMath>
      <w:r>
        <w:rPr>
          <w:rFonts w:ascii="Times New Roman" w:hAnsi="Times New Roman"/>
          <w:color w:val="000000"/>
          <w:sz w:val="23"/>
        </w:rPr>
        <w:t xml:space="preserve"> </w:t>
      </w:r>
      <w:r>
        <w:rPr>
          <w:rFonts w:ascii="Times New Roman" w:hAnsi="Times New Roman"/>
          <w:color w:val="000000"/>
          <w:sz w:val="23"/>
        </w:rPr>
        <w:t xml:space="preserve">y</w:t>
      </w:r>
      <w:r>
        <w:rPr>
          <w:rFonts w:ascii="Times New Roman" w:hAnsi="Times New Roman"/>
          <w:color w:val="000000"/>
          <w:sz w:val="23"/>
        </w:rPr>
        <w:t xml:space="preserve"> </w:t>
      </w:r>
      <m:oMath>
        <m:sSub>
          <m:e>
            <m:r>
              <m:rPr>
                <m:sty m:val="p"/>
              </m:rPr>
              <m:t>Δ</m:t>
            </m:r>
          </m:e>
          <m:sub>
            <m:r>
              <m:t>k</m:t>
            </m:r>
          </m:sub>
        </m:sSub>
      </m:oMath>
      <w:r>
        <w:rPr>
          <w:rFonts w:ascii="Times New Roman" w:hAnsi="Times New Roman"/>
          <w:color w:val="000000"/>
          <w:sz w:val="23"/>
        </w:rPr>
        <w:t xml:space="preserve">), Estabilidad (</w:t>
      </w:r>
      <m:oMath>
        <m:r>
          <m:t>S</m:t>
        </m:r>
      </m:oMath>
      <w:r>
        <w:rPr>
          <w:rFonts w:ascii="Times New Roman" w:hAnsi="Times New Roman"/>
          <w:color w:val="000000"/>
          <w:sz w:val="23"/>
        </w:rPr>
        <w:t xml:space="preserve">), Parsimonia (</w:t>
      </w:r>
      <m:oMath>
        <m:r>
          <m:t>P</m:t>
        </m:r>
      </m:oMath>
      <w:r>
        <w:rPr>
          <w:rFonts w:ascii="Times New Roman" w:hAnsi="Times New Roman"/>
          <w:color w:val="000000"/>
          <w:sz w:val="23"/>
        </w:rPr>
        <w:t xml:space="preserve">) y Coste computacional (</w:t>
      </w:r>
      <m:oMath>
        <m:r>
          <m:t>C</m:t>
        </m:r>
      </m:oMath>
      <w:r>
        <w:rPr>
          <w:rFonts w:ascii="Times New Roman" w:hAnsi="Times New Roman"/>
          <w:color w:val="000000"/>
          <w:sz w:val="23"/>
        </w:rPr>
        <w:t xml:space="preserve">).</w:t>
      </w:r>
    </w:p>
    <w:p>
      <w:pPr>
        <w:pStyle w:val="Compact"/>
        <w:numPr>
          <w:ilvl w:val="1"/>
          <w:numId w:val="1002"/>
        </w:numPr>
        <w:spacing w:line="312" w:lineRule="auto" w:after="100"/>
        <w:jc w:val="both"/>
      </w:pPr>
      <w:r>
        <w:rPr>
          <w:rFonts w:ascii="Times New Roman" w:hAnsi="Times New Roman"/>
          <w:b/>
          <w:bCs/>
          <w:color w:val="000000"/>
          <w:sz w:val="23"/>
        </w:rPr>
        <w:t xml:space="preserve">Nivel 2 (Evaluación mediante indicadores operacionales específicos por objeto):</w:t>
      </w:r>
      <w:r>
        <w:rPr>
          <w:rFonts w:ascii="Times New Roman" w:hAnsi="Times New Roman"/>
          <w:color w:val="000000"/>
          <w:sz w:val="23"/>
        </w:rPr>
        <w:t xml:space="preserve"> </w:t>
      </w:r>
      <w:r>
        <w:rPr>
          <w:rFonts w:ascii="Times New Roman" w:hAnsi="Times New Roman"/>
          <w:color w:val="000000"/>
          <w:sz w:val="23"/>
        </w:rPr>
        <w:t xml:space="preserve">Validez contrafactual y cobertura de reglas (</w:t>
      </w:r>
      <m:oMath>
        <m:sSub>
          <m:e>
            <m:r>
              <m:t>G</m:t>
            </m:r>
          </m:e>
          <m:sub>
            <m:r>
              <m:t>4</m:t>
            </m:r>
          </m:sub>
        </m:sSub>
      </m:oMath>
      <w:r>
        <w:rPr>
          <w:rFonts w:ascii="Times New Roman" w:hAnsi="Times New Roman"/>
          <w:color w:val="000000"/>
          <w:sz w:val="23"/>
        </w:rPr>
        <w:t xml:space="preserve">), evaluadas a través de la cobertura empírica en Anchors y la tasa de generación factible en DiCE dentro del inventario calificado de celdas.</w:t>
      </w:r>
    </w:p>
    <w:p>
      <w:pPr>
        <w:pStyle w:val="Compact"/>
        <w:numPr>
          <w:ilvl w:val="1"/>
          <w:numId w:val="1002"/>
        </w:numPr>
        <w:spacing w:line="312" w:lineRule="auto" w:after="100"/>
        <w:jc w:val="both"/>
      </w:pPr>
      <w:r>
        <w:rPr>
          <w:rFonts w:ascii="Times New Roman" w:hAnsi="Times New Roman"/>
          <w:b/>
          <w:bCs/>
          <w:color w:val="000000"/>
          <w:sz w:val="23"/>
        </w:rPr>
        <w:t xml:space="preserve">Nivel 3 (Componentes metodológicos reservados para auditorías ampliadas):</w:t>
      </w:r>
      <w:r>
        <w:rPr>
          <w:rFonts w:ascii="Times New Roman" w:hAnsi="Times New Roman"/>
          <w:color w:val="000000"/>
          <w:sz w:val="23"/>
        </w:rPr>
        <w:t xml:space="preserve"> </w:t>
      </w:r>
      <w:r>
        <w:rPr>
          <w:rFonts w:ascii="Times New Roman" w:hAnsi="Times New Roman"/>
          <w:color w:val="000000"/>
          <w:sz w:val="23"/>
        </w:rPr>
        <w:t xml:space="preserve">Consistencia inter-método (</w:t>
      </w:r>
      <m:oMath>
        <m:sSub>
          <m:e>
            <m:r>
              <m:t>G</m:t>
            </m:r>
          </m:e>
          <m:sub>
            <m:r>
              <m:t>6</m:t>
            </m:r>
          </m:sub>
        </m:sSub>
      </m:oMath>
      <w:r>
        <w:rPr>
          <w:rFonts w:ascii="Times New Roman" w:hAnsi="Times New Roman"/>
          <w:color w:val="000000"/>
          <w:sz w:val="23"/>
        </w:rPr>
        <w:t xml:space="preserve">) y Equidad en la explicación (</w:t>
      </w:r>
      <m:oMath>
        <m:sSub>
          <m:e>
            <m:r>
              <m:t>G</m:t>
            </m:r>
          </m:e>
          <m:sub>
            <m:r>
              <m:t>7</m:t>
            </m:r>
          </m:sub>
        </m:sSub>
      </m:oMath>
      <w:r>
        <w:rPr>
          <w:rFonts w:ascii="Times New Roman" w:hAnsi="Times New Roman"/>
          <w:color w:val="000000"/>
          <w:sz w:val="23"/>
        </w:rPr>
        <w:t xml:space="preserve">), delimitadas como compuertas del diseño general del marco no sometidas a contrastes de hipótesis en este benchmark factorial.</w:t>
      </w:r>
    </w:p>
    <w:p>
      <w:pPr>
        <w:pStyle w:val="Compact"/>
        <w:numPr>
          <w:ilvl w:val="0"/>
          <w:numId w:val="1001"/>
        </w:numPr>
        <w:spacing w:line="312" w:lineRule="auto" w:after="100"/>
        <w:jc w:val="both"/>
      </w:pPr>
      <w:r>
        <w:rPr>
          <w:rFonts w:ascii="Times New Roman" w:hAnsi="Times New Roman"/>
          <w:b/>
          <w:bCs/>
          <w:color w:val="000000"/>
          <w:sz w:val="23"/>
        </w:rPr>
        <w:t xml:space="preserve">Sección 07 (</w:t>
      </w:r>
      <w:r>
        <w:rPr>
          <w:rStyle w:val="VerbatimChar"/>
          <w:rFonts w:ascii="Times New Roman" w:hAnsi="Times New Roman"/>
          <w:b/>
          <w:bCs/>
          <w:color w:val="000000"/>
          <w:sz w:val="23"/>
        </w:rPr>
        <w:t xml:space="preserve">07_diseno_empirico.md</w:t>
      </w:r>
      <w:r>
        <w:rPr>
          <w:rFonts w:ascii="Times New Roman" w:hAnsi="Times New Roman"/>
          <w:b/>
          <w:bCs/>
          <w:color w:val="000000"/>
          <w:sz w:val="23"/>
        </w:rPr>
        <w:t xml:space="preserve">):</w:t>
      </w:r>
      <w:r>
        <w:rPr>
          <w:rFonts w:ascii="Times New Roman" w:hAnsi="Times New Roman"/>
          <w:color w:val="000000"/>
          <w:sz w:val="23"/>
        </w:rPr>
        <w:t xml:space="preserve"> </w:t>
      </w:r>
      <w:r>
        <w:rPr>
          <w:rFonts w:ascii="Times New Roman" w:hAnsi="Times New Roman"/>
          <w:color w:val="000000"/>
          <w:sz w:val="23"/>
        </w:rPr>
        <w:t xml:space="preserve">Se añadió el apartado</w:t>
      </w:r>
      <w:r>
        <w:rPr>
          <w:rFonts w:ascii="Times New Roman" w:hAnsi="Times New Roman"/>
          <w:color w:val="000000"/>
          <w:sz w:val="23"/>
        </w:rPr>
        <w:t xml:space="preserve"> </w:t>
      </w:r>
      <w:r>
        <w:rPr>
          <w:rFonts w:ascii="Times New Roman" w:hAnsi="Times New Roman"/>
          <w:i/>
          <w:iCs/>
          <w:color w:val="000000"/>
          <w:sz w:val="23"/>
        </w:rPr>
        <w:t xml:space="preserve">«Métricas primarias y correspondencia con FOM-7»</w:t>
      </w:r>
      <w:r>
        <w:rPr>
          <w:rFonts w:ascii="Times New Roman" w:hAnsi="Times New Roman"/>
          <w:color w:val="000000"/>
          <w:sz w:val="23"/>
        </w:rPr>
        <w:t xml:space="preserve">, explicitando este mapeo previo a la presentación de la Tabla 1.</w:t>
      </w:r>
    </w:p>
    <w:p>
      <w:pPr>
        <w:pStyle w:val="Compact"/>
        <w:numPr>
          <w:ilvl w:val="0"/>
          <w:numId w:val="1001"/>
        </w:numPr>
        <w:spacing w:line="312" w:lineRule="auto" w:after="100"/>
        <w:jc w:val="both"/>
      </w:pPr>
      <w:r>
        <w:rPr>
          <w:rFonts w:ascii="Times New Roman" w:hAnsi="Times New Roman"/>
          <w:b/>
          <w:bCs/>
          <w:color w:val="000000"/>
          <w:sz w:val="23"/>
        </w:rPr>
        <w:t xml:space="preserve">Tabla 1 (</w:t>
      </w:r>
      <w:r>
        <w:rPr>
          <w:rStyle w:val="VerbatimChar"/>
          <w:rFonts w:ascii="Times New Roman" w:hAnsi="Times New Roman"/>
          <w:b/>
          <w:bCs/>
          <w:color w:val="000000"/>
          <w:sz w:val="23"/>
        </w:rPr>
        <w:t xml:space="preserve">tables/table_metrics.md</w:t>
      </w:r>
      <w:r>
        <w:rPr>
          <w:rFonts w:ascii="Times New Roman" w:hAnsi="Times New Roman"/>
          <w:b/>
          <w:bCs/>
          <w:color w:val="000000"/>
          <w:sz w:val="23"/>
        </w:rPr>
        <w:t xml:space="preserve">):</w:t>
      </w:r>
      <w:r>
        <w:rPr>
          <w:rFonts w:ascii="Times New Roman" w:hAnsi="Times New Roman"/>
          <w:color w:val="000000"/>
          <w:sz w:val="23"/>
        </w:rPr>
        <w:t xml:space="preserve"> </w:t>
      </w:r>
      <w:r>
        <w:rPr>
          <w:rFonts w:ascii="Times New Roman" w:hAnsi="Times New Roman"/>
          <w:color w:val="000000"/>
          <w:sz w:val="23"/>
        </w:rPr>
        <w:t xml:space="preserve">Se expandió la</w:t>
      </w:r>
      <w:r>
        <w:rPr>
          <w:rFonts w:ascii="Times New Roman" w:hAnsi="Times New Roman"/>
          <w:color w:val="000000"/>
          <w:sz w:val="23"/>
        </w:rPr>
        <w:t xml:space="preserve"> </w:t>
      </w:r>
      <w:r>
        <w:rPr>
          <w:rFonts w:ascii="Times New Roman" w:hAnsi="Times New Roman"/>
          <w:i/>
          <w:iCs/>
          <w:color w:val="000000"/>
          <w:sz w:val="23"/>
        </w:rPr>
        <w:t xml:space="preserve">Nota</w:t>
      </w:r>
      <w:r>
        <w:rPr>
          <w:rFonts w:ascii="Times New Roman" w:hAnsi="Times New Roman"/>
          <w:color w:val="000000"/>
          <w:sz w:val="23"/>
        </w:rPr>
        <w:t xml:space="preserve"> </w:t>
      </w:r>
      <w:r>
        <w:rPr>
          <w:rFonts w:ascii="Times New Roman" w:hAnsi="Times New Roman"/>
          <w:color w:val="000000"/>
          <w:sz w:val="23"/>
        </w:rPr>
        <w:t xml:space="preserve">metodológica al pie de la tabla detallando de forma sintética la correspondencia con las compuertas</w:t>
      </w:r>
      <w:r>
        <w:rPr>
          <w:rFonts w:ascii="Times New Roman" w:hAnsi="Times New Roman"/>
          <w:color w:val="000000"/>
          <w:sz w:val="23"/>
        </w:rPr>
        <w:t xml:space="preserve"> </w:t>
      </w:r>
      <m:oMath>
        <m:sSub>
          <m:e>
            <m:r>
              <m:t>G</m:t>
            </m:r>
          </m:e>
          <m:sub>
            <m:r>
              <m:t>1</m:t>
            </m:r>
          </m:sub>
        </m:sSub>
      </m:oMath>
      <w:r>
        <w:rPr>
          <w:rFonts w:ascii="Times New Roman" w:hAnsi="Times New Roman"/>
          <w:color w:val="000000"/>
          <w:sz w:val="23"/>
        </w:rPr>
        <w:t xml:space="preserve"> </w:t>
      </w:r>
      <w:r>
        <w:rPr>
          <w:rFonts w:ascii="Times New Roman" w:hAnsi="Times New Roman"/>
          <w:color w:val="000000"/>
          <w:sz w:val="23"/>
        </w:rPr>
        <w:t xml:space="preserve">a</w:t>
      </w:r>
      <w:r>
        <w:rPr>
          <w:rFonts w:ascii="Times New Roman" w:hAnsi="Times New Roman"/>
          <w:color w:val="000000"/>
          <w:sz w:val="23"/>
        </w:rPr>
        <w:t xml:space="preserve"> </w:t>
      </w:r>
      <m:oMath>
        <m:sSub>
          <m:e>
            <m:r>
              <m:t>G</m:t>
            </m:r>
          </m:e>
          <m:sub>
            <m:r>
              <m:t>7</m:t>
            </m:r>
          </m:sub>
        </m:sSub>
      </m:oMath>
      <w:r>
        <w:rPr>
          <w:rFonts w:ascii="Times New Roman" w:hAnsi="Times New Roman"/>
          <w:color w:val="000000"/>
          <w:sz w:val="23"/>
        </w:rPr>
        <w:t xml:space="preserve"> </w:t>
      </w:r>
      <w:r>
        <w:rPr>
          <w:rFonts w:ascii="Times New Roman" w:hAnsi="Times New Roman"/>
          <w:color w:val="000000"/>
          <w:sz w:val="23"/>
        </w:rPr>
        <w:t xml:space="preserve">y aclarando cuáles permanecen reservadas para auditorías ampliadas.</w:t>
      </w:r>
    </w:p>
    <w:p>
      <w:pPr>
        <w:spacing w:line="312" w:lineRule="auto" w:after="100"/>
        <w:jc w:val="both"/>
      </w:pPr>
      <w:r>
        <w:rPr>
          <w:rFonts w:ascii="Times New Roman" w:hAnsi="Times New Roman"/>
          <w:color w:val="000000"/>
          <w:sz w:val="23"/>
        </w:rPr>
        <w:pict>
          <v:rect style="width:0;height:1.5pt" o:hralign="center" o:hrstd="t" o:hr="t"/>
        </w:pict>
      </w:r>
    </w:p>
    <w:bookmarkEnd w:id="9"/>
    <w:bookmarkStart w:id="10" w:name="X6475612b0aa19921728919096a995d721071d6b"/>
    <w:p>
      <w:pPr>
        <w:pStyle w:val="Heading3"/>
        <w:spacing w:before="240" w:after="80"/>
        <w:jc w:val="left"/>
      </w:pPr>
      <w:r>
        <w:rPr>
          <w:rFonts w:ascii="Times New Roman" w:hAnsi="Times New Roman"/>
          <w:color w:val="000000"/>
        </w:rPr>
        <w:t xml:space="preserve">Comentario 50 — Calibración metodológica de la reproducibilidad</w:t>
      </w:r>
    </w:p>
    <w:p>
      <w:pPr>
        <w:pStyle w:val="FirstParagraph"/>
        <w:spacing w:before="160" w:after="40" w:line="276" w:lineRule="auto"/>
        <w:jc w:val="left"/>
      </w:pPr>
      <w:r>
        <w:rPr>
          <w:rFonts w:ascii="Times New Roman" w:hAnsi="Times New Roman"/>
          <w:b/>
          <w:bCs/>
          <w:color w:val="000000"/>
          <w:sz w:val="23"/>
        </w:rPr>
        <w:t xml:space="preserve">Comentario de la Editora:</w:t>
      </w:r>
    </w:p>
    <w:p>
      <w:pPr>
        <w:pStyle w:val="BlockText"/>
        <w:spacing w:line="276" w:lineRule="auto" w:before="80" w:after="120"/>
        <w:ind w:left="576" w:right="288"/>
        <w:jc w:val="both"/>
      </w:pPr>
      <w:r>
        <w:rPr>
          <w:rFonts w:ascii="Times New Roman" w:hAnsi="Times New Roman"/>
          <w:i/>
          <w:iCs/>
          <w:color w:val="000000"/>
          <w:sz w:val="21"/>
        </w:rPr>
        <w:t xml:space="preserve">“Sustituir la expresión «garantizar la reproducibilidad completa» por una formulación metodológicamente más precisa. La fijación de una semilla favorece la reproducibilidad, pero no la garantiza por sí sola, pues esta depende también de las versiones de bibliotecas y dependencias, configuración del entorno, implementación de los algoritmos, hardware y disponibilidad del código y de los parámetros experimentales. Hay que indicar los mecanismos adicionales empleados para asegurar la reproducibilidad del benchmark o, en su defecto, hablar de «favorecer» o «controlar» la reproducibilidad experimental.”</w:t>
      </w:r>
    </w:p>
    <w:p>
      <w:pPr>
        <w:pStyle w:val="FirstParagraph"/>
        <w:spacing w:before="160" w:after="40" w:line="276" w:lineRule="auto"/>
        <w:jc w:val="left"/>
      </w:pPr>
      <w:r>
        <w:rPr>
          <w:rFonts w:ascii="Times New Roman" w:hAnsi="Times New Roman"/>
          <w:b/>
          <w:bCs/>
          <w:color w:val="000000"/>
          <w:sz w:val="23"/>
        </w:rPr>
        <w:t xml:space="preserve">Respuesta del Autor:</w:t>
      </w:r>
    </w:p>
    <w:p>
      <w:pPr>
        <w:pStyle w:val="BodyText"/>
        <w:spacing w:line="312" w:lineRule="auto" w:after="100"/>
        <w:jc w:val="both"/>
      </w:pPr>
      <w:r>
        <w:rPr>
          <w:rFonts w:ascii="Times New Roman" w:hAnsi="Times New Roman"/>
          <w:color w:val="000000"/>
          <w:sz w:val="23"/>
        </w:rPr>
        <w:t xml:space="preserve">Coincido enteramente con la apreciación. La afirmación original constituía una sobrestimación metodológica, dado que el determinismo numérico en arquitecturas computacionales modernas involucra múltiples capas más allá de una semilla pseudoaleatoria de inicialización.</w:t>
      </w:r>
    </w:p>
    <w:p>
      <w:pPr>
        <w:pStyle w:val="BodyText"/>
        <w:spacing w:before="160" w:after="40" w:line="276" w:lineRule="auto"/>
        <w:jc w:val="left"/>
      </w:pPr>
      <w:r>
        <w:rPr>
          <w:rFonts w:ascii="Times New Roman" w:hAnsi="Times New Roman"/>
          <w:b/>
          <w:bCs/>
          <w:color w:val="000000"/>
          <w:sz w:val="23"/>
        </w:rPr>
        <w:t xml:space="preserve">Modificaciones realizadas:</w:t>
      </w:r>
    </w:p>
    <w:p>
      <w:pPr>
        <w:pStyle w:val="Compact"/>
        <w:numPr>
          <w:ilvl w:val="0"/>
          <w:numId w:val="1003"/>
        </w:numPr>
        <w:spacing w:line="312" w:lineRule="auto" w:after="100"/>
        <w:jc w:val="both"/>
      </w:pPr>
      <w:r>
        <w:rPr>
          <w:rFonts w:ascii="Times New Roman" w:hAnsi="Times New Roman"/>
          <w:b/>
          <w:bCs/>
          <w:color w:val="000000"/>
          <w:sz w:val="23"/>
        </w:rPr>
        <w:t xml:space="preserve">Sección 07 (</w:t>
      </w:r>
      <w:r>
        <w:rPr>
          <w:rStyle w:val="VerbatimChar"/>
          <w:rFonts w:ascii="Times New Roman" w:hAnsi="Times New Roman"/>
          <w:b/>
          <w:bCs/>
          <w:color w:val="000000"/>
          <w:sz w:val="23"/>
        </w:rPr>
        <w:t xml:space="preserve">07_diseno_empirico.md</w:t>
      </w:r>
      <w:r>
        <w:rPr>
          <w:rFonts w:ascii="Times New Roman" w:hAnsi="Times New Roman"/>
          <w:b/>
          <w:bCs/>
          <w:color w:val="000000"/>
          <w:sz w:val="23"/>
        </w:rPr>
        <w:t xml:space="preserve">):</w:t>
      </w:r>
      <w:r>
        <w:rPr>
          <w:rFonts w:ascii="Times New Roman" w:hAnsi="Times New Roman"/>
          <w:color w:val="000000"/>
          <w:sz w:val="23"/>
        </w:rPr>
        <w:t xml:space="preserve"> </w:t>
      </w:r>
      <w:r>
        <w:rPr>
          <w:rFonts w:ascii="Times New Roman" w:hAnsi="Times New Roman"/>
          <w:color w:val="000000"/>
          <w:sz w:val="23"/>
        </w:rPr>
        <w:t xml:space="preserve">Se reformuló el apartado de entorno bajo el título</w:t>
      </w:r>
      <w:r>
        <w:rPr>
          <w:rFonts w:ascii="Times New Roman" w:hAnsi="Times New Roman"/>
          <w:color w:val="000000"/>
          <w:sz w:val="23"/>
        </w:rPr>
        <w:t xml:space="preserve"> </w:t>
      </w:r>
      <w:r>
        <w:rPr>
          <w:rFonts w:ascii="Times New Roman" w:hAnsi="Times New Roman"/>
          <w:i/>
          <w:iCs/>
          <w:color w:val="000000"/>
          <w:sz w:val="23"/>
        </w:rPr>
        <w:t xml:space="preserve">«Entorno de ejecución y control de reproducibilidad»</w:t>
      </w:r>
      <w:r>
        <w:rPr>
          <w:rFonts w:ascii="Times New Roman" w:hAnsi="Times New Roman"/>
          <w:color w:val="000000"/>
          <w:sz w:val="23"/>
        </w:rPr>
        <w:t xml:space="preserve">. Se sustituyó la locución impugnada por:</w:t>
      </w:r>
      <w:r>
        <w:rPr>
          <w:rFonts w:ascii="Times New Roman" w:hAnsi="Times New Roman"/>
          <w:color w:val="000000"/>
          <w:sz w:val="23"/>
        </w:rPr>
        <w:t xml:space="preserve"> </w:t>
      </w:r>
      <w:r>
        <w:rPr>
          <w:rFonts w:ascii="Times New Roman" w:hAnsi="Times New Roman"/>
          <w:i/>
          <w:iCs/>
          <w:color w:val="000000"/>
          <w:sz w:val="23"/>
        </w:rPr>
        <w:t xml:space="preserve">«Para favorecer y controlar la reproducibilidad experimental —reconociendo metodológicamente que la fijación de una semilla no la garantiza por sí sola sin un control exhaustivo del software, dependencias y arquitectura subyacente— se articularon cuatro mecanismos complementarios:…»</w:t>
      </w:r>
      <w:r>
        <w:rPr>
          <w:rFonts w:ascii="Times New Roman" w:hAnsi="Times New Roman"/>
          <w:color w:val="000000"/>
          <w:sz w:val="23"/>
        </w:rPr>
        <w:t xml:space="preserve">.</w:t>
      </w:r>
    </w:p>
    <w:p>
      <w:pPr>
        <w:pStyle w:val="Compact"/>
        <w:numPr>
          <w:ilvl w:val="0"/>
          <w:numId w:val="1003"/>
        </w:numPr>
        <w:spacing w:line="312" w:lineRule="auto" w:after="100"/>
        <w:jc w:val="both"/>
      </w:pPr>
      <w:r>
        <w:rPr>
          <w:rFonts w:ascii="Times New Roman" w:hAnsi="Times New Roman"/>
          <w:color w:val="000000"/>
          <w:sz w:val="23"/>
        </w:rPr>
        <w:t xml:space="preserve">Se documentaron explícitamente las cuatro salvaguardas empleadas: (a) protocolo determinista multillave de cinco semillas (42, 123, 456, 789, 999) para medir y acotar la dispersión estocástica inter-ejecución; (b) congelación estricta de versiones de bibliotecas en entornos virtuales aislados; (c) preprocesadores deterministas ajustados sin fuga de datos; y (d) disponibilidad pública de código y artefactos con identificadores DOI persistentes.</w:t>
      </w:r>
    </w:p>
    <w:p>
      <w:pPr>
        <w:spacing w:line="312" w:lineRule="auto" w:after="100"/>
        <w:jc w:val="both"/>
      </w:pPr>
      <w:r>
        <w:rPr>
          <w:rFonts w:ascii="Times New Roman" w:hAnsi="Times New Roman"/>
          <w:color w:val="000000"/>
          <w:sz w:val="23"/>
        </w:rPr>
        <w:pict>
          <v:rect style="width:0;height:1.5pt" o:hralign="center" o:hrstd="t" o:hr="t"/>
        </w:pict>
      </w:r>
    </w:p>
    <w:bookmarkEnd w:id="10"/>
    <w:bookmarkStart w:id="11" w:name="X24fffea1be4e84bae3fd64ea0bcdddf03b05ff4"/>
    <w:p>
      <w:pPr>
        <w:pStyle w:val="Heading3"/>
        <w:spacing w:before="240" w:after="80"/>
        <w:jc w:val="left"/>
      </w:pPr>
      <w:r>
        <w:rPr>
          <w:rFonts w:ascii="Times New Roman" w:hAnsi="Times New Roman"/>
          <w:color w:val="000000"/>
        </w:rPr>
        <w:t xml:space="preserve">Comentario 54 — Delimitación de originalidad y precedencia respecto a RIMI y Tesis Doctoral</w:t>
      </w:r>
    </w:p>
    <w:p>
      <w:pPr>
        <w:pStyle w:val="FirstParagraph"/>
        <w:spacing w:before="160" w:after="40" w:line="276" w:lineRule="auto"/>
        <w:jc w:val="left"/>
      </w:pPr>
      <w:r>
        <w:rPr>
          <w:rFonts w:ascii="Times New Roman" w:hAnsi="Times New Roman"/>
          <w:b/>
          <w:bCs/>
          <w:color w:val="000000"/>
          <w:sz w:val="23"/>
        </w:rPr>
        <w:t xml:space="preserve">Comentario de la Editora:</w:t>
      </w:r>
    </w:p>
    <w:p>
      <w:pPr>
        <w:pStyle w:val="BlockText"/>
        <w:spacing w:line="276" w:lineRule="auto" w:before="80" w:after="120"/>
        <w:ind w:left="576" w:right="288"/>
        <w:jc w:val="both"/>
      </w:pPr>
      <w:r>
        <w:rPr>
          <w:rFonts w:ascii="Times New Roman" w:hAnsi="Times New Roman"/>
          <w:i/>
          <w:iCs/>
          <w:color w:val="000000"/>
          <w:sz w:val="21"/>
        </w:rPr>
        <w:t xml:space="preserve">“Dado que los resultados empíricos centrales de H1 y H2 proceden de una publicación previa y P1 de una tesis doctoral no publicada, se recomienda delimitar explícitamente la contribución original de este capítulo respecto de esos trabajos antecedentes. Conviene precisar qué resultados se reproducen o sintetizan, cuáles se reanalizan y qué componentes de FOM-7, interpretaciones, integraciones o aplicaciones se presentan aquí por primera vez.”</w:t>
      </w:r>
    </w:p>
    <w:p>
      <w:pPr>
        <w:pStyle w:val="FirstParagraph"/>
        <w:spacing w:before="160" w:after="40" w:line="276" w:lineRule="auto"/>
        <w:jc w:val="left"/>
      </w:pPr>
      <w:r>
        <w:rPr>
          <w:rFonts w:ascii="Times New Roman" w:hAnsi="Times New Roman"/>
          <w:b/>
          <w:bCs/>
          <w:color w:val="000000"/>
          <w:sz w:val="23"/>
        </w:rPr>
        <w:t xml:space="preserve">Respuesta del Autor:</w:t>
      </w:r>
    </w:p>
    <w:p>
      <w:pPr>
        <w:pStyle w:val="BodyText"/>
        <w:spacing w:line="312" w:lineRule="auto" w:after="100"/>
        <w:jc w:val="both"/>
      </w:pPr>
      <w:r>
        <w:rPr>
          <w:rFonts w:ascii="Times New Roman" w:hAnsi="Times New Roman"/>
          <w:color w:val="000000"/>
          <w:sz w:val="23"/>
        </w:rPr>
        <w:t xml:space="preserve">Se acepta plenamente la recomendación. Es imperativo para la integridad científica y editorial distinguir con absoluta transparencia los resultados tomados de publicaciones previas frente a las aportaciones conceptuales y analíticas que se publican por primera vez en este volumen colectivo.</w:t>
      </w:r>
    </w:p>
    <w:p>
      <w:pPr>
        <w:pStyle w:val="BodyText"/>
        <w:spacing w:before="160" w:after="40" w:line="276" w:lineRule="auto"/>
        <w:jc w:val="left"/>
      </w:pPr>
      <w:r>
        <w:rPr>
          <w:rFonts w:ascii="Times New Roman" w:hAnsi="Times New Roman"/>
          <w:b/>
          <w:bCs/>
          <w:color w:val="000000"/>
          <w:sz w:val="23"/>
        </w:rPr>
        <w:t xml:space="preserve">Modificaciones realizadas:</w:t>
      </w:r>
    </w:p>
    <w:p>
      <w:pPr>
        <w:pStyle w:val="Compact"/>
        <w:numPr>
          <w:ilvl w:val="0"/>
          <w:numId w:val="1004"/>
        </w:numPr>
        <w:spacing w:line="312" w:lineRule="auto" w:after="100"/>
        <w:jc w:val="both"/>
      </w:pPr>
      <w:r>
        <w:rPr>
          <w:rFonts w:ascii="Times New Roman" w:hAnsi="Times New Roman"/>
          <w:b/>
          <w:bCs/>
          <w:color w:val="000000"/>
          <w:sz w:val="23"/>
        </w:rPr>
        <w:t xml:space="preserve">Sección 02 (</w:t>
      </w:r>
      <w:r>
        <w:rPr>
          <w:rStyle w:val="VerbatimChar"/>
          <w:rFonts w:ascii="Times New Roman" w:hAnsi="Times New Roman"/>
          <w:b/>
          <w:bCs/>
          <w:color w:val="000000"/>
          <w:sz w:val="23"/>
        </w:rPr>
        <w:t xml:space="preserve">02_introduccion.md</w:t>
      </w:r>
      <w:r>
        <w:rPr>
          <w:rFonts w:ascii="Times New Roman" w:hAnsi="Times New Roman"/>
          <w:b/>
          <w:bCs/>
          <w:color w:val="000000"/>
          <w:sz w:val="23"/>
        </w:rPr>
        <w:t xml:space="preserve">):</w:t>
      </w:r>
      <w:r>
        <w:rPr>
          <w:rFonts w:ascii="Times New Roman" w:hAnsi="Times New Roman"/>
          <w:color w:val="000000"/>
          <w:sz w:val="23"/>
        </w:rPr>
        <w:t xml:space="preserve"> </w:t>
      </w:r>
      <w:r>
        <w:rPr>
          <w:rFonts w:ascii="Times New Roman" w:hAnsi="Times New Roman"/>
          <w:color w:val="000000"/>
          <w:sz w:val="23"/>
        </w:rPr>
        <w:t xml:space="preserve">Se introdujo una subsección dedicada titulada</w:t>
      </w:r>
      <w:r>
        <w:rPr>
          <w:rFonts w:ascii="Times New Roman" w:hAnsi="Times New Roman"/>
          <w:color w:val="000000"/>
          <w:sz w:val="23"/>
        </w:rPr>
        <w:t xml:space="preserve"> </w:t>
      </w:r>
      <w:r>
        <w:rPr>
          <w:rFonts w:ascii="Times New Roman" w:hAnsi="Times New Roman"/>
          <w:i/>
          <w:iCs/>
          <w:color w:val="000000"/>
          <w:sz w:val="23"/>
        </w:rPr>
        <w:t xml:space="preserve">«Delimitación de aportaciones y procedencia de resultados»</w:t>
      </w:r>
      <w:r>
        <w:rPr>
          <w:rFonts w:ascii="Times New Roman" w:hAnsi="Times New Roman"/>
          <w:color w:val="000000"/>
          <w:sz w:val="23"/>
        </w:rPr>
        <w:t xml:space="preserve">, desglosando con nitidez tres niveles de precedencia:</w:t>
      </w:r>
    </w:p>
    <w:p>
      <w:pPr>
        <w:pStyle w:val="Compact"/>
        <w:numPr>
          <w:ilvl w:val="1"/>
          <w:numId w:val="1005"/>
        </w:numPr>
        <w:spacing w:line="312" w:lineRule="auto" w:after="100"/>
        <w:jc w:val="both"/>
      </w:pPr>
      <w:r>
        <w:rPr>
          <w:rFonts w:ascii="Times New Roman" w:hAnsi="Times New Roman"/>
          <w:i/>
          <w:iCs/>
          <w:color w:val="000000"/>
          <w:sz w:val="23"/>
        </w:rPr>
        <w:t xml:space="preserve">Resultados empíricos antecedentes sintetizados:</w:t>
      </w:r>
      <w:r>
        <w:rPr>
          <w:rFonts w:ascii="Times New Roman" w:hAnsi="Times New Roman"/>
          <w:color w:val="000000"/>
          <w:sz w:val="23"/>
        </w:rPr>
        <w:t xml:space="preserve"> </w:t>
      </w:r>
      <w:r>
        <w:rPr>
          <w:rFonts w:ascii="Times New Roman" w:hAnsi="Times New Roman"/>
          <w:color w:val="000000"/>
          <w:sz w:val="23"/>
        </w:rPr>
        <w:t xml:space="preserve">Contrastes de hipótesis H1 y H2 tomados de Herrera-Vásquez &amp; Herrero-Uceda (2026, RIMI); descriptivos de reproducibilidad P1 del repositorio experimental de la tesis doctoral de Herrera-Vásquez (2026).</w:t>
      </w:r>
    </w:p>
    <w:p>
      <w:pPr>
        <w:pStyle w:val="Compact"/>
        <w:numPr>
          <w:ilvl w:val="1"/>
          <w:numId w:val="1005"/>
        </w:numPr>
        <w:spacing w:line="312" w:lineRule="auto" w:after="100"/>
        <w:jc w:val="both"/>
      </w:pPr>
      <w:r>
        <w:rPr>
          <w:rFonts w:ascii="Times New Roman" w:hAnsi="Times New Roman"/>
          <w:i/>
          <w:iCs/>
          <w:color w:val="000000"/>
          <w:sz w:val="23"/>
        </w:rPr>
        <w:t xml:space="preserve">Resultados reanalizados e integrados:</w:t>
      </w:r>
      <w:r>
        <w:rPr>
          <w:rFonts w:ascii="Times New Roman" w:hAnsi="Times New Roman"/>
          <w:color w:val="000000"/>
          <w:sz w:val="23"/>
        </w:rPr>
        <w:t xml:space="preserve"> </w:t>
      </w:r>
      <w:r>
        <w:rPr>
          <w:rFonts w:ascii="Times New Roman" w:hAnsi="Times New Roman"/>
          <w:color w:val="000000"/>
          <w:sz w:val="23"/>
        </w:rPr>
        <w:t xml:space="preserve">La convergencia y comparación cuatripartita simultánea (LIME, SHAP, Anchors, DiCE) bajo un prisma analítico unificado que concilia objetos explicativos dispares (sustitutos lineales, valores de Shapley, reglas lógicas y contrafactuales).</w:t>
      </w:r>
    </w:p>
    <w:p>
      <w:pPr>
        <w:pStyle w:val="Compact"/>
        <w:numPr>
          <w:ilvl w:val="1"/>
          <w:numId w:val="1005"/>
        </w:numPr>
        <w:spacing w:line="312" w:lineRule="auto" w:after="100"/>
        <w:jc w:val="both"/>
      </w:pPr>
      <w:r>
        <w:rPr>
          <w:rFonts w:ascii="Times New Roman" w:hAnsi="Times New Roman"/>
          <w:i/>
          <w:iCs/>
          <w:color w:val="000000"/>
          <w:sz w:val="23"/>
        </w:rPr>
        <w:t xml:space="preserve">Aportaciones originales inéditas de este capítulo:</w:t>
      </w:r>
      <w:r>
        <w:rPr>
          <w:rFonts w:ascii="Times New Roman" w:hAnsi="Times New Roman"/>
          <w:color w:val="000000"/>
          <w:sz w:val="23"/>
        </w:rPr>
        <w:t xml:space="preserve"> </w:t>
      </w:r>
      <w:r>
        <w:rPr>
          <w:rFonts w:ascii="Times New Roman" w:hAnsi="Times New Roman"/>
          <w:color w:val="000000"/>
          <w:sz w:val="23"/>
        </w:rPr>
        <w:t xml:space="preserve">(i) La formalización metodológica completa del protocolo secuencial FOM-7 de siete compuertas; (ii) El enfoque aplicado de ingeniería de datos y observabilidad de software; (iii) La caracterización de perfiles de compromiso operativo (</w:t>
      </w:r>
      <w:r>
        <w:rPr>
          <w:rFonts w:ascii="Times New Roman" w:hAnsi="Times New Roman"/>
          <w:i/>
          <w:iCs/>
          <w:color w:val="000000"/>
          <w:sz w:val="23"/>
        </w:rPr>
        <w:t xml:space="preserve">trade-offs</w:t>
      </w:r>
      <w:r>
        <w:rPr>
          <w:rFonts w:ascii="Times New Roman" w:hAnsi="Times New Roman"/>
          <w:color w:val="000000"/>
          <w:sz w:val="23"/>
        </w:rPr>
        <w:t xml:space="preserve">) para despliegue productivo; y (iv) La articulación de criterios de evaluación técnica alineados con la Ley de Inteligencia Artificial de la UE y el marco NIST AI RMF.</w:t>
      </w:r>
    </w:p>
    <w:p>
      <w:pPr>
        <w:pStyle w:val="Compact"/>
        <w:numPr>
          <w:ilvl w:val="0"/>
          <w:numId w:val="1004"/>
        </w:numPr>
        <w:spacing w:line="312" w:lineRule="auto" w:after="100"/>
        <w:jc w:val="both"/>
      </w:pPr>
      <w:r>
        <w:rPr>
          <w:rFonts w:ascii="Times New Roman" w:hAnsi="Times New Roman"/>
          <w:b/>
          <w:bCs/>
          <w:color w:val="000000"/>
          <w:sz w:val="23"/>
        </w:rPr>
        <w:t xml:space="preserve">Tabla 2 (</w:t>
      </w:r>
      <w:r>
        <w:rPr>
          <w:rStyle w:val="VerbatimChar"/>
          <w:rFonts w:ascii="Times New Roman" w:hAnsi="Times New Roman"/>
          <w:b/>
          <w:bCs/>
          <w:color w:val="000000"/>
          <w:sz w:val="23"/>
        </w:rPr>
        <w:t xml:space="preserve">tables/table_results_summary.md</w:t>
      </w:r>
      <w:r>
        <w:rPr>
          <w:rFonts w:ascii="Times New Roman" w:hAnsi="Times New Roman"/>
          <w:b/>
          <w:bCs/>
          <w:color w:val="000000"/>
          <w:sz w:val="23"/>
        </w:rPr>
        <w:t xml:space="preserve">):</w:t>
      </w:r>
      <w:r>
        <w:rPr>
          <w:rFonts w:ascii="Times New Roman" w:hAnsi="Times New Roman"/>
          <w:color w:val="000000"/>
          <w:sz w:val="23"/>
        </w:rPr>
        <w:t xml:space="preserve"> </w:t>
      </w:r>
      <w:r>
        <w:rPr>
          <w:rFonts w:ascii="Times New Roman" w:hAnsi="Times New Roman"/>
          <w:color w:val="000000"/>
          <w:sz w:val="23"/>
        </w:rPr>
        <w:t xml:space="preserve">Se actualizó la</w:t>
      </w:r>
      <w:r>
        <w:rPr>
          <w:rFonts w:ascii="Times New Roman" w:hAnsi="Times New Roman"/>
          <w:color w:val="000000"/>
          <w:sz w:val="23"/>
        </w:rPr>
        <w:t xml:space="preserve"> </w:t>
      </w:r>
      <w:r>
        <w:rPr>
          <w:rFonts w:ascii="Times New Roman" w:hAnsi="Times New Roman"/>
          <w:i/>
          <w:iCs/>
          <w:color w:val="000000"/>
          <w:sz w:val="23"/>
        </w:rPr>
        <w:t xml:space="preserve">Nota</w:t>
      </w:r>
      <w:r>
        <w:rPr>
          <w:rFonts w:ascii="Times New Roman" w:hAnsi="Times New Roman"/>
          <w:color w:val="000000"/>
          <w:sz w:val="23"/>
        </w:rPr>
        <w:t xml:space="preserve"> </w:t>
      </w:r>
      <w:r>
        <w:rPr>
          <w:rFonts w:ascii="Times New Roman" w:hAnsi="Times New Roman"/>
          <w:color w:val="000000"/>
          <w:sz w:val="23"/>
        </w:rPr>
        <w:t xml:space="preserve">al pie de la tabla incorporando formalmente la declaración de precedencia y citación de procedencia.</w:t>
      </w:r>
    </w:p>
    <w:p>
      <w:pPr>
        <w:spacing w:line="312" w:lineRule="auto" w:after="100"/>
        <w:jc w:val="both"/>
      </w:pPr>
      <w:r>
        <w:rPr>
          <w:rFonts w:ascii="Times New Roman" w:hAnsi="Times New Roman"/>
          <w:color w:val="000000"/>
          <w:sz w:val="23"/>
        </w:rPr>
        <w:pict>
          <v:rect style="width:0;height:1.5pt" o:hralign="center" o:hrstd="t" o:hr="t"/>
        </w:pict>
      </w:r>
    </w:p>
    <w:bookmarkEnd w:id="11"/>
    <w:bookmarkStart w:id="12" w:name="X1f9cba8fd307671f2f062de8767fdfa47b72771"/>
    <w:p>
      <w:pPr>
        <w:pStyle w:val="Heading3"/>
        <w:spacing w:before="240" w:after="80"/>
        <w:jc w:val="left"/>
      </w:pPr>
      <w:r>
        <w:rPr>
          <w:rFonts w:ascii="Times New Roman" w:hAnsi="Times New Roman"/>
          <w:color w:val="000000"/>
        </w:rPr>
        <w:t xml:space="preserve">Comentario 69 — Matización epistémica: erradicación de «certificar» y «certificación»</w:t>
      </w:r>
    </w:p>
    <w:p>
      <w:pPr>
        <w:pStyle w:val="FirstParagraph"/>
        <w:spacing w:before="160" w:after="40" w:line="276" w:lineRule="auto"/>
        <w:jc w:val="left"/>
      </w:pPr>
      <w:r>
        <w:rPr>
          <w:rFonts w:ascii="Times New Roman" w:hAnsi="Times New Roman"/>
          <w:b/>
          <w:bCs/>
          <w:color w:val="000000"/>
          <w:sz w:val="23"/>
        </w:rPr>
        <w:t xml:space="preserve">Comentario de la Editora:</w:t>
      </w:r>
    </w:p>
    <w:p>
      <w:pPr>
        <w:pStyle w:val="BlockText"/>
        <w:spacing w:line="276" w:lineRule="auto" w:before="80" w:after="120"/>
        <w:ind w:left="576" w:right="288"/>
        <w:jc w:val="both"/>
      </w:pPr>
      <w:r>
        <w:rPr>
          <w:rFonts w:ascii="Times New Roman" w:hAnsi="Times New Roman"/>
          <w:i/>
          <w:iCs/>
          <w:color w:val="000000"/>
          <w:sz w:val="21"/>
        </w:rPr>
        <w:t xml:space="preserve">“Matizar el alcance de expresiones como «validación empírica», «certificar» o «certificación» cuando se refieren al protocolo FOM-7 en su conjunto. El benchmark aporta evidencia experimental relevante sobre el funcionamiento del marco en un conjunto de datos tabulares y bajo condiciones controladas, pero el propio capítulo reconoce que no evalúa directamente utilidad humana, plausibilidad semántica ni causalidad y que el estudio se restringe a datos tabulares. Sería más preciso hablar de «evaluación empírica», «validación experimental inicial» o «criterios de aceptación técnica», reservando «certificación» para contextos en los que exista un procedimiento normativo o de conformidad formalmente establecido.”</w:t>
      </w:r>
    </w:p>
    <w:p>
      <w:pPr>
        <w:pStyle w:val="FirstParagraph"/>
        <w:spacing w:before="160" w:after="40" w:line="276" w:lineRule="auto"/>
        <w:jc w:val="left"/>
      </w:pPr>
      <w:r>
        <w:rPr>
          <w:rFonts w:ascii="Times New Roman" w:hAnsi="Times New Roman"/>
          <w:b/>
          <w:bCs/>
          <w:color w:val="000000"/>
          <w:sz w:val="23"/>
        </w:rPr>
        <w:t xml:space="preserve">Respuesta del Autor:</w:t>
      </w:r>
    </w:p>
    <w:p>
      <w:pPr>
        <w:pStyle w:val="BodyText"/>
        <w:spacing w:line="312" w:lineRule="auto" w:after="100"/>
        <w:jc w:val="both"/>
      </w:pPr>
      <w:r>
        <w:rPr>
          <w:rFonts w:ascii="Times New Roman" w:hAnsi="Times New Roman"/>
          <w:color w:val="000000"/>
          <w:sz w:val="23"/>
        </w:rPr>
        <w:t xml:space="preserve">Comparto enteramente este criterio de prudencia epistémica. El empleo de «certificación» en un trabajo de benchmarking experimental computacional puede sugerir erróneamente un procedimiento normativo de acreditación legal o regulatoria.</w:t>
      </w:r>
    </w:p>
    <w:p>
      <w:pPr>
        <w:pStyle w:val="BodyText"/>
        <w:spacing w:before="160" w:after="40" w:line="276" w:lineRule="auto"/>
        <w:jc w:val="left"/>
      </w:pPr>
      <w:r>
        <w:rPr>
          <w:rFonts w:ascii="Times New Roman" w:hAnsi="Times New Roman"/>
          <w:b/>
          <w:bCs/>
          <w:color w:val="000000"/>
          <w:sz w:val="23"/>
        </w:rPr>
        <w:t xml:space="preserve">Modificaciones realizadas:</w:t>
      </w:r>
    </w:p>
    <w:p>
      <w:pPr>
        <w:pStyle w:val="Compact"/>
        <w:numPr>
          <w:ilvl w:val="0"/>
          <w:numId w:val="1006"/>
        </w:numPr>
        <w:spacing w:line="312" w:lineRule="auto" w:after="100"/>
        <w:jc w:val="both"/>
      </w:pPr>
      <w:r>
        <w:rPr>
          <w:rFonts w:ascii="Times New Roman" w:hAnsi="Times New Roman"/>
          <w:b/>
          <w:bCs/>
          <w:color w:val="000000"/>
          <w:sz w:val="23"/>
        </w:rPr>
        <w:t xml:space="preserve">Barrido léxico transversal:</w:t>
      </w:r>
      <w:r>
        <w:rPr>
          <w:rFonts w:ascii="Times New Roman" w:hAnsi="Times New Roman"/>
          <w:color w:val="000000"/>
          <w:sz w:val="23"/>
        </w:rPr>
        <w:t xml:space="preserve"> </w:t>
      </w:r>
      <w:r>
        <w:rPr>
          <w:rFonts w:ascii="Times New Roman" w:hAnsi="Times New Roman"/>
          <w:color w:val="000000"/>
          <w:sz w:val="23"/>
        </w:rPr>
        <w:t xml:space="preserve">Se eliminaron las instancias donde «certificar» o «certificación» se aplicaban al protocolo FOM-7 o a la evaluación experimental del benchmark, sustituyéndolas por «verificación técnica computacional», «evaluación empírica controlada» o «criterios de aceptación técnica».</w:t>
      </w:r>
    </w:p>
    <w:p>
      <w:pPr>
        <w:pStyle w:val="Compact"/>
        <w:numPr>
          <w:ilvl w:val="0"/>
          <w:numId w:val="1006"/>
        </w:numPr>
        <w:spacing w:line="312" w:lineRule="auto" w:after="100"/>
        <w:jc w:val="both"/>
      </w:pPr>
      <w:r>
        <w:rPr>
          <w:rFonts w:ascii="Times New Roman" w:hAnsi="Times New Roman"/>
          <w:color w:val="000000"/>
          <w:sz w:val="23"/>
        </w:rPr>
        <w:t xml:space="preserve">Se reservó el término «certificación» exclusivamente para discusiones de evaluación de conformidad jurídica formal (e.g., evaluación de conformidad bajo el Reglamento de IA de la UE).</w:t>
      </w:r>
    </w:p>
    <w:p>
      <w:pPr>
        <w:pStyle w:val="Compact"/>
        <w:numPr>
          <w:ilvl w:val="0"/>
          <w:numId w:val="1006"/>
        </w:numPr>
        <w:spacing w:line="312" w:lineRule="auto" w:after="100"/>
        <w:jc w:val="both"/>
      </w:pPr>
      <w:r>
        <w:rPr>
          <w:rFonts w:ascii="Times New Roman" w:hAnsi="Times New Roman"/>
          <w:b/>
          <w:bCs/>
          <w:color w:val="000000"/>
          <w:sz w:val="23"/>
        </w:rPr>
        <w:t xml:space="preserve">Sección 11 (</w:t>
      </w:r>
      <w:r>
        <w:rPr>
          <w:rStyle w:val="VerbatimChar"/>
          <w:rFonts w:ascii="Times New Roman" w:hAnsi="Times New Roman"/>
          <w:b/>
          <w:bCs/>
          <w:color w:val="000000"/>
          <w:sz w:val="23"/>
        </w:rPr>
        <w:t xml:space="preserve">11_conclusiones.md</w:t>
      </w:r>
      <w:r>
        <w:rPr>
          <w:rFonts w:ascii="Times New Roman" w:hAnsi="Times New Roman"/>
          <w:b/>
          <w:bCs/>
          <w:color w:val="000000"/>
          <w:sz w:val="23"/>
        </w:rPr>
        <w:t xml:space="preserve">):</w:t>
      </w:r>
      <w:r>
        <w:rPr>
          <w:rFonts w:ascii="Times New Roman" w:hAnsi="Times New Roman"/>
          <w:color w:val="000000"/>
          <w:sz w:val="23"/>
        </w:rPr>
        <w:t xml:space="preserve"> </w:t>
      </w:r>
      <w:r>
        <w:rPr>
          <w:rFonts w:ascii="Times New Roman" w:hAnsi="Times New Roman"/>
          <w:color w:val="000000"/>
          <w:sz w:val="23"/>
        </w:rPr>
        <w:t xml:space="preserve">Se añadió una declaración explícita de deslinde:</w:t>
      </w:r>
      <w:r>
        <w:rPr>
          <w:rFonts w:ascii="Times New Roman" w:hAnsi="Times New Roman"/>
          <w:color w:val="000000"/>
          <w:sz w:val="23"/>
        </w:rPr>
        <w:t xml:space="preserve"> </w:t>
      </w:r>
      <w:r>
        <w:rPr>
          <w:rFonts w:ascii="Times New Roman" w:hAnsi="Times New Roman"/>
          <w:i/>
          <w:iCs/>
          <w:color w:val="000000"/>
          <w:sz w:val="23"/>
        </w:rPr>
        <w:t xml:space="preserve">«El protocolo FOM-7 aporta un marco estructurado de evaluación experimental y verificación técnica de artefactos explicativos bajo condiciones controladas de laboratorio; no constituye una certificación normativa formal de sistemas de IA ni sustituye los procedimientos de evaluación de conformidad regulatoria… Su alcance se circunscribe a la evaluación funcionalmente fundamentada (Nivel 3), aportando evidencia empírica controlada sin pretender medir de forma directa la utilidad cognitiva humana, la acción contrafactual real ni la validez causal»</w:t>
      </w:r>
      <w:r>
        <w:rPr>
          <w:rFonts w:ascii="Times New Roman" w:hAnsi="Times New Roman"/>
          <w:color w:val="000000"/>
          <w:sz w:val="23"/>
        </w:rPr>
        <w:t xml:space="preserve">.</w:t>
      </w:r>
    </w:p>
    <w:p>
      <w:pPr>
        <w:spacing w:line="312" w:lineRule="auto" w:after="100"/>
        <w:jc w:val="both"/>
      </w:pPr>
      <w:r>
        <w:rPr>
          <w:rFonts w:ascii="Times New Roman" w:hAnsi="Times New Roman"/>
          <w:color w:val="000000"/>
          <w:sz w:val="23"/>
        </w:rPr>
        <w:pict>
          <v:rect style="width:0;height:1.5pt" o:hralign="center" o:hrstd="t" o:hr="t"/>
        </w:pict>
      </w:r>
    </w:p>
    <w:bookmarkEnd w:id="12"/>
    <w:bookmarkStart w:id="13" w:name="X1107be17df5022e87e77f8c544fd293320ee237"/>
    <w:p>
      <w:pPr>
        <w:pStyle w:val="Heading3"/>
        <w:spacing w:before="240" w:after="80"/>
        <w:jc w:val="left"/>
      </w:pPr>
      <w:r>
        <w:rPr>
          <w:rFonts w:ascii="Times New Roman" w:hAnsi="Times New Roman"/>
          <w:color w:val="000000"/>
        </w:rPr>
        <w:t xml:space="preserve">Comentario 71 — Estructura explícita de limitaciones del estudio antes de la agenda futura</w:t>
      </w:r>
    </w:p>
    <w:p>
      <w:pPr>
        <w:pStyle w:val="FirstParagraph"/>
        <w:spacing w:before="160" w:after="40" w:line="276" w:lineRule="auto"/>
        <w:jc w:val="left"/>
      </w:pPr>
      <w:r>
        <w:rPr>
          <w:rFonts w:ascii="Times New Roman" w:hAnsi="Times New Roman"/>
          <w:b/>
          <w:bCs/>
          <w:color w:val="000000"/>
          <w:sz w:val="23"/>
        </w:rPr>
        <w:t xml:space="preserve">Comentario de la Editora:</w:t>
      </w:r>
    </w:p>
    <w:p>
      <w:pPr>
        <w:pStyle w:val="BlockText"/>
        <w:spacing w:line="276" w:lineRule="auto" w:before="80" w:after="120"/>
        <w:ind w:left="576" w:right="288"/>
        <w:jc w:val="both"/>
      </w:pPr>
      <w:r>
        <w:rPr>
          <w:rFonts w:ascii="Times New Roman" w:hAnsi="Times New Roman"/>
          <w:i/>
          <w:iCs/>
          <w:color w:val="000000"/>
          <w:sz w:val="21"/>
        </w:rPr>
        <w:t xml:space="preserve">“Incorporar antes de la agenda futura una delimitación explícita de las principales limitaciones del estudio. Entre ellas podría considerar, al menos, el uso de un único conjunto de datos tabular (UCI Adult Income), la dependencia de las operacionalizaciones seleccionadas para cada métrica, el alcance funcionalmente fundamentado de la evaluación sin participación de usuarios y las restricciones de generalización hacia otros dominios, modalidades de datos y escenarios productivos. La agenda futura puede mantenerse posteriormente como respuesta a estas limitaciones.”</w:t>
      </w:r>
    </w:p>
    <w:p>
      <w:pPr>
        <w:pStyle w:val="FirstParagraph"/>
        <w:spacing w:before="160" w:after="40" w:line="276" w:lineRule="auto"/>
        <w:jc w:val="left"/>
      </w:pPr>
      <w:r>
        <w:rPr>
          <w:rFonts w:ascii="Times New Roman" w:hAnsi="Times New Roman"/>
          <w:b/>
          <w:bCs/>
          <w:color w:val="000000"/>
          <w:sz w:val="23"/>
        </w:rPr>
        <w:t xml:space="preserve">Respuesta del Autor:</w:t>
      </w:r>
    </w:p>
    <w:p>
      <w:pPr>
        <w:pStyle w:val="BodyText"/>
        <w:spacing w:line="312" w:lineRule="auto" w:after="100"/>
        <w:jc w:val="both"/>
      </w:pPr>
      <w:r>
        <w:rPr>
          <w:rFonts w:ascii="Times New Roman" w:hAnsi="Times New Roman"/>
          <w:color w:val="000000"/>
          <w:sz w:val="23"/>
        </w:rPr>
        <w:t xml:space="preserve">Se acepta plenamente la observación. Se ha reestructurado por completo la Sección 10 bajo el epígrafe</w:t>
      </w:r>
      <w:r>
        <w:rPr>
          <w:rFonts w:ascii="Times New Roman" w:hAnsi="Times New Roman"/>
          <w:color w:val="000000"/>
          <w:sz w:val="23"/>
        </w:rPr>
        <w:t xml:space="preserve"> </w:t>
      </w:r>
      <w:r>
        <w:rPr>
          <w:rFonts w:ascii="Times New Roman" w:hAnsi="Times New Roman"/>
          <w:i/>
          <w:iCs/>
          <w:color w:val="000000"/>
          <w:sz w:val="23"/>
        </w:rPr>
        <w:t xml:space="preserve">«Alcance y limitaciones del estudio»</w:t>
      </w:r>
      <w:r>
        <w:rPr>
          <w:rFonts w:ascii="Times New Roman" w:hAnsi="Times New Roman"/>
          <w:color w:val="000000"/>
          <w:sz w:val="23"/>
        </w:rPr>
        <w:t xml:space="preserve"> </w:t>
      </w:r>
      <w:r>
        <w:rPr>
          <w:rFonts w:ascii="Times New Roman" w:hAnsi="Times New Roman"/>
          <w:color w:val="000000"/>
          <w:sz w:val="23"/>
        </w:rPr>
        <w:t xml:space="preserve">para otorgar a las limitaciones el espacio y la jerarquía formal que demandan los estándares de publicación científica.</w:t>
      </w:r>
    </w:p>
    <w:p>
      <w:pPr>
        <w:pStyle w:val="BodyText"/>
        <w:spacing w:before="160" w:after="40" w:line="276" w:lineRule="auto"/>
        <w:jc w:val="left"/>
      </w:pPr>
      <w:r>
        <w:rPr>
          <w:rFonts w:ascii="Times New Roman" w:hAnsi="Times New Roman"/>
          <w:b/>
          <w:bCs/>
          <w:color w:val="000000"/>
          <w:sz w:val="23"/>
        </w:rPr>
        <w:t xml:space="preserve">Modificaciones realizadas:</w:t>
      </w:r>
    </w:p>
    <w:p>
      <w:pPr>
        <w:pStyle w:val="Compact"/>
        <w:numPr>
          <w:ilvl w:val="0"/>
          <w:numId w:val="1007"/>
        </w:numPr>
        <w:spacing w:line="312" w:lineRule="auto" w:after="100"/>
        <w:jc w:val="both"/>
      </w:pPr>
      <w:r>
        <w:rPr>
          <w:rFonts w:ascii="Times New Roman" w:hAnsi="Times New Roman"/>
          <w:b/>
          <w:bCs/>
          <w:color w:val="000000"/>
          <w:sz w:val="23"/>
        </w:rPr>
        <w:t xml:space="preserve">Sección 10 (</w:t>
      </w:r>
      <w:r>
        <w:rPr>
          <w:rStyle w:val="VerbatimChar"/>
          <w:rFonts w:ascii="Times New Roman" w:hAnsi="Times New Roman"/>
          <w:b/>
          <w:bCs/>
          <w:color w:val="000000"/>
          <w:sz w:val="23"/>
        </w:rPr>
        <w:t xml:space="preserve">10_limitaciones_trabajo_futuro.md</w:t>
      </w:r>
      <w:r>
        <w:rPr>
          <w:rFonts w:ascii="Times New Roman" w:hAnsi="Times New Roman"/>
          <w:b/>
          <w:bCs/>
          <w:color w:val="000000"/>
          <w:sz w:val="23"/>
        </w:rPr>
        <w:t xml:space="preserve">):</w:t>
      </w:r>
      <w:r>
        <w:rPr>
          <w:rFonts w:ascii="Times New Roman" w:hAnsi="Times New Roman"/>
          <w:color w:val="000000"/>
          <w:sz w:val="23"/>
        </w:rPr>
        <w:t xml:space="preserve"> </w:t>
      </w:r>
      <w:r>
        <w:rPr>
          <w:rFonts w:ascii="Times New Roman" w:hAnsi="Times New Roman"/>
          <w:color w:val="000000"/>
          <w:sz w:val="23"/>
        </w:rPr>
        <w:t xml:space="preserve">Se organizó la sección en dos bloques nítidamente articulados:</w:t>
      </w:r>
    </w:p>
    <w:p>
      <w:pPr>
        <w:pStyle w:val="Compact"/>
        <w:numPr>
          <w:ilvl w:val="1"/>
          <w:numId w:val="1008"/>
        </w:numPr>
        <w:spacing w:line="312" w:lineRule="auto" w:after="100"/>
        <w:jc w:val="both"/>
      </w:pPr>
      <w:r>
        <w:rPr>
          <w:rFonts w:ascii="Times New Roman" w:hAnsi="Times New Roman"/>
          <w:b/>
          <w:bCs/>
          <w:color w:val="000000"/>
          <w:sz w:val="23"/>
        </w:rPr>
        <w:t xml:space="preserve">Bloque 1: «Alcance y limitaciones del estudio»</w:t>
      </w:r>
      <w:r>
        <w:rPr>
          <w:rFonts w:ascii="Times New Roman" w:hAnsi="Times New Roman"/>
          <w:color w:val="000000"/>
          <w:sz w:val="23"/>
        </w:rPr>
        <w:t xml:space="preserve">, estructurado punto por punto en los cuatro ejes señalados por la editora:</w:t>
      </w:r>
    </w:p>
    <w:p>
      <w:pPr>
        <w:pStyle w:val="Compact"/>
        <w:numPr>
          <w:ilvl w:val="2"/>
          <w:numId w:val="1009"/>
        </w:numPr>
        <w:spacing w:line="312" w:lineRule="auto" w:after="100"/>
        <w:jc w:val="both"/>
      </w:pPr>
      <w:r>
        <w:rPr>
          <w:rFonts w:ascii="Times New Roman" w:hAnsi="Times New Roman"/>
          <w:i/>
          <w:iCs/>
          <w:color w:val="000000"/>
          <w:sz w:val="23"/>
        </w:rPr>
        <w:t xml:space="preserve">Uso de un único conjunto de datos tabular (UCI Adult Income):</w:t>
      </w:r>
      <w:r>
        <w:rPr>
          <w:rFonts w:ascii="Times New Roman" w:hAnsi="Times New Roman"/>
          <w:color w:val="000000"/>
          <w:sz w:val="23"/>
        </w:rPr>
        <w:t xml:space="preserve"> </w:t>
      </w:r>
      <w:r>
        <w:rPr>
          <w:rFonts w:ascii="Times New Roman" w:hAnsi="Times New Roman"/>
          <w:color w:val="000000"/>
          <w:sz w:val="23"/>
        </w:rPr>
        <w:t xml:space="preserve">Explicación de la justificación metodológica de control y reconocimiento explícito de la imposibilidad de extrapolar a visión, PLN, audio o grafos.</w:t>
      </w:r>
    </w:p>
    <w:p>
      <w:pPr>
        <w:pStyle w:val="Compact"/>
        <w:numPr>
          <w:ilvl w:val="2"/>
          <w:numId w:val="1009"/>
        </w:numPr>
        <w:spacing w:line="312" w:lineRule="auto" w:after="100"/>
        <w:jc w:val="both"/>
      </w:pPr>
      <w:r>
        <w:rPr>
          <w:rFonts w:ascii="Times New Roman" w:hAnsi="Times New Roman"/>
          <w:i/>
          <w:iCs/>
          <w:color w:val="000000"/>
          <w:sz w:val="23"/>
        </w:rPr>
        <w:t xml:space="preserve">Dependencia de las operacionalizaciones seleccionadas para cada métrica:</w:t>
      </w:r>
      <w:r>
        <w:rPr>
          <w:rFonts w:ascii="Times New Roman" w:hAnsi="Times New Roman"/>
          <w:color w:val="000000"/>
          <w:sz w:val="23"/>
        </w:rPr>
        <w:t xml:space="preserve"> </w:t>
      </w:r>
      <w:r>
        <w:rPr>
          <w:rFonts w:ascii="Times New Roman" w:hAnsi="Times New Roman"/>
          <w:color w:val="000000"/>
          <w:sz w:val="23"/>
        </w:rPr>
        <w:t xml:space="preserve">Discusión de los supuestos del enmascaramiento univariado frente a ROAR y de la similitud coseno frente a métricas Lipschitz o robustez adversarial.</w:t>
      </w:r>
    </w:p>
    <w:p>
      <w:pPr>
        <w:pStyle w:val="Compact"/>
        <w:numPr>
          <w:ilvl w:val="2"/>
          <w:numId w:val="1009"/>
        </w:numPr>
        <w:spacing w:line="312" w:lineRule="auto" w:after="100"/>
        <w:jc w:val="both"/>
      </w:pPr>
      <w:r>
        <w:rPr>
          <w:rFonts w:ascii="Times New Roman" w:hAnsi="Times New Roman"/>
          <w:i/>
          <w:iCs/>
          <w:color w:val="000000"/>
          <w:sz w:val="23"/>
        </w:rPr>
        <w:t xml:space="preserve">Alcance funcionalmente fundamentado sin participación de usuarios humanos (Nivel 3):</w:t>
      </w:r>
      <w:r>
        <w:rPr>
          <w:rFonts w:ascii="Times New Roman" w:hAnsi="Times New Roman"/>
          <w:color w:val="000000"/>
          <w:sz w:val="23"/>
        </w:rPr>
        <w:t xml:space="preserve"> </w:t>
      </w:r>
      <w:r>
        <w:rPr>
          <w:rFonts w:ascii="Times New Roman" w:hAnsi="Times New Roman"/>
          <w:color w:val="000000"/>
          <w:sz w:val="23"/>
        </w:rPr>
        <w:t xml:space="preserve">Delimitación formal de que no se evalúa comprensión cognitiva, confianza calibrada ni reducción de carga mental en operadores humanos (Niveles 1 y 2).</w:t>
      </w:r>
    </w:p>
    <w:p>
      <w:pPr>
        <w:pStyle w:val="Compact"/>
        <w:numPr>
          <w:ilvl w:val="2"/>
          <w:numId w:val="1009"/>
        </w:numPr>
        <w:spacing w:line="312" w:lineRule="auto" w:after="100"/>
        <w:jc w:val="both"/>
      </w:pPr>
      <w:r>
        <w:rPr>
          <w:rFonts w:ascii="Times New Roman" w:hAnsi="Times New Roman"/>
          <w:i/>
          <w:iCs/>
          <w:color w:val="000000"/>
          <w:sz w:val="23"/>
        </w:rPr>
        <w:t xml:space="preserve">Restricciones de generalización hacia otros dominios, modalidades y escenarios productivos:</w:t>
      </w:r>
      <w:r>
        <w:rPr>
          <w:rFonts w:ascii="Times New Roman" w:hAnsi="Times New Roman"/>
          <w:color w:val="000000"/>
          <w:sz w:val="23"/>
        </w:rPr>
        <w:t xml:space="preserve"> </w:t>
      </w:r>
      <w:r>
        <w:rPr>
          <w:rFonts w:ascii="Times New Roman" w:hAnsi="Times New Roman"/>
          <w:color w:val="000000"/>
          <w:sz w:val="23"/>
        </w:rPr>
        <w:t xml:space="preserve">Análisis de la naturaleza estática del benchmark frente a la deriva de datos (</w:t>
      </w:r>
      <w:r>
        <w:rPr>
          <w:rFonts w:ascii="Times New Roman" w:hAnsi="Times New Roman"/>
          <w:i/>
          <w:iCs/>
          <w:color w:val="000000"/>
          <w:sz w:val="23"/>
        </w:rPr>
        <w:t xml:space="preserve">drift</w:t>
      </w:r>
      <w:r>
        <w:rPr>
          <w:rFonts w:ascii="Times New Roman" w:hAnsi="Times New Roman"/>
          <w:color w:val="000000"/>
          <w:sz w:val="23"/>
        </w:rPr>
        <w:t xml:space="preserve">), latencia concurrente en microservicios, restricciones regulatorias específicas de sector o fragilidad ante ataques adversariales orientados a manipular la explicación (scaffolding). Asimismo, la cobertura incompleta observada en métodos basados en búsqueda estocástica (Anchors y DiCE) revela barreras de escalabilidad y compatibilidad que condicionan su aplicabilidad productiva.</w:t>
      </w:r>
    </w:p>
    <w:p>
      <w:pPr>
        <w:pStyle w:val="Compact"/>
        <w:numPr>
          <w:ilvl w:val="1"/>
          <w:numId w:val="1008"/>
        </w:numPr>
        <w:spacing w:line="312" w:lineRule="auto" w:after="100"/>
        <w:jc w:val="both"/>
      </w:pPr>
      <w:r>
        <w:rPr>
          <w:rFonts w:ascii="Times New Roman" w:hAnsi="Times New Roman"/>
          <w:b/>
          <w:bCs/>
          <w:color w:val="000000"/>
          <w:sz w:val="23"/>
        </w:rPr>
        <w:t xml:space="preserve">Bloque 2: «Agenda de investigación futura en respuesta a las limitaciones identificadas»</w:t>
      </w:r>
      <w:r>
        <w:rPr>
          <w:rFonts w:ascii="Times New Roman" w:hAnsi="Times New Roman"/>
          <w:color w:val="000000"/>
          <w:sz w:val="23"/>
        </w:rPr>
        <w:t xml:space="preserve">, donde cada una de las cuatro líneas de investigación futuras se formula como la respuesta directa y simétrica a cada una de las cuatro limitaciones anteriores.</w:t>
      </w:r>
    </w:p>
    <w:p>
      <w:pPr>
        <w:spacing w:line="312" w:lineRule="auto" w:after="100"/>
        <w:jc w:val="both"/>
      </w:pPr>
      <w:r>
        <w:rPr>
          <w:rFonts w:ascii="Times New Roman" w:hAnsi="Times New Roman"/>
          <w:color w:val="000000"/>
          <w:sz w:val="23"/>
        </w:rPr>
        <w:pict>
          <v:rect style="width:0;height:1.5pt" o:hralign="center" o:hrstd="t" o:hr="t"/>
        </w:pict>
      </w:r>
    </w:p>
    <w:bookmarkEnd w:id="13"/>
    <w:bookmarkStart w:id="17" w:name="verificación-técnica-y-salvaguardas"/>
    <w:p>
      <w:pPr>
        <w:pStyle w:val="Heading3"/>
        <w:spacing w:before="240" w:after="80"/>
        <w:jc w:val="left"/>
      </w:pPr>
      <w:r>
        <w:rPr>
          <w:rFonts w:ascii="Times New Roman" w:hAnsi="Times New Roman"/>
          <w:color w:val="000000"/>
        </w:rPr>
        <w:t xml:space="preserve">Verificación Técnica y Salvaguardas</w:t>
      </w:r>
    </w:p>
    <w:p>
      <w:pPr>
        <w:pStyle w:val="Compact"/>
        <w:numPr>
          <w:ilvl w:val="0"/>
          <w:numId w:val="1010"/>
        </w:numPr>
        <w:spacing w:line="312" w:lineRule="auto" w:after="100"/>
        <w:jc w:val="both"/>
      </w:pPr>
      <w:r>
        <w:rPr>
          <w:rFonts w:ascii="Times New Roman" w:hAnsi="Times New Roman"/>
          <w:b/>
          <w:bCs/>
          <w:color w:val="000000"/>
          <w:sz w:val="23"/>
        </w:rPr>
        <w:t xml:space="preserve">Control de Invariantes Numéricos (RCA-001):</w:t>
      </w:r>
      <w:r>
        <w:rPr>
          <w:rFonts w:ascii="Times New Roman" w:hAnsi="Times New Roman"/>
          <w:color w:val="000000"/>
          <w:sz w:val="23"/>
        </w:rPr>
        <w:t xml:space="preserve"> </w:t>
      </w:r>
      <w:r>
        <w:rPr>
          <w:rFonts w:ascii="Times New Roman" w:hAnsi="Times New Roman"/>
          <w:color w:val="000000"/>
          <w:sz w:val="23"/>
        </w:rPr>
        <w:t xml:space="preserve">Se ejecutó el verificador</w:t>
      </w:r>
      <w:r>
        <w:rPr>
          <w:rFonts w:ascii="Times New Roman" w:hAnsi="Times New Roman"/>
          <w:color w:val="000000"/>
          <w:sz w:val="23"/>
        </w:rPr>
        <w:t xml:space="preserve"> </w:t>
      </w:r>
      <w:hyperlink r:id="rId14">
        <w:r>
          <w:rPr>
            <w:rStyle w:val="VerbatimChar"/>
          </w:rPr>
          <w:t xml:space="preserve">scripts/pubs/verify_claims.py</w:t>
        </w:r>
      </w:hyperlink>
      <w:r>
        <w:rPr>
          <w:rFonts w:ascii="Times New Roman" w:hAnsi="Times New Roman"/>
          <w:color w:val="000000"/>
          <w:sz w:val="23"/>
        </w:rPr>
        <w:t xml:space="preserve">, confirmando que las 1,898 afirmaciones numéricas del repositorio continúan derivándose exactamente de los artefactos crudos sin alteración, aprobando el 100% de las comprobaciones.</w:t>
      </w:r>
    </w:p>
    <w:p>
      <w:pPr>
        <w:pStyle w:val="Compact"/>
        <w:numPr>
          <w:ilvl w:val="0"/>
          <w:numId w:val="1010"/>
        </w:numPr>
        <w:spacing w:line="312" w:lineRule="auto" w:after="100"/>
        <w:jc w:val="both"/>
      </w:pPr>
      <w:r>
        <w:rPr>
          <w:rFonts w:ascii="Times New Roman" w:hAnsi="Times New Roman"/>
          <w:b/>
          <w:bCs/>
          <w:color w:val="000000"/>
          <w:sz w:val="23"/>
        </w:rPr>
        <w:t xml:space="preserve">Sincronización de Fragmentos (RCA-003):</w:t>
      </w:r>
      <w:r>
        <w:rPr>
          <w:rFonts w:ascii="Times New Roman" w:hAnsi="Times New Roman"/>
          <w:color w:val="000000"/>
          <w:sz w:val="23"/>
        </w:rPr>
        <w:t xml:space="preserve"> </w:t>
      </w:r>
      <w:hyperlink r:id="rId15">
        <w:r>
          <w:rPr>
            <w:rStyle w:val="VerbatimChar"/>
          </w:rPr>
          <w:t xml:space="preserve">scripts/pubs/verify_sync.py</w:t>
        </w:r>
      </w:hyperlink>
      <w:r>
        <w:rPr>
          <w:rFonts w:ascii="Times New Roman" w:hAnsi="Times New Roman"/>
          <w:color w:val="000000"/>
          <w:sz w:val="23"/>
        </w:rPr>
        <w:t xml:space="preserve"> </w:t>
      </w:r>
      <w:r>
        <w:rPr>
          <w:rFonts w:ascii="Times New Roman" w:hAnsi="Times New Roman"/>
          <w:color w:val="000000"/>
          <w:sz w:val="23"/>
        </w:rPr>
        <w:t xml:space="preserve">superado sin discrepancias.</w:t>
      </w:r>
    </w:p>
    <w:p>
      <w:pPr>
        <w:pStyle w:val="Compact"/>
        <w:numPr>
          <w:ilvl w:val="0"/>
          <w:numId w:val="1010"/>
        </w:numPr>
        <w:spacing w:line="312" w:lineRule="auto" w:after="100"/>
        <w:jc w:val="both"/>
      </w:pPr>
      <w:r>
        <w:rPr>
          <w:rFonts w:ascii="Times New Roman" w:hAnsi="Times New Roman"/>
          <w:b/>
          <w:bCs/>
          <w:color w:val="000000"/>
          <w:sz w:val="23"/>
        </w:rPr>
        <w:t xml:space="preserve">Compilación Limpia:</w:t>
      </w:r>
      <w:r>
        <w:rPr>
          <w:rFonts w:ascii="Times New Roman" w:hAnsi="Times New Roman"/>
          <w:color w:val="000000"/>
          <w:sz w:val="23"/>
        </w:rPr>
        <w:t xml:space="preserve"> </w:t>
      </w:r>
      <w:r>
        <w:rPr>
          <w:rFonts w:ascii="Times New Roman" w:hAnsi="Times New Roman"/>
          <w:color w:val="000000"/>
          <w:sz w:val="23"/>
        </w:rPr>
        <w:t xml:space="preserve">El manuscrito fue recompilado íntegramente mediante</w:t>
      </w:r>
      <w:r>
        <w:rPr>
          <w:rFonts w:ascii="Times New Roman" w:hAnsi="Times New Roman"/>
          <w:color w:val="000000"/>
          <w:sz w:val="23"/>
        </w:rPr>
        <w:t xml:space="preserve"> </w:t>
      </w:r>
      <w:hyperlink r:id="rId16">
        <w:r>
          <w:rPr>
            <w:rStyle w:val="VerbatimChar"/>
          </w:rPr>
          <w:t xml:space="preserve">scripts/build_cifie_chapter.py</w:t>
        </w:r>
      </w:hyperlink>
      <w:r>
        <w:rPr>
          <w:rFonts w:ascii="Times New Roman" w:hAnsi="Times New Roman"/>
          <w:color w:val="000000"/>
          <w:sz w:val="23"/>
        </w:rPr>
        <w:t xml:space="preserve">, generando tanto la edición digital en color como la edición monocromática para impresión.</w:t>
      </w:r>
    </w:p>
    <w:p>
      <w:pPr>
        <w:pStyle w:val="FirstParagraph"/>
        <w:spacing w:line="312" w:lineRule="auto" w:after="100"/>
        <w:jc w:val="both"/>
      </w:pPr>
      <w:r>
        <w:rPr>
          <w:rFonts w:ascii="Times New Roman" w:hAnsi="Times New Roman"/>
          <w:color w:val="000000"/>
          <w:sz w:val="23"/>
        </w:rPr>
        <w:t xml:space="preserve">Quedo a su entera disposición en caso de que requiera cualquier ajuste adicional antes de la maquetación final.</w:t>
      </w:r>
    </w:p>
    <w:p>
      <w:pPr>
        <w:pStyle w:val="BodyText"/>
        <w:spacing w:before="40" w:after="60" w:line="276" w:lineRule="auto"/>
        <w:jc w:val="left"/>
      </w:pPr>
      <w:r>
        <w:rPr>
          <w:rFonts w:ascii="Times New Roman" w:hAnsi="Times New Roman"/>
          <w:color w:val="000000"/>
          <w:sz w:val="23"/>
        </w:rPr>
        <w:t xml:space="preserve">Atentamente,</w:t>
      </w:r>
    </w:p>
    <w:p>
      <w:pPr>
        <w:pStyle w:val="BodyText"/>
        <w:spacing w:before="40" w:after="60" w:line="276" w:lineRule="auto"/>
        <w:jc w:val="left"/>
      </w:pPr>
      <w:r>
        <w:rPr>
          <w:rFonts w:ascii="Times New Roman" w:hAnsi="Times New Roman"/>
          <w:b/>
          <w:bCs/>
          <w:color w:val="000000"/>
          <w:sz w:val="23"/>
        </w:rPr>
        <w:t xml:space="preserve">Jonathan Herrera-Vásquez</w:t>
      </w:r>
      <w:r>
        <w:rPr>
          <w:rFonts w:ascii="Times New Roman" w:hAnsi="Times New Roman"/>
          <w:color w:val="000000"/>
          <w:sz w:val="23"/>
        </w:rPr>
        <w:br/>
      </w:r>
      <w:r>
        <w:rPr>
          <w:rFonts w:ascii="Times New Roman" w:hAnsi="Times New Roman"/>
          <w:color w:val="000000"/>
          <w:sz w:val="23"/>
        </w:rPr>
        <w:t xml:space="preserve">Autor</w:t>
      </w:r>
      <w:r>
        <w:rPr>
          <w:rFonts w:ascii="Times New Roman" w:hAnsi="Times New Roman"/>
          <w:color w:val="000000"/>
          <w:sz w:val="23"/>
        </w:rPr>
        <w:br/>
      </w:r>
      <w:r>
        <w:rPr>
          <w:rFonts w:ascii="Times New Roman" w:hAnsi="Times New Roman"/>
          <w:color w:val="000000"/>
          <w:sz w:val="23"/>
        </w:rPr>
        <w:t xml:space="preserve">Universidad Americana de Europa (UNADE)</w:t>
      </w:r>
      <w:r>
        <w:rPr>
          <w:rFonts w:ascii="Times New Roman" w:hAnsi="Times New Roman"/>
          <w:color w:val="000000"/>
          <w:sz w:val="23"/>
        </w:rPr>
        <w:br/>
      </w:r>
      <w:r>
        <w:rPr>
          <w:rFonts w:ascii="Times New Roman" w:hAnsi="Times New Roman"/>
          <w:color w:val="000000"/>
          <w:sz w:val="23"/>
        </w:rPr>
        <w:t xml:space="preserve">24 de octubre de 2026</w:t>
      </w:r>
    </w:p>
    <w:bookmarkEnd w:id="17"/>
    <w:bookmarkEnd w:id="18"/>
    <w:sectPr>
      <w:footnotePr>
        <w:numRestart w:val="eachSect"/>
      </w:footnotePr>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hyperlink" Target="file:///d:/Github/xai-eval-framework/scripts/build_cifie_chapter.py" TargetMode="External"/><Relationship Id="rId14" Type="http://schemas.openxmlformats.org/officeDocument/2006/relationships/hyperlink" Target="file:///d:/Github/xai-eval-framework/scripts/pubs/verify_claims.py" TargetMode="External"/><Relationship Id="rId15" Type="http://schemas.openxmlformats.org/officeDocument/2006/relationships/hyperlink" Target="file:///d:/Github/xai-eval-framework/scripts/pubs/verify_sync.py"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file:///d:/Github/xai-eval-framework/scripts/build_cifie_chapter.py" TargetMode="External"/><Relationship Id="rId14" Type="http://schemas.openxmlformats.org/officeDocument/2006/relationships/hyperlink" Target="file:///d:/Github/xai-eval-framework/scripts/pubs/verify_claims.py" TargetMode="External"/><Relationship Id="rId15" Type="http://schemas.openxmlformats.org/officeDocument/2006/relationships/hyperlink" Target="file:///d:/Github/xai-eval-framework/scripts/pubs/verify_sync.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2026-10-24T19:38:30Z</dcterms:created>
  <dcterms:modified xsi:type="dcterms:W3CDTF">2026-10-24T19:38:30Z</dcterms:modified>
</cp:coreProperties>
</file>

<file path=docProps/custom.xml><?xml version="1.0" encoding="utf-8"?>
<Properties xmlns="http://schemas.openxmlformats.org/officeDocument/2006/custom-properties" xmlns:vt="http://schemas.openxmlformats.org/officeDocument/2006/docPropsVTypes"/>
</file>