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Verifiable result traceability in AI research: a claim registry that links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numbers to their artifacts</w:t>
      </w:r>
    </w:p>
    <w:p>
      <w:pPr>
        <w:pStyle w:val="BodyText"/>
      </w:pPr>
      <w:r>
        <w:rPr>
          <w:b/>
          <w:bCs/>
        </w:rPr>
        <w:t xml:space="preserve">Trazabilidad verificable de resultados en la investigación en IA: un</w:t>
      </w:r>
      <w:r>
        <w:rPr>
          <w:b/>
          <w:bCs/>
        </w:rPr>
        <w:t xml:space="preserve"> </w:t>
      </w:r>
      <w:r>
        <w:rPr>
          <w:b/>
          <w:bCs/>
        </w:rPr>
        <w:t xml:space="preserve">registro de afirmaciones que vincula los números publicados con sus artefactos</w:t>
      </w:r>
    </w:p>
    <w:p>
      <w:pPr>
        <w:pStyle w:val="BodyText"/>
      </w:pPr>
      <w:r>
        <w:t xml:space="preserve">Jonathan Herrera-Vásquez</w:t>
      </w:r>
      <w:r>
        <w:br/>
      </w:r>
      <w:r>
        <w:t xml:space="preserve">Computer scientist. Department of Computer Science, Universidad Americana de Europa</w:t>
      </w:r>
      <w:r>
        <w:t xml:space="preserve"> </w:t>
      </w:r>
      <w:r>
        <w:t xml:space="preserve">(UNADE), Cancún, Quintana Roo, Mexico.</w:t>
      </w:r>
      <w:r>
        <w:br/>
      </w:r>
      <w:r>
        <w:t xml:space="preserve">jonnabio@gmail.com ORCID: [ORCID]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Numbers in artificial intelligence (AI) research papers are usually copied by hand from</w:t>
      </w:r>
      <w:r>
        <w:t xml:space="preserve"> </w:t>
      </w:r>
      <w:r>
        <w:t xml:space="preserve">analysis outputs into manuscripts, and when one study feeds a thesis, several papers and</w:t>
      </w:r>
      <w:r>
        <w:t xml:space="preserve"> </w:t>
      </w:r>
      <w:r>
        <w:t xml:space="preserve">a book chapter, the same number is restated many times. Nothing then checks that each</w:t>
      </w:r>
      <w:r>
        <w:t xml:space="preserve"> </w:t>
      </w:r>
      <w:r>
        <w:t xml:space="preserve">printed value still matches its source. This paper presents a claim registry, a single</w:t>
      </w:r>
      <w:r>
        <w:t xml:space="preserve"> </w:t>
      </w:r>
      <w:r>
        <w:t xml:space="preserve">file that records each reported number with a resolver that re-derives it from committed</w:t>
      </w:r>
      <w:r>
        <w:t xml:space="preserve"> </w:t>
      </w:r>
      <w:r>
        <w:t xml:space="preserve">artifacts and with every place where it is printed, and a verifier that fails the build</w:t>
      </w:r>
      <w:r>
        <w:t xml:space="preserve"> </w:t>
      </w:r>
      <w:r>
        <w:t xml:space="preserve">on any mismatch, unregistered number or reuse of an unpublished result. We report a case</w:t>
      </w:r>
      <w:r>
        <w:t xml:space="preserve"> </w:t>
      </w:r>
      <w:r>
        <w:t xml:space="preserve">study of its use in a doctoral research program on explainable AI. At a pinned commit</w:t>
      </w:r>
      <w:r>
        <w:t xml:space="preserve"> </w:t>
      </w:r>
      <w:r>
        <w:t xml:space="preserve">the registry held 321 claims checked at 487 sites in four documents. We coded 58 defects</w:t>
      </w:r>
      <w:r>
        <w:t xml:space="preserve"> </w:t>
      </w:r>
      <w:r>
        <w:t xml:space="preserve">recorded by audits, peer-style reviews and root-cause analyses between August and</w:t>
      </w:r>
      <w:r>
        <w:t xml:space="preserve"> </w:t>
      </w:r>
      <w:r>
        <w:t xml:space="preserve">September 2026. Of the 30 defects that concerned a printed number, the current checks</w:t>
      </w:r>
      <w:r>
        <w:t xml:space="preserve"> </w:t>
      </w:r>
      <w:r>
        <w:t xml:space="preserve">catch 16 and partly catch 13; of the 28 that concerned claim scope, coherence or</w:t>
      </w:r>
      <w:r>
        <w:t xml:space="preserve"> </w:t>
      </w:r>
      <w:r>
        <w:t xml:space="preserve">reporting, they catch 3. The continuous-integration workflow failed every one of its</w:t>
      </w:r>
      <w:r>
        <w:t xml:space="preserve"> </w:t>
      </w:r>
      <w:r>
        <w:t xml:space="preserve">first 37 runs, which shows that a check that never passes protects nothing. Mechanical</w:t>
      </w:r>
      <w:r>
        <w:t xml:space="preserve"> </w:t>
      </w:r>
      <w:r>
        <w:t xml:space="preserve">verification removes numeric drift as a class of error but leaves overclaiming to human</w:t>
      </w:r>
      <w:r>
        <w:t xml:space="preserve"> </w:t>
      </w:r>
      <w:r>
        <w:t xml:space="preserve">review.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reproducibility; research software; artificial intelligence;</w:t>
      </w:r>
      <w:r>
        <w:t xml:space="preserve"> </w:t>
      </w:r>
      <w:r>
        <w:t xml:space="preserve">continuous integration; scientific integrity; explainable AI.</w:t>
      </w:r>
    </w:p>
    <w:bookmarkEnd w:id="9"/>
    <w:bookmarkStart w:id="10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En la investigación en inteligencia artificial (IA), los números de los artículos</w:t>
      </w:r>
      <w:r>
        <w:t xml:space="preserve"> </w:t>
      </w:r>
      <w:r>
        <w:t xml:space="preserve">suelen copiarse a mano desde los resultados del análisis hasta los manuscritos, y cuando</w:t>
      </w:r>
      <w:r>
        <w:t xml:space="preserve"> </w:t>
      </w:r>
      <w:r>
        <w:t xml:space="preserve">un mismo estudio alimenta una tesis, varios artículos y un capítulo de libro, cada</w:t>
      </w:r>
      <w:r>
        <w:t xml:space="preserve"> </w:t>
      </w:r>
      <w:r>
        <w:t xml:space="preserve">número se repite muchas veces. Nada verifica entonces que cada valor impreso siga</w:t>
      </w:r>
      <w:r>
        <w:t xml:space="preserve"> </w:t>
      </w:r>
      <w:r>
        <w:t xml:space="preserve">coincidiendo con su fuente. Este artículo presenta un registro de afirmaciones: un</w:t>
      </w:r>
      <w:r>
        <w:t xml:space="preserve"> </w:t>
      </w:r>
      <w:r>
        <w:t xml:space="preserve">único archivo que asocia cada número publicado con un resolvedor que lo recalcula a</w:t>
      </w:r>
      <w:r>
        <w:t xml:space="preserve"> </w:t>
      </w:r>
      <w:r>
        <w:t xml:space="preserve">partir de artefactos versionados y con cada lugar donde se imprime, junto con un</w:t>
      </w:r>
      <w:r>
        <w:t xml:space="preserve"> </w:t>
      </w:r>
      <w:r>
        <w:t xml:space="preserve">verificador que detiene la compilación ante cualquier discrepancia, número no</w:t>
      </w:r>
      <w:r>
        <w:t xml:space="preserve"> </w:t>
      </w:r>
      <w:r>
        <w:t xml:space="preserve">registrado o reutilización de un resultado no publicado. Se reporta un estudio de caso</w:t>
      </w:r>
      <w:r>
        <w:t xml:space="preserve"> </w:t>
      </w:r>
      <w:r>
        <w:t xml:space="preserve">de su uso en un programa doctoral sobre IA explicable. En una versión fijada, el</w:t>
      </w:r>
      <w:r>
        <w:t xml:space="preserve"> </w:t>
      </w:r>
      <w:r>
        <w:t xml:space="preserve">registro contenía 321 afirmaciones verificadas en 487 lugares de cuatro documentos. Se</w:t>
      </w:r>
      <w:r>
        <w:t xml:space="preserve"> </w:t>
      </w:r>
      <w:r>
        <w:t xml:space="preserve">codificaron 58 defectos registrados por auditorías, revisiones y análisis de causa</w:t>
      </w:r>
      <w:r>
        <w:t xml:space="preserve"> </w:t>
      </w:r>
      <w:r>
        <w:t xml:space="preserve">raíz entre agosto y septiembre de 2026. De los 30 defectos relativos a un número</w:t>
      </w:r>
      <w:r>
        <w:t xml:space="preserve"> </w:t>
      </w:r>
      <w:r>
        <w:t xml:space="preserve">impreso, las verificaciones actuales detectan 16 y detectan parcialmente 13; de los 28</w:t>
      </w:r>
      <w:r>
        <w:t xml:space="preserve"> </w:t>
      </w:r>
      <w:r>
        <w:t xml:space="preserve">relativos al alcance de las afirmaciones, la coherencia o el reporte, detectan 3. El flujo</w:t>
      </w:r>
      <w:r>
        <w:t xml:space="preserve"> </w:t>
      </w:r>
      <w:r>
        <w:t xml:space="preserve">de integración continua falló en sus primeras 37 ejecuciones, lo que muestra que una</w:t>
      </w:r>
      <w:r>
        <w:t xml:space="preserve"> </w:t>
      </w:r>
      <w:r>
        <w:t xml:space="preserve">verificación que nunca pasa no protege nada. La verificación mecánica elimina la</w:t>
      </w:r>
      <w:r>
        <w:t xml:space="preserve"> </w:t>
      </w:r>
      <w:r>
        <w:t xml:space="preserve">deriva numérica como clase de error, pero deja la sobreafirmación a la revisión</w:t>
      </w:r>
      <w:r>
        <w:t xml:space="preserve"> </w:t>
      </w:r>
      <w:r>
        <w:t xml:space="preserve">humana.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reproducibilidad; software de investigación;</w:t>
      </w:r>
      <w:r>
        <w:t xml:space="preserve"> </w:t>
      </w:r>
      <w:r>
        <w:t xml:space="preserve">inteligencia artificial; integración continua; integridad científica; IA explicable.</w:t>
      </w:r>
    </w:p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Concern about the reproducibility of computational research is long-standing</w:t>
      </w:r>
      <w:r>
        <w:t xml:space="preserve"> </w:t>
      </w:r>
      <w:r>
        <w:t xml:space="preserve">[1], [2], [3]</w:t>
      </w:r>
      <w:r>
        <w:t xml:space="preserve">, and it has reached artificial intelligence (AI)</w:t>
      </w:r>
      <w:r>
        <w:t xml:space="preserve"> </w:t>
      </w:r>
      <w:r>
        <w:t xml:space="preserve">in particular</w:t>
      </w:r>
      <w:r>
        <w:t xml:space="preserve"> </w:t>
      </w:r>
      <w:r>
        <w:t xml:space="preserve">[4], [5], [6]</w:t>
      </w:r>
      <w:r>
        <w:t xml:space="preserve">. Surveys of researchers report</w:t>
      </w:r>
      <w:r>
        <w:t xml:space="preserve"> </w:t>
      </w:r>
      <w:r>
        <w:t xml:space="preserve">that most have failed to reproduce another group’s result</w:t>
      </w:r>
      <w:r>
        <w:t xml:space="preserve"> </w:t>
      </w:r>
      <w:r>
        <w:t xml:space="preserve">[7]</w:t>
      </w:r>
      <w:r>
        <w:t xml:space="preserve">; analyses of</w:t>
      </w:r>
      <w:r>
        <w:t xml:space="preserve"> </w:t>
      </w:r>
      <w:r>
        <w:t xml:space="preserve">machine-learning papers find that undocumented choices and data leakage can change</w:t>
      </w:r>
      <w:r>
        <w:t xml:space="preserve"> </w:t>
      </w:r>
      <w:r>
        <w:t xml:space="preserve">conclusions</w:t>
      </w:r>
      <w:r>
        <w:t xml:space="preserve"> </w:t>
      </w:r>
      <w:r>
        <w:t xml:space="preserve">[8], [9]</w:t>
      </w:r>
      <w:r>
        <w:t xml:space="preserve">. Responses have focused on what is released with</w:t>
      </w:r>
      <w:r>
        <w:t xml:space="preserve"> </w:t>
      </w:r>
      <w:r>
        <w:t xml:space="preserve">a paper: code, data and checklists</w:t>
      </w:r>
      <w:r>
        <w:t xml:space="preserve"> </w:t>
      </w:r>
      <w:r>
        <w:t xml:space="preserve">[10], [11]</w:t>
      </w:r>
      <w:r>
        <w:t xml:space="preserve">, data that are findable and</w:t>
      </w:r>
      <w:r>
        <w:t xml:space="preserve"> </w:t>
      </w:r>
      <w:r>
        <w:t xml:space="preserve">reusable</w:t>
      </w:r>
      <w:r>
        <w:t xml:space="preserve"> </w:t>
      </w:r>
      <w:r>
        <w:t xml:space="preserve">[12]</w:t>
      </w:r>
      <w:r>
        <w:t xml:space="preserve">, and notebooks that can be rerun</w:t>
      </w:r>
      <w:r>
        <w:t xml:space="preserve"> </w:t>
      </w:r>
      <w:r>
        <w:t xml:space="preserve">[13], [14]</w:t>
      </w:r>
      <w:r>
        <w:t xml:space="preserve">.</w:t>
      </w:r>
    </w:p>
    <w:p>
      <w:pPr>
        <w:pStyle w:val="BodyText"/>
      </w:pPr>
      <w:r>
        <w:t xml:space="preserve">A smaller literature addresses a different failure: the number printed in the paper is</w:t>
      </w:r>
      <w:r>
        <w:t xml:space="preserve"> </w:t>
      </w:r>
      <w:r>
        <w:t xml:space="preserve">not the number the analysis produced. In psychology, automated checks of reported test</w:t>
      </w:r>
      <w:r>
        <w:t xml:space="preserve"> </w:t>
      </w:r>
      <w:r>
        <w:t xml:space="preserve">statistics found inconsistencies in about half of the papers examined</w:t>
      </w:r>
      <w:r>
        <w:t xml:space="preserve"> </w:t>
      </w:r>
      <w:r>
        <w:t xml:space="preserve">[15]</w:t>
      </w:r>
      <w:r>
        <w:t xml:space="preserve">, and arithmetic checks of reported means exposed further anomalies</w:t>
      </w:r>
      <w:r>
        <w:t xml:space="preserve"> </w:t>
      </w:r>
      <w:r>
        <w:t xml:space="preserve">[16]</w:t>
      </w:r>
      <w:r>
        <w:t xml:space="preserve">. Literate programming and dynamic documents prevent this failure at its</w:t>
      </w:r>
      <w:r>
        <w:t xml:space="preserve"> </w:t>
      </w:r>
      <w:r>
        <w:t xml:space="preserve">source by generating text and results together</w:t>
      </w:r>
      <w:r>
        <w:t xml:space="preserve"> </w:t>
      </w:r>
      <w:r>
        <w:t xml:space="preserve">[17], [18], [19]</w:t>
      </w:r>
      <w:r>
        <w:t xml:space="preserve">.</w:t>
      </w:r>
    </w:p>
    <w:p>
      <w:pPr>
        <w:pStyle w:val="BodyText"/>
      </w:pPr>
      <w:r>
        <w:t xml:space="preserve">Dynamic documents fit a single report. They fit less well a research program in which one</w:t>
      </w:r>
      <w:r>
        <w:t xml:space="preserve"> </w:t>
      </w:r>
      <w:r>
        <w:t xml:space="preserve">set of experiments feeds a thesis, several journal manuscripts and a book chapter, each</w:t>
      </w:r>
      <w:r>
        <w:t xml:space="preserve"> </w:t>
      </w:r>
      <w:r>
        <w:t xml:space="preserve">written by hand in a different format and revised over months. In that setting a number is</w:t>
      </w:r>
      <w:r>
        <w:t xml:space="preserve"> </w:t>
      </w:r>
      <w:r>
        <w:t xml:space="preserve">restated in many places; a correction made in one document does not reach the others; a</w:t>
      </w:r>
      <w:r>
        <w:t xml:space="preserve"> </w:t>
      </w:r>
      <w:r>
        <w:t xml:space="preserve">value retired by an audit can reappear in a figure; and a result already published in one</w:t>
      </w:r>
      <w:r>
        <w:t xml:space="preserve"> </w:t>
      </w:r>
      <w:r>
        <w:t xml:space="preserve">venue can be printed again in a submission to another. None of these is a failure of code</w:t>
      </w:r>
      <w:r>
        <w:t xml:space="preserve"> </w:t>
      </w:r>
      <w:r>
        <w:t xml:space="preserve">release, so the reproducibility tools above do not detect it.</w:t>
      </w:r>
    </w:p>
    <w:p>
      <w:pPr>
        <w:pStyle w:val="BodyText"/>
      </w:pPr>
      <w:r>
        <w:t xml:space="preserve">This paper describes a lightweight mechanism for that setting, a claim registry with an</w:t>
      </w:r>
      <w:r>
        <w:t xml:space="preserve"> </w:t>
      </w:r>
      <w:r>
        <w:t xml:space="preserve">automated verifier, and evaluates it in a case study. Its contributions are: (i) the design</w:t>
      </w:r>
      <w:r>
        <w:t xml:space="preserve"> </w:t>
      </w:r>
      <w:r>
        <w:t xml:space="preserve">of the registry and its checks; (ii) an incident catalogue of 58 defects found in one</w:t>
      </w:r>
      <w:r>
        <w:t xml:space="preserve"> </w:t>
      </w:r>
      <w:r>
        <w:t xml:space="preserve">doctoral program, coded by type and by whether the checks now detect them; and (iii)</w:t>
      </w:r>
      <w:r>
        <w:t xml:space="preserve"> </w:t>
      </w:r>
      <w:r>
        <w:t xml:space="preserve">evidence on which kinds of error mechanical verification can and cannot remove.</w:t>
      </w:r>
    </w:p>
    <w:bookmarkEnd w:id="11"/>
    <w:bookmarkStart w:id="17" w:name="materials-and-methods"/>
    <w:p>
      <w:pPr>
        <w:pStyle w:val="Heading1"/>
      </w:pPr>
      <w:r>
        <w:t xml:space="preserve">Materials and methods</w:t>
      </w:r>
    </w:p>
    <w:bookmarkStart w:id="12" w:name="research-setting"/>
    <w:p>
      <w:pPr>
        <w:pStyle w:val="Heading2"/>
      </w:pPr>
      <w:r>
        <w:t xml:space="preserve">Research setting</w:t>
      </w:r>
    </w:p>
    <w:p>
      <w:pPr>
        <w:pStyle w:val="FirstParagraph"/>
      </w:pPr>
      <w:r>
        <w:t xml:space="preserve">The case is a doctoral research program on the evaluation of explainable AI methods for</w:t>
      </w:r>
      <w:r>
        <w:t xml:space="preserve"> </w:t>
      </w:r>
      <w:r>
        <w:t xml:space="preserve">tabular classifiers. Its experiments write per-run result files and statistical exports to</w:t>
      </w:r>
      <w:r>
        <w:t xml:space="preserve"> </w:t>
      </w:r>
      <w:r>
        <w:t xml:space="preserve">a git repository. Four documents report the results: a thesis (Quarto), a published</w:t>
      </w:r>
      <w:r>
        <w:t xml:space="preserve"> </w:t>
      </w:r>
      <w:r>
        <w:t xml:space="preserve">journal article and a journal manuscript under review (both LaTeX), and a book chapter</w:t>
      </w:r>
      <w:r>
        <w:t xml:space="preserve"> </w:t>
      </w:r>
      <w:r>
        <w:t xml:space="preserve">(Markdown). The same quantities, such as effect sizes, means and run counts, appear in</w:t>
      </w:r>
      <w:r>
        <w:t xml:space="preserve"> </w:t>
      </w:r>
      <w:r>
        <w:t xml:space="preserve">several of them.</w:t>
      </w:r>
    </w:p>
    <w:bookmarkEnd w:id="12"/>
    <w:bookmarkStart w:id="13" w:name="the-claim-registry"/>
    <w:p>
      <w:pPr>
        <w:pStyle w:val="Heading2"/>
      </w:pPr>
      <w:r>
        <w:t xml:space="preserve">The claim registry</w:t>
      </w:r>
    </w:p>
    <w:p>
      <w:pPr>
        <w:pStyle w:val="FirstParagraph"/>
      </w:pPr>
      <w:r>
        <w:t xml:space="preserve">The registry is one TOML file under version control. Its main entry is a</w:t>
      </w:r>
      <w: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(Fig. </w:t>
      </w:r>
      <w:hyperlink w:anchor="fig:architecture">
        <w:r>
          <w:rPr>
            <w:rStyle w:val="Hyperlink"/>
          </w:rPr>
          <w:t xml:space="preserve">1</w:t>
        </w:r>
      </w:hyperlink>
      <w:r>
        <w:t xml:space="preserve">). A claim records an identifier, a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expression, the value as printed, a tolerance, and a list of</w:t>
      </w:r>
      <w:r>
        <w:t xml:space="preserve"> </w:t>
      </w:r>
      <w:r>
        <w:rPr>
          <w:i/>
          <w:iCs/>
        </w:rPr>
        <w:t xml:space="preserve">sites</w:t>
      </w:r>
      <w:r>
        <w:t xml:space="preserve">. The source</w:t>
      </w:r>
      <w:r>
        <w:t xml:space="preserve"> </w:t>
      </w:r>
      <w:r>
        <w:t xml:space="preserve">names a resolver, a small function that recomputes the value from committed artifacts.</w:t>
      </w:r>
      <w:r>
        <w:t xml:space="preserve"> </w:t>
      </w:r>
      <w:r>
        <w:t xml:space="preserve">Each site gives a manuscript file and the literal text that prints the value there.</w:t>
      </w:r>
      <w:r>
        <w:t xml:space="preserve"> </w:t>
      </w:r>
      <w:r>
        <w:t xml:space="preserve">Let a claim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have registered value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, tolerance</w:t>
      </w:r>
      <w:r>
        <w:t xml:space="preserve"> </w:t>
      </w:r>
      <m:oMath>
        <m:sSub>
          <m:e>
            <m:r>
              <m:t>τ</m:t>
            </m:r>
          </m:e>
          <m:sub>
            <m:r>
              <m:t>c</m:t>
            </m:r>
          </m:sub>
        </m:sSub>
      </m:oMath>
      <w:r>
        <w:t xml:space="preserve">, resolver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 sites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</m:oMath>
      <w:r>
        <w:t xml:space="preserve">. Given the committed artifacts</w:t>
      </w:r>
      <w:r>
        <w:t xml:space="preserve"> </w:t>
      </w:r>
      <m:oMath>
        <m:r>
          <m:t>A</m:t>
        </m:r>
      </m:oMath>
      <w:r>
        <w:t xml:space="preserve">, the claim passes when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r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sSub>
            <m:e>
              <m:r>
                <m:t>τ</m:t>
              </m:r>
            </m:e>
            <m:sub>
              <m:r>
                <m:t>c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sSub>
            <m:e>
              <m:r>
                <m:t>S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:</m:t>
          </m:r>
          <m:r>
            <m:t> 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x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ty m:val="p"/>
            </m:rPr>
            <m:t>f</m:t>
          </m:r>
          <m:r>
            <m:rPr>
              <m:sty m:val="p"/>
            </m:rPr>
            <m:t>i</m:t>
          </m:r>
          <m:r>
            <m:rPr>
              <m:sty m:val="p"/>
            </m:rPr>
            <m:t>l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condition catches a result that changed after the text was written; the second</w:t>
      </w:r>
      <w:r>
        <w:t xml:space="preserve"> </w:t>
      </w:r>
      <w:r>
        <w:t xml:space="preserve">catches a manuscript that changed without its result.</w:t>
      </w:r>
    </w:p>
    <w:p>
      <w:pPr>
        <w:pStyle w:val="BodyText"/>
      </w:pPr>
      <w:r>
        <w:t xml:space="preserve">Four further entry types close gaps that per-claim checks leave open. A</w:t>
      </w:r>
      <w:r>
        <w:t xml:space="preserve"> </w:t>
      </w:r>
      <w:r>
        <w:rPr>
          <w:i/>
          <w:iCs/>
        </w:rPr>
        <w:t xml:space="preserve">retired</w:t>
      </w:r>
      <w:r>
        <w:t xml:space="preserve"> </w:t>
      </w:r>
      <w:r>
        <w:t xml:space="preserve">entry records a value that an audit removed; the verifier fails if that text reappears in</w:t>
      </w:r>
      <w:r>
        <w:t xml:space="preserve"> </w:t>
      </w:r>
      <w:r>
        <w:t xml:space="preserve">any manuscript. An</w:t>
      </w:r>
      <w:r>
        <w:t xml:space="preserve"> </w:t>
      </w:r>
      <w:r>
        <w:rPr>
          <w:i/>
          <w:iCs/>
        </w:rPr>
        <w:t xml:space="preserve">unbacked</w:t>
      </w:r>
      <w:r>
        <w:t xml:space="preserve"> </w:t>
      </w:r>
      <w:r>
        <w:t xml:space="preserve">entry records a printed number that cannot be</w:t>
      </w:r>
      <w:r>
        <w:t xml:space="preserve"> </w:t>
      </w:r>
      <w:r>
        <w:t xml:space="preserve">re-derived, with the reason, so that the gap is disclosed rather than hidden.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lists manuscript files that must be fully registered: every numeric</w:t>
      </w:r>
      <w:r>
        <w:t xml:space="preserve"> </w:t>
      </w:r>
      <w:r>
        <w:t xml:space="preserve">literal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found in a covered file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belong to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reg</m:t>
              </m:r>
            </m:sub>
          </m:sSub>
          <m:r>
            <m:rPr>
              <m:sty m:val="p"/>
            </m:rPr>
            <m:t>∪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ret</m:t>
              </m:r>
            </m:sub>
          </m:sSub>
          <m:r>
            <m:rPr>
              <m:sty m:val="p"/>
            </m:rPr>
            <m:t>∪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unb</m:t>
              </m:r>
            </m:sub>
          </m:sSub>
          <m:r>
            <m:rPr>
              <m:sty m:val="p"/>
            </m:rPr>
            <m:t>∪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str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registered, retired, unbacked and declared structural literals (settings,</w:t>
      </w:r>
      <w:r>
        <w:t xml:space="preserve"> </w:t>
      </w:r>
      <w:r>
        <w:t xml:space="preserve">thresholds, layout values). An unregistered number is therefore a failure, not a silence.</w:t>
      </w:r>
      <w:r>
        <w:t xml:space="preserve"> </w:t>
      </w:r>
      <w:r>
        <w:rPr>
          <w:i/>
          <w:iCs/>
        </w:rPr>
        <w:t xml:space="preserve">Exclusivity</w:t>
      </w:r>
      <w:r>
        <w:t xml:space="preserve"> </w:t>
      </w:r>
      <w:r>
        <w:t xml:space="preserve">lists files that must not print any result registered for an</w:t>
      </w:r>
      <w:r>
        <w:t xml:space="preserve"> </w:t>
      </w:r>
      <w:r>
        <w:t xml:space="preserve">unpublished manuscript, unless the same result is already published elsewhere.</w:t>
      </w:r>
    </w:p>
    <w:bookmarkEnd w:id="13"/>
    <w:bookmarkStart w:id="14" w:name="complementary-checks"/>
    <w:p>
      <w:pPr>
        <w:pStyle w:val="Heading2"/>
      </w:pPr>
      <w:r>
        <w:t xml:space="preserve">Complementary checks</w:t>
      </w:r>
    </w:p>
    <w:p>
      <w:pPr>
        <w:pStyle w:val="FirstParagraph"/>
      </w:pPr>
      <w:r>
        <w:t xml:space="preserve">Five checks run beside the registry. Abstracts and keywords are generated from one source</w:t>
      </w:r>
      <w:r>
        <w:t xml:space="preserve"> </w:t>
      </w:r>
      <w:r>
        <w:t xml:space="preserve">file into each manuscript, and a synchronisation check confirms that every manuscript</w:t>
      </w:r>
      <w:r>
        <w:t xml:space="preserve"> </w:t>
      </w:r>
      <w:r>
        <w:t xml:space="preserve">includes them and that no generated file contains a control character. A shared-literal</w:t>
      </w:r>
      <w:r>
        <w:t xml:space="preserve"> </w:t>
      </w:r>
      <w:r>
        <w:t xml:space="preserve">scan compares every decimal number in the manuscript under review with those in the</w:t>
      </w:r>
      <w:r>
        <w:t xml:space="preserve"> </w:t>
      </w:r>
      <w:r>
        <w:t xml:space="preserve">published article, independently of the registry, to detect results reported twice.</w:t>
      </w:r>
      <w:r>
        <w:t xml:space="preserve"> </w:t>
      </w:r>
      <w:r>
        <w:t xml:space="preserve">Source files reconstructed after a data loss are pinned by hash. The verifier is run from</w:t>
      </w:r>
      <w:r>
        <w:t xml:space="preserve"> </w:t>
      </w:r>
      <w:r>
        <w:t xml:space="preserve">a fresh clone, because a file present on the author’s disk but not tracked by git passes</w:t>
      </w:r>
      <w:r>
        <w:t xml:space="preserve"> </w:t>
      </w:r>
      <w:r>
        <w:t xml:space="preserve">locally and fails for everyone else. All checks run in continuous integration (CI) on</w:t>
      </w:r>
      <w:r>
        <w:t xml:space="preserve"> </w:t>
      </w:r>
      <w:r>
        <w:t xml:space="preserve">every push.</w:t>
      </w:r>
    </w:p>
    <w:bookmarkEnd w:id="14"/>
    <w:bookmarkStart w:id="15" w:name="implementation"/>
    <w:p>
      <w:pPr>
        <w:pStyle w:val="Heading2"/>
      </w:pPr>
      <w:r>
        <w:t xml:space="preserve">Implementation</w:t>
      </w:r>
    </w:p>
    <w:p>
      <w:pPr>
        <w:pStyle w:val="FirstParagraph"/>
      </w:pPr>
      <w:r>
        <w:t xml:space="preserve">The verifier and the resolvers are plain Python with no dependency beyond the standard</w:t>
      </w:r>
      <w:r>
        <w:t xml:space="preserve"> </w:t>
      </w:r>
      <w:r>
        <w:t xml:space="preserve">library and the libraries the analysis already uses. At the pinned commit the verifier had</w:t>
      </w:r>
      <w:r>
        <w:t xml:space="preserve"> </w:t>
      </w:r>
      <w:r>
        <w:t xml:space="preserve">276 non-blank lines, the resolvers 582, and the registry file 3,076. A verification run</w:t>
      </w:r>
      <w:r>
        <w:t xml:space="preserve"> </w:t>
      </w:r>
      <w:r>
        <w:t xml:space="preserve">reads the registry, calls every resolver, scans every manuscript listed in a claim, in</w:t>
      </w:r>
      <w:r>
        <w:t xml:space="preserve"> </w:t>
      </w:r>
      <w:r>
        <w:t xml:space="preserve">coverage or in exclusivity, and prints either one summary line or the list of failures</w:t>
      </w:r>
      <w:r>
        <w:t xml:space="preserve"> </w:t>
      </w:r>
      <w:r>
        <w:t xml:space="preserve">with the file and line of each. A failure blocks the merge of the change that caused it,</w:t>
      </w:r>
      <w:r>
        <w:t xml:space="preserve"> </w:t>
      </w:r>
      <w:r>
        <w:t xml:space="preserve">so a manuscript cannot be updated past a number that no longer matches. Adding a number to</w:t>
      </w:r>
      <w:r>
        <w:t xml:space="preserve"> </w:t>
      </w:r>
      <w:r>
        <w:t xml:space="preserve">a manuscript therefore takes three steps: choose or write the resolver that re-derives it</w:t>
      </w:r>
      <w:r>
        <w:t xml:space="preserve"> </w:t>
      </w:r>
      <w:r>
        <w:t xml:space="preserve">at the aggregation the text states, add the claim with its site, and print the number.</w:t>
      </w:r>
    </w:p>
    <w:bookmarkEnd w:id="15"/>
    <w:bookmarkStart w:id="16" w:name="case-study-measurements"/>
    <w:p>
      <w:pPr>
        <w:pStyle w:val="Heading2"/>
      </w:pPr>
      <w:r>
        <w:t xml:space="preserve">Case-study measurements</w:t>
      </w:r>
    </w:p>
    <w:p>
      <w:pPr>
        <w:pStyle w:val="FirstParagraph"/>
      </w:pPr>
      <w:r>
        <w:rPr>
          <w:i/>
          <w:iCs/>
        </w:rPr>
        <w:t xml:space="preserve">Registry composition and growth.</w:t>
      </w:r>
      <w:r>
        <w:t xml:space="preserve"> </w:t>
      </w:r>
      <w:r>
        <w:t xml:space="preserve">The registry was read from git at a pinned</w:t>
      </w:r>
      <w:r>
        <w:t xml:space="preserve"> </w:t>
      </w:r>
      <w:r>
        <w:t xml:space="preserve">commit, the state after the last refactor of the manuscript under review, and at each of</w:t>
      </w:r>
      <w:r>
        <w:t xml:space="preserve"> </w:t>
      </w:r>
      <w:r>
        <w:t xml:space="preserve">the commits that changed it since its creation, to count claims, sites and the other entry</w:t>
      </w:r>
      <w:r>
        <w:t xml:space="preserve"> </w:t>
      </w:r>
      <w:r>
        <w:t xml:space="preserve">types.</w:t>
      </w:r>
    </w:p>
    <w:p>
      <w:pPr>
        <w:pStyle w:val="BodyText"/>
      </w:pPr>
      <w:r>
        <w:rPr>
          <w:i/>
          <w:iCs/>
        </w:rPr>
        <w:t xml:space="preserve">Incident catalogue.</w:t>
      </w:r>
      <w:r>
        <w:t xml:space="preserve"> </w:t>
      </w:r>
      <w:r>
        <w:t xml:space="preserve">We collected every defect recorded in the program’s quality</w:t>
      </w:r>
      <w:r>
        <w:t xml:space="preserve"> </w:t>
      </w:r>
      <w:r>
        <w:t xml:space="preserve">records between 11 August and 28 September 2026: one cross-document alignment audit,</w:t>
      </w:r>
      <w:r>
        <w:t xml:space="preserve"> </w:t>
      </w:r>
      <w:r>
        <w:t xml:space="preserve">three peer-style rigor reviews, a coverage triage, a remediation plan, three root-cause</w:t>
      </w:r>
      <w:r>
        <w:t xml:space="preserve"> </w:t>
      </w:r>
      <w:r>
        <w:t xml:space="preserve">analyses and one chapter synchronisation report. Each entry was coded on four variables: whether it</w:t>
      </w:r>
      <w:r>
        <w:t xml:space="preserve"> </w:t>
      </w:r>
      <w:r>
        <w:t xml:space="preserve">concerns a printed number; its class (Fig. </w:t>
      </w:r>
      <w:hyperlink w:anchor="fig:classes">
        <w:r>
          <w:rPr>
            <w:rStyle w:val="Hyperlink"/>
          </w:rPr>
          <w:t xml:space="preserve">3</w:t>
        </w:r>
      </w:hyperlink>
      <w:r>
        <w:t xml:space="preserve">); how it was found (manual</w:t>
      </w:r>
      <w:r>
        <w:t xml:space="preserve"> </w:t>
      </w:r>
      <w:r>
        <w:t xml:space="preserve">audit or review, building the registry, a coverage sweep, a fresh-clone run, or reading</w:t>
      </w:r>
      <w:r>
        <w:t xml:space="preserve"> </w:t>
      </w:r>
      <w:r>
        <w:t xml:space="preserve">the rendered output); and whether the current checks would detect it if it were</w:t>
      </w:r>
      <w:r>
        <w:t xml:space="preserve"> </w:t>
      </w:r>
      <w:r>
        <w:t xml:space="preserve">reintroduced (yes; partly, when the value is checked but its label, aggregation or</w:t>
      </w:r>
      <w:r>
        <w:t xml:space="preserve"> </w:t>
      </w:r>
      <w:r>
        <w:t xml:space="preserve">context is not; or no). Findings carried forward unchanged from an earlier review, and</w:t>
      </w:r>
      <w:r>
        <w:t xml:space="preserve"> </w:t>
      </w:r>
      <w:r>
        <w:t xml:space="preserve">findings that are not defects in a document, were excluded. The author coded the</w:t>
      </w:r>
      <w:r>
        <w:t xml:space="preserve"> </w:t>
      </w:r>
      <w:r>
        <w:t xml:space="preserve">catalogue with AI assistance and checked every entry (see Acknowledgments).</w:t>
      </w:r>
    </w:p>
    <w:p>
      <w:pPr>
        <w:pStyle w:val="BodyText"/>
      </w:pPr>
      <w:r>
        <w:rPr>
          <w:i/>
          <w:iCs/>
        </w:rPr>
        <w:t xml:space="preserve">CI history.</w:t>
      </w:r>
      <w:r>
        <w:t xml:space="preserve"> </w:t>
      </w:r>
      <w:r>
        <w:t xml:space="preserve">The run history of the CI workflow was exported from the repository</w:t>
      </w:r>
      <w:r>
        <w:t xml:space="preserve"> </w:t>
      </w:r>
      <w:r>
        <w:t xml:space="preserve">host and summarised by outcome.</w:t>
      </w:r>
    </w:p>
    <w:p>
      <w:pPr>
        <w:pStyle w:val="BodyText"/>
      </w:pPr>
      <w:r>
        <w:t xml:space="preserve">All measurements are scripts that read committed files; their outputs are themselves</w:t>
      </w:r>
      <w:r>
        <w:t xml:space="preserve"> </w:t>
      </w:r>
      <w:r>
        <w:t xml:space="preserve">registered claims of this paper.</w:t>
      </w:r>
    </w:p>
    <w:bookmarkEnd w:id="16"/>
    <w:bookmarkEnd w:id="17"/>
    <w:bookmarkStart w:id="35" w:name="results"/>
    <w:p>
      <w:pPr>
        <w:pStyle w:val="Heading1"/>
      </w:pPr>
      <w:r>
        <w:t xml:space="preserve">Results</w:t>
      </w:r>
    </w:p>
    <w:bookmarkStart w:id="27" w:name="registry-composition"/>
    <w:p>
      <w:pPr>
        <w:pStyle w:val="Heading2"/>
      </w:pPr>
      <w:r>
        <w:t xml:space="preserve">Registry composition</w:t>
      </w:r>
    </w:p>
    <w:p>
      <w:pPr>
        <w:pStyle w:val="FirstParagraph"/>
      </w:pPr>
      <w:r>
        <w:t xml:space="preserve">At the pinned commit the registry held 321 claims checked at 487 sites in four documents</w:t>
      </w:r>
      <w:r>
        <w:t xml:space="preserve"> </w:t>
      </w:r>
      <w:r>
        <w:t xml:space="preserve">(Table </w:t>
      </w:r>
      <w:hyperlink w:anchor="tab:registry">
        <w:r>
          <w:rPr>
            <w:rStyle w:val="Hyperlink"/>
          </w:rPr>
          <w:t xml:space="preserve">1</w:t>
        </w:r>
      </w:hyperlink>
      <w:r>
        <w:t xml:space="preserve">). 85 claims were printed in more than one document; these are</w:t>
      </w:r>
      <w:r>
        <w:t xml:space="preserve"> </w:t>
      </w:r>
      <w:r>
        <w:t xml:space="preserve">the values most exposed to cross-document drift. Fifty distinct resolver kinds re-derive</w:t>
      </w:r>
      <w:r>
        <w:t xml:space="preserve"> </w:t>
      </w:r>
      <w:r>
        <w:t xml:space="preserve">the values. The registry grew from 44 claims at 93 sites when it was created to its</w:t>
      </w:r>
      <w:r>
        <w:t xml:space="preserve"> </w:t>
      </w:r>
      <w:r>
        <w:t xml:space="preserve">current size over 39 commits (Fig. </w:t>
      </w:r>
      <w:hyperlink w:anchor="fig:growth">
        <w:r>
          <w:rPr>
            <w:rStyle w:val="Hyperlink"/>
          </w:rPr>
          <w:t xml:space="preserve">2</w:t>
        </w:r>
      </w:hyperlink>
      <w:r>
        <w:t xml:space="preserve">), mostly in two bursts that followed</w:t>
      </w:r>
      <w:r>
        <w:t xml:space="preserve"> </w:t>
      </w:r>
      <w:r>
        <w:t xml:space="preserve">audits.</w:t>
      </w:r>
    </w:p>
    <w:bookmarkStart w:id="18" w:name="tab:registry"/>
    <w:p>
      <w:pPr>
        <w:pStyle w:val="TableCaption"/>
      </w:pPr>
      <w:r>
        <w:t xml:space="preserve">Composition of the claim registry at the pinned commit.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mposition of the claim registry at the pinned commit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Claims (re-derived values)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sites in the thesis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sites in the manuscript under review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sites in the book chapter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sites in the published article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Retired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Unbacked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Declared structural literals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 under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 under exclusivity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</w:tbl>
    <w:bookmarkEnd w:id="18"/>
    <w:bookmarkStart w:id="22" w:name="fig:architecture"/>
    <w:p>
      <w:pPr>
        <w:pStyle w:val="CaptionedFigure"/>
      </w:pPr>
      <w:r>
        <w:drawing>
          <wp:inline>
            <wp:extent cx="4267200" cy="167910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figures/fig1_architectur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679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verification loop. A resolver re-derives each registered value from tracked</w:t>
      </w:r>
      <w:r>
        <w:t xml:space="preserve"> </w:t>
      </w:r>
      <w:r>
        <w:t xml:space="preserve">artifacts; the verifier compares it with the registered value and with the text at every</w:t>
      </w:r>
      <w:r>
        <w:t xml:space="preserve"> </w:t>
      </w:r>
      <w:r>
        <w:t xml:space="preserve">manuscript site, and checks that cited artifacts are tracked.</w:t>
      </w:r>
    </w:p>
    <w:bookmarkEnd w:id="22"/>
    <w:bookmarkStart w:id="26" w:name="fig:growth"/>
    <w:p>
      <w:pPr>
        <w:pStyle w:val="CaptionedFigure"/>
      </w:pPr>
      <w:r>
        <w:drawing>
          <wp:inline>
            <wp:extent cx="4267200" cy="196426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fig2_registry_growth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96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Growth of the registry: claims and checked manuscript sites at each day on which</w:t>
      </w:r>
      <w:r>
        <w:t xml:space="preserve"> </w:t>
      </w:r>
      <w:r>
        <w:t xml:space="preserve">the registry changed.</w:t>
      </w:r>
    </w:p>
    <w:bookmarkEnd w:id="26"/>
    <w:bookmarkEnd w:id="27"/>
    <w:bookmarkStart w:id="33" w:name="incident-catalogue"/>
    <w:p>
      <w:pPr>
        <w:pStyle w:val="Heading2"/>
      </w:pPr>
      <w:r>
        <w:t xml:space="preserve">Incident catalogue</w:t>
      </w:r>
    </w:p>
    <w:p>
      <w:pPr>
        <w:pStyle w:val="FirstParagraph"/>
      </w:pPr>
      <w:r>
        <w:t xml:space="preserve">The quality records yielded 65 entries, of which 58 were distinct defects in a document;</w:t>
      </w:r>
      <w:r>
        <w:t xml:space="preserve"> </w:t>
      </w:r>
      <w:r>
        <w:t xml:space="preserve">22 were rated major. Thirty concerned a printed number and 28 did not.</w:t>
      </w:r>
      <w:r>
        <w:t xml:space="preserve"> </w:t>
      </w:r>
      <w:r>
        <w:t xml:space="preserve">Fig. </w:t>
      </w:r>
      <w:hyperlink w:anchor="fig:classe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shows the defects by class and by whether the current checks detect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For numeric defects the checks are effective. Of the 30, 16 would be detected and 13</w:t>
      </w:r>
      <w:r>
        <w:t xml:space="preserve"> </w:t>
      </w:r>
      <w:r>
        <w:t xml:space="preserve">would be partly detected; one would not, a traceability table that cited an existing but</w:t>
      </w:r>
      <w:r>
        <w:t xml:space="preserve"> </w:t>
      </w:r>
      <w:r>
        <w:t xml:space="preserve">wrong artifact, which passes because the verifier checks that a cited file exists, not</w:t>
      </w:r>
      <w:r>
        <w:t xml:space="preserve"> </w:t>
      </w:r>
      <w:r>
        <w:t xml:space="preserve">that it is the right file. The partly detected defects share a pattern: the value is</w:t>
      </w:r>
      <w:r>
        <w:t xml:space="preserve"> </w:t>
      </w:r>
      <w:r>
        <w:t xml:space="preserve">right, and what is wrong is the text around it. Examples are a correct gap attributed to</w:t>
      </w:r>
      <w:r>
        <w:t xml:space="preserve"> </w:t>
      </w:r>
      <w:r>
        <w:t xml:space="preserve">the wrong model, run-level means labelled as block-level means, and a sample size in a</w:t>
      </w:r>
      <w:r>
        <w:t xml:space="preserve"> </w:t>
      </w:r>
      <w:r>
        <w:t xml:space="preserve">caption that belongs to a different statistic.</w:t>
      </w:r>
    </w:p>
    <w:p>
      <w:pPr>
        <w:pStyle w:val="BodyText"/>
      </w:pPr>
      <w:r>
        <w:t xml:space="preserve">For non-numeric defects the picture reverses. Of the 28, the checks detect 3, all of them</w:t>
      </w:r>
      <w:r>
        <w:t xml:space="preserve"> </w:t>
      </w:r>
      <w:r>
        <w:t xml:space="preserve">mechanical failures: an escape sequence that corrupted a generated abstract, a</w:t>
      </w:r>
      <w:r>
        <w:t xml:space="preserve"> </w:t>
      </w:r>
      <w:r>
        <w:t xml:space="preserve">supplementary file missing from an upload bundle, and a verification input that existed on</w:t>
      </w:r>
      <w:r>
        <w:t xml:space="preserve"> </w:t>
      </w:r>
      <w:r>
        <w:t xml:space="preserve">one machine only. The other 25 are claims stated more broadly than the evidence,</w:t>
      </w:r>
      <w:r>
        <w:t xml:space="preserve"> </w:t>
      </w:r>
      <w:r>
        <w:t xml:space="preserve">internal contradictions between sections, and reporting slips. The largest single class,</w:t>
      </w:r>
      <w:r>
        <w:t xml:space="preserve"> </w:t>
      </w:r>
      <w:r>
        <w:t xml:space="preserve">claim scope, is almost invisible to them: 12 of its 13 defects are not detected.</w:t>
      </w:r>
    </w:p>
    <w:p>
      <w:pPr>
        <w:pStyle w:val="BodyText"/>
      </w:pPr>
      <w:r>
        <w:t xml:space="preserve">Most defects, 47 of the 58, were found by people reading: the audit and the reviews.</w:t>
      </w:r>
      <w:r>
        <w:t xml:space="preserve"> </w:t>
      </w:r>
      <w:r>
        <w:t xml:space="preserve">Eight defects were found by the tooling itself, while the registry was being built or</w:t>
      </w:r>
      <w:r>
        <w:t xml:space="preserve"> </w:t>
      </w:r>
      <w:r>
        <w:t xml:space="preserve">extended: registering a value forced a comparison with its artifact, and the coverage</w:t>
      </w:r>
      <w:r>
        <w:t xml:space="preserve"> </w:t>
      </w:r>
      <w:r>
        <w:t xml:space="preserve">sweep surfaced numbers that nobody had registered. The remaining three were found by</w:t>
      </w:r>
      <w:r>
        <w:t xml:space="preserve"> </w:t>
      </w:r>
      <w:r>
        <w:t xml:space="preserve">reading the rendered output, which is where a broken cross-reference or a corrupted</w:t>
      </w:r>
      <w:r>
        <w:t xml:space="preserve"> </w:t>
      </w:r>
      <w:r>
        <w:t xml:space="preserve">generated abstract becomes visible. Table </w:t>
      </w:r>
      <w:hyperlink w:anchor="tab:example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one example per class</w:t>
      </w:r>
      <w:r>
        <w:t xml:space="preserve"> </w:t>
      </w:r>
      <w:r>
        <w:t xml:space="preserve">and the check, if any, that now responds to it.</w:t>
      </w:r>
    </w:p>
    <w:bookmarkStart w:id="28" w:name="tab:examples"/>
    <w:p>
      <w:pPr>
        <w:pStyle w:val="TableCaption"/>
      </w:pPr>
      <w:r>
        <w:t xml:space="preserve">Example defects from the catalogue and the response of the current checks.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ample defects from the catalogue and the response of the current check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differs from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chapter printed draft figures that matched no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Detected: the site text no longer matches the re-derived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Cross-document inconsistency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manuscripts printed different values for one</w:t>
            </w:r>
            <w:r>
              <w:t xml:space="preserve"> </w:t>
            </w:r>
            <w:r>
              <w:t xml:space="preserve">experimental 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Detected: one claim carries the sites of 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Wrong label or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correct gap attributed to the wrong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Partly: the</w:t>
            </w:r>
            <w:r>
              <w:t xml:space="preserve"> </w:t>
            </w:r>
            <w:r>
              <w:t xml:space="preserve">value is checked, the label is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without an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tables printed different values for one reference</w:t>
            </w:r>
            <w:r>
              <w:t xml:space="preserve"> </w:t>
            </w: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Partly: the number must be declared unbacked, with a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Artifact 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result files present on disk but not tracked by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Detected: the fresh-clone run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Prior-publication overlap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of a published article printed again in a</w:t>
            </w:r>
            <w:r>
              <w:t xml:space="preserve"> </w:t>
            </w:r>
            <w:r>
              <w:t xml:space="preserve">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Detected: the shared-literal scan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 defect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escape sequence corrupted a generated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Detected: the</w:t>
            </w:r>
            <w:r>
              <w:t xml:space="preserve"> </w:t>
            </w:r>
            <w:r>
              <w:t xml:space="preserve">synchronisation check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ordering claimed for a model family that holds for one member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detected</w:t>
            </w:r>
          </w:p>
        </w:tc>
      </w:tr>
    </w:tbl>
    <w:bookmarkEnd w:id="28"/>
    <w:bookmarkStart w:id="32" w:name="fig:classes"/>
    <w:p>
      <w:pPr>
        <w:pStyle w:val="CaptionedFigure"/>
      </w:pPr>
      <w:r>
        <w:drawing>
          <wp:inline>
            <wp:extent cx="4267200" cy="230293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3_incident_classe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302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58 defects by class and by whether the current checks detect them.</w:t>
      </w:r>
    </w:p>
    <w:bookmarkEnd w:id="32"/>
    <w:bookmarkEnd w:id="33"/>
    <w:bookmarkStart w:id="34" w:name="continuous-integration-history"/>
    <w:p>
      <w:pPr>
        <w:pStyle w:val="Heading2"/>
      </w:pPr>
      <w:r>
        <w:t xml:space="preserve">Continuous-integration history</w:t>
      </w:r>
    </w:p>
    <w:p>
      <w:pPr>
        <w:pStyle w:val="FirstParagraph"/>
      </w:pPr>
      <w:r>
        <w:t xml:space="preserve">The CI workflow ran 80 times. Its first 37 runs all failed. The causes recorded when</w:t>
      </w:r>
      <w:r>
        <w:t xml:space="preserve"> </w:t>
      </w:r>
      <w:r>
        <w:t xml:space="preserve">the workflow was investigated were in its environment (an input file that was not tracked</w:t>
      </w:r>
      <w:r>
        <w:t xml:space="preserve"> </w:t>
      </w:r>
      <w:r>
        <w:t xml:space="preserve">and a generated file that changed on every build), not in the manuscripts. For five months</w:t>
      </w:r>
      <w:r>
        <w:t xml:space="preserve"> </w:t>
      </w:r>
      <w:r>
        <w:t xml:space="preserve">the check was red for reasons unrelated to what it was meant to protect, so its failures</w:t>
      </w:r>
      <w:r>
        <w:t xml:space="preserve"> </w:t>
      </w:r>
      <w:r>
        <w:t xml:space="preserve">carried no information. After those causes were fixed, all 43 runs passed.</w:t>
      </w:r>
    </w:p>
    <w:bookmarkEnd w:id="34"/>
    <w:bookmarkEnd w:id="35"/>
    <w:bookmarkStart w:id="3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case supports a narrow conclusion. A registry that binds each printed number to its</w:t>
      </w:r>
      <w:r>
        <w:t xml:space="preserve"> </w:t>
      </w:r>
      <w:r>
        <w:t xml:space="preserve">artifact and to every place it appears removes numeric drift as a class of error: a</w:t>
      </w:r>
      <w:r>
        <w:t xml:space="preserve"> </w:t>
      </w:r>
      <w:r>
        <w:t xml:space="preserve">stale value, a retired value that comes back, a number that differs between two</w:t>
      </w:r>
      <w:r>
        <w:t xml:space="preserve"> </w:t>
      </w:r>
      <w:r>
        <w:t xml:space="preserve">documents, an unregistered number and a result reported twice all fail the build. These</w:t>
      </w:r>
      <w:r>
        <w:t xml:space="preserve"> </w:t>
      </w:r>
      <w:r>
        <w:t xml:space="preserve">were the defects that the August audit had found by reading.</w:t>
      </w:r>
    </w:p>
    <w:p>
      <w:pPr>
        <w:pStyle w:val="BodyText"/>
      </w:pPr>
      <w:r>
        <w:t xml:space="preserve">Three lessons concern what the mechanism does not do. First, checking a value is not</w:t>
      </w:r>
      <w:r>
        <w:t xml:space="preserve"> </w:t>
      </w:r>
      <w:r>
        <w:t xml:space="preserve">checking its meaning. The partly detected defects show that a correct number attached to</w:t>
      </w:r>
      <w:r>
        <w:t xml:space="preserve"> </w:t>
      </w:r>
      <w:r>
        <w:t xml:space="preserve">the wrong label passes; binding the label or the aggregation to the site text, rather</w:t>
      </w:r>
      <w:r>
        <w:t xml:space="preserve"> </w:t>
      </w:r>
      <w:r>
        <w:t xml:space="preserve">than the number alone, would close part of this gap. Second, about half of all defects</w:t>
      </w:r>
      <w:r>
        <w:t xml:space="preserve"> </w:t>
      </w:r>
      <w:r>
        <w:t xml:space="preserve">were about claims, not numbers. Scope, coherence and reporting need human review, and the</w:t>
      </w:r>
      <w:r>
        <w:t xml:space="preserve"> </w:t>
      </w:r>
      <w:r>
        <w:t xml:space="preserve">registry helps only indirectly, by freeing reviewers from re-deriving numbers. Third, a</w:t>
      </w:r>
      <w:r>
        <w:t xml:space="preserve"> </w:t>
      </w:r>
      <w:r>
        <w:t xml:space="preserve">check must be kept green to be useful: a workflow that fails for unrelated reasons trains</w:t>
      </w:r>
      <w:r>
        <w:t xml:space="preserve"> </w:t>
      </w:r>
      <w:r>
        <w:t xml:space="preserve">its users to ignore it.</w:t>
      </w:r>
    </w:p>
    <w:p>
      <w:pPr>
        <w:pStyle w:val="BodyText"/>
      </w:pPr>
      <w:r>
        <w:rPr>
          <w:i/>
          <w:iCs/>
        </w:rPr>
        <w:t xml:space="preserve">Limitations.</w:t>
      </w:r>
      <w:r>
        <w:t xml:space="preserve"> </w:t>
      </w:r>
      <w:r>
        <w:t xml:space="preserve">This is one program, coded by its author, who also built the</w:t>
      </w:r>
      <w:r>
        <w:t xml:space="preserve"> </w:t>
      </w:r>
      <w:r>
        <w:t xml:space="preserve">tooling; the coding of</w:t>
      </w:r>
      <w:r>
        <w:t xml:space="preserve"> </w:t>
      </w:r>
      <w:r>
        <w:t xml:space="preserve">“detected now”</w:t>
      </w:r>
      <w:r>
        <w:t xml:space="preserve"> </w:t>
      </w:r>
      <w:r>
        <w:t xml:space="preserve">was not checked by a second rater and may favour</w:t>
      </w:r>
      <w:r>
        <w:t xml:space="preserve"> </w:t>
      </w:r>
      <w:r>
        <w:t xml:space="preserve">the tool. The catalogue covers only the defects that audits and reviews recorded, so the</w:t>
      </w:r>
      <w:r>
        <w:t xml:space="preserve"> </w:t>
      </w:r>
      <w:r>
        <w:t xml:space="preserve">rate of undetected defects is unknown. The registry adds work: every new number must be</w:t>
      </w:r>
      <w:r>
        <w:t xml:space="preserve"> </w:t>
      </w:r>
      <w:r>
        <w:t xml:space="preserve">registered with a resolver before it is printed.</w:t>
      </w:r>
    </w:p>
    <w:p>
      <w:pPr>
        <w:pStyle w:val="BodyText"/>
      </w:pPr>
      <w:r>
        <w:rPr>
          <w:i/>
          <w:iCs/>
        </w:rPr>
        <w:t xml:space="preserve">Relation to existing tools.</w:t>
      </w:r>
      <w:r>
        <w:t xml:space="preserve"> </w:t>
      </w:r>
      <w:r>
        <w:t xml:space="preserve">Automated consistency checks of reported statistics</w:t>
      </w:r>
      <w:r>
        <w:t xml:space="preserve"> </w:t>
      </w:r>
      <w:r>
        <w:t xml:space="preserve">[15], [16]</w:t>
      </w:r>
      <w:r>
        <w:t xml:space="preserve"> </w:t>
      </w:r>
      <w:r>
        <w:t xml:space="preserve">test whether numbers in a published paper agree with each</w:t>
      </w:r>
      <w:r>
        <w:t xml:space="preserve"> </w:t>
      </w:r>
      <w:r>
        <w:t xml:space="preserve">other; they need no access to the data, but they cannot tell whether a value is the one</w:t>
      </w:r>
      <w:r>
        <w:t xml:space="preserve"> </w:t>
      </w:r>
      <w:r>
        <w:t xml:space="preserve">the analysis produced. Dynamic documents</w:t>
      </w:r>
      <w:r>
        <w:t xml:space="preserve"> </w:t>
      </w:r>
      <w:r>
        <w:t xml:space="preserve">[18], [19]</w:t>
      </w:r>
      <w:r>
        <w:t xml:space="preserve"> </w:t>
      </w:r>
      <w:r>
        <w:t xml:space="preserve">guarantee that</w:t>
      </w:r>
      <w:r>
        <w:t xml:space="preserve"> </w:t>
      </w:r>
      <w:r>
        <w:t xml:space="preserve">correspondence within one document, at the price of writing the document inside the</w:t>
      </w:r>
      <w:r>
        <w:t xml:space="preserve"> </w:t>
      </w:r>
      <w:r>
        <w:t xml:space="preserve">analysis environment. The registry sits between the two: manuscripts stay in whatever</w:t>
      </w:r>
      <w:r>
        <w:t xml:space="preserve"> </w:t>
      </w:r>
      <w:r>
        <w:t xml:space="preserve">format each venue requires and are written by hand, and the correspondence with the</w:t>
      </w:r>
      <w:r>
        <w:t xml:space="preserve"> </w:t>
      </w:r>
      <w:r>
        <w:t xml:space="preserve">artifacts is checked from outside. It also checks a property neither approach addresses,</w:t>
      </w:r>
      <w:r>
        <w:t xml:space="preserve"> </w:t>
      </w:r>
      <w:r>
        <w:t xml:space="preserve">that a result is not reported twice across venues.</w:t>
      </w:r>
    </w:p>
    <w:p>
      <w:pPr>
        <w:pStyle w:val="BodyText"/>
      </w:pPr>
      <w:r>
        <w:rPr>
          <w:i/>
          <w:iCs/>
        </w:rPr>
        <w:t xml:space="preserve">Recommendations.</w:t>
      </w:r>
      <w:r>
        <w:t xml:space="preserve"> </w:t>
      </w:r>
      <w:r>
        <w:t xml:space="preserve">For research programs that report the same results in several</w:t>
      </w:r>
      <w:r>
        <w:t xml:space="preserve"> </w:t>
      </w:r>
      <w:r>
        <w:t xml:space="preserve">documents: register each reported number once, with every site; record retired values</w:t>
      </w:r>
      <w:r>
        <w:t xml:space="preserve"> </w:t>
      </w:r>
      <w:r>
        <w:t xml:space="preserve">so they cannot return; treat an unregistered number in a finished manuscript as an error;</w:t>
      </w:r>
      <w:r>
        <w:t xml:space="preserve"> </w:t>
      </w:r>
      <w:r>
        <w:t xml:space="preserve">check prior publication by comparing numbers, not only text; run the checks from a fresh</w:t>
      </w:r>
      <w:r>
        <w:t xml:space="preserve"> </w:t>
      </w:r>
      <w:r>
        <w:t xml:space="preserve">clone and in CI; and keep human review for claims.</w:t>
      </w:r>
    </w:p>
    <w:bookmarkEnd w:id="36"/>
    <w:bookmarkStart w:id="37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A claim registry is a small, practical addition to the reproducibility toolkit for AI</w:t>
      </w:r>
      <w:r>
        <w:t xml:space="preserve"> </w:t>
      </w:r>
      <w:r>
        <w:t xml:space="preserve">research. In the case studied it re-derived 321 reported values at 487 sites and would now</w:t>
      </w:r>
      <w:r>
        <w:t xml:space="preserve"> </w:t>
      </w:r>
      <w:r>
        <w:t xml:space="preserve">detect almost all of the numeric defects that manual audits had found. It does not detect</w:t>
      </w:r>
      <w:r>
        <w:t xml:space="preserve"> </w:t>
      </w:r>
      <w:r>
        <w:t xml:space="preserve">overclaiming, which was as common as numeric error. Release of code and data shows that a</w:t>
      </w:r>
      <w:r>
        <w:t xml:space="preserve"> </w:t>
      </w:r>
      <w:r>
        <w:t xml:space="preserve">result can be reproduced; a registry shows that the paper reports the result that was</w:t>
      </w:r>
      <w:r>
        <w:t xml:space="preserve"> </w:t>
      </w:r>
      <w:r>
        <w:t xml:space="preserve">produced.</w:t>
      </w:r>
    </w:p>
    <w:bookmarkEnd w:id="37"/>
    <w:bookmarkStart w:id="4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registry, the verifier, the measurement scripts and the incident catalogue are in</w:t>
      </w:r>
      <w:r>
        <w:t xml:space="preserve"> </w:t>
      </w:r>
      <w:r>
        <w:t xml:space="preserve">the public repository</w:t>
      </w:r>
      <w:r>
        <w:t xml:space="preserve"> </w:t>
      </w:r>
      <w:hyperlink r:id="rId38">
        <w:r>
          <w:rPr>
            <w:rStyle w:val="Hyperlink"/>
          </w:rPr>
          <w:t xml:space="preserve">https://github.com/jonnabio/xai-eval-framework</w:t>
        </w:r>
      </w:hyperlink>
      <w:r>
        <w:t xml:space="preserve">, archived at</w:t>
      </w:r>
      <w:r>
        <w:t xml:space="preserve"> </w:t>
      </w:r>
      <w:hyperlink r:id="rId39">
        <w:r>
          <w:rPr>
            <w:rStyle w:val="Hyperlink"/>
          </w:rPr>
          <w:t xml:space="preserve">https://doi.org/10.5281/zenodo.23111684</w:t>
        </w:r>
      </w:hyperlink>
      <w:r>
        <w:t xml:space="preserve">.</w:t>
      </w:r>
    </w:p>
    <w:bookmarkEnd w:id="40"/>
    <w:bookmarkStart w:id="80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conceived, designed and directed this work. Generative AI tools (Anthropic</w:t>
      </w:r>
      <w:r>
        <w:t xml:space="preserve"> </w:t>
      </w:r>
      <w:r>
        <w:t xml:space="preserve">Claude) were used as assistants under the author’s direction for programming support,</w:t>
      </w:r>
      <w:r>
        <w:t xml:space="preserve"> </w:t>
      </w:r>
      <w:r>
        <w:t xml:space="preserve">first-pass coding of the incident catalogue (checked and approved by the author), the</w:t>
      </w:r>
      <w:r>
        <w:t xml:space="preserve"> </w:t>
      </w:r>
      <w:r>
        <w:t xml:space="preserve">search for related literature (every reference was verified against its DOI record and</w:t>
      </w:r>
      <w:r>
        <w:t xml:space="preserve"> </w:t>
      </w:r>
      <w:r>
        <w:t xml:space="preserve">approved by the author), and language editing. The author takes full responsibility for</w:t>
      </w:r>
      <w:r>
        <w:t xml:space="preserve"> </w:t>
      </w:r>
      <w:r>
        <w:t xml:space="preserve">the content.</w:t>
      </w:r>
    </w:p>
    <w:bookmarkStart w:id="79" w:name="refs"/>
    <w:bookmarkStart w:id="42" w:name="ref-peng201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D. Peng,</w:t>
      </w:r>
      <w:r>
        <w:t xml:space="preserve"> </w:t>
      </w:r>
      <w:r>
        <w:t xml:space="preserve">“Reproducible research in computational science,”</w:t>
      </w:r>
      <w:r>
        <w:t xml:space="preserve"> </w:t>
      </w:r>
      <w:r>
        <w:rPr>
          <w:i/>
          <w:iCs/>
        </w:rPr>
        <w:t xml:space="preserve">Science</w:t>
      </w:r>
      <w:r>
        <w:t xml:space="preserve">, vol. 334, no. 6060, pp. 1226–1227, Dec. 2011, doi:</w:t>
      </w:r>
      <w:r>
        <w:t xml:space="preserve"> </w:t>
      </w:r>
      <w:hyperlink r:id="rId41">
        <w:r>
          <w:rPr>
            <w:rStyle w:val="Hyperlink"/>
          </w:rPr>
          <w:t xml:space="preserve">10.1126/science.1213847</w:t>
        </w:r>
      </w:hyperlink>
      <w:r>
        <w:t xml:space="preserve">.</w:t>
      </w:r>
    </w:p>
    <w:bookmarkEnd w:id="42"/>
    <w:bookmarkStart w:id="44" w:name="ref-sandve201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K. Sandve, A. Nekrutenko, J. Taylor, and E. Hovig,</w:t>
      </w:r>
      <w:r>
        <w:t xml:space="preserve"> </w:t>
      </w:r>
      <w:r>
        <w:t xml:space="preserve">“Ten simple rules for reproducible computational research,”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 vol. 9, no. 10, p. e1003285, Oct. 2013, doi:</w:t>
      </w:r>
      <w:r>
        <w:t xml:space="preserve"> </w:t>
      </w:r>
      <w:hyperlink r:id="rId43">
        <w:r>
          <w:rPr>
            <w:rStyle w:val="Hyperlink"/>
          </w:rPr>
          <w:t xml:space="preserve">10.1371/journal.pcbi.1003285</w:t>
        </w:r>
      </w:hyperlink>
      <w:r>
        <w:t xml:space="preserve">.</w:t>
      </w:r>
    </w:p>
    <w:bookmarkEnd w:id="44"/>
    <w:bookmarkStart w:id="46" w:name="ref-stodden2016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V. Stodden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“Enhancing reproducibility for computational methods,”</w:t>
      </w:r>
      <w:r>
        <w:t xml:space="preserve"> </w:t>
      </w:r>
      <w:r>
        <w:rPr>
          <w:i/>
          <w:iCs/>
        </w:rPr>
        <w:t xml:space="preserve">Science</w:t>
      </w:r>
      <w:r>
        <w:t xml:space="preserve">, vol. 354, no. 6317, pp. 1240–1241, Dec. 2016, doi:</w:t>
      </w:r>
      <w:r>
        <w:t xml:space="preserve"> </w:t>
      </w:r>
      <w:hyperlink r:id="rId45">
        <w:r>
          <w:rPr>
            <w:rStyle w:val="Hyperlink"/>
          </w:rPr>
          <w:t xml:space="preserve">10.1126/science.aah6168</w:t>
        </w:r>
      </w:hyperlink>
      <w:r>
        <w:t xml:space="preserve">.</w:t>
      </w:r>
    </w:p>
    <w:bookmarkEnd w:id="46"/>
    <w:bookmarkStart w:id="48" w:name="ref-hutson2018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Hutson,</w:t>
      </w:r>
      <w:r>
        <w:t xml:space="preserve"> </w:t>
      </w:r>
      <w:r>
        <w:t xml:space="preserve">“Artificial intelligence faces reproducibility crisis,”</w:t>
      </w:r>
      <w:r>
        <w:t xml:space="preserve"> </w:t>
      </w:r>
      <w:r>
        <w:rPr>
          <w:i/>
          <w:iCs/>
        </w:rPr>
        <w:t xml:space="preserve">Science</w:t>
      </w:r>
      <w:r>
        <w:t xml:space="preserve">, vol. 359, no. 6377, pp. 725–726, Feb. 2018, doi:</w:t>
      </w:r>
      <w:r>
        <w:t xml:space="preserve"> </w:t>
      </w:r>
      <w:hyperlink r:id="rId47">
        <w:r>
          <w:rPr>
            <w:rStyle w:val="Hyperlink"/>
          </w:rPr>
          <w:t xml:space="preserve">10.1126/science.359.6377.725</w:t>
        </w:r>
      </w:hyperlink>
      <w:r>
        <w:t xml:space="preserve">.</w:t>
      </w:r>
    </w:p>
    <w:bookmarkEnd w:id="48"/>
    <w:bookmarkStart w:id="50" w:name="ref-gundersen201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O. E. Gundersen and S. Kjensmo,</w:t>
      </w:r>
      <w:r>
        <w:t xml:space="preserve"> </w:t>
      </w:r>
      <w:r>
        <w:t xml:space="preserve">“State of the art: Reproducibility in artificial intelligence,”</w:t>
      </w:r>
      <w:r>
        <w:t xml:space="preserve"> </w:t>
      </w:r>
      <w:r>
        <w:rPr>
          <w:i/>
          <w:iCs/>
        </w:rPr>
        <w:t xml:space="preserve">Proceedings of the AAAI Conference on Artificial Intelligence</w:t>
      </w:r>
      <w:r>
        <w:t xml:space="preserve">, vol. 32, no. 1, Apr. 2018, doi:</w:t>
      </w:r>
      <w:r>
        <w:t xml:space="preserve"> </w:t>
      </w:r>
      <w:hyperlink r:id="rId49">
        <w:r>
          <w:rPr>
            <w:rStyle w:val="Hyperlink"/>
          </w:rPr>
          <w:t xml:space="preserve">10.1609/aaai.v32i1.11503</w:t>
        </w:r>
      </w:hyperlink>
      <w:r>
        <w:t xml:space="preserve">.</w:t>
      </w:r>
    </w:p>
    <w:bookmarkEnd w:id="50"/>
    <w:bookmarkStart w:id="52" w:name="ref-henderson2018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Henderson, R. Islam, P. Bachman, J. Pineau, D. Precup, and D. Meger,</w:t>
      </w:r>
      <w:r>
        <w:t xml:space="preserve"> </w:t>
      </w:r>
      <w:r>
        <w:t xml:space="preserve">“Deep reinforcement learning that matters,”</w:t>
      </w:r>
      <w:r>
        <w:t xml:space="preserve"> </w:t>
      </w:r>
      <w:r>
        <w:rPr>
          <w:i/>
          <w:iCs/>
        </w:rPr>
        <w:t xml:space="preserve">Proceedings of the AAAI Conference on Artificial Intelligence</w:t>
      </w:r>
      <w:r>
        <w:t xml:space="preserve">, vol. 32, no. 1, Apr. 2018, doi:</w:t>
      </w:r>
      <w:r>
        <w:t xml:space="preserve"> </w:t>
      </w:r>
      <w:hyperlink r:id="rId51">
        <w:r>
          <w:rPr>
            <w:rStyle w:val="Hyperlink"/>
          </w:rPr>
          <w:t xml:space="preserve">10.1609/aaai.v32i1.11694</w:t>
        </w:r>
      </w:hyperlink>
      <w:r>
        <w:t xml:space="preserve">.</w:t>
      </w:r>
    </w:p>
    <w:bookmarkEnd w:id="52"/>
    <w:bookmarkStart w:id="54" w:name="ref-baker2016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M. Baker,</w:t>
      </w:r>
      <w:r>
        <w:t xml:space="preserve"> </w:t>
      </w:r>
      <w:r>
        <w:t xml:space="preserve">“1,500 scientists lift the lid on reproducibility,”</w:t>
      </w:r>
      <w:r>
        <w:t xml:space="preserve"> </w:t>
      </w:r>
      <w:r>
        <w:rPr>
          <w:i/>
          <w:iCs/>
        </w:rPr>
        <w:t xml:space="preserve">Nature</w:t>
      </w:r>
      <w:r>
        <w:t xml:space="preserve">, vol. 533, no. 7604, pp. 452–454, May 2016, doi:</w:t>
      </w:r>
      <w:r>
        <w:t xml:space="preserve"> </w:t>
      </w:r>
      <w:hyperlink r:id="rId53">
        <w:r>
          <w:rPr>
            <w:rStyle w:val="Hyperlink"/>
          </w:rPr>
          <w:t xml:space="preserve">10.1038/533452a</w:t>
        </w:r>
      </w:hyperlink>
      <w:r>
        <w:t xml:space="preserve">.</w:t>
      </w:r>
    </w:p>
    <w:bookmarkEnd w:id="54"/>
    <w:bookmarkStart w:id="56" w:name="ref-kapoor202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S. Kapoor and A. Narayanan,</w:t>
      </w:r>
      <w:r>
        <w:t xml:space="preserve"> </w:t>
      </w:r>
      <w:r>
        <w:t xml:space="preserve">“Leakage and the reproducibility crisis in machine-learning-based science,”</w:t>
      </w:r>
      <w:r>
        <w:t xml:space="preserve"> </w:t>
      </w:r>
      <w:r>
        <w:rPr>
          <w:i/>
          <w:iCs/>
        </w:rPr>
        <w:t xml:space="preserve">Patterns</w:t>
      </w:r>
      <w:r>
        <w:t xml:space="preserve">, vol. 4, no. 9, p. 100804, Sep. 2023, doi:</w:t>
      </w:r>
      <w:r>
        <w:t xml:space="preserve"> </w:t>
      </w:r>
      <w:hyperlink r:id="rId55">
        <w:r>
          <w:rPr>
            <w:rStyle w:val="Hyperlink"/>
          </w:rPr>
          <w:t xml:space="preserve">10.1016/j.patter.2023.100804</w:t>
        </w:r>
      </w:hyperlink>
      <w:r>
        <w:t xml:space="preserve">.</w:t>
      </w:r>
    </w:p>
    <w:bookmarkEnd w:id="56"/>
    <w:bookmarkStart w:id="58" w:name="ref-lipton2019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Z. C. Lipton and J. Steinhardt,</w:t>
      </w:r>
      <w:r>
        <w:t xml:space="preserve"> </w:t>
      </w:r>
      <w:r>
        <w:t xml:space="preserve">“Troubling trends in machine learning scholarship: Some ML papers suffer from flaws that could mislead the public and stymie future research.”</w:t>
      </w:r>
      <w:r>
        <w:t xml:space="preserve"> </w:t>
      </w:r>
      <w:r>
        <w:rPr>
          <w:i/>
          <w:iCs/>
        </w:rPr>
        <w:t xml:space="preserve">Queue</w:t>
      </w:r>
      <w:r>
        <w:t xml:space="preserve">, vol. 17, no. 1, pp. 45–77, Feb. 2019, doi:</w:t>
      </w:r>
      <w:r>
        <w:t xml:space="preserve"> </w:t>
      </w:r>
      <w:hyperlink r:id="rId57">
        <w:r>
          <w:rPr>
            <w:rStyle w:val="Hyperlink"/>
          </w:rPr>
          <w:t xml:space="preserve">10.1145/3317287.3328534</w:t>
        </w:r>
      </w:hyperlink>
      <w:r>
        <w:t xml:space="preserve">.</w:t>
      </w:r>
    </w:p>
    <w:bookmarkEnd w:id="58"/>
    <w:bookmarkStart w:id="60" w:name="ref-pineau202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Pineau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“Improving reproducibility in machine learning research (a report from the</w:t>
      </w:r>
      <w:r>
        <w:t xml:space="preserve"> </w:t>
      </w:r>
      <w:r>
        <w:t xml:space="preserve">NeurIPS</w:t>
      </w:r>
      <w:r>
        <w:t xml:space="preserve"> </w:t>
      </w:r>
      <w:r>
        <w:t xml:space="preserve">2019 reproducibility program),”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22, no. 164, pp. 1–20, 2021, Available:</w:t>
      </w:r>
      <w:r>
        <w:t xml:space="preserve"> </w:t>
      </w:r>
      <w:hyperlink r:id="rId59">
        <w:r>
          <w:rPr>
            <w:rStyle w:val="Hyperlink"/>
          </w:rPr>
          <w:t xml:space="preserve">https://jmlr.org/papers/v22/20-303.html</w:t>
        </w:r>
      </w:hyperlink>
    </w:p>
    <w:bookmarkEnd w:id="60"/>
    <w:bookmarkStart w:id="62" w:name="ref-heil202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J. Heil, M. M. Hoffman, F. Markowetz, S.-I. Lee, C. S. Greene, and S. C. Hicks,</w:t>
      </w:r>
      <w:r>
        <w:t xml:space="preserve"> </w:t>
      </w:r>
      <w:r>
        <w:t xml:space="preserve">“Reproducibility standards for machine learning in the life sciences,”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, vol. 18, no. 10, pp. 1132–1135, Aug. 2021, doi:</w:t>
      </w:r>
      <w:r>
        <w:t xml:space="preserve"> </w:t>
      </w:r>
      <w:hyperlink r:id="rId61">
        <w:r>
          <w:rPr>
            <w:rStyle w:val="Hyperlink"/>
          </w:rPr>
          <w:t xml:space="preserve">10.1038/s41592-021-01256-7</w:t>
        </w:r>
      </w:hyperlink>
      <w:r>
        <w:t xml:space="preserve">.</w:t>
      </w:r>
    </w:p>
    <w:bookmarkEnd w:id="62"/>
    <w:bookmarkStart w:id="64" w:name="ref-wilkinson201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M. D. Wilkinson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FAIR guiding principles for scientific data management and stewardship,”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 3, no. 1, Mar. 2016, doi:</w:t>
      </w:r>
      <w:r>
        <w:t xml:space="preserve"> </w:t>
      </w:r>
      <w:hyperlink r:id="rId63">
        <w:r>
          <w:rPr>
            <w:rStyle w:val="Hyperlink"/>
          </w:rPr>
          <w:t xml:space="preserve">10.1038/sdata.2016.18</w:t>
        </w:r>
      </w:hyperlink>
      <w:r>
        <w:t xml:space="preserve">.</w:t>
      </w:r>
    </w:p>
    <w:bookmarkEnd w:id="64"/>
    <w:bookmarkStart w:id="66" w:name="ref-rule2019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A. Rule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“Ten simple rules for writing and sharing computational analyses in jupyter notebooks,”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 vol. 15, no. 7, p. e1007007, Jul. 2019, doi:</w:t>
      </w:r>
      <w:r>
        <w:t xml:space="preserve"> </w:t>
      </w:r>
      <w:hyperlink r:id="rId65">
        <w:r>
          <w:rPr>
            <w:rStyle w:val="Hyperlink"/>
          </w:rPr>
          <w:t xml:space="preserve">10.1371/journal.pcbi.1007007</w:t>
        </w:r>
      </w:hyperlink>
      <w:r>
        <w:t xml:space="preserve">.</w:t>
      </w:r>
    </w:p>
    <w:bookmarkEnd w:id="66"/>
    <w:bookmarkStart w:id="68" w:name="ref-pimentel201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F. Pimentel, L. Murta, V. Braganholo, and J. Freire,</w:t>
      </w:r>
      <w:r>
        <w:t xml:space="preserve"> </w:t>
      </w:r>
      <w:r>
        <w:t xml:space="preserve">“A large-scale study about quality and reproducibility of jupyter notebooks,”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2019 IEEE/ACM 16th international conference on mining software repositories (MSR)</w:t>
      </w:r>
      <w:r>
        <w:t xml:space="preserve">, IEEE, May 2019, pp. 507–517. doi:</w:t>
      </w:r>
      <w:r>
        <w:t xml:space="preserve"> </w:t>
      </w:r>
      <w:hyperlink r:id="rId67">
        <w:r>
          <w:rPr>
            <w:rStyle w:val="Hyperlink"/>
          </w:rPr>
          <w:t xml:space="preserve">10.1109/msr.2019.00077</w:t>
        </w:r>
      </w:hyperlink>
      <w:r>
        <w:t xml:space="preserve">.</w:t>
      </w:r>
    </w:p>
    <w:bookmarkEnd w:id="68"/>
    <w:bookmarkStart w:id="70" w:name="ref-nuijten2016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M. B. Nuijten, C. H. J. Hartgerink, M. A. L. M. van Assen, S. Epskamp, and J. M. Wicherts,</w:t>
      </w:r>
      <w:r>
        <w:t xml:space="preserve"> </w:t>
      </w:r>
      <w:r>
        <w:t xml:space="preserve">“The prevalence of statistical reporting errors in psychology (1985–2013),”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 vol. 48, no. 4, pp. 1205–1226, Oct. 2015, doi:</w:t>
      </w:r>
      <w:r>
        <w:t xml:space="preserve"> </w:t>
      </w:r>
      <w:hyperlink r:id="rId69">
        <w:r>
          <w:rPr>
            <w:rStyle w:val="Hyperlink"/>
          </w:rPr>
          <w:t xml:space="preserve">10.3758/s13428-015-0664-2</w:t>
        </w:r>
      </w:hyperlink>
      <w:r>
        <w:t xml:space="preserve">.</w:t>
      </w:r>
    </w:p>
    <w:bookmarkEnd w:id="70"/>
    <w:bookmarkStart w:id="72" w:name="ref-brown2017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N. J. L. Brown and J. A. J. Heathers,</w:t>
      </w:r>
      <w:r>
        <w:t xml:space="preserve"> </w:t>
      </w:r>
      <w:r>
        <w:t xml:space="preserve">“The GRIM test: A simple technique detects numerous anomalies in the reporting of results in psychology,”</w:t>
      </w:r>
      <w:r>
        <w:t xml:space="preserve"> </w:t>
      </w:r>
      <w:r>
        <w:rPr>
          <w:i/>
          <w:iCs/>
        </w:rPr>
        <w:t xml:space="preserve">Social Psychological and Personality Science</w:t>
      </w:r>
      <w:r>
        <w:t xml:space="preserve">, vol. 8, no. 4, pp. 363–369, Oct. 2016, doi:</w:t>
      </w:r>
      <w:r>
        <w:t xml:space="preserve"> </w:t>
      </w:r>
      <w:hyperlink r:id="rId71">
        <w:r>
          <w:rPr>
            <w:rStyle w:val="Hyperlink"/>
          </w:rPr>
          <w:t xml:space="preserve">10.1177/1948550616673876</w:t>
        </w:r>
      </w:hyperlink>
      <w:r>
        <w:t xml:space="preserve">.</w:t>
      </w:r>
    </w:p>
    <w:bookmarkEnd w:id="72"/>
    <w:bookmarkStart w:id="74" w:name="ref-knuth1984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E. Knuth,</w:t>
      </w:r>
      <w:r>
        <w:t xml:space="preserve"> </w:t>
      </w:r>
      <w:r>
        <w:t xml:space="preserve">“Literate programming,”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, vol. 27, no. 2, pp. 97–111, Feb. 1984, doi:</w:t>
      </w:r>
      <w:r>
        <w:t xml:space="preserve"> </w:t>
      </w:r>
      <w:hyperlink r:id="rId73">
        <w:r>
          <w:rPr>
            <w:rStyle w:val="Hyperlink"/>
          </w:rPr>
          <w:t xml:space="preserve">10.1093/comjnl/27.2.97</w:t>
        </w:r>
      </w:hyperlink>
      <w:r>
        <w:t xml:space="preserve">.</w:t>
      </w:r>
    </w:p>
    <w:bookmarkEnd w:id="74"/>
    <w:bookmarkStart w:id="76" w:name="ref-leisch2002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F. Leisch,</w:t>
      </w:r>
      <w:r>
        <w:t xml:space="preserve"> </w:t>
      </w:r>
      <w:r>
        <w:t xml:space="preserve">“Sweave: Dynamic generation of statistical reports using literate data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Compstat</w:t>
      </w:r>
      <w:r>
        <w:t xml:space="preserve">, Physica-Verlag HD, 2002, pp. 575–580. doi:</w:t>
      </w:r>
      <w:r>
        <w:t xml:space="preserve"> </w:t>
      </w:r>
      <w:hyperlink r:id="rId75">
        <w:r>
          <w:rPr>
            <w:rStyle w:val="Hyperlink"/>
          </w:rPr>
          <w:t xml:space="preserve">10.1007/978-3-642-57489-4_89</w:t>
        </w:r>
      </w:hyperlink>
      <w:r>
        <w:t xml:space="preserve">.</w:t>
      </w:r>
    </w:p>
    <w:bookmarkEnd w:id="76"/>
    <w:bookmarkStart w:id="78" w:name="ref-gentleman2007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Gentleman and D. Temple Lang,</w:t>
      </w:r>
      <w:r>
        <w:t xml:space="preserve"> </w:t>
      </w:r>
      <w:r>
        <w:t xml:space="preserve">“Statistical analyses and reproducible research,”</w:t>
      </w:r>
      <w:r>
        <w:t xml:space="preserve"> </w:t>
      </w:r>
      <w:r>
        <w:rPr>
          <w:i/>
          <w:iCs/>
        </w:rPr>
        <w:t xml:space="preserve">Journal of Computational and Graphical Statistics</w:t>
      </w:r>
      <w:r>
        <w:t xml:space="preserve">, vol. 16, no. 1, pp. 1–23, Mar. 2007, doi:</w:t>
      </w:r>
      <w:r>
        <w:t xml:space="preserve"> </w:t>
      </w:r>
      <w:hyperlink r:id="rId77">
        <w:r>
          <w:rPr>
            <w:rStyle w:val="Hyperlink"/>
          </w:rPr>
          <w:t xml:space="preserve">10.1198/106186007x178663</w:t>
        </w:r>
      </w:hyperlink>
      <w:r>
        <w:t xml:space="preserve">.</w:t>
      </w:r>
    </w:p>
    <w:bookmarkEnd w:id="78"/>
    <w:bookmarkEnd w:id="79"/>
    <w:bookmarkEnd w:id="80"/>
    <w:sectPr>
      <w:pgSz w:w="12240" w:h="15840"/>
      <w:pgMar w:top="1418" w:right="1418" w:bottom="1418" w:left="1418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Times New Roman" w:val="en-US"/>
      </w:rPr>
    </w:rPrDefault>
    <w:pPrDefault>
      <w:pPr>
        <w:spacing w:before="0" w:after="1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before="0" w:after="10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before="0" w:after="0" w:line="36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="Times New Roman" w:hAnsi="Times New Roman" w:eastAsia="Times New Roman" w:cs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 w:line="360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 w:line="360" w:lineRule="auto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9" Target="media/rId29.png" /><Relationship Type="http://schemas.openxmlformats.org/officeDocument/2006/relationships/hyperlink" Id="rId75" Target="https://doi.org/10.1007/978-3-642-57489-4_89" TargetMode="External" /><Relationship Type="http://schemas.openxmlformats.org/officeDocument/2006/relationships/hyperlink" Id="rId55" Target="https://doi.org/10.1016/j.patter.2023.100804" TargetMode="External" /><Relationship Type="http://schemas.openxmlformats.org/officeDocument/2006/relationships/hyperlink" Id="rId53" Target="https://doi.org/10.1038/533452a" TargetMode="External" /><Relationship Type="http://schemas.openxmlformats.org/officeDocument/2006/relationships/hyperlink" Id="rId61" Target="https://doi.org/10.1038/s41592-021-01256-7" TargetMode="External" /><Relationship Type="http://schemas.openxmlformats.org/officeDocument/2006/relationships/hyperlink" Id="rId63" Target="https://doi.org/10.1038/sdata.2016.18" TargetMode="External" /><Relationship Type="http://schemas.openxmlformats.org/officeDocument/2006/relationships/hyperlink" Id="rId73" Target="https://doi.org/10.1093/comjnl/27.2.97" TargetMode="External" /><Relationship Type="http://schemas.openxmlformats.org/officeDocument/2006/relationships/hyperlink" Id="rId67" Target="https://doi.org/10.1109/msr.2019.00077" TargetMode="External" /><Relationship Type="http://schemas.openxmlformats.org/officeDocument/2006/relationships/hyperlink" Id="rId41" Target="https://doi.org/10.1126/science.1213847" TargetMode="External" /><Relationship Type="http://schemas.openxmlformats.org/officeDocument/2006/relationships/hyperlink" Id="rId47" Target="https://doi.org/10.1126/science.359.6377.725" TargetMode="External" /><Relationship Type="http://schemas.openxmlformats.org/officeDocument/2006/relationships/hyperlink" Id="rId45" Target="https://doi.org/10.1126/science.aah6168" TargetMode="External" /><Relationship Type="http://schemas.openxmlformats.org/officeDocument/2006/relationships/hyperlink" Id="rId57" Target="https://doi.org/10.1145/3317287.3328534" TargetMode="External" /><Relationship Type="http://schemas.openxmlformats.org/officeDocument/2006/relationships/hyperlink" Id="rId71" Target="https://doi.org/10.1177/1948550616673876" TargetMode="External" /><Relationship Type="http://schemas.openxmlformats.org/officeDocument/2006/relationships/hyperlink" Id="rId77" Target="https://doi.org/10.1198/106186007x178663" TargetMode="External" /><Relationship Type="http://schemas.openxmlformats.org/officeDocument/2006/relationships/hyperlink" Id="rId43" Target="https://doi.org/10.1371/journal.pcbi.1003285" TargetMode="External" /><Relationship Type="http://schemas.openxmlformats.org/officeDocument/2006/relationships/hyperlink" Id="rId65" Target="https://doi.org/10.1371/journal.pcbi.1007007" TargetMode="External" /><Relationship Type="http://schemas.openxmlformats.org/officeDocument/2006/relationships/hyperlink" Id="rId49" Target="https://doi.org/10.1609/aaai.v32i1.11503" TargetMode="External" /><Relationship Type="http://schemas.openxmlformats.org/officeDocument/2006/relationships/hyperlink" Id="rId51" Target="https://doi.org/10.1609/aaai.v32i1.11694" TargetMode="External" /><Relationship Type="http://schemas.openxmlformats.org/officeDocument/2006/relationships/hyperlink" Id="rId69" Target="https://doi.org/10.3758/s13428-015-0664-2" TargetMode="External" /><Relationship Type="http://schemas.openxmlformats.org/officeDocument/2006/relationships/hyperlink" Id="rId39" Target="https://doi.org/10.5281/zenodo.23111684" TargetMode="External" /><Relationship Type="http://schemas.openxmlformats.org/officeDocument/2006/relationships/hyperlink" Id="rId38" Target="https://github.com/jonnabio/xai-eval-framework" TargetMode="External" /><Relationship Type="http://schemas.openxmlformats.org/officeDocument/2006/relationships/hyperlink" Id="rId59" Target="https://jmlr.org/papers/v22/20-30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3-642-57489-4_89" TargetMode="External" /><Relationship Type="http://schemas.openxmlformats.org/officeDocument/2006/relationships/hyperlink" Id="rId55" Target="https://doi.org/10.1016/j.patter.2023.100804" TargetMode="External" /><Relationship Type="http://schemas.openxmlformats.org/officeDocument/2006/relationships/hyperlink" Id="rId53" Target="https://doi.org/10.1038/533452a" TargetMode="External" /><Relationship Type="http://schemas.openxmlformats.org/officeDocument/2006/relationships/hyperlink" Id="rId61" Target="https://doi.org/10.1038/s41592-021-01256-7" TargetMode="External" /><Relationship Type="http://schemas.openxmlformats.org/officeDocument/2006/relationships/hyperlink" Id="rId63" Target="https://doi.org/10.1038/sdata.2016.18" TargetMode="External" /><Relationship Type="http://schemas.openxmlformats.org/officeDocument/2006/relationships/hyperlink" Id="rId73" Target="https://doi.org/10.1093/comjnl/27.2.97" TargetMode="External" /><Relationship Type="http://schemas.openxmlformats.org/officeDocument/2006/relationships/hyperlink" Id="rId67" Target="https://doi.org/10.1109/msr.2019.00077" TargetMode="External" /><Relationship Type="http://schemas.openxmlformats.org/officeDocument/2006/relationships/hyperlink" Id="rId41" Target="https://doi.org/10.1126/science.1213847" TargetMode="External" /><Relationship Type="http://schemas.openxmlformats.org/officeDocument/2006/relationships/hyperlink" Id="rId47" Target="https://doi.org/10.1126/science.359.6377.725" TargetMode="External" /><Relationship Type="http://schemas.openxmlformats.org/officeDocument/2006/relationships/hyperlink" Id="rId45" Target="https://doi.org/10.1126/science.aah6168" TargetMode="External" /><Relationship Type="http://schemas.openxmlformats.org/officeDocument/2006/relationships/hyperlink" Id="rId57" Target="https://doi.org/10.1145/3317287.3328534" TargetMode="External" /><Relationship Type="http://schemas.openxmlformats.org/officeDocument/2006/relationships/hyperlink" Id="rId71" Target="https://doi.org/10.1177/1948550616673876" TargetMode="External" /><Relationship Type="http://schemas.openxmlformats.org/officeDocument/2006/relationships/hyperlink" Id="rId77" Target="https://doi.org/10.1198/106186007x178663" TargetMode="External" /><Relationship Type="http://schemas.openxmlformats.org/officeDocument/2006/relationships/hyperlink" Id="rId43" Target="https://doi.org/10.1371/journal.pcbi.1003285" TargetMode="External" /><Relationship Type="http://schemas.openxmlformats.org/officeDocument/2006/relationships/hyperlink" Id="rId65" Target="https://doi.org/10.1371/journal.pcbi.1007007" TargetMode="External" /><Relationship Type="http://schemas.openxmlformats.org/officeDocument/2006/relationships/hyperlink" Id="rId49" Target="https://doi.org/10.1609/aaai.v32i1.11503" TargetMode="External" /><Relationship Type="http://schemas.openxmlformats.org/officeDocument/2006/relationships/hyperlink" Id="rId51" Target="https://doi.org/10.1609/aaai.v32i1.11694" TargetMode="External" /><Relationship Type="http://schemas.openxmlformats.org/officeDocument/2006/relationships/hyperlink" Id="rId69" Target="https://doi.org/10.3758/s13428-015-0664-2" TargetMode="External" /><Relationship Type="http://schemas.openxmlformats.org/officeDocument/2006/relationships/hyperlink" Id="rId39" Target="https://doi.org/10.5281/zenodo.23111684" TargetMode="External" /><Relationship Type="http://schemas.openxmlformats.org/officeDocument/2006/relationships/hyperlink" Id="rId38" Target="https://github.com/jonnabio/xai-eval-framework" TargetMode="External" /><Relationship Type="http://schemas.openxmlformats.org/officeDocument/2006/relationships/hyperlink" Id="rId59" Target="https://jmlr.org/papers/v22/20-30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2026-10-03T13:49:31Z</dcterms:created>
  <dcterms:modified xsi:type="dcterms:W3CDTF">2026-10-03T13:49:31Z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</Properties>
</file>