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3.png" ContentType="image/png"/>
  <Override PartName="/word/media/rId139.png" ContentType="image/png"/>
  <Override PartName="/word/media/rId135.png" ContentType="image/png"/>
  <Override PartName="/word/media/rId131.png" ContentType="image/png"/>
  <Override PartName="/word/media/rId147.png" ContentType="image/png"/>
  <Override PartName="/word/media/rId127.png" ContentType="image/png"/>
  <Override PartName="/word/media/rId151.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Title"/>
        <w:spacing w:line="360" w:lineRule="auto"/>
        <w:jc w:val="both"/>
      </w:pPr>
      <w:r>
        <w:t xml:space="preserve">Marco para la Evaluación Multinivel de la Explicabilidad en IA</w:t>
      </w:r>
    </w:p>
    <w:p>
      <w:pPr>
        <w:pStyle w:val="Subtitle"/>
        <w:spacing w:line="360" w:lineRule="auto"/>
        <w:jc w:val="both"/>
      </w:pPr>
      <w:r>
        <w:t xml:space="preserve">Integración de Benchmarking Técnico, Protocolo Reproducible (FOM-7) y Taxonomía de Métricas</w:t>
      </w:r>
    </w:p>
    <w:p>
      <w:pPr>
        <w:pStyle w:val="Author"/>
        <w:spacing w:line="360" w:lineRule="auto"/>
        <w:jc w:val="both"/>
      </w:pPr>
      <w:r>
        <w:t xml:space="preserve">J. Herrera</w:t>
      </w:r>
    </w:p>
    <w:p>
      <w:pPr>
        <w:pStyle w:val="Date"/>
        <w:spacing w:line="360" w:lineRule="auto"/>
        <w:jc w:val="both"/>
      </w:pPr>
      <w:r>
        <w:t xml:space="preserve">2026-04-19</w:t>
      </w:r>
    </w:p>
    <w:sdt>
      <w:sdtPr>
        <w:docPartObj>
          <w:docPartGallery w:val="Table of Contents"/>
          <w:docPartUnique/>
        </w:docPartObj>
      </w:sdtPr>
      <w:sdtContent>
        <w:p>
          <w:pPr>
            <w:pStyle w:val="TtulodeTDC"/>
            <w:spacing w:line="360" w:lineRule="auto"/>
            <w:jc w:val="both"/>
          </w:pPr>
          <w:r>
            <w:t xml:space="preserve">Table of contents</w:t>
          </w:r>
        </w:p>
        <w:p>
          <w:pPr>
            <w:spacing w:line="360" w:lineRule="auto"/>
            <w:jc w:val="both"/>
          </w:pPr>
          <w:r>
            <w:fldChar w:fldCharType="begin" w:dirty="true"/>
            <w:instrText xml:space="preserve">TOC \o "1-3" \h \z \u</w:instrText>
            <w:fldChar w:fldCharType="separate"/>
            <w:fldChar w:fldCharType="end"/>
          </w:r>
        </w:p>
      </w:sdtContent>
    </w:sdt>
    <w:bookmarkStart w:id="25" w:name="X9879de00516a950326abd0572f192803626eb50"/>
    <w:p>
      <w:pPr>
        <w:pStyle w:val="Ttulo1"/>
        <w:spacing w:line="360" w:lineRule="auto"/>
        <w:jc w:val="both"/>
      </w:pPr>
      <w:r>
        <w:t xml:space="preserve">Marco para la Evaluación Multinivel de la Explicabilidad en IA</w:t>
      </w:r>
    </w:p>
    <w:p>
      <w:pPr>
        <w:pStyle w:val="FirstParagraph"/>
        <w:spacing w:line="360" w:lineRule="auto"/>
        <w:jc w:val="both"/>
      </w:pPr>
      <w:r>
        <w:t xml:space="preserve">Integración de Benchmarking Técnico, Protocolo Reproducible (FOM-7) y</w:t>
      </w:r>
      <w:r>
        <w:t xml:space="preserve"> </w:t>
      </w:r>
      <w:r>
        <w:t xml:space="preserve">Taxonomía de Métricas</w:t>
      </w:r>
    </w:p>
    <w:p>
      <w:pPr>
        <w:pStyle w:val="Textoindependiente"/>
        <w:spacing w:line="360" w:lineRule="auto"/>
        <w:jc w:val="both"/>
      </w:pPr>
      <w:r>
        <w:br/>
      </w:r>
    </w:p>
    <w:bookmarkEnd w:id="25"/>
    <w:bookmarkStart w:id="26"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and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w:t>
      </w:r>
      <w:r>
        <w:t xml:space="preserve"> </w:t>
      </w:r>
      <w:r>
        <w:t xml:space="preserve">y 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 conjunto</w:t>
      </w:r>
      <w:r>
        <w:t xml:space="preserve"> </w:t>
      </w:r>
      <w:r>
        <w:t xml:space="preserve">de datos, el diseño factorial, la operacionalización de métricas, el análisis de</w:t>
      </w:r>
      <w:r>
        <w:t xml:space="preserve"> </w:t>
      </w:r>
      <w:r>
        <w:t xml:space="preserve">cobertura y el plan de inferencia estadística. El</w:t>
      </w:r>
      <w:r>
        <w:t xml:space="preserve"> </w:t>
      </w:r>
      <w:r>
        <w:rPr>
          <w:b/>
          <w:bCs/>
        </w:rPr>
        <w:t xml:space="preserve">Capítulo 4</w:t>
      </w:r>
      <w:r>
        <w:t xml:space="preserve"> </w:t>
      </w:r>
      <w:r>
        <w:t xml:space="preserve">expone y</w:t>
      </w:r>
      <w:r>
        <w:t xml:space="preserve"> </w:t>
      </w:r>
      <w:r>
        <w:t xml:space="preserve">discute los resultados empíricos de los Estudios A y B, con plena trazabilidad</w:t>
      </w:r>
      <w:r>
        <w:t xml:space="preserve"> </w:t>
      </w:r>
      <w:r>
        <w:t xml:space="preserve">de afirmaciones. El</w:t>
      </w:r>
      <w:r>
        <w:t xml:space="preserve"> </w:t>
      </w:r>
      <w:r>
        <w:rPr>
          <w:b/>
          <w:bCs/>
        </w:rPr>
        <w:t xml:space="preserve">Capítulo 5</w:t>
      </w:r>
      <w:r>
        <w:t xml:space="preserve"> </w:t>
      </w:r>
      <w:r>
        <w:t xml:space="preserve">desarrolla la taxonomía de métricas XAI como</w:t>
      </w:r>
      <w:r>
        <w:t xml:space="preserve"> </w:t>
      </w:r>
      <w:r>
        <w:t xml:space="preserve">contribución teórica autónoma. El</w:t>
      </w:r>
      <w:r>
        <w:t xml:space="preserve"> </w:t>
      </w:r>
      <w:r>
        <w:rPr>
          <w:b/>
          <w:bCs/>
        </w:rPr>
        <w:t xml:space="preserve">Capítulo 6</w:t>
      </w:r>
      <w:r>
        <w:t xml:space="preserve"> </w:t>
      </w:r>
      <w:r>
        <w:t xml:space="preserve">sintetiza las conclusiones,</w:t>
      </w:r>
      <w:r>
        <w:t xml:space="preserve"> </w:t>
      </w:r>
      <w:r>
        <w:t xml:space="preserve">separa las contribuciones de la literatura previa, reconoce las limitaciones y</w:t>
      </w:r>
      <w:r>
        <w:t xml:space="preserve"> </w:t>
      </w:r>
      <w:r>
        <w:t xml:space="preserve">propone líneas de investigación futura. Los apéndices documentan los datos,</w:t>
      </w:r>
      <w:r>
        <w:t xml:space="preserve"> </w:t>
      </w:r>
      <w:r>
        <w:t xml:space="preserve">modelos, configuraciones, salidas estadísticas y entorno de reproducción.</w:t>
      </w:r>
    </w:p>
    <w:bookmarkEnd w:id="28"/>
    <w:bookmarkStart w:id="43" w:name="X13574bcfb14bbd4e095f2c559ff6b33999e5b97"/>
    <w:p>
      <w:pPr>
        <w:pStyle w:val="Ttulo1"/>
        <w:spacing w:line="360" w:lineRule="auto"/>
        <w:jc w:val="both"/>
      </w:pP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spacing w:line="360" w:lineRule="auto"/>
        <w:jc w:val="both"/>
      </w:pP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2019a;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and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spacing w:line="360" w:lineRule="auto"/>
        <w:jc w:val="both"/>
      </w:pP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bookmarkEnd w:id="30"/>
    <w:bookmarkStart w:id="34" w:name="objetivos-e-hipótesis"/>
    <w:p>
      <w:pPr>
        <w:pStyle w:val="Ttulo2"/>
        <w:spacing w:line="360" w:lineRule="auto"/>
        <w:jc w:val="both"/>
      </w:pPr>
      <w:r>
        <w:t xml:space="preserve">Objetivos e hipótesis</w:t>
      </w:r>
    </w:p>
    <w:bookmarkStart w:id="31" w:name="objetivo-general"/>
    <w:p>
      <w:pPr>
        <w:pStyle w:val="Ttulo3"/>
        <w:spacing w:line="360" w:lineRule="auto"/>
        <w:jc w:val="both"/>
      </w:pP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spacing w:line="360" w:lineRule="auto"/>
        <w:jc w:val="both"/>
      </w:pP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 Kohavi and Becker 1996; Abdul Kadir et al. 2023; Bhattacharya and Verbert 2024)</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 de</w:t>
      </w:r>
      <w:r>
        <w:t xml:space="preserve"> </w:t>
      </w:r>
      <w:r>
        <w:t xml:space="preserve">determinar si dicho instrumento alcanza la convergencia necesaria para</w:t>
      </w:r>
      <w:r>
        <w:t xml:space="preserve"> </w:t>
      </w:r>
      <w:r>
        <w:t xml:space="preserve">sostener afirmaciones confirmativas. Este objetivo se deriva de la Brecha 3</w:t>
      </w:r>
      <w:r>
        <w:t xml:space="preserve"> </w:t>
      </w:r>
      <w:r>
        <w:t xml:space="preserve">identificada por la taxonomía del Capítulo 5 y, a diferencia de los objetivos</w:t>
      </w:r>
      <w:r>
        <w:t xml:space="preserve"> </w:t>
      </w:r>
      <w:r>
        <w:t xml:space="preserve">1–5, se formuló una vez construida esa taxonomía; su alcance es por tanto</w:t>
      </w:r>
      <w:r>
        <w:t xml:space="preserve"> </w:t>
      </w:r>
      <w:r>
        <w:t xml:space="preserve">exploratorio y de calibración instrumental, no confirmativo</w:t>
      </w:r>
      <w:r>
        <w:t xml:space="preserve"> </w:t>
      </w:r>
      <w:r>
        <w:t xml:space="preserve">(Koo and Li 2016; Bhattacharya and Verbert 2024)</w:t>
      </w:r>
      <w:r>
        <w:t xml:space="preserve">.</w:t>
      </w:r>
    </w:p>
    <w:bookmarkEnd w:id="32"/>
    <w:bookmarkStart w:id="33" w:name="hipótesis-o-proposiciones-de-trabajo"/>
    <w:p>
      <w:pPr>
        <w:pStyle w:val="Ttulo3"/>
        <w:spacing w:line="360" w:lineRule="auto"/>
        <w:jc w:val="both"/>
      </w:pP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and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 La proposición se 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 la</w:t>
      </w:r>
      <w:r>
        <w:t xml:space="preserve"> </w:t>
      </w:r>
      <w:r>
        <w:t xml:space="preserve">taxonomía del Capítulo 5 identificó la Brecha 3 —la evaluación semántica crece</w:t>
      </w:r>
      <w:r>
        <w:t xml:space="preserve"> </w:t>
      </w:r>
      <w:r>
        <w:t xml:space="preserve">más rápido que su base de validación empírica— y su función es calibrar un</w:t>
      </w:r>
      <w:r>
        <w:t xml:space="preserve"> </w:t>
      </w:r>
      <w:r>
        <w:rPr>
          <w:i/>
          <w:iCs/>
        </w:rPr>
        <w:t xml:space="preserve">instrumento de medida</w:t>
      </w:r>
      <w:r>
        <w:t xml:space="preserve">, no evaluar los métodos explicadores. Esta distinción se</w:t>
      </w:r>
      <w:r>
        <w:t xml:space="preserve"> </w:t>
      </w:r>
      <w:r>
        <w:t xml:space="preserve">declara aquí de forma explícita, y no</w:t>
      </w:r>
      <w:r>
        <w:t xml:space="preserve"> </w:t>
      </w:r>
      <w:r>
        <w:rPr>
          <w:i/>
          <w:iCs/>
        </w:rPr>
        <w:t xml:space="preserve">a posteriori</w:t>
      </w:r>
      <w:r>
        <w:t xml:space="preserve">, porque el propio protocolo</w:t>
      </w:r>
      <w:r>
        <w:t xml:space="preserve"> </w:t>
      </w:r>
      <w:r>
        <w:t xml:space="preserve">que esta tesis propone exige que el alcance inferencial admisible de cada</w:t>
      </w:r>
      <w:r>
        <w:t xml:space="preserve"> </w:t>
      </w:r>
      <w:r>
        <w:t xml:space="preserve">afirmación sea declarado junto con la afirmación misma: presentar P2 como si</w:t>
      </w:r>
      <w:r>
        <w:t xml:space="preserve"> </w:t>
      </w:r>
      <w:r>
        <w:t xml:space="preserve">hubiera sido preespecificada junto a H1–H3 sería precisamente el modo de fallo</w:t>
      </w:r>
      <w:r>
        <w:t xml:space="preserve"> </w:t>
      </w:r>
      <w:r>
        <w:t xml:space="preserve">que la puerta 7 está diseñada para impedir. En consecuencia, el resultado de P2</w:t>
      </w:r>
      <w:r>
        <w:t xml:space="preserve"> </w:t>
      </w:r>
      <w:r>
        <w:t xml:space="preserve">—cualquiera que sea— no modifica las conclusiones confirmativas de los Estudios A</w:t>
      </w:r>
      <w:r>
        <w:t xml:space="preserve"> </w:t>
      </w:r>
      <w:r>
        <w:t xml:space="preserve">y B, y se reporta como evidencia de calibración del instrumento semántico</w:t>
      </w:r>
      <w:r>
        <w:t xml:space="preserve"> </w:t>
      </w:r>
      <w:r>
        <w:t xml:space="preserve">(Capítulos 3, 5 y 6).</w:t>
      </w:r>
    </w:p>
    <w:bookmarkEnd w:id="33"/>
    <w:bookmarkEnd w:id="34"/>
    <w:bookmarkStart w:id="42" w:name="metodología-general-de-la-investigación"/>
    <w:p>
      <w:pPr>
        <w:pStyle w:val="Ttulo2"/>
        <w:spacing w:line="360" w:lineRule="auto"/>
        <w:jc w:val="both"/>
      </w:pPr>
      <w:r>
        <w:t xml:space="preserve">Metodología general de la investigación</w:t>
      </w:r>
    </w:p>
    <w:bookmarkStart w:id="35" w:name="enfoque"/>
    <w:p>
      <w:pPr>
        <w:pStyle w:val="Ttulo3"/>
        <w:spacing w:line="360" w:lineRule="auto"/>
        <w:jc w:val="both"/>
      </w:pP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spacing w:line="360" w:lineRule="auto"/>
        <w:jc w:val="both"/>
      </w:pPr>
      <w:r>
        <w:t xml:space="preserve">Tipo de investigación</w:t>
      </w:r>
    </w:p>
    <w:p>
      <w:pPr>
        <w:pStyle w:val="FirstParagraph"/>
        <w:spacing w:line="360" w:lineRule="auto"/>
        <w:jc w:val="both"/>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spacing w:line="360" w:lineRule="auto"/>
        <w:jc w:val="both"/>
      </w:pP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and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spacing w:line="360" w:lineRule="auto"/>
        <w:jc w:val="both"/>
      </w:pP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A)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spacing w:line="360" w:lineRule="auto"/>
        <w:jc w:val="both"/>
      </w:pP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análisis pareado del Estudio B.</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spacing w:line="360" w:lineRule="auto"/>
        <w:jc w:val="both"/>
      </w:pP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spacing w:line="360" w:lineRule="auto"/>
        <w:jc w:val="both"/>
      </w:pP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9" w:name="X5df853d312351836bad75f10c25fdcfe7ebc358"/>
    <w:p>
      <w:pPr>
        <w:pStyle w:val="Ttulo1"/>
        <w:spacing w:line="360" w:lineRule="auto"/>
        <w:jc w:val="both"/>
      </w:pPr>
      <w:r>
        <w:t xml:space="preserve">Marco teórico específico / fundamentos conceptuales</w:t>
      </w:r>
    </w:p>
    <w:bookmarkStart w:id="44" w:name="propósito-del-capítulo"/>
    <w:p>
      <w:pPr>
        <w:pStyle w:val="Ttulo2"/>
        <w:spacing w:line="360" w:lineRule="auto"/>
        <w:jc w:val="both"/>
      </w:pP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4"/>
    <w:bookmarkStart w:id="45" w:name="Xe6760546a452d6306b93a783545f3c51ee07c22"/>
    <w:p>
      <w:pPr>
        <w:pStyle w:val="Ttulo2"/>
        <w:spacing w:line="360" w:lineRule="auto"/>
        <w:jc w:val="both"/>
      </w:pP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2019a)</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2019a;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2019a;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2019a)</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2019a; Hedström et al. 2023)</w:t>
      </w:r>
      <w:r>
        <w:t xml:space="preserve">.</w:t>
      </w:r>
    </w:p>
    <w:p>
      <w:pPr>
        <w:pStyle w:val="Textoindependiente"/>
        <w:spacing w:line="360" w:lineRule="auto"/>
        <w:jc w:val="both"/>
      </w:pPr>
      <w:r>
        <w:t xml:space="preserve">La literatura también distingue métodos agnósticos y específicos del modelo</w:t>
      </w:r>
      <w:r>
        <w:t xml:space="preserve"> </w:t>
      </w:r>
      <w:r>
        <w:t xml:space="preserve">(Arrieta 2019a;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2019a;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2019a;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5"/>
    <w:bookmarkStart w:id="46" w:name="distinciones-conceptuales-fundamentales"/>
    <w:p>
      <w:pPr>
        <w:pStyle w:val="Ttulo2"/>
        <w:spacing w:line="360" w:lineRule="auto"/>
        <w:jc w:val="both"/>
      </w:pP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2019a;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2019a;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6"/>
    <w:bookmarkStart w:id="51" w:name="Xa854bcdfe02171eee67e88340a3233edf48569f"/>
    <w:p>
      <w:pPr>
        <w:pStyle w:val="Ttulo2"/>
        <w:spacing w:line="360" w:lineRule="auto"/>
        <w:jc w:val="both"/>
      </w:pPr>
      <w:r>
        <w:t xml:space="preserve">Métodos de explicación evaluados en esta tesis</w:t>
      </w:r>
    </w:p>
    <w:bookmarkStart w:id="47" w:name="Xbbcfa782e2d35f160f8750f56befcd9ee8cf14e"/>
    <w:p>
      <w:pPr>
        <w:pStyle w:val="Ttulo3"/>
        <w:spacing w:line="360" w:lineRule="auto"/>
        <w:jc w:val="both"/>
      </w:pP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47"/>
    <w:bookmarkStart w:id="48" w:name="X187de0a2f0f332efaa60a19888eaffd7cc2e7b5"/>
    <w:p>
      <w:pPr>
        <w:pStyle w:val="Ttulo3"/>
        <w:spacing w:line="360" w:lineRule="auto"/>
        <w:jc w:val="both"/>
      </w:pP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(Lundberg 2017)</w:t>
      </w:r>
      <w:r>
        <w:t xml:space="preserve">. La predicción se</w:t>
      </w:r>
      <w:r>
        <w:t xml:space="preserve"> </w:t>
      </w:r>
      <w:r>
        <w:t xml:space="preserve">expresa como una suma de contribuciones atribuibles a cada característica, bajo</w:t>
      </w:r>
      <w:r>
        <w:t xml:space="preserve"> </w:t>
      </w:r>
      <w:r>
        <w:t xml:space="preserve">un conjunto de propiedades deseables para explicaciones aditivas.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48"/>
    <w:bookmarkStart w:id="49" w:name="X029215b3a63b0848a75a7aa70454b1144c0f31f"/>
    <w:p>
      <w:pPr>
        <w:pStyle w:val="Ttulo3"/>
        <w:spacing w:line="360" w:lineRule="auto"/>
        <w:jc w:val="both"/>
      </w:pP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49"/>
    <w:bookmarkStart w:id="50" w:name="Xd196f32f12fd1cc1850af93995e5a1615dfcb83"/>
    <w:p>
      <w:pPr>
        <w:pStyle w:val="Ttulo3"/>
        <w:spacing w:line="360" w:lineRule="auto"/>
        <w:jc w:val="both"/>
      </w:pP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0"/>
    <w:bookmarkEnd w:id="51"/>
    <w:bookmarkStart w:id="55" w:name="marcos-y-protocolos-de-evaluación-xai"/>
    <w:p>
      <w:pPr>
        <w:pStyle w:val="Ttulo2"/>
        <w:spacing w:line="360" w:lineRule="auto"/>
        <w:jc w:val="both"/>
      </w:pPr>
      <w:r>
        <w:t xml:space="preserve">Marcos y protocolos de evaluación XAI</w:t>
      </w:r>
    </w:p>
    <w:p>
      <w:pPr>
        <w:pStyle w:val="FirstParagraph"/>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and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Table 3.1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tblLayout w:type="fixed"/>
        <w:tblLook w:firstRow="0" w:lastRow="0" w:firstColumn="0" w:lastColumn="0" w:noHBand="0" w:noVBand="0" w:val="0000"/>
      </w:tblPr>
      <w:tblGrid>
        <w:gridCol w:w="7920"/>
      </w:tblGrid>
      <w:tr>
        <w:tc>
          <w:tcPr/>
          <w:bookmarkStart w:id="52" w:name="tbl-framework-comparison"/>
          <w:p>
            <w:pPr>
              <w:jc w:val="both"/>
              <w:spacing w:line="360" w:lineRule="auto"/>
            </w:pPr>
            <w:pPr>
              <w:jc w:val="left"/>
              <w:spacing w:before="200"/>
              <w:pStyle w:val="ImageCaption"/>
            </w:pPr>
            <w:r>
              <w:t xml:space="preserve">Table 3.1: Comparación de marcos de evaluación XAI según cobertura, reproducibilidad, gobernanza y tipo de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2"/>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and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and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3" w:name="X900f39c64f84f209bdf33df61ada6c5cfa8ef2d"/>
    <w:p>
      <w:pPr>
        <w:pStyle w:val="Ttulo3"/>
        <w:spacing w:line="360" w:lineRule="auto"/>
        <w:jc w:val="both"/>
      </w:pPr>
      <w:r>
        <w:t xml:space="preserve">Evaluación human-centered: usuarios, tareas y calidad explicativa</w:t>
      </w:r>
    </w:p>
    <w:p>
      <w:pPr>
        <w:pStyle w:val="FirstParagraph"/>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and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and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3"/>
    <w:bookmarkStart w:id="54" w:name="Xcb28a5da8e0ee4c37a7111d109b1f7262846e3e"/>
    <w:p>
      <w:pPr>
        <w:pStyle w:val="Ttulo3"/>
        <w:spacing w:line="360" w:lineRule="auto"/>
        <w:jc w:val="both"/>
      </w:pP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4"/>
    <w:bookmarkEnd w:id="55"/>
    <w:bookmarkStart w:id="56" w:name="X1ac049df9037bab7d9ddedb9eb6dfc246d0f001"/>
    <w:p>
      <w:pPr>
        <w:pStyle w:val="Ttulo2"/>
        <w:spacing w:line="360" w:lineRule="auto"/>
        <w:jc w:val="both"/>
      </w:pPr>
      <w:r>
        <w:t xml:space="preserve">Taxonomias de métricas y brechas de constructo</w:t>
      </w:r>
    </w:p>
    <w:p>
      <w:pPr>
        <w:pStyle w:val="FirstParagraph"/>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and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6"/>
    <w:bookmarkStart w:id="57" w:name="X56f8700cbeeed185eff27b2505360753d99a361"/>
    <w:p>
      <w:pPr>
        <w:pStyle w:val="Ttulo2"/>
        <w:spacing w:line="360" w:lineRule="auto"/>
        <w:jc w:val="both"/>
      </w:pP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57"/>
    <w:bookmarkStart w:id="58" w:name="síntesis-crítica-justificación-de-fom-7"/>
    <w:p>
      <w:pPr>
        <w:pStyle w:val="Ttulo2"/>
        <w:spacing w:line="360" w:lineRule="auto"/>
        <w:jc w:val="both"/>
      </w:pP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and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58"/>
    <w:bookmarkEnd w:id="59"/>
    <w:bookmarkStart w:id="102" w:name="marco-empírico-y-diseño-experimental"/>
    <w:p>
      <w:pPr>
        <w:pStyle w:val="Ttulo1"/>
        <w:spacing w:line="360" w:lineRule="auto"/>
        <w:jc w:val="both"/>
      </w:pP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(Estudio A, Paper A) y la comparación pareada enfocada entre LIME y SHAP</w:t>
      </w:r>
      <w:r>
        <w:t xml:space="preserve"> </w:t>
      </w:r>
      <w:r>
        <w:t xml:space="preserve">(Estudio B, Paper B). Ambos estudios comparten el mismo pipeline experimental,</w:t>
      </w:r>
      <w:r>
        <w:t xml:space="preserve"> </w:t>
      </w:r>
      <w:r>
        <w:t xml:space="preserve">el mismo conjunto de datos y los mismos artefactos de modelo, y se distinguen</w:t>
      </w:r>
      <w:r>
        <w:t xml:space="preserve"> </w:t>
      </w:r>
      <w:r>
        <w:t xml:space="preserve">por el alcance del análisis inferencial: Estudio A evalúa los cuatro métodos</w:t>
      </w:r>
      <w:r>
        <w:t xml:space="preserve"> </w:t>
      </w:r>
      <w:r>
        <w:t xml:space="preserve">sobre el diseño factorial completo; Estudio B restringe la inferencia</w:t>
      </w:r>
      <w:r>
        <w:t xml:space="preserve"> </w:t>
      </w:r>
      <w:r>
        <w:t xml:space="preserve">confirmativa al subconjunto pareado LIME-SHAP. El capítulo se organiza en ocho</w:t>
      </w:r>
      <w:r>
        <w:t xml:space="preserve"> </w:t>
      </w:r>
      <w:r>
        <w:t xml:space="preserve">secciones: las dos fases experimentales (EXP1 y EXP2), el conjunto de datos y</w:t>
      </w:r>
      <w:r>
        <w:t xml:space="preserve"> </w:t>
      </w:r>
      <w:r>
        <w:t xml:space="preserve">el protocolo de preprocesamiento, el diseño factorial, las configuraciones de</w:t>
      </w:r>
      <w:r>
        <w:t xml:space="preserve"> </w:t>
      </w:r>
      <w:r>
        <w:t xml:space="preserve">los explicadores, la operacionalización de las métricas, el protocolo FOM-7,</w:t>
      </w:r>
      <w:r>
        <w:t xml:space="preserve"> </w:t>
      </w:r>
      <w:r>
        <w:t xml:space="preserve">el análisis de cobertura de artefactos, y el plan de inferencia estadística.</w:t>
      </w:r>
      <w:r>
        <w:t xml:space="preserve"> </w:t>
      </w:r>
      <w:r>
        <w:t xml:space="preserve">Las amenazas a la validez y el inventario de recursos de reproducibilidad</w:t>
      </w:r>
      <w:r>
        <w:t xml:space="preserve"> </w:t>
      </w:r>
      <w:r>
        <w:t xml:space="preserve">figuran 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3" w:name="fases-experimentales-exp1-y-exp2"/>
    <w:p>
      <w:pPr>
        <w:pStyle w:val="Ttulo2"/>
        <w:spacing w:line="360" w:lineRule="auto"/>
        <w:jc w:val="both"/>
      </w:pP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1" w:name="X32cac70d6076bcfbcdceb21da7e13d3984b2a1d"/>
    <w:p>
      <w:pPr>
        <w:pStyle w:val="Ttulo3"/>
        <w:spacing w:line="360" w:lineRule="auto"/>
        <w:jc w:val="both"/>
      </w:pP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60" w:name="tbl-model-performance"/>
          <w:p>
            <w:pPr>
              <w:jc w:val="both"/>
              <w:spacing w:line="360" w:lineRule="auto"/>
            </w:pPr>
            <w:pPr>
              <w:jc w:val="left"/>
              <w:spacing w:before="200"/>
              <w:pStyle w:val="ImageCaption"/>
            </w:pPr>
            <w:r>
              <w:t xml:space="preserve">Table 4.1: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0"/>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1"/>
    <w:bookmarkStart w:id="62" w:name="X88dee61532cae681dfa2cfeee2779c5c9929176"/>
    <w:p>
      <w:pPr>
        <w:pStyle w:val="Ttulo3"/>
        <w:spacing w:line="360" w:lineRule="auto"/>
        <w:jc w:val="both"/>
      </w:pP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62"/>
    <w:bookmarkEnd w:id="63"/>
    <w:bookmarkStart w:id="67" w:name="Xb179eb5e9b7cbdb0e78e991d72b8aeee41d8932"/>
    <w:p>
      <w:pPr>
        <w:pStyle w:val="Ttulo2"/>
        <w:spacing w:line="360" w:lineRule="auto"/>
        <w:jc w:val="both"/>
      </w:pPr>
      <w:r>
        <w:t xml:space="preserve">Conjunto de datos y protocolo de preprocesamiento</w:t>
      </w:r>
    </w:p>
    <w:bookmarkStart w:id="64" w:name="descripción-del-conjunto-de-datos"/>
    <w:p>
      <w:pPr>
        <w:pStyle w:val="Ttulo3"/>
        <w:spacing w:line="360" w:lineRule="auto"/>
        <w:jc w:val="both"/>
      </w:pP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and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4"/>
    <w:bookmarkStart w:id="65" w:name="carga-limpieza-y-partición"/>
    <w:p>
      <w:pPr>
        <w:pStyle w:val="Ttulo3"/>
        <w:spacing w:line="360" w:lineRule="auto"/>
        <w:jc w:val="both"/>
      </w:pP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5"/>
    <w:bookmarkStart w:id="66" w:name="controles-de-fuga-de-datos"/>
    <w:p>
      <w:pPr>
        <w:pStyle w:val="Ttulo3"/>
        <w:spacing w:line="360" w:lineRule="auto"/>
        <w:jc w:val="both"/>
      </w:pP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6"/>
    <w:bookmarkEnd w:id="67"/>
    <w:bookmarkStart w:id="69" w:name="X810bf4db8899260d734480c9f59b02e6a2182a3"/>
    <w:p>
      <w:pPr>
        <w:pStyle w:val="Ttulo2"/>
        <w:spacing w:line="360" w:lineRule="auto"/>
        <w:jc w:val="both"/>
      </w:pP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68" w:name="X7f3be01e797123bdbedac923d646584591998bc"/>
    <w:p>
      <w:pPr>
        <w:pStyle w:val="Ttulo3"/>
        <w:spacing w:line="360" w:lineRule="auto"/>
        <w:jc w:val="both"/>
      </w:pP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B es la</w:t>
      </w:r>
      <w:r>
        <w:t xml:space="preserve"> </w:t>
      </w:r>
      <w:r>
        <w:rPr>
          <w:b/>
          <w:bCs/>
        </w:rPr>
        <w:t xml:space="preserve">celda 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 calificados de</w:t>
      </w:r>
      <w:r>
        <w:t xml:space="preserve"> </w:t>
      </w:r>
      <w:r>
        <w:t xml:space="preserve">SHAP y LIME con coordenadas idénticas.</w:t>
      </w:r>
    </w:p>
    <w:bookmarkEnd w:id="68"/>
    <w:bookmarkEnd w:id="69"/>
    <w:bookmarkStart w:id="72" w:name="Xa1b63f5b80ef9314faeb5aae6b8d7e743e4217a"/>
    <w:p>
      <w:pPr>
        <w:pStyle w:val="Ttulo2"/>
        <w:spacing w:line="360" w:lineRule="auto"/>
        <w:jc w:val="both"/>
      </w:pPr>
      <w:r>
        <w:t xml:space="preserve">Protocolo de muestreo de instancias y configuración de explicadores</w:t>
      </w:r>
    </w:p>
    <w:bookmarkStart w:id="70" w:name="X22a27531824c8c7d79a9c6abca6e13f987fd35c"/>
    <w:p>
      <w:pPr>
        <w:pStyle w:val="Ttulo3"/>
        <w:spacing w:line="360" w:lineRule="auto"/>
        <w:jc w:val="both"/>
      </w:pP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0"/>
    <w:bookmarkStart w:id="71" w:name="configuración-de-los-explicadores"/>
    <w:p>
      <w:pPr>
        <w:pStyle w:val="Ttulo3"/>
        <w:spacing w:line="360" w:lineRule="auto"/>
        <w:jc w:val="both"/>
      </w:pP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1"/>
    <w:bookmarkEnd w:id="72"/>
    <w:bookmarkStart w:id="80" w:name="operacionalización-de-las-métricas"/>
    <w:p>
      <w:pPr>
        <w:pStyle w:val="Ttulo2"/>
        <w:spacing w:line="360" w:lineRule="auto"/>
        <w:jc w:val="both"/>
      </w:pP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3" w:name="fidelidad"/>
    <w:p>
      <w:pPr>
        <w:pStyle w:val="Ttulo3"/>
        <w:spacing w:line="360" w:lineRule="auto"/>
        <w:jc w:val="both"/>
      </w:pP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3"/>
    <w:bookmarkStart w:id="74" w:name="estabilidad"/>
    <w:p>
      <w:pPr>
        <w:pStyle w:val="Ttulo3"/>
        <w:spacing w:line="360" w:lineRule="auto"/>
        <w:jc w:val="both"/>
      </w:pP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4"/>
    <w:bookmarkStart w:id="75" w:name="parsimonia"/>
    <w:p>
      <w:pPr>
        <w:pStyle w:val="Ttulo3"/>
        <w:spacing w:line="360" w:lineRule="auto"/>
        <w:jc w:val="both"/>
      </w:pP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5"/>
    <w:bookmarkStart w:id="76" w:name="brecha-de-fidelidad"/>
    <w:p>
      <w:pPr>
        <w:pStyle w:val="Ttulo3"/>
        <w:spacing w:line="360" w:lineRule="auto"/>
        <w:jc w:val="both"/>
      </w:pP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6"/>
    <w:bookmarkStart w:id="77" w:name="coste-computacional"/>
    <w:p>
      <w:pPr>
        <w:pStyle w:val="Ttulo3"/>
        <w:spacing w:line="360" w:lineRule="auto"/>
        <w:jc w:val="both"/>
      </w:pP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77"/>
    <w:bookmarkStart w:id="79" w:name="resumen-de-métricas-primarias"/>
    <w:p>
      <w:pPr>
        <w:pStyle w:val="Ttulo3"/>
        <w:spacing w:line="360" w:lineRule="auto"/>
        <w:jc w:val="both"/>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8" w:name="tbl-metrics"/>
          <w:p>
            <w:pPr>
              <w:jc w:val="both"/>
              <w:spacing w:line="360" w:lineRule="auto"/>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78"/>
          <w:p>
            <w:pPr>
              <w:spacing w:line="360" w:lineRule="auto"/>
              <w:jc w:val="both"/>
            </w:pPr>
          </w:p>
        </w:tc>
      </w:tr>
    </w:tbl>
    <w:bookmarkEnd w:id="79"/>
    <w:bookmarkEnd w:id="80"/>
    <w:bookmarkStart w:id="82" w:name="protocolo-de-operación-fom-7"/>
    <w:p>
      <w:pPr>
        <w:pStyle w:val="Ttulo2"/>
        <w:spacing w:line="360" w:lineRule="auto"/>
        <w:jc w:val="both"/>
      </w:pP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Table 4.3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81" w:name="tbl-fom7-gates"/>
          <w:p>
            <w:pPr>
              <w:jc w:val="both"/>
              <w:spacing w:line="360" w:lineRule="auto"/>
            </w:pPr>
            <w:pPr>
              <w:jc w:val="left"/>
              <w:spacing w:before="200"/>
              <w:pStyle w:val="ImageCaption"/>
            </w:pPr>
            <w:r>
              <w:t xml:space="preserve">Table 4.3: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Table 5.1</w:t>
                    </w:r>
                  </w:hyperlink>
                  <w:r>
                    <w:t xml:space="preserve"> </w:t>
                  </w:r>
                  <w:r>
                    <w:t xml:space="preserve">y</w:t>
                  </w:r>
                  <w:r>
                    <w:t xml:space="preserve"> </w:t>
                  </w:r>
                  <w:hyperlink w:anchor="tbl-claim-traceability">
                    <w:r>
                      <w:rPr>
                        <w:rStyle w:val="Hipervnculo"/>
                      </w:rPr>
                      <w:t xml:space="preserve">Table 5.7</w:t>
                    </w:r>
                  </w:hyperlink>
                </w:p>
              </w:tc>
            </w:tr>
          </w:tbl>
          <w:bookmarkEnd w:id="81"/>
          <w:p>
            <w:pPr>
              <w:spacing w:line="360" w:lineRule="auto"/>
              <w:jc w:val="both"/>
            </w:pPr>
          </w:p>
        </w:tc>
      </w:tr>
    </w:tbl>
    <w:bookmarkEnd w:id="82"/>
    <w:bookmarkStart w:id="87" w:name="X70736bc07e73377e919d2c60f119994d057bf14"/>
    <w:p>
      <w:pPr>
        <w:pStyle w:val="Ttulo2"/>
        <w:spacing w:line="360" w:lineRule="auto"/>
        <w:jc w:val="both"/>
      </w:pPr>
      <w:r>
        <w:t xml:space="preserve">Cobertura de artefactos y análisis del impacto de datos faltantes</w:t>
      </w:r>
    </w:p>
    <w:bookmarkStart w:id="85" w:name="inventario-de-cobertura"/>
    <w:p>
      <w:pPr>
        <w:pStyle w:val="Ttulo3"/>
        <w:spacing w:line="360" w:lineRule="auto"/>
        <w:jc w:val="both"/>
      </w:pP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3" w:name="tbl-coverage"/>
          <w:p>
            <w:pPr>
              <w:jc w:val="both"/>
              <w:spacing w:line="360" w:lineRule="auto"/>
            </w:pPr>
            <w:pPr>
              <w:jc w:val="left"/>
              <w:spacing w:before="200"/>
              <w:pStyle w:val="ImageCaption"/>
            </w:pPr>
            <w:r>
              <w:t xml:space="preserve">Table 4.4: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3"/>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4" w:name="tbl-coverage-method"/>
          <w:p>
            <w:pPr>
              <w:jc w:val="both"/>
              <w:spacing w:line="360" w:lineRule="auto"/>
            </w:pPr>
            <w:pPr>
              <w:jc w:val="left"/>
              <w:spacing w:before="200"/>
              <w:pStyle w:val="ImageCaption"/>
            </w:pPr>
            <w:r>
              <w:t xml:space="preserve">Table 4.5: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4"/>
          <w:p>
            <w:pPr>
              <w:spacing w:line="360" w:lineRule="auto"/>
              <w:jc w:val="both"/>
            </w:pPr>
          </w:p>
        </w:tc>
      </w:tr>
    </w:tbl>
    <w:bookmarkEnd w:id="85"/>
    <w:bookmarkStart w:id="86" w:name="Xcb4396ffd8bf23e7b418105a9e8d3fef7075c0b"/>
    <w:p>
      <w:pPr>
        <w:pStyle w:val="Ttulo3"/>
        <w:spacing w:line="360" w:lineRule="auto"/>
        <w:jc w:val="both"/>
      </w:pP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 encima del</w:t>
      </w:r>
      <w:r>
        <w:t xml:space="preserve"> </w:t>
      </w:r>
      <w:r>
        <w:t xml:space="preserve">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Table 7.10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6"/>
    <w:bookmarkEnd w:id="87"/>
    <w:bookmarkStart w:id="95" w:name="plan-de-inferencia-estadística"/>
    <w:p>
      <w:pPr>
        <w:pStyle w:val="Ttulo2"/>
        <w:spacing w:line="360" w:lineRule="auto"/>
        <w:jc w:val="both"/>
      </w:pPr>
      <w:r>
        <w:t xml:space="preserve">Plan de inferencia estadística</w:t>
      </w:r>
    </w:p>
    <w:bookmarkStart w:id="88" w:name="estudio-a-test-omnibus-de-friedman"/>
    <w:p>
      <w:pPr>
        <w:pStyle w:val="Ttulo3"/>
        <w:spacing w:line="360" w:lineRule="auto"/>
        <w:jc w:val="both"/>
      </w:pPr>
      <w:r>
        <w:t xml:space="preserve">Estudio A: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88"/>
    <w:bookmarkStart w:id="89" w:name="localización-post-hoc-nemenyi"/>
    <w:p>
      <w:pPr>
        <w:pStyle w:val="Ttulo3"/>
        <w:spacing w:line="360" w:lineRule="auto"/>
        <w:jc w:val="both"/>
      </w:pP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89"/>
    <w:bookmarkStart w:id="90" w:name="X82a710d830240cc18776e0ef609d9e71b3f53e7"/>
    <w:p>
      <w:pPr>
        <w:pStyle w:val="Ttulo3"/>
        <w:spacing w:line="360" w:lineRule="auto"/>
        <w:jc w:val="both"/>
      </w:pP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0"/>
    <w:bookmarkStart w:id="92" w:name="control-de-multiplicidad"/>
    <w:p>
      <w:pPr>
        <w:pStyle w:val="Ttulo3"/>
        <w:spacing w:line="360" w:lineRule="auto"/>
        <w:jc w:val="both"/>
      </w:pP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91" w:name="tbl-stat-plan"/>
          <w:p>
            <w:pPr>
              <w:jc w:val="both"/>
              <w:spacing w:line="360" w:lineRule="auto"/>
            </w:pPr>
            <w:pPr>
              <w:jc w:val="left"/>
              <w:spacing w:before="200"/>
              <w:pStyle w:val="ImageCaption"/>
            </w:pPr>
            <w:r>
              <w:t xml:space="preserve">Table 4.6: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A)</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A)</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(Estudios A y B)</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1"/>
          <w:p>
            <w:pPr>
              <w:spacing w:line="360" w:lineRule="auto"/>
              <w:jc w:val="both"/>
            </w:pPr>
          </w:p>
        </w:tc>
      </w:tr>
    </w:tbl>
    <w:bookmarkEnd w:id="92"/>
    <w:bookmarkStart w:id="94" w:name="X8d8a6fe44143f1c1b581a8bcb7389a6bd938df3"/>
    <w:p>
      <w:pPr>
        <w:pStyle w:val="Ttulo3"/>
        <w:spacing w:line="360" w:lineRule="auto"/>
        <w:jc w:val="both"/>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3" w:name="tbl-hypo-plan"/>
          <w:p>
            <w:pPr>
              <w:jc w:val="both"/>
              <w:spacing w:line="360" w:lineRule="auto"/>
            </w:pPr>
            <w:pPr>
              <w:jc w:val="left"/>
              <w:spacing w:before="200"/>
              <w:pStyle w:val="ImageCaption"/>
            </w:pPr>
            <w:r>
              <w:t xml:space="preserve">Table 4.7: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3"/>
          <w:p>
            <w:pPr>
              <w:spacing w:line="360" w:lineRule="auto"/>
              <w:jc w:val="both"/>
            </w:pPr>
          </w:p>
        </w:tc>
      </w:tr>
    </w:tbl>
    <w:bookmarkEnd w:id="94"/>
    <w:bookmarkEnd w:id="95"/>
    <w:bookmarkStart w:id="97" w:name="amenazas-a-la-validez"/>
    <w:p>
      <w:pPr>
        <w:pStyle w:val="Ttulo2"/>
        <w:spacing w:line="360" w:lineRule="auto"/>
        <w:jc w:val="both"/>
      </w:pP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96" w:name="tbl-validity-threats"/>
          <w:p>
            <w:pPr>
              <w:jc w:val="both"/>
              <w:spacing w:line="360" w:lineRule="auto"/>
            </w:pPr>
            <w:pPr>
              <w:jc w:val="left"/>
              <w:spacing w:before="200"/>
              <w:pStyle w:val="ImageCaption"/>
            </w:pPr>
            <w:r>
              <w:t xml:space="preserve">Table 4.8: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6"/>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97"/>
    <w:bookmarkStart w:id="98" w:name="trazabilidad-y-reproducibilidad"/>
    <w:p>
      <w:pPr>
        <w:pStyle w:val="Ttulo2"/>
        <w:spacing w:line="360" w:lineRule="auto"/>
        <w:jc w:val="both"/>
      </w:pP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98"/>
    <w:bookmarkStart w:id="101" w:name="sec-estudios-complementarios"/>
    <w:p>
      <w:pPr>
        <w:pStyle w:val="Ttulo2"/>
        <w:spacing w:line="360" w:lineRule="auto"/>
        <w:jc w:val="both"/>
      </w:pP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99" w:name="sec-exp3-diseno"/>
    <w:p>
      <w:pPr>
        <w:pStyle w:val="Ttulo3"/>
        <w:spacing w:line="360" w:lineRule="auto"/>
        <w:jc w:val="both"/>
      </w:pP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and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and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99"/>
    <w:bookmarkStart w:id="100" w:name="sec-exp4-diseno"/>
    <w:p>
      <w:pPr>
        <w:pStyle w:val="Ttulo3"/>
        <w:spacing w:line="360" w:lineRule="auto"/>
        <w:jc w:val="both"/>
      </w:pP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§sec-taxonomia-brechas: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Table 6.3</w:t>
        </w:r>
      </w:hyperlink>
      <w:r>
        <w:t xml:space="preserve"> </w:t>
      </w:r>
      <w:r>
        <w:t xml:space="preserve">del Capítulo 5).</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 El umbral de fiabilidad aceptable es</w:t>
      </w:r>
      <w:r>
        <w:t xml:space="preserve"> </w:t>
      </w:r>
      <ns1:oMath>
        <ns1:r>
          <ns1:rPr>
            <ns1:sty ns1:val="p"/>
          </ns1:rPr>
          <ns1:t>≥</ns1:t>
        </ns1:r>
        <ns1:r>
          <ns1:t>0.75</ns1:t>
        </ns1:r>
      </ns1:oMath>
      <w:r>
        <w:t xml:space="preserve"> </w:t>
      </w:r>
      <w:r>
        <w:t xml:space="preserve">(Koo and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and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y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0"/>
    <w:bookmarkEnd w:id="101"/>
    <w:bookmarkEnd w:id="102"/>
    <w:bookmarkStart w:id="160" w:name="resultados-y-discusión"/>
    <w:p>
      <w:pPr>
        <w:pStyle w:val="Ttulo1"/>
        <w:spacing w:line="360" w:lineRule="auto"/>
        <w:jc w:val="both"/>
      </w:pPr>
      <w:r>
        <w:t xml:space="preserve">Resultados y discusión</w:t>
      </w:r>
    </w:p>
    <w:p>
      <w:pPr>
        <w:pStyle w:val="FirstParagraph"/>
        <w:spacing w:line="360" w:lineRule="auto"/>
        <w:jc w:val="both"/>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La discusión</w:t>
      </w:r>
      <w:r>
        <w:t xml:space="preserve"> </w:t>
      </w:r>
      <w:r>
        <w:t xml:space="preserve">integradora al final del capítulo articula los hallazgos con la literatura y</w:t>
      </w:r>
      <w:r>
        <w:t xml:space="preserve"> </w:t>
      </w:r>
      <w:r>
        <w:t xml:space="preserve">deriva criterios operativos de selección de 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4" w:name="X265f56e886428ba30debc49e85dcc5a7469d3ae"/>
    <w:p>
      <w:pPr>
        <w:pStyle w:val="Ttulo2"/>
        <w:spacing w:line="360" w:lineRule="auto"/>
        <w:jc w:val="both"/>
      </w:pP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Table 5.1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103" w:name="tbl-results-overview"/>
          <w:p>
            <w:pPr>
              <w:jc w:val="both"/>
              <w:spacing w:line="360" w:lineRule="auto"/>
            </w:pPr>
            <w:pPr>
              <w:jc w:val="left"/>
              <w:spacing w:before="200"/>
              <w:pStyle w:val="ImageCaption"/>
            </w:pPr>
            <w:r>
              <w:t xml:space="preserve">Table 5.1: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3"/>
          <w:p>
            <w:pPr>
              <w:spacing w:line="360" w:lineRule="auto"/>
              <w:jc w:val="both"/>
            </w:pPr>
          </w:p>
        </w:tc>
      </w:tr>
    </w:tbl>
    <w:bookmarkEnd w:id="104"/>
    <w:bookmarkStart w:id="110" w:name="sec-estudio-a"/>
    <w:p>
      <w:pPr>
        <w:pStyle w:val="Ttulo2"/>
        <w:spacing w:line="360" w:lineRule="auto"/>
        <w:jc w:val="both"/>
      </w:pPr>
      <w:r>
        <w:t xml:space="preserve">Estudio A: Análisis omnibus multimétrico (H1 y H2)</w:t>
      </w:r>
    </w:p>
    <w:bookmarkStart w:id="107" w:name="X41be5df394949178755daa825e68dc45d5470c0"/>
    <w:p>
      <w:pPr>
        <w:pStyle w:val="Ttulo3"/>
        <w:spacing w:line="360" w:lineRule="auto"/>
        <w:jc w:val="both"/>
      </w:pP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105" w:name="tbl-friedman-fidelity"/>
          <w:p>
            <w:pPr>
              <w:jc w:val="both"/>
              <w:spacing w:line="360" w:lineRule="auto"/>
            </w:pPr>
            <w:pPr>
              <w:jc w:val="left"/>
              <w:spacing w:before="200"/>
              <w:pStyle w:val="ImageCaption"/>
            </w:pPr>
            <w:r>
              <w:t xml:space="preserve">Table 5.2: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5"/>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06" w:name="tbl-nemenyi-fidelity"/>
          <w:p>
            <w:pPr>
              <w:jc w:val="both"/>
              <w:spacing w:line="360" w:lineRule="auto"/>
            </w:pPr>
            <w:pPr>
              <w:jc w:val="left"/>
              <w:spacing w:before="200"/>
              <w:pStyle w:val="ImageCaption"/>
            </w:pPr>
            <w:r>
              <w:t xml:space="preserve">Table 5.3: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6"/>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107"/>
    <w:bookmarkStart w:id="109" w:name="X117d71016dd8839ee57c9e60cc09d0400ac5f3d"/>
    <w:p>
      <w:pPr>
        <w:pStyle w:val="Ttulo3"/>
        <w:spacing w:line="360" w:lineRule="auto"/>
        <w:jc w:val="both"/>
      </w:pP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08" w:name="tbl-friedman-stability"/>
          <w:p>
            <w:pPr>
              <w:jc w:val="both"/>
              <w:spacing w:line="360" w:lineRule="auto"/>
            </w:pPr>
            <w:pPr>
              <w:jc w:val="left"/>
              <w:spacing w:before="200"/>
              <w:pStyle w:val="ImageCaption"/>
            </w:pPr>
            <w:r>
              <w:t xml:space="preserve">Table 5.4: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08"/>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09"/>
    <w:bookmarkEnd w:id="110"/>
    <w:bookmarkStart w:id="114" w:name="sec-estudio-b"/>
    <w:p>
      <w:pPr>
        <w:pStyle w:val="Ttulo2"/>
        <w:spacing w:line="360" w:lineRule="auto"/>
        <w:jc w:val="both"/>
      </w:pPr>
      <w:r>
        <w:t xml:space="preserve">Estudio B: Análisis pareado SHAP-LIME y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2" w:name="diferencias-en-métricas-de-calidad"/>
    <w:p>
      <w:pPr>
        <w:pStyle w:val="Ttulo3"/>
        <w:spacing w:line="360" w:lineRule="auto"/>
        <w:jc w:val="both"/>
      </w:pP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11" w:name="tbl-paired-shap-lime"/>
          <w:p>
            <w:pPr>
              <w:jc w:val="both"/>
              <w:spacing w:line="360" w:lineRule="auto"/>
            </w:pPr>
            <w:pPr>
              <w:jc w:val="left"/>
              <w:spacing w:before="200"/>
              <w:pStyle w:val="ImageCaption"/>
            </w:pPr>
            <w:r>
              <w:t xml:space="preserve">Table 5.5: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1"/>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2"/>
    <w:bookmarkStart w:id="113" w:name="X2c15e0a178907c68bf437d0d85cae845d1c590b"/>
    <w:p>
      <w:pPr>
        <w:pStyle w:val="Ttulo3"/>
        <w:spacing w:line="360" w:lineRule="auto"/>
        <w:jc w:val="both"/>
      </w:pP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3"/>
    <w:bookmarkEnd w:id="114"/>
    <w:bookmarkStart w:id="116" w:name="sec-p1"/>
    <w:p>
      <w:pPr>
        <w:pStyle w:val="Ttulo2"/>
        <w:spacing w:line="360" w:lineRule="auto"/>
        <w:jc w:val="both"/>
      </w:pP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15" w:name="tbl-cv-p1"/>
          <w:p>
            <w:pPr>
              <w:jc w:val="both"/>
              <w:spacing w:line="360" w:lineRule="auto"/>
            </w:pPr>
            <w:pPr>
              <w:jc w:val="left"/>
              <w:spacing w:before="200"/>
              <w:pStyle w:val="ImageCaption"/>
            </w:pPr>
            <w:r>
              <w:t xml:space="preserve">Table 5.6: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5"/>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6"/>
    <w:bookmarkStart w:id="121" w:name="sec-perfiles"/>
    <w:p>
      <w:pPr>
        <w:pStyle w:val="Ttulo2"/>
        <w:spacing w:line="360" w:lineRule="auto"/>
        <w:jc w:val="both"/>
      </w:pP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17" w:name="shap"/>
    <w:p>
      <w:pPr>
        <w:pStyle w:val="Ttulo3"/>
        <w:spacing w:line="360" w:lineRule="auto"/>
        <w:jc w:val="both"/>
      </w:pP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(§sec-metricas),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17"/>
    <w:bookmarkStart w:id="118" w:name="lime"/>
    <w:p>
      <w:pPr>
        <w:pStyle w:val="Ttulo3"/>
        <w:spacing w:line="360" w:lineRule="auto"/>
        <w:jc w:val="both"/>
      </w:pP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18"/>
    <w:bookmarkStart w:id="119" w:name="anchors"/>
    <w:p>
      <w:pPr>
        <w:pStyle w:val="Ttulo3"/>
        <w:spacing w:line="360" w:lineRule="auto"/>
        <w:jc w:val="both"/>
      </w:pP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Table 5.2</w:t>
        </w:r>
      </w:hyperlink>
      <w:r>
        <w:t xml:space="preserve">,</w:t>
      </w:r>
      <w:r>
        <w:t xml:space="preserve"> </w:t>
      </w:r>
      <w:hyperlink w:anchor="tbl-friedman-stability">
        <w:r>
          <w:rPr>
            <w:rStyle w:val="Hipervnculo"/>
          </w:rPr>
          <w:t xml:space="preserve">Table 5.4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19"/>
    <w:bookmarkStart w:id="120" w:name="dice"/>
    <w:p>
      <w:pPr>
        <w:pStyle w:val="Ttulo3"/>
        <w:spacing w:line="360" w:lineRule="auto"/>
        <w:jc w:val="both"/>
      </w:pP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0"/>
    <w:bookmarkEnd w:id="121"/>
    <w:bookmarkStart w:id="124" w:name="sec-transversal"/>
    <w:p>
      <w:pPr>
        <w:pStyle w:val="Ttulo2"/>
        <w:spacing w:line="360" w:lineRule="auto"/>
        <w:jc w:val="both"/>
      </w:pPr>
      <w:r>
        <w:t xml:space="preserve">Análisis transversal: efecto del modelo base y del tamaño de muestra</w:t>
      </w:r>
    </w:p>
    <w:bookmarkStart w:id="122" w:name="Xd0dc4cebb30e80d859f681a41b6366a7a2cd5a6"/>
    <w:p>
      <w:pPr>
        <w:pStyle w:val="Ttulo3"/>
        <w:spacing w:line="360" w:lineRule="auto"/>
        <w:jc w:val="both"/>
      </w:pP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Table 7.9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2"/>
    <w:bookmarkStart w:id="123" w:name="X4b1cce5291d3b83ee4e2fe33ac88be27315f5a8"/>
    <w:p>
      <w:pPr>
        <w:pStyle w:val="Ttulo3"/>
        <w:spacing w:line="360" w:lineRule="auto"/>
        <w:jc w:val="both"/>
      </w:pP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3"/>
    <w:bookmarkEnd w:id="124"/>
    <w:bookmarkStart w:id="126" w:name="sec-trazabilidad-resultados"/>
    <w:p>
      <w:pPr>
        <w:pStyle w:val="Ttulo2"/>
        <w:spacing w:line="360" w:lineRule="auto"/>
        <w:jc w:val="both"/>
      </w:pP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Table 5.7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25" w:name="tbl-claim-traceability"/>
          <w:p>
            <w:pPr>
              <w:jc w:val="both"/>
              <w:spacing w:line="360" w:lineRule="auto"/>
            </w:pPr>
            <w:pPr>
              <w:jc w:val="left"/>
              <w:spacing w:before="200"/>
              <w:pStyle w:val="ImageCaption"/>
            </w:pPr>
            <w:r>
              <w:t xml:space="preserve">Table 5.7: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Table 5.2</w:t>
                    </w:r>
                  </w:hyperlink>
                  <w:r>
                    <w:t xml:space="preserve"> </w:t>
                  </w:r>
                  <w:r>
                    <w:t xml:space="preserve">y</w:t>
                  </w:r>
                  <w:r>
                    <w:t xml:space="preserve"> </w:t>
                  </w:r>
                  <w:hyperlink w:anchor="tbl-nemenyi-fidelity">
                    <w:r>
                      <w:rPr>
                        <w:rStyle w:val="Hipervnculo"/>
                      </w:rPr>
                      <w:t xml:space="preserve">Table 5.3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Table 5.4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Table 5.5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Table 5.6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5"/>
          <w:p>
            <w:pPr>
              <w:spacing w:line="360" w:lineRule="auto"/>
              <w:jc w:val="both"/>
            </w:pPr>
          </w:p>
        </w:tc>
      </w:tr>
    </w:tbl>
    <w:bookmarkEnd w:id="126"/>
    <w:bookmarkStart w:id="155" w:name="sec-visualizaciones-resultados"/>
    <w:p>
      <w:pPr>
        <w:pStyle w:val="Ttulo2"/>
        <w:spacing w:line="360" w:lineRule="auto"/>
        <w:jc w:val="both"/>
      </w:pP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30" w:name="fig-estabilidad-coste"/>
          <w:p>
            <w:pPr>
              <w:pStyle w:val="Compact"/>
              <w:jc w:val="both"/>
              <w:spacing w:line="360" w:lineRule="auto"/>
            </w:pPr>
            <w:r>
              <w:drawing>
                <ns2:inline>
                  <ns2:extent cx="5052060" cy="3154709"/>
                  <ns2:effectExtent b="0" l="0" r="0" t="0"/>
                  <ns2:docPr descr="" title="" id="128" name="Picture"/>
                  <ns3:graphic>
                    <ns3:graphicData uri="http://schemas.openxmlformats.org/drawingml/2006/picture">
                      <ns4:pic>
                        <ns4:nvPicPr>
                          <ns4:cNvPr descr="assets/figures/fig_estabilidad_coste_es.png" id="129" name="Picture"/>
                          <ns4:cNvPicPr>
                            <ns3:picLocks noChangeArrowheads="1" noChangeAspect="1"/>
                          </ns4:cNvPicPr>
                        </ns4:nvPicPr>
                        <ns4:blipFill>
                          <ns3:blip ns5:embed="rId127"/>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fig-correlacion-metricas"/>
          <w:p>
            <w:pPr>
              <w:pStyle w:val="Compact"/>
              <w:jc w:val="both"/>
              <w:spacing w:line="360" w:lineRule="auto"/>
            </w:pPr>
            <w:r>
              <w:drawing>
                <ns2:inline>
                  <ns2:extent cx="5052060" cy="3860951"/>
                  <ns2:effectExtent b="0" l="0" r="0" t="0"/>
                  <ns2:docPr descr="" title="" id="132" name="Picture"/>
                  <ns3:graphic>
                    <ns3:graphicData uri="http://schemas.openxmlformats.org/drawingml/2006/picture">
                      <ns4:pic>
                        <ns4:nvPicPr>
                          <ns4:cNvPr descr="assets/figures/fig_correlacion_metricas_es.png" id="133" name="Picture"/>
                          <ns4:cNvPicPr>
                            <ns3:picLocks noChangeArrowheads="1" noChangeAspect="1"/>
                          </ns4:cNvPicPr>
                        </ns4:nvPicPr>
                        <ns4:blipFill>
                          <ns3:blip ns5:embed="rId131"/>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4"/>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cobertura-exp2"/>
          <w:p>
            <w:pPr>
              <w:pStyle w:val="Compact"/>
              <w:jc w:val="both"/>
              <w:spacing w:line="360" w:lineRule="auto"/>
            </w:pPr>
            <w:r>
              <w:drawing>
                <ns2:inline>
                  <ns2:extent cx="5052060" cy="3412866"/>
                  <ns2:effectExtent b="0" l="0" r="0" t="0"/>
                  <ns2:docPr descr="" title="" id="136" name="Picture"/>
                  <ns3:graphic>
                    <ns3:graphicData uri="http://schemas.openxmlformats.org/drawingml/2006/picture">
                      <ns4:pic>
                        <ns4:nvPicPr>
                          <ns4:cNvPr descr="assets/figures/fig_cobertura_exp2_es.png" id="137" name="Picture"/>
                          <ns4:cNvPicPr>
                            <ns3:picLocks noChangeArrowheads="1" noChangeAspect="1"/>
                          </ns4:cNvPicPr>
                        </ns4:nvPicPr>
                        <ns4:blipFill>
                          <ns3:blip ns5:embed="rId135"/>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38"/>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cd-diagram"/>
          <w:p>
            <w:pPr>
              <w:pStyle w:val="Compact"/>
              <w:jc w:val="both"/>
              <w:spacing w:line="360" w:lineRule="auto"/>
            </w:pPr>
            <w:r>
              <w:drawing>
                <ns2:inline>
                  <ns2:extent cx="5646420" cy="1801452"/>
                  <ns2:effectExtent b="0" l="0" r="0" t="0"/>
                  <ns2:docPr descr="" title="" id="140" name="Picture"/>
                  <ns3:graphic>
                    <ns3:graphicData uri="http://schemas.openxmlformats.org/drawingml/2006/picture">
                      <ns4:pic>
                        <ns4:nvPicPr>
                          <ns4:cNvPr descr="assets/figures/fig_cd_diagram_es.png" id="141" name="Picture"/>
                          <ns4:cNvPicPr>
                            <ns3:picLocks noChangeArrowheads="1" noChangeAspect="1"/>
                          </ns4:cNvPicPr>
                        </ns4:nvPicPr>
                        <ns4:blipFill>
                          <ns3:blip ns5:embed="rId139"/>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2"/>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boxplots-metricas"/>
          <w:p>
            <w:pPr>
              <w:pStyle w:val="Compact"/>
              <w:jc w:val="both"/>
              <w:spacing w:line="360" w:lineRule="auto"/>
            </w:pPr>
            <w:r>
              <w:drawing>
                <ns2:inline>
                  <ns2:extent cx="5646420" cy="2662237"/>
                  <ns2:effectExtent b="0" l="0" r="0" t="0"/>
                  <ns2:docPr descr="" title="" id="144" name="Picture"/>
                  <ns3:graphic>
                    <ns3:graphicData uri="http://schemas.openxmlformats.org/drawingml/2006/picture">
                      <ns4:pic>
                        <ns4:nvPicPr>
                          <ns4:cNvPr descr="assets/figures/fig_boxplots_metricas_es.png" id="145" name="Picture"/>
                          <ns4:cNvPicPr>
                            <ns3:picLocks noChangeArrowheads="1" noChangeAspect="1"/>
                          </ns4:cNvPicPr>
                        </ns4:nvPicPr>
                        <ns4:blipFill>
                          <ns3:blip ns5:embed="rId143"/>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46"/>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fig-diferencias-pareadas"/>
          <w:p>
            <w:pPr>
              <w:pStyle w:val="Compact"/>
              <w:jc w:val="both"/>
              <w:spacing w:line="360" w:lineRule="auto"/>
            </w:pPr>
            <w:r>
              <w:drawing>
                <ns2:inline>
                  <ns2:extent cx="5646420" cy="2357586"/>
                  <ns2:effectExtent b="0" l="0" r="0" t="0"/>
                  <ns2:docPr descr="" title="" id="148" name="Picture"/>
                  <ns3:graphic>
                    <ns3:graphicData uri="http://schemas.openxmlformats.org/drawingml/2006/picture">
                      <ns4:pic>
                        <ns4:nvPicPr>
                          <ns4:cNvPr descr="assets/figures/fig_diferencias_pareadas_es.png" id="149" name="Picture"/>
                          <ns4:cNvPicPr>
                            <ns3:picLocks noChangeArrowheads="1" noChangeAspect="1"/>
                          </ns4:cNvPicPr>
                        </ns4:nvPicPr>
                        <ns4:blipFill>
                          <ns3:blip ns5:embed="rId147"/>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fig-radar-metodos"/>
          <w:p>
            <w:pPr>
              <w:pStyle w:val="Compact"/>
              <w:jc w:val="both"/>
              <w:spacing w:line="360" w:lineRule="auto"/>
            </w:pPr>
            <w:r>
              <w:drawing>
                <ns2:inline>
                  <ns2:extent cx="4160520" cy="3582746"/>
                  <ns2:effectExtent b="0" l="0" r="0" t="0"/>
                  <ns2:docPr descr="" title="" id="152" name="Picture"/>
                  <ns3:graphic>
                    <ns3:graphicData uri="http://schemas.openxmlformats.org/drawingml/2006/picture">
                      <ns4:pic>
                        <ns4:nvPicPr>
                          <ns4:cNvPr descr="assets/figures/fig_radar_metodos_es.png" id="153" name="Picture"/>
                          <ns4:cNvPicPr>
                            <ns3:picLocks noChangeArrowheads="1" noChangeAspect="1"/>
                          </ns4:cNvPicPr>
                        </ns4:nvPicPr>
                        <ns4:blipFill>
                          <ns3:blip ns5:embed="rId151"/>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4"/>
        </w:tc>
      </w:tr>
    </w:tbl>
    <w:bookmarkEnd w:id="155"/>
    <w:bookmarkStart w:id="159" w:name="sec-discusion"/>
    <w:p>
      <w:pPr>
        <w:pStyle w:val="Ttulo2"/>
        <w:spacing w:line="360" w:lineRule="auto"/>
        <w:jc w:val="both"/>
      </w:pPr>
      <w:r>
        <w:t xml:space="preserve">Discusión</w:t>
      </w:r>
    </w:p>
    <w:bookmarkStart w:id="156" w:name="interpretación-conjunta-de-h1-h2-y-h3"/>
    <w:p>
      <w:pPr>
        <w:pStyle w:val="Ttulo3"/>
        <w:spacing w:line="360" w:lineRule="auto"/>
        <w:jc w:val="both"/>
      </w:pP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6"/>
    <w:bookmarkStart w:id="157" w:name="Xbd024e4a7bd7bf8de011157bde8f5cf667c76a0"/>
    <w:p>
      <w:pPr>
        <w:pStyle w:val="Ttulo3"/>
        <w:spacing w:line="360" w:lineRule="auto"/>
        <w:jc w:val="both"/>
      </w:pP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57"/>
    <w:bookmarkStart w:id="158" w:name="X99626a17a471bd5fb48825a2c4d4fcdcb69bcee"/>
    <w:p>
      <w:pPr>
        <w:pStyle w:val="Ttulo3"/>
        <w:spacing w:line="360" w:lineRule="auto"/>
        <w:jc w:val="both"/>
      </w:pP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58"/>
    <w:bookmarkEnd w:id="159"/>
    <w:bookmarkEnd w:id="160"/>
    <w:bookmarkStart w:id="172" w:name="Xa967782ce714a135dc69dc69099ccfe835ec70b"/>
    <w:p>
      <w:pPr>
        <w:pStyle w:val="Ttulo1"/>
        <w:spacing w:line="360" w:lineRule="auto"/>
        <w:jc w:val="both"/>
      </w:pP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Figure 5.2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Figure 5.7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C de la tesis: una taxonomía estructurada</w:t>
      </w:r>
      <w:r>
        <w:t xml:space="preserve"> </w:t>
      </w:r>
      <w:r>
        <w:t xml:space="preserve">del espacio de métricas de evaluación XAI. Su función es dar peso conceptual</w:t>
      </w:r>
      <w:r>
        <w:t xml:space="preserve"> </w:t>
      </w:r>
      <w:r>
        <w:t xml:space="preserve">propio a la tercera contribución doctoral. Los capítulos anteriores mostraron</w:t>
      </w:r>
      <w:r>
        <w:t xml:space="preserve"> </w:t>
      </w:r>
      <w:r>
        <w:t xml:space="preserve">que FOM-7 necesita distinguir objetos explicativos, constructos de calidad,</w:t>
      </w:r>
      <w:r>
        <w:t xml:space="preserve"> </w:t>
      </w:r>
      <w:r>
        <w:t xml:space="preserve">fuentes de evidencia y contextos de uso. Este capítulo convierte esa necesidad</w:t>
      </w:r>
      <w:r>
        <w:t xml:space="preserve"> </w:t>
      </w:r>
      <w:r>
        <w:t xml:space="preserve">en una matriz de clasificación que permite interpretar el benchmark y, al mismo</w:t>
      </w:r>
      <w:r>
        <w:t xml:space="preserve"> </w:t>
      </w:r>
      <w:r>
        <w:t xml:space="preserve">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1" w:name="sec-taxonomia-metodo"/>
    <w:p>
      <w:pPr>
        <w:pStyle w:val="Ttulo2"/>
        <w:spacing w:line="360" w:lineRule="auto"/>
        <w:jc w:val="both"/>
      </w:pP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que suman</w:t>
      </w:r>
      <w:r>
        <w:t xml:space="preserve"> </w:t>
      </w:r>
      <w:r>
        <w:rPr>
          <w:b/>
          <w:bCs/>
        </w:rPr>
        <w:t xml:space="preserve">47 referencias</w:t>
      </w:r>
      <w:r>
        <w:rPr>
          <w:b/>
          <w:bCs/>
        </w:rPr>
        <w:t xml:space="preserve"> </w:t>
      </w:r>
      <w:r>
        <w:rPr>
          <w:b/>
          <w:bCs/>
        </w:rPr>
        <w:t xml:space="preserve">directas</w:t>
      </w:r>
      <w:r>
        <w:t xml:space="preserve"> </w:t>
      </w:r>
      <w:r>
        <w:t xml:space="preserve">a la construcción de la taxonomía. Primero, revisiones y</w:t>
      </w:r>
      <w:r>
        <w:t xml:space="preserve"> </w:t>
      </w:r>
      <w:r>
        <w:t xml:space="preserve">taxonomías de interpretabilidad y XAI que establecen el vocabulario conceptual</w:t>
      </w:r>
      <w:r>
        <w:t xml:space="preserve"> </w:t>
      </w:r>
      <w:r>
        <w:t xml:space="preserve">del campo: 11 trabajos, incluyendo las revisiones fundacionales de</w:t>
      </w:r>
      <w:r>
        <w:t xml:space="preserve"> </w:t>
      </w:r>
      <w:r>
        <w:t xml:space="preserve">Arrieta (2019a)</w:t>
      </w:r>
      <w:r>
        <w:t xml:space="preserve">,</w:t>
      </w:r>
      <w:r>
        <w:t xml:space="preserve"> </w:t>
      </w:r>
      <w:r>
        <w:t xml:space="preserve">Lipton (2018)</w:t>
      </w:r>
      <w:r>
        <w:t xml:space="preserve">,</w:t>
      </w:r>
      <w:r>
        <w:t xml:space="preserve"> </w:t>
      </w:r>
      <w:r>
        <w:t xml:space="preserve">Linardatos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9 trabajos, 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 8 trabajos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19 trabajos, 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and Verbert (2024)</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Table 6.1</w:t>
        </w:r>
      </w:hyperlink>
      <w:r>
        <w:t xml:space="preserve"> </w:t>
      </w:r>
      <w:r>
        <w:t xml:space="preserve">son el resultado de consolidar y desambiguar los constructos identificados en el</w:t>
      </w:r>
      <w:r>
        <w:t xml:space="preserve"> </w:t>
      </w:r>
      <w:r>
        <w:t xml:space="preserve">corpus de 47 referencias; se reportan como una selección representativa, no como</w:t>
      </w:r>
      <w:r>
        <w:t xml:space="preserve"> </w:t>
      </w:r>
      <w:r>
        <w:t xml:space="preserve">un catálogo exhaustivo.</w:t>
      </w:r>
    </w:p>
    <w:bookmarkEnd w:id="161"/>
    <w:bookmarkStart w:id="162" w:name="sec-taxonomia-motivacion"/>
    <w:p>
      <w:pPr>
        <w:pStyle w:val="Ttulo2"/>
        <w:spacing w:line="360" w:lineRule="auto"/>
        <w:jc w:val="both"/>
      </w:pP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Estudios A y B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2"/>
    <w:bookmarkStart w:id="163" w:name="sec-taxonomia-ejes"/>
    <w:p>
      <w:pPr>
        <w:pStyle w:val="Ttulo2"/>
        <w:spacing w:line="360" w:lineRule="auto"/>
        <w:jc w:val="both"/>
      </w:pP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and Verbert 2024; Arrieta 2019a;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2019a; Bhattacharya and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3"/>
    <w:bookmarkStart w:id="165" w:name="sec-taxonomia-matriz"/>
    <w:p>
      <w:pPr>
        <w:pStyle w:val="Ttulo2"/>
        <w:spacing w:line="360" w:lineRule="auto"/>
        <w:jc w:val="both"/>
      </w:pP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Table 6.1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64" w:name="tbl-taxonomia-ampliada"/>
          <w:p>
            <w:pPr>
              <w:jc w:val="both"/>
              <w:spacing w:line="360" w:lineRule="auto"/>
            </w:pPr>
            <w:pPr>
              <w:jc w:val="left"/>
              <w:spacing w:before="200"/>
              <w:pStyle w:val="ImageCaption"/>
            </w:pPr>
            <w:r>
              <w:t xml:space="preserve">Table 6.1: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4"/>
          <w:p>
            <w:pPr>
              <w:spacing w:line="360" w:lineRule="auto"/>
              <w:jc w:val="both"/>
            </w:pPr>
          </w:p>
        </w:tc>
      </w:tr>
    </w:tbl>
    <w:bookmarkEnd w:id="165"/>
    <w:bookmarkStart w:id="167" w:name="sec-taxonomia-benchmark"/>
    <w:p>
      <w:pPr>
        <w:pStyle w:val="Ttulo2"/>
        <w:spacing w:line="360" w:lineRule="auto"/>
        <w:jc w:val="both"/>
      </w:pPr>
      <w:r>
        <w:t xml:space="preserve">Mapeo del benchmark a la taxonomía</w:t>
      </w:r>
    </w:p>
    <w:p>
      <w:pPr>
        <w:pStyle w:val="FirstParagraph"/>
        <w:spacing w:line="360" w:lineRule="auto"/>
        <w:jc w:val="both"/>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66" w:name="tbl-taxonomia-benchmark"/>
          <w:p>
            <w:pPr>
              <w:jc w:val="both"/>
              <w:spacing w:line="360" w:lineRule="auto"/>
            </w:pPr>
            <w:pPr>
              <w:jc w:val="left"/>
              <w:spacing w:before="200"/>
              <w:pStyle w:val="ImageCaption"/>
            </w:pPr>
            <w:r>
              <w:t xml:space="preserve">Table 6.2: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6"/>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67"/>
    <w:bookmarkStart w:id="168" w:name="sec-taxonomia-brechas"/>
    <w:p>
      <w:pPr>
        <w:pStyle w:val="Ttulo2"/>
        <w:spacing w:line="360" w:lineRule="auto"/>
        <w:jc w:val="both"/>
      </w:pP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Table 6.1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Table 6.2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Estudios A y B.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§sec-exp4-fiabilidad.</w:t>
      </w:r>
    </w:p>
    <w:bookmarkEnd w:id="168"/>
    <w:bookmarkStart w:id="169" w:name="sec-taxonomia-contribucion"/>
    <w:p>
      <w:pPr>
        <w:pStyle w:val="Ttulo2"/>
        <w:spacing w:line="360" w:lineRule="auto"/>
        <w:jc w:val="both"/>
      </w:pP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and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69"/>
    <w:bookmarkStart w:id="171" w:name="sec-exp4-fiabilidad"/>
    <w:p>
      <w:pPr>
        <w:pStyle w:val="Ttulo2"/>
        <w:spacing w:line="360" w:lineRule="auto"/>
        <w:jc w:val="both"/>
      </w:pPr>
      <w:r>
        <w:t xml:space="preserve">Estudio de fiabilidad de evaluadores semánticos (EXP4)</w:t>
      </w:r>
    </w:p>
    <w:p>
      <w:pPr>
        <w:pStyle w:val="FirstParagraph"/>
        <w:spacing w:line="360" w:lineRule="auto"/>
        <w:jc w:val="both"/>
      </w:pPr>
      <w:r>
        <w:t xml:space="preserve">La Brecha 3 (§sec-taxonomia-brechas) identifica que la evaluación semántica</w:t>
      </w:r>
      <w:r>
        <w:t xml:space="preserve"> </w:t>
      </w:r>
      <w:r>
        <w:t xml:space="preserve">crece más rápido que su base de validación empírica. EXP4 (diseñado en</w:t>
      </w:r>
      <w:r>
        <w:t xml:space="preserve"> </w:t>
      </w:r>
      <w:r>
        <w:t xml:space="preserve">§sec-exp4-diseno,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Table 6.3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and Li 2016)</w:t>
      </w:r>
      <w:r>
        <w:t xml:space="preserve">.</w:t>
      </w:r>
    </w:p>
    <w:tbl>
      <w:tblPr>
        <w:tblStyle w:val="Table"/>
        <w:tblW w:type="pct" w:w="5000"/>
        <w:tblLayout w:type="fixed"/>
        <w:tblLook w:firstRow="0" w:lastRow="0" w:firstColumn="0" w:lastColumn="0" w:noHBand="0" w:noVBand="0" w:val="0000"/>
      </w:tblPr>
      <w:tblGrid>
        <w:gridCol w:w="7920"/>
      </w:tblGrid>
      <w:tr>
        <w:tc>
          <w:tcPr/>
          <w:bookmarkStart w:id="170" w:name="tbl-exp4-icc"/>
          <w:p>
            <w:pPr>
              <w:jc w:val="both"/>
              <w:spacing w:line="360" w:lineRule="auto"/>
            </w:pPr>
            <w:pPr>
              <w:jc w:val="left"/>
              <w:spacing w:before="200"/>
              <w:pStyle w:val="ImageCaption"/>
            </w:pPr>
            <w:r>
              <w:t xml:space="preserve">Table 6.3: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and Li 2016)</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Dimensión</w:t>
                  </w:r>
                </w:p>
              </w:tc>
              <w:tc>
                <w:tcPr/>
                <w:p>
                  <w:pPr>
                    <w:pStyle w:val="Compact"/>
                    <w:jc w:val="both"/>
                    <w:jc w:val="center"/>
                    <w:spacing w:line="360" w:lineRule="auto"/>
                  </w:pPr>
                  <w:r>
                    <w:t xml:space="preserve">ICC(1,1)</w:t>
                  </w:r>
                </w:p>
              </w:tc>
              <w:tc>
                <w:tcPr/>
                <w:p>
                  <w:pPr>
                    <w:pStyle w:val="Compact"/>
                    <w:jc w:val="both"/>
                    <w:jc w:val="center"/>
                    <w:spacing w:line="360" w:lineRule="auto"/>
                  </w:pPr>
                  <w:r>
                    <w:t xml:space="preserve">Krippendorff</w:t>
                  </w:r>
                  <w: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0"/>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and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1"/>
    <w:bookmarkEnd w:id="172"/>
    <w:bookmarkStart w:id="188" w:name="conclusiones"/>
    <w:p>
      <w:pPr>
        <w:pStyle w:val="Ttulo1"/>
        <w:spacing w:line="360" w:lineRule="auto"/>
        <w:jc w:val="both"/>
      </w:pP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5" w:name="sec-respuesta"/>
    <w:p>
      <w:pPr>
        <w:pStyle w:val="Ttulo2"/>
        <w:spacing w:line="360" w:lineRule="auto"/>
        <w:jc w:val="both"/>
      </w:pP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73" w:name="tbl-hipotesis"/>
          <w:p>
            <w:pPr>
              <w:jc w:val="both"/>
              <w:spacing w:line="360" w:lineRule="auto"/>
            </w:pPr>
            <w:pPr>
              <w:jc w:val="left"/>
              <w:spacing w:before="200"/>
              <w:pStyle w:val="ImageCaption"/>
            </w:pPr>
            <w:r>
              <w:t xml:space="preserve">Table 7.1: Síntesis de hipótesis y proposiciones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3"/>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tbl-objetivos"/>
          <w:p>
            <w:pPr>
              <w:jc w:val="both"/>
              <w:spacing w:line="360" w:lineRule="auto"/>
            </w:pPr>
            <w:pPr>
              <w:jc w:val="left"/>
              <w:spacing w:before="200"/>
              <w:pStyle w:val="ImageCaption"/>
            </w:pPr>
            <w:r>
              <w:t xml:space="preserve">Table 7.2: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w:t>
                  </w:r>
                </w:p>
              </w:tc>
              <w:tc>
                <w:tcPr/>
                <w:p>
                  <w:pPr>
                    <w:pStyle w:val="Compact"/>
                    <w:jc w:val="both"/>
                    <w:spacing w:line="360" w:lineRule="auto"/>
                  </w:pPr>
                  <w:r>
                    <w:t xml:space="preserve">Completado. Véase el Capítulo 5.</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§sec-exp4-fiabilidad.</w:t>
                  </w:r>
                </w:p>
              </w:tc>
            </w:tr>
          </w:tbl>
          <w:bookmarkEnd w:id="174"/>
          <w:p>
            <w:pPr>
              <w:spacing w:line="360" w:lineRule="auto"/>
              <w:jc w:val="both"/>
            </w:pPr>
          </w:p>
        </w:tc>
      </w:tr>
    </w:tbl>
    <w:bookmarkEnd w:id="175"/>
    <w:bookmarkStart w:id="179" w:name="sec-contribuciones"/>
    <w:p>
      <w:pPr>
        <w:pStyle w:val="Ttulo2"/>
        <w:spacing w:line="360" w:lineRule="auto"/>
        <w:jc w:val="both"/>
      </w:pPr>
      <w:r>
        <w:t xml:space="preserve">Contribuciones científicas</w:t>
      </w:r>
    </w:p>
    <w:bookmarkStart w:id="176" w:name="X2e7af289f3df14f7e31f2445fc83a79cfc8b431"/>
    <w:p>
      <w:pPr>
        <w:pStyle w:val="Ttulo3"/>
        <w:spacing w:line="360" w:lineRule="auto"/>
        <w:jc w:val="both"/>
      </w:pP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6"/>
    <w:bookmarkStart w:id="177" w:name="X93d1d918ce055ba24ba9e9f0b305f424c9a5ca8"/>
    <w:p>
      <w:pPr>
        <w:pStyle w:val="Ttulo3"/>
        <w:spacing w:line="360" w:lineRule="auto"/>
        <w:jc w:val="both"/>
      </w:pP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and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§sec-limitaciones y §sec-exp3-nota,</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2019a)</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77"/>
    <w:bookmarkStart w:id="178" w:name="X6583905c1b1630bf3acfdae91528ca52ef61481"/>
    <w:p>
      <w:pPr>
        <w:pStyle w:val="Ttulo3"/>
        <w:spacing w:line="360" w:lineRule="auto"/>
        <w:jc w:val="both"/>
      </w:pP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Table 7.4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78"/>
    <w:bookmarkEnd w:id="179"/>
    <w:bookmarkStart w:id="181" w:name="sec-posicionamiento"/>
    <w:p>
      <w:pPr>
        <w:pStyle w:val="Ttulo2"/>
        <w:spacing w:line="360" w:lineRule="auto"/>
        <w:jc w:val="both"/>
      </w:pP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Table 7.3</w:t>
        </w:r>
      </w:hyperlink>
      <w:r>
        <w:t xml:space="preserve"> </w:t>
      </w:r>
      <w:r>
        <w:t xml:space="preserve">realiza esta separación de forma explícita.</w:t>
      </w:r>
    </w:p>
    <w:tbl>
      <w:tblPr>
        <w:tblStyle w:val="Table"/>
        <w:tblW w:type="pct" w:w="5000"/>
        <w:tblLayout w:type="fixed"/>
        <w:tblLook w:firstRow="0" w:lastRow="0" w:firstColumn="0" w:lastColumn="0" w:noHBand="0" w:noVBand="0" w:val="0000"/>
      </w:tblPr>
      <w:tblGrid>
        <w:gridCol w:w="7920"/>
      </w:tblGrid>
      <w:tr>
        <w:tc>
          <w:tcPr/>
          <w:bookmarkStart w:id="180" w:name="tbl-contribucion-separacion"/>
          <w:p>
            <w:pPr>
              <w:jc w:val="both"/>
              <w:spacing w:line="360" w:lineRule="auto"/>
            </w:pPr>
            <w:pPr>
              <w:jc w:val="left"/>
              <w:spacing w:before="200"/>
              <w:pStyle w:val="ImageCaption"/>
            </w:pPr>
            <w:r>
              <w:t xml:space="preserve">Table 7.3: Separación de contribuciones respecto a los trabajos más cercanos.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0"/>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1"/>
    <w:bookmarkStart w:id="182" w:name="sec-limitaciones"/>
    <w:p>
      <w:pPr>
        <w:pStyle w:val="Ttulo2"/>
        <w:spacing w:line="360" w:lineRule="auto"/>
        <w:jc w:val="both"/>
      </w:pP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Table 7.11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(§sec-exp3-nota)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2"/>
    <w:bookmarkStart w:id="185" w:name="sec-fronteras"/>
    <w:p>
      <w:pPr>
        <w:pStyle w:val="Ttulo2"/>
        <w:spacing w:line="360" w:lineRule="auto"/>
        <w:jc w:val="both"/>
      </w:pP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Table 7.4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tblLayout w:type="fixed"/>
        <w:tblLook w:firstRow="0" w:lastRow="0" w:firstColumn="0" w:lastColumn="0" w:noHBand="0" w:noVBand="0" w:val="0000"/>
      </w:tblPr>
      <w:tblGrid>
        <w:gridCol w:w="7920"/>
      </w:tblGrid>
      <w:tr>
        <w:tc>
          <w:tcPr/>
          <w:bookmarkStart w:id="183" w:name="tbl-fronteras-generalizacion"/>
          <w:p>
            <w:pPr>
              <w:jc w:val="both"/>
              <w:spacing w:line="360" w:lineRule="auto"/>
            </w:pPr>
            <w:pPr>
              <w:jc w:val="left"/>
              <w:spacing w:before="200"/>
              <w:pStyle w:val="ImageCaption"/>
            </w:pPr>
            <w:r>
              <w:t xml:space="preserve">Table 7.4: Fronteras de generalización de los hallazgos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§sec-exp3-nota).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—§sec-exp3-nota 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3"/>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4" w:name="sec-exp3-nota"/>
    <w:p>
      <w:pPr>
        <w:pStyle w:val="Ttulo3"/>
        <w:spacing w:line="360" w:lineRule="auto"/>
        <w:jc w:val="both"/>
      </w:pP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and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and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4"/>
    <w:bookmarkEnd w:id="185"/>
    <w:bookmarkStart w:id="186" w:name="sec-futuro"/>
    <w:p>
      <w:pPr>
        <w:pStyle w:val="Ttulo2"/>
        <w:spacing w:line="360" w:lineRule="auto"/>
        <w:jc w:val="both"/>
      </w:pP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(§sec-exp4-fiabilidad)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§sec-exp4-fiabilidad (especificación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6"/>
    <w:bookmarkStart w:id="187" w:name="sec-sintesis"/>
    <w:p>
      <w:pPr>
        <w:pStyle w:val="Ttulo2"/>
        <w:spacing w:line="360" w:lineRule="auto"/>
        <w:jc w:val="both"/>
      </w:pP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(§sec-limitaciones).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Section 7.6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87"/>
    <w:bookmarkEnd w:id="188"/>
    <w:bookmarkStart w:id="323" w:name="referencias"/>
    <w:p>
      <w:pPr>
        <w:pStyle w:val="Ttulo1"/>
        <w:spacing w:line="360" w:lineRule="auto"/>
        <w:jc w:val="both"/>
      </w:pPr>
      <w:r>
        <w:t xml:space="preserve">Referencias</w:t>
      </w:r>
    </w:p>
    <w:bookmarkStart w:id="322" w:name="refs"/>
    <w:bookmarkStart w:id="190" w:name="ref-abdul2018"/>
    <w:p>
      <w:pPr>
        <w:pStyle w:val="Bibliography"/>
        <w:spacing w:line="360" w:lineRule="auto"/>
        <w:jc w:val="both"/>
      </w:pPr>
      <w:r>
        <w:t xml:space="preserve">Abdul, Ashraf, Jo Vermeulen, Danding Wang, Brian Y. Lim, and Mohan Kankanhalli. 2018.</w:t>
      </w:r>
      <w:r>
        <w:t xml:space="preserve"> </w:t>
      </w:r>
      <w:r>
        <w:t xml:space="preserve">“Trends and Trajectories for Explainable, Accountable and Intelligible Systems: An HCI Research Agenda.”</w:t>
      </w:r>
      <w:r>
        <w:t xml:space="preserve"> </w:t>
      </w:r>
      <w:r>
        <w:rPr>
          <w:i/>
          <w:iCs/>
        </w:rPr>
        <w:t xml:space="preserve">Proceedings of the 2018 CHI Conference on Human Factors in Computing Systems</w:t>
      </w:r>
      <w:r>
        <w:t xml:space="preserve">, 1–18.</w:t>
      </w:r>
      <w:r>
        <w:t xml:space="preserve"> </w:t>
      </w:r>
      <w:hyperlink ns5:id="rId189">
        <w:r>
          <w:rPr>
            <w:rStyle w:val="Hipervnculo"/>
          </w:rPr>
          <w:t xml:space="preserve">https://doi.org/10.1145/3173574.3174156</w:t>
        </w:r>
      </w:hyperlink>
      <w:r>
        <w:t xml:space="preserve">.</w:t>
      </w:r>
    </w:p>
    <w:bookmarkEnd w:id="190"/>
    <w:bookmarkStart w:id="192" w:name="ref-abdulkadir2023"/>
    <w:p>
      <w:pPr>
        <w:pStyle w:val="Bibliography"/>
        <w:spacing w:line="360" w:lineRule="auto"/>
        <w:jc w:val="both"/>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ns5:id="rId191">
        <w:r>
          <w:rPr>
            <w:rStyle w:val="Hipervnculo"/>
          </w:rPr>
          <w:t xml:space="preserve">https://doi.org/10.1109/INES59045.2023.1030000</w:t>
        </w:r>
      </w:hyperlink>
      <w:r>
        <w:t xml:space="preserve">.</w:t>
      </w:r>
    </w:p>
    <w:bookmarkEnd w:id="192"/>
    <w:bookmarkStart w:id="194"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 </w:t>
      </w:r>
      <w:r>
        <w:rPr>
          <w:i/>
          <w:iCs/>
        </w:rPr>
        <w:t xml:space="preserve">IEEE Access, 6, 52138–52160</w:t>
      </w:r>
      <w:r>
        <w:t xml:space="preserve">, ahead of print.</w:t>
      </w:r>
      <w:r>
        <w:t xml:space="preserve"> </w:t>
      </w:r>
      <w:hyperlink ns5:id="rId193">
        <w:r>
          <w:rPr>
            <w:rStyle w:val="Hipervnculo"/>
          </w:rPr>
          <w:t xml:space="preserve">https://doi.org/10.1109/access.2018.2870052</w:t>
        </w:r>
      </w:hyperlink>
      <w:r>
        <w:t xml:space="preserve">.</w:t>
      </w:r>
    </w:p>
    <w:bookmarkEnd w:id="194"/>
    <w:bookmarkStart w:id="195"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195"/>
    <w:bookmarkStart w:id="197"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 99, 101805</w:t>
      </w:r>
      <w:r>
        <w:t xml:space="preserve">, ahead of print.</w:t>
      </w:r>
      <w:r>
        <w:t xml:space="preserve"> </w:t>
      </w:r>
      <w:hyperlink ns5:id="rId196">
        <w:r>
          <w:rPr>
            <w:rStyle w:val="Hipervnculo"/>
          </w:rPr>
          <w:t xml:space="preserve">https://doi.org/10.1016/j.inffus.2023.101805</w:t>
        </w:r>
      </w:hyperlink>
      <w:r>
        <w:t xml:space="preserve">.</w:t>
      </w:r>
    </w:p>
    <w:bookmarkEnd w:id="197"/>
    <w:bookmarkStart w:id="199"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 11(1), 97–121</w:t>
      </w:r>
      <w:r>
        <w:t xml:space="preserve">, ahead of print.</w:t>
      </w:r>
      <w:r>
        <w:t xml:space="preserve"> </w:t>
      </w:r>
      <w:hyperlink ns5:id="rId198">
        <w:r>
          <w:rPr>
            <w:rStyle w:val="Hipervnculo"/>
          </w:rPr>
          <w:t xml:space="preserve">https://doi.org/10.1146/annurev-statistics-040120-030919</w:t>
        </w:r>
      </w:hyperlink>
      <w:r>
        <w:t xml:space="preserve">.</w:t>
      </w:r>
    </w:p>
    <w:bookmarkEnd w:id="199"/>
    <w:bookmarkStart w:id="201"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 </w:t>
      </w:r>
      <w:r>
        <w:rPr>
          <w:i/>
          <w:iCs/>
        </w:rPr>
        <w:t xml:space="preserve">Technologies, 13(3), 93</w:t>
      </w:r>
      <w:r>
        <w:t xml:space="preserve">, ahead of print.</w:t>
      </w:r>
      <w:r>
        <w:t xml:space="preserve"> </w:t>
      </w:r>
      <w:hyperlink ns5:id="rId200">
        <w:r>
          <w:rPr>
            <w:rStyle w:val="Hipervnculo"/>
          </w:rPr>
          <w:t xml:space="preserve">https://doi.org/10.3390/technologies13030093</w:t>
        </w:r>
      </w:hyperlink>
      <w:r>
        <w:t xml:space="preserve">.</w:t>
      </w:r>
    </w:p>
    <w:bookmarkEnd w:id="201"/>
    <w:bookmarkStart w:id="203" w:name="ref-alvarezmelis2018"/>
    <w:p>
      <w:pPr>
        <w:pStyle w:val="Bibliography"/>
        <w:spacing w:line="360" w:lineRule="auto"/>
        <w:jc w:val="both"/>
      </w:pPr>
      <w:r>
        <w:t xml:space="preserve">Alvarez-Melis, David, and Tommi S. Jaakkola. 2018.</w:t>
      </w:r>
      <w:r>
        <w:t xml:space="preserve"> </w:t>
      </w:r>
      <w:r>
        <w:rPr>
          <w:i/>
          <w:iCs/>
        </w:rPr>
        <w:t xml:space="preserve">On the Robustness of Interpretability Methods</w:t>
      </w:r>
      <w:r>
        <w:t xml:space="preserve">.</w:t>
      </w:r>
      <w:r>
        <w:t xml:space="preserve"> </w:t>
      </w:r>
      <w:hyperlink ns5:id="rId202">
        <w:r>
          <w:rPr>
            <w:rStyle w:val="Hipervnculo"/>
          </w:rPr>
          <w:t xml:space="preserve">https://arxiv.org/abs/1806.08049</w:t>
        </w:r>
      </w:hyperlink>
      <w:r>
        <w:t xml:space="preserve">.</w:t>
      </w:r>
    </w:p>
    <w:bookmarkEnd w:id="203"/>
    <w:bookmarkStart w:id="205"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 11(5)</w:t>
      </w:r>
      <w:r>
        <w:t xml:space="preserve">, ahead of print.</w:t>
      </w:r>
      <w:r>
        <w:t xml:space="preserve"> </w:t>
      </w:r>
      <w:hyperlink ns5:id="rId204">
        <w:r>
          <w:rPr>
            <w:rStyle w:val="Hipervnculo"/>
          </w:rPr>
          <w:t xml:space="preserve">https://doi.org/10.1002/widm.1424</w:t>
        </w:r>
      </w:hyperlink>
      <w:r>
        <w:t xml:space="preserve">.</w:t>
      </w:r>
    </w:p>
    <w:bookmarkEnd w:id="205"/>
    <w:bookmarkStart w:id="207" w:name="ref-arrieta2019a"/>
    <w:p>
      <w:pPr>
        <w:pStyle w:val="Bibliography"/>
        <w:spacing w:line="360" w:lineRule="auto"/>
        <w:jc w:val="both"/>
      </w:pPr>
      <w:r>
        <w:t xml:space="preserve">Arrieta, Díaz-Rodríguez, A. B. 2019a.</w:t>
      </w:r>
      <w:r>
        <w:t xml:space="preserve"> </w:t>
      </w:r>
      <w:r>
        <w:t xml:space="preserve">“Explainable Artificial Intelligence (XAI): Concepts, Taxonomies, Opportunities and Challenges Toward Responsible AI.”</w:t>
      </w:r>
      <w:r>
        <w:t xml:space="preserve"> </w:t>
      </w:r>
      <w:r>
        <w:rPr>
          <w:i/>
          <w:iCs/>
        </w:rPr>
        <w:t xml:space="preserve">Information Fusion, 58, 82–115</w:t>
      </w:r>
      <w:r>
        <w:t xml:space="preserve">, ahead of print, 2019a.</w:t>
      </w:r>
      <w:r>
        <w:t xml:space="preserve"> </w:t>
      </w:r>
      <w:hyperlink ns5:id="rId206">
        <w:r>
          <w:rPr>
            <w:rStyle w:val="Hipervnculo"/>
          </w:rPr>
          <w:t xml:space="preserve">https://doi.org/10.1016/j.inffus.2019.12.012</w:t>
        </w:r>
      </w:hyperlink>
      <w:r>
        <w:t xml:space="preserve">.</w:t>
      </w:r>
    </w:p>
    <w:bookmarkEnd w:id="207"/>
    <w:bookmarkStart w:id="209"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 </w:t>
      </w:r>
      <w:r>
        <w:rPr>
          <w:i/>
          <w:iCs/>
        </w:rPr>
        <w:t xml:space="preserve">Frontiers in Big Data, 4</w:t>
      </w:r>
      <w:r>
        <w:t xml:space="preserve">, ahead of print.</w:t>
      </w:r>
      <w:r>
        <w:t xml:space="preserve"> </w:t>
      </w:r>
      <w:hyperlink ns5:id="rId208">
        <w:r>
          <w:rPr>
            <w:rStyle w:val="Hipervnculo"/>
          </w:rPr>
          <w:t xml:space="preserve">https://doi.org/10.3389/fdata.2021.688969</w:t>
        </w:r>
      </w:hyperlink>
      <w:r>
        <w:t xml:space="preserve">.</w:t>
      </w:r>
    </w:p>
    <w:bookmarkEnd w:id="209"/>
    <w:bookmarkStart w:id="211" w:name="ref-bhattacharya2024"/>
    <w:p>
      <w:pPr>
        <w:pStyle w:val="Bibliography"/>
        <w:spacing w:line="360" w:lineRule="auto"/>
        <w:jc w:val="both"/>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ns5:id="rId210">
        <w:r>
          <w:rPr>
            <w:rStyle w:val="Hipervnculo"/>
          </w:rPr>
          <w:t xml:space="preserve">https://doi.org/10.1145/3631700.3664911</w:t>
        </w:r>
      </w:hyperlink>
      <w:r>
        <w:t xml:space="preserve">.</w:t>
      </w:r>
    </w:p>
    <w:bookmarkEnd w:id="211"/>
    <w:bookmarkStart w:id="213" w:name="ref-breiman2001"/>
    <w:p>
      <w:pPr>
        <w:pStyle w:val="Bibliography"/>
        <w:spacing w:line="360" w:lineRule="auto"/>
        <w:jc w:val="both"/>
      </w:pPr>
      <w:r>
        <w:t xml:space="preserve">Breiman, L. 2001.</w:t>
      </w:r>
      <w:r>
        <w:t xml:space="preserve"> </w:t>
      </w:r>
      <w:r>
        <w:t xml:space="preserve">“Random Forests.”</w:t>
      </w:r>
      <w:r>
        <w:t xml:space="preserve"> </w:t>
      </w:r>
      <w:r>
        <w:rPr>
          <w:i/>
          <w:iCs/>
        </w:rPr>
        <w:t xml:space="preserve">Machine Learning, 45(1), 5–32</w:t>
      </w:r>
      <w:r>
        <w:t xml:space="preserve">, ahead of print.</w:t>
      </w:r>
      <w:r>
        <w:t xml:space="preserve"> </w:t>
      </w:r>
      <w:hyperlink ns5:id="rId212">
        <w:r>
          <w:rPr>
            <w:rStyle w:val="Hipervnculo"/>
          </w:rPr>
          <w:t xml:space="preserve">https://doi.org/10.1023/a:1010933404324</w:t>
        </w:r>
      </w:hyperlink>
      <w:r>
        <w:t xml:space="preserve">.</w:t>
      </w:r>
    </w:p>
    <w:bookmarkEnd w:id="213"/>
    <w:bookmarkStart w:id="215" w:name="ref-burger2023"/>
    <w:p>
      <w:pPr>
        <w:pStyle w:val="Bibliography"/>
        <w:spacing w:line="360" w:lineRule="auto"/>
        <w:jc w:val="both"/>
      </w:pPr>
      <w:r>
        <w:t xml:space="preserve">Burger, Christopher, Lingwei Chen, and Thai Le. 2023.</w:t>
      </w:r>
      <w:r>
        <w:t xml:space="preserve"> </w:t>
      </w:r>
      <w:r>
        <w:t xml:space="preserve">“Are Your Explanations Reliable? Investigating the Stability of LIME in Explaining Text Classifiers by Marrying XAI and Adversarial Attack.”</w:t>
      </w:r>
      <w:r>
        <w:t xml:space="preserve"> </w:t>
      </w:r>
      <w:r>
        <w:rPr>
          <w:i/>
          <w:iCs/>
        </w:rPr>
        <w:t xml:space="preserve">Proceedings of the 2023 Conference on Empirical Methods in Natural Language Processing</w:t>
      </w:r>
      <w:r>
        <w:t xml:space="preserve">, 12931–44.</w:t>
      </w:r>
      <w:r>
        <w:t xml:space="preserve"> </w:t>
      </w:r>
      <w:hyperlink ns5:id="rId214">
        <w:r>
          <w:rPr>
            <w:rStyle w:val="Hipervnculo"/>
          </w:rPr>
          <w:t xml:space="preserve">https://doi.org/10.18653/v1/2023.emnlp-main.792</w:t>
        </w:r>
      </w:hyperlink>
      <w:r>
        <w:t xml:space="preserve">.</w:t>
      </w:r>
    </w:p>
    <w:bookmarkEnd w:id="215"/>
    <w:bookmarkStart w:id="217" w:name="ref-canha2025"/>
    <w:p>
      <w:pPr>
        <w:pStyle w:val="Bibliography"/>
        <w:spacing w:line="360" w:lineRule="auto"/>
        <w:jc w:val="both"/>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ns5:id="rId216">
        <w:r>
          <w:rPr>
            <w:rStyle w:val="Hipervnculo"/>
          </w:rPr>
          <w:t xml:space="preserve">https://doi.org/10.1145/3737445</w:t>
        </w:r>
      </w:hyperlink>
      <w:r>
        <w:t xml:space="preserve">.</w:t>
      </w:r>
    </w:p>
    <w:bookmarkEnd w:id="217"/>
    <w:bookmarkStart w:id="219" w:name="ref-carvalho2019"/>
    <w:p>
      <w:pPr>
        <w:pStyle w:val="Bibliography"/>
        <w:spacing w:line="360" w:lineRule="auto"/>
        <w:jc w:val="both"/>
      </w:pPr>
      <w:r>
        <w:t xml:space="preserve">Carvalho, Diogo V., Eduardo M. Pereira, and Jaime S. Cardoso. 2019.</w:t>
      </w:r>
      <w:r>
        <w:t xml:space="preserve"> </w:t>
      </w:r>
      <w:r>
        <w:t xml:space="preserve">“Machine Learning Interpretability: A Survey on Methods and Metrics.”</w:t>
      </w:r>
      <w:r>
        <w:t xml:space="preserve"> </w:t>
      </w:r>
      <w:r>
        <w:rPr>
          <w:i/>
          <w:iCs/>
        </w:rPr>
        <w:t xml:space="preserve">Electronics</w:t>
      </w:r>
      <w:r>
        <w:t xml:space="preserve"> </w:t>
      </w:r>
      <w:r>
        <w:t xml:space="preserve">8 (8): 832.</w:t>
      </w:r>
      <w:r>
        <w:t xml:space="preserve"> </w:t>
      </w:r>
      <w:hyperlink ns5:id="rId218">
        <w:r>
          <w:rPr>
            <w:rStyle w:val="Hipervnculo"/>
          </w:rPr>
          <w:t xml:space="preserve">https://doi.org/10.3390/electronics8080832</w:t>
        </w:r>
      </w:hyperlink>
      <w:r>
        <w:t xml:space="preserve">.</w:t>
      </w:r>
    </w:p>
    <w:bookmarkEnd w:id="219"/>
    <w:bookmarkStart w:id="221"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ns5:id="rId220">
        <w:r>
          <w:rPr>
            <w:rStyle w:val="Hipervnculo"/>
          </w:rPr>
          <w:t xml:space="preserve">https://www.jmlr.org/papers/v7/demsar06a.html</w:t>
        </w:r>
      </w:hyperlink>
      <w:r>
        <w:t xml:space="preserve">.</w:t>
      </w:r>
    </w:p>
    <w:bookmarkEnd w:id="221"/>
    <w:bookmarkStart w:id="223"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ns5:id="rId222">
        <w:r>
          <w:rPr>
            <w:rStyle w:val="Hipervnculo"/>
          </w:rPr>
          <w:t xml:space="preserve">https://doi.org/10.48550/arxiv.1702.08608</w:t>
        </w:r>
      </w:hyperlink>
      <w:r>
        <w:t xml:space="preserve">.</w:t>
      </w:r>
    </w:p>
    <w:bookmarkEnd w:id="223"/>
    <w:bookmarkStart w:id="225" w:name="ref-dua2019uci"/>
    <w:p>
      <w:pPr>
        <w:pStyle w:val="Bibliography"/>
        <w:spacing w:line="360" w:lineRule="auto"/>
        <w:jc w:val="both"/>
      </w:pPr>
      <w:r>
        <w:t xml:space="preserve">Dua, Dheeru, and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24">
        <w:r>
          <w:rPr>
            <w:rStyle w:val="Hipervnculo"/>
          </w:rPr>
          <w:t xml:space="preserve">http://archive.ics.uci.edu/ml</w:t>
        </w:r>
      </w:hyperlink>
      <w:r>
        <w:t xml:space="preserve">.</w:t>
      </w:r>
    </w:p>
    <w:bookmarkEnd w:id="225"/>
    <w:bookmarkStart w:id="227"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 28(4), 689–707</w:t>
      </w:r>
      <w:r>
        <w:t xml:space="preserve">, ahead of print.</w:t>
      </w:r>
      <w:r>
        <w:t xml:space="preserve"> </w:t>
      </w:r>
      <w:hyperlink ns5:id="rId226">
        <w:r>
          <w:rPr>
            <w:rStyle w:val="Hipervnculo"/>
          </w:rPr>
          <w:t xml:space="preserve">https://doi.org/10.1007/s11023-018-9482-5</w:t>
        </w:r>
      </w:hyperlink>
      <w:r>
        <w:t xml:space="preserve">.</w:t>
      </w:r>
    </w:p>
    <w:bookmarkEnd w:id="227"/>
    <w:bookmarkStart w:id="229"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ns5:id="rId228">
        <w:r>
          <w:rPr>
            <w:rStyle w:val="Hipervnculo"/>
          </w:rPr>
          <w:t xml:space="preserve">https://doi.org/10.1080/01621459.1937.10503522</w:t>
        </w:r>
      </w:hyperlink>
      <w:r>
        <w:t xml:space="preserve">.</w:t>
      </w:r>
    </w:p>
    <w:bookmarkEnd w:id="229"/>
    <w:bookmarkStart w:id="231"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ns5:id="rId230">
        <w:r>
          <w:rPr>
            <w:rStyle w:val="Hipervnculo"/>
          </w:rPr>
          <w:t xml:space="preserve">https://doi.org/10.1109/dsaa.2018.00018</w:t>
        </w:r>
      </w:hyperlink>
      <w:r>
        <w:t xml:space="preserve">.</w:t>
      </w:r>
    </w:p>
    <w:bookmarkEnd w:id="231"/>
    <w:bookmarkStart w:id="233" w:name="ref-guidotti2018"/>
    <w:p>
      <w:pPr>
        <w:pStyle w:val="Bibliography"/>
        <w:spacing w:line="360" w:lineRule="auto"/>
        <w:jc w:val="both"/>
      </w:pPr>
      <w:r>
        <w:t xml:space="preserve">Guidotti, Riccardo, Anna Monreale, Salvatore Ruggieri, Franco Turini, Fosca Giannotti, and Dino Pedreschi. 2018.</w:t>
      </w:r>
      <w:r>
        <w:t xml:space="preserve"> </w:t>
      </w:r>
      <w:r>
        <w:t xml:space="preserve">“A Survey of Methods for Explaining Black Box Models.”</w:t>
      </w:r>
      <w:r>
        <w:t xml:space="preserve"> </w:t>
      </w:r>
      <w:r>
        <w:rPr>
          <w:i/>
          <w:iCs/>
        </w:rPr>
        <w:t xml:space="preserve">ACM Computing Surveys</w:t>
      </w:r>
      <w:r>
        <w:t xml:space="preserve"> </w:t>
      </w:r>
      <w:r>
        <w:t xml:space="preserve">51 (5): 1–42.</w:t>
      </w:r>
      <w:r>
        <w:t xml:space="preserve"> </w:t>
      </w:r>
      <w:hyperlink ns5:id="rId232">
        <w:r>
          <w:rPr>
            <w:rStyle w:val="Hipervnculo"/>
          </w:rPr>
          <w:t xml:space="preserve">https://doi.org/10.1145/3236009</w:t>
        </w:r>
      </w:hyperlink>
      <w:r>
        <w:t xml:space="preserve">.</w:t>
      </w:r>
    </w:p>
    <w:bookmarkEnd w:id="233"/>
    <w:bookmarkStart w:id="235" w:name="ref-hase2020"/>
    <w:p>
      <w:pPr>
        <w:pStyle w:val="Bibliography"/>
        <w:spacing w:line="360" w:lineRule="auto"/>
        <w:jc w:val="both"/>
      </w:pPr>
      <w:r>
        <w:t xml:space="preserve">Hase, Peter, and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34">
        <w:r>
          <w:rPr>
            <w:rStyle w:val="Hipervnculo"/>
          </w:rPr>
          <w:t xml:space="preserve">https://doi.org/10.18653/v1/2020.acl-main.491</w:t>
        </w:r>
      </w:hyperlink>
      <w:r>
        <w:t xml:space="preserve">.</w:t>
      </w:r>
    </w:p>
    <w:bookmarkEnd w:id="235"/>
    <w:bookmarkStart w:id="237"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 </w:t>
      </w:r>
      <w:r>
        <w:rPr>
          <w:i/>
          <w:iCs/>
        </w:rPr>
        <w:t xml:space="preserve">Cognitive Computation, 16(1), 45–74</w:t>
      </w:r>
      <w:r>
        <w:t xml:space="preserve">, ahead of print.</w:t>
      </w:r>
      <w:r>
        <w:t xml:space="preserve"> </w:t>
      </w:r>
      <w:hyperlink ns5:id="rId236">
        <w:r>
          <w:rPr>
            <w:rStyle w:val="Hipervnculo"/>
          </w:rPr>
          <w:t xml:space="preserve">https://doi.org/10.1007/s12559-023-10179-8</w:t>
        </w:r>
      </w:hyperlink>
      <w:r>
        <w:t xml:space="preserve">.</w:t>
      </w:r>
    </w:p>
    <w:bookmarkEnd w:id="237"/>
    <w:bookmarkStart w:id="238"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238"/>
    <w:bookmarkStart w:id="240" w:name="ref-hoffman2023"/>
    <w:p>
      <w:pPr>
        <w:pStyle w:val="Bibliography"/>
        <w:spacing w:line="360" w:lineRule="auto"/>
        <w:jc w:val="both"/>
      </w:pPr>
      <w:r>
        <w:t xml:space="preserve">Hoffman, Robert R., Timothy Miller, Gary Klein, Shane T. Mueller, and William J. Clancey. 2023.</w:t>
      </w:r>
      <w:r>
        <w:t xml:space="preserve"> </w:t>
      </w:r>
      <w:r>
        <w:t xml:space="preserve">“Increasing the Value of XAI for Users: A Psychological Perspective.”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39">
        <w:r>
          <w:rPr>
            <w:rStyle w:val="Hipervnculo"/>
          </w:rPr>
          <w:t xml:space="preserve">https://doi.org/10.1007/s13218-023-00806-9</w:t>
        </w:r>
      </w:hyperlink>
      <w:r>
        <w:t xml:space="preserve">.</w:t>
      </w:r>
    </w:p>
    <w:bookmarkEnd w:id="240"/>
    <w:bookmarkStart w:id="242"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 </w:t>
      </w:r>
      <w:r>
        <w:rPr>
          <w:i/>
          <w:iCs/>
        </w:rPr>
        <w:t xml:space="preserve">Science</w:t>
      </w:r>
      <w:r>
        <w:t xml:space="preserve"> </w:t>
      </w:r>
      <w:r>
        <w:t xml:space="preserve">359 (6377): 725–26.</w:t>
      </w:r>
      <w:r>
        <w:t xml:space="preserve"> </w:t>
      </w:r>
      <w:hyperlink ns5:id="rId241">
        <w:r>
          <w:rPr>
            <w:rStyle w:val="Hipervnculo"/>
          </w:rPr>
          <w:t xml:space="preserve">https://doi.org/10.1126/science.359.6377.725</w:t>
        </w:r>
      </w:hyperlink>
      <w:r>
        <w:t xml:space="preserve">.</w:t>
      </w:r>
    </w:p>
    <w:bookmarkEnd w:id="242"/>
    <w:bookmarkStart w:id="244" w:name="ref-karimi2022"/>
    <w:p>
      <w:pPr>
        <w:pStyle w:val="Bibliography"/>
        <w:spacing w:line="360" w:lineRule="auto"/>
        <w:jc w:val="both"/>
      </w:pPr>
      <w:r>
        <w:t xml:space="preserve">Karimi, Amir-Hossein, Gilles Barthe, Bernhard Schölkopf, and Isabel Valera. 2022.</w:t>
      </w:r>
      <w:r>
        <w:t xml:space="preserve"> </w:t>
      </w:r>
      <w:r>
        <w:t xml:space="preserve">“A Survey of Algorithmic Recourse: Contrastive Explanations and Consequential Recommendations.”</w:t>
      </w:r>
      <w:r>
        <w:t xml:space="preserve"> </w:t>
      </w:r>
      <w:r>
        <w:rPr>
          <w:i/>
          <w:iCs/>
        </w:rPr>
        <w:t xml:space="preserve">ACM Computing Surveys</w:t>
      </w:r>
      <w:r>
        <w:t xml:space="preserve"> </w:t>
      </w:r>
      <w:r>
        <w:t xml:space="preserve">55 (5): 1–29.</w:t>
      </w:r>
      <w:r>
        <w:t xml:space="preserve"> </w:t>
      </w:r>
      <w:hyperlink ns5:id="rId243">
        <w:r>
          <w:rPr>
            <w:rStyle w:val="Hipervnculo"/>
          </w:rPr>
          <w:t xml:space="preserve">https://doi.org/10.1145/3527848</w:t>
        </w:r>
      </w:hyperlink>
      <w:r>
        <w:t xml:space="preserve">.</w:t>
      </w:r>
    </w:p>
    <w:bookmarkEnd w:id="244"/>
    <w:bookmarkStart w:id="246" w:name="ref-kaur2020"/>
    <w:p>
      <w:pPr>
        <w:pStyle w:val="Bibliography"/>
        <w:spacing w:line="360" w:lineRule="auto"/>
        <w:jc w:val="both"/>
      </w:pPr>
      <w:r>
        <w:t xml:space="preserve">Kaur, Harmanpreet, Harsha Nori, Samuel Jenkins, Rich Caruana, Hanna Wallach, and Jennifer Wortman Vaughan. 2020.</w:t>
      </w:r>
      <w:r>
        <w:t xml:space="preserve"> </w:t>
      </w:r>
      <w:r>
        <w:t xml:space="preserve">“Interpreting Interpretability: Understanding Data Scientists’ Use of Interpretability Tools for Machine Learning.”</w:t>
      </w:r>
      <w:r>
        <w:t xml:space="preserve"> </w:t>
      </w:r>
      <w:r>
        <w:rPr>
          <w:i/>
          <w:iCs/>
        </w:rPr>
        <w:t xml:space="preserve">Proceedings of the 2020 CHI Conference on Human Factors in Computing Systems</w:t>
      </w:r>
      <w:r>
        <w:t xml:space="preserve">, 1–14.</w:t>
      </w:r>
      <w:r>
        <w:t xml:space="preserve"> </w:t>
      </w:r>
      <w:hyperlink ns5:id="rId245">
        <w:r>
          <w:rPr>
            <w:rStyle w:val="Hipervnculo"/>
          </w:rPr>
          <w:t xml:space="preserve">https://doi.org/10.1145/3313831.3376219</w:t>
        </w:r>
      </w:hyperlink>
      <w:r>
        <w:t xml:space="preserve">.</w:t>
      </w:r>
    </w:p>
    <w:bookmarkEnd w:id="246"/>
    <w:bookmarkStart w:id="248" w:name="ref-kohavi1996"/>
    <w:p>
      <w:pPr>
        <w:pStyle w:val="Bibliography"/>
        <w:spacing w:line="360" w:lineRule="auto"/>
        <w:jc w:val="both"/>
      </w:pPr>
      <w:r>
        <w:t xml:space="preserve">Kohavi, Ron, and Barry Becker. 1996.</w:t>
      </w:r>
      <w:r>
        <w:t xml:space="preserve"> </w:t>
      </w:r>
      <w:r>
        <w:rPr>
          <w:i/>
          <w:iCs/>
        </w:rPr>
        <w:t xml:space="preserve">Adult Data Set</w:t>
      </w:r>
      <w:r>
        <w:t xml:space="preserve">. UCI Machine Learning Repository.</w:t>
      </w:r>
      <w:r>
        <w:t xml:space="preserve"> </w:t>
      </w:r>
      <w:hyperlink ns5:id="rId247">
        <w:r>
          <w:rPr>
            <w:rStyle w:val="Hipervnculo"/>
          </w:rPr>
          <w:t xml:space="preserve">https://archive.ics.uci.edu/dataset/2/adult</w:t>
        </w:r>
      </w:hyperlink>
      <w:r>
        <w:t xml:space="preserve">.</w:t>
      </w:r>
    </w:p>
    <w:bookmarkEnd w:id="248"/>
    <w:bookmarkStart w:id="250" w:name="ref-koo2016"/>
    <w:p>
      <w:pPr>
        <w:pStyle w:val="Bibliography"/>
        <w:spacing w:line="360" w:lineRule="auto"/>
        <w:jc w:val="both"/>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ns5:id="rId249">
        <w:r>
          <w:rPr>
            <w:rStyle w:val="Hipervnculo"/>
          </w:rPr>
          <w:t xml:space="preserve">https://doi.org/10.1016/j.jcm.2016.02.012</w:t>
        </w:r>
      </w:hyperlink>
      <w:r>
        <w:t xml:space="preserve">.</w:t>
      </w:r>
    </w:p>
    <w:bookmarkEnd w:id="250"/>
    <w:bookmarkStart w:id="252"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ns5:id="rId251">
        <w:r>
          <w:rPr>
            <w:rStyle w:val="Hipervnculo"/>
          </w:rPr>
          <w:t xml:space="preserve">https://doi.org/10.3389/fpsyg.2013.00863</w:t>
        </w:r>
      </w:hyperlink>
      <w:r>
        <w:t xml:space="preserve">.</w:t>
      </w:r>
    </w:p>
    <w:bookmarkEnd w:id="252"/>
    <w:bookmarkStart w:id="254"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 </w:t>
      </w:r>
      <w:r>
        <w:rPr>
          <w:i/>
          <w:iCs/>
        </w:rPr>
        <w:t xml:space="preserve">Artificial Intelligence</w:t>
      </w:r>
      <w:r>
        <w:t xml:space="preserve"> </w:t>
      </w:r>
      <w:r>
        <w:t xml:space="preserve">296: 103473.</w:t>
      </w:r>
      <w:r>
        <w:t xml:space="preserve"> </w:t>
      </w:r>
      <w:hyperlink ns5:id="rId253">
        <w:r>
          <w:rPr>
            <w:rStyle w:val="Hipervnculo"/>
          </w:rPr>
          <w:t xml:space="preserve">https://doi.org/10.1016/j.artint.2021.103473</w:t>
        </w:r>
      </w:hyperlink>
      <w:r>
        <w:t xml:space="preserve">.</w:t>
      </w:r>
    </w:p>
    <w:bookmarkEnd w:id="254"/>
    <w:bookmarkStart w:id="256" w:name="ref-laugel2019"/>
    <w:p>
      <w:pPr>
        <w:pStyle w:val="Bibliography"/>
        <w:spacing w:line="360" w:lineRule="auto"/>
        <w:jc w:val="both"/>
      </w:pPr>
      <w:r>
        <w:t xml:space="preserve">Laugel, Thibault, Marie-Jeanne Lesot, Christophe Marsala, Xavier Renard, and Marcin Detyniecki. 2019.</w:t>
      </w:r>
      <w:r>
        <w:t xml:space="preserve"> </w:t>
      </w:r>
      <w:r>
        <w:t xml:space="preserve">“The Dangers of Post-Hoc Interpretability: Unjustified Counterfactual Explanations.”</w:t>
      </w:r>
      <w:r>
        <w:t xml:space="preserve"> </w:t>
      </w:r>
      <w:r>
        <w:rPr>
          <w:i/>
          <w:iCs/>
        </w:rPr>
        <w:t xml:space="preserve">Proceedings of the Twenty-Eighth International Joint Conference on Artificial Intelligence</w:t>
      </w:r>
      <w:r>
        <w:t xml:space="preserve">, 2801–7.</w:t>
      </w:r>
      <w:r>
        <w:t xml:space="preserve"> </w:t>
      </w:r>
      <w:hyperlink ns5:id="rId255">
        <w:r>
          <w:rPr>
            <w:rStyle w:val="Hipervnculo"/>
          </w:rPr>
          <w:t xml:space="preserve">https://doi.org/10.24963/ijcai.2019/388</w:t>
        </w:r>
      </w:hyperlink>
      <w:r>
        <w:t xml:space="preserve">.</w:t>
      </w:r>
    </w:p>
    <w:bookmarkEnd w:id="256"/>
    <w:bookmarkStart w:id="258"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 </w:t>
      </w:r>
      <w:r>
        <w:rPr>
          <w:i/>
          <w:iCs/>
        </w:rPr>
        <w:t xml:space="preserve">Entropy, 23(1), 18</w:t>
      </w:r>
      <w:r>
        <w:t xml:space="preserve">, ahead of print.</w:t>
      </w:r>
      <w:r>
        <w:t xml:space="preserve"> </w:t>
      </w:r>
      <w:hyperlink ns5:id="rId257">
        <w:r>
          <w:rPr>
            <w:rStyle w:val="Hipervnculo"/>
          </w:rPr>
          <w:t xml:space="preserve">https://doi.org/10.3390/e23010018</w:t>
        </w:r>
      </w:hyperlink>
      <w:r>
        <w:t xml:space="preserve">.</w:t>
      </w:r>
    </w:p>
    <w:bookmarkEnd w:id="258"/>
    <w:bookmarkStart w:id="260" w:name="ref-lipton2018"/>
    <w:p>
      <w:pPr>
        <w:pStyle w:val="Bibliography"/>
        <w:spacing w:line="360" w:lineRule="auto"/>
        <w:jc w:val="both"/>
      </w:pPr>
      <w:r>
        <w:t xml:space="preserve">Lipton, Z. C. 2018.</w:t>
      </w:r>
      <w:r>
        <w:t xml:space="preserve"> </w:t>
      </w:r>
      <w:r>
        <w:t xml:space="preserve">“The Mythos of Model Interpretability.”</w:t>
      </w:r>
      <w:r>
        <w:t xml:space="preserve"> </w:t>
      </w:r>
      <w:r>
        <w:rPr>
          <w:i/>
          <w:iCs/>
        </w:rPr>
        <w:t xml:space="preserve">Queue, 16(3), 31–57</w:t>
      </w:r>
      <w:r>
        <w:t xml:space="preserve">, ahead of print.</w:t>
      </w:r>
      <w:r>
        <w:t xml:space="preserve"> </w:t>
      </w:r>
      <w:hyperlink ns5:id="rId259">
        <w:r>
          <w:rPr>
            <w:rStyle w:val="Hipervnculo"/>
          </w:rPr>
          <w:t xml:space="preserve">https://doi.org/10.1145/3236386.3241340</w:t>
        </w:r>
      </w:hyperlink>
      <w:r>
        <w:t xml:space="preserve">.</w:t>
      </w:r>
    </w:p>
    <w:bookmarkEnd w:id="260"/>
    <w:bookmarkStart w:id="262"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ns5:id="rId261">
        <w:r>
          <w:rPr>
            <w:rStyle w:val="Hipervnculo"/>
          </w:rPr>
          <w:t xml:space="preserve">https://doi.org/10.48550/arxiv.1705.07874</w:t>
        </w:r>
      </w:hyperlink>
      <w:r>
        <w:t xml:space="preserve">.</w:t>
      </w:r>
    </w:p>
    <w:bookmarkEnd w:id="262"/>
    <w:bookmarkStart w:id="264"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ns5:id="rId263">
        <w:r>
          <w:rPr>
            <w:rStyle w:val="Hipervnculo"/>
          </w:rPr>
          <w:t xml:space="preserve">https://doi.org/10.1145/3647444.3647912</w:t>
        </w:r>
      </w:hyperlink>
      <w:r>
        <w:t xml:space="preserve">.</w:t>
      </w:r>
    </w:p>
    <w:bookmarkEnd w:id="264"/>
    <w:bookmarkStart w:id="266"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 13(3)</w:t>
      </w:r>
      <w:r>
        <w:t xml:space="preserve">, ahead of print.</w:t>
      </w:r>
      <w:r>
        <w:t xml:space="preserve"> </w:t>
      </w:r>
      <w:hyperlink ns5:id="rId265">
        <w:r>
          <w:rPr>
            <w:rStyle w:val="Hipervnculo"/>
          </w:rPr>
          <w:t xml:space="preserve">https://doi.org/10.1002/widm.1493</w:t>
        </w:r>
      </w:hyperlink>
      <w:r>
        <w:t xml:space="preserve">.</w:t>
      </w:r>
    </w:p>
    <w:bookmarkEnd w:id="266"/>
    <w:bookmarkStart w:id="268"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 </w:t>
      </w:r>
      <w:r>
        <w:rPr>
          <w:i/>
          <w:iCs/>
        </w:rPr>
        <w:t xml:space="preserve">Artificial Intelligence</w:t>
      </w:r>
      <w:r>
        <w:t xml:space="preserve"> </w:t>
      </w:r>
      <w:r>
        <w:t xml:space="preserve">267: 1–38.</w:t>
      </w:r>
      <w:r>
        <w:t xml:space="preserve"> </w:t>
      </w:r>
      <w:hyperlink ns5:id="rId267">
        <w:r>
          <w:rPr>
            <w:rStyle w:val="Hipervnculo"/>
          </w:rPr>
          <w:t xml:space="preserve">https://doi.org/10.1016/j.artint.2018.07.007</w:t>
        </w:r>
      </w:hyperlink>
      <w:r>
        <w:t xml:space="preserve">.</w:t>
      </w:r>
    </w:p>
    <w:bookmarkEnd w:id="268"/>
    <w:bookmarkStart w:id="270" w:name="ref-mittelstadt2019"/>
    <w:p>
      <w:pPr>
        <w:pStyle w:val="Bibliography"/>
        <w:spacing w:line="360" w:lineRule="auto"/>
        <w:jc w:val="both"/>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ns5:id="rId269">
        <w:r>
          <w:rPr>
            <w:rStyle w:val="Hipervnculo"/>
          </w:rPr>
          <w:t xml:space="preserve">https://doi.org/10.1145/3287560.3287574</w:t>
        </w:r>
      </w:hyperlink>
      <w:r>
        <w:t xml:space="preserve">.</w:t>
      </w:r>
    </w:p>
    <w:bookmarkEnd w:id="270"/>
    <w:bookmarkStart w:id="272" w:name="ref-mohseni2021"/>
    <w:p>
      <w:pPr>
        <w:pStyle w:val="Bibliography"/>
        <w:spacing w:line="360" w:lineRule="auto"/>
        <w:jc w:val="both"/>
      </w:pPr>
      <w:r>
        <w:t xml:space="preserve">Mohseni, Sina, Niloofar Zarei, and Eric D. Ragan. 2021.</w:t>
      </w:r>
      <w:r>
        <w:t xml:space="preserve"> </w:t>
      </w:r>
      <w:r>
        <w:t xml:space="preserve">“A Multidisciplinary Survey and Framework for Design and Evaluation of Explainable AI Systems.”</w:t>
      </w:r>
      <w:r>
        <w:t xml:space="preserve"> </w:t>
      </w:r>
      <w:r>
        <w:rPr>
          <w:i/>
          <w:iCs/>
        </w:rPr>
        <w:t xml:space="preserve">ACM Transactions on Interactive Intelligent Systems</w:t>
      </w:r>
      <w:r>
        <w:t xml:space="preserve"> </w:t>
      </w:r>
      <w:r>
        <w:t xml:space="preserve">11 (3-4): 1–45.</w:t>
      </w:r>
      <w:r>
        <w:t xml:space="preserve"> </w:t>
      </w:r>
      <w:hyperlink ns5:id="rId271">
        <w:r>
          <w:rPr>
            <w:rStyle w:val="Hipervnculo"/>
          </w:rPr>
          <w:t xml:space="preserve">https://doi.org/10.1145/3387166</w:t>
        </w:r>
      </w:hyperlink>
      <w:r>
        <w:t xml:space="preserve">.</w:t>
      </w:r>
    </w:p>
    <w:bookmarkEnd w:id="272"/>
    <w:bookmarkStart w:id="274"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ns5:id="rId273">
        <w:r>
          <w:rPr>
            <w:rStyle w:val="Hipervnculo"/>
          </w:rPr>
          <w:t xml:space="preserve">https://doi.org/10.1145/3351095.3372850</w:t>
        </w:r>
      </w:hyperlink>
      <w:r>
        <w:t xml:space="preserve">.</w:t>
      </w:r>
    </w:p>
    <w:bookmarkEnd w:id="274"/>
    <w:bookmarkStart w:id="276"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 116(44), 22071–22080</w:t>
      </w:r>
      <w:r>
        <w:t xml:space="preserve">, ahead of print.</w:t>
      </w:r>
      <w:r>
        <w:t xml:space="preserve"> </w:t>
      </w:r>
      <w:hyperlink ns5:id="rId275">
        <w:r>
          <w:rPr>
            <w:rStyle w:val="Hipervnculo"/>
          </w:rPr>
          <w:t xml:space="preserve">https://doi.org/10.1073/pnas.1900654116</w:t>
        </w:r>
      </w:hyperlink>
      <w:r>
        <w:t xml:space="preserve">.</w:t>
      </w:r>
    </w:p>
    <w:bookmarkEnd w:id="276"/>
    <w:bookmarkStart w:id="278"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 </w:t>
      </w:r>
      <w:r>
        <w:rPr>
          <w:i/>
          <w:iCs/>
        </w:rPr>
        <w:t xml:space="preserve">ACM Computing Surveys</w:t>
      </w:r>
      <w:r>
        <w:t xml:space="preserve"> </w:t>
      </w:r>
      <w:r>
        <w:t xml:space="preserve">55 (13s): 1–42.</w:t>
      </w:r>
      <w:r>
        <w:t xml:space="preserve"> </w:t>
      </w:r>
      <w:hyperlink ns5:id="rId277">
        <w:r>
          <w:rPr>
            <w:rStyle w:val="Hipervnculo"/>
          </w:rPr>
          <w:t xml:space="preserve">https://doi.org/10.1145/3583558</w:t>
        </w:r>
      </w:hyperlink>
      <w:r>
        <w:t xml:space="preserve">.</w:t>
      </w:r>
    </w:p>
    <w:bookmarkEnd w:id="278"/>
    <w:bookmarkStart w:id="280" w:name="ref-nemenyi1963"/>
    <w:p>
      <w:pPr>
        <w:pStyle w:val="Bibliography"/>
        <w:spacing w:line="360" w:lineRule="auto"/>
        <w:jc w:val="both"/>
      </w:pPr>
      <w:r>
        <w:t xml:space="preserve">Nemenyi, Peter Bjorn. 1963.</w:t>
      </w:r>
      <w:r>
        <w:t xml:space="preserve"> </w:t>
      </w:r>
      <w:r>
        <w:t xml:space="preserve">“Distribution-Free Multiple Comparisons.”</w:t>
      </w:r>
      <w:r>
        <w:t xml:space="preserve"> </w:t>
      </w:r>
      <w:r>
        <w:t xml:space="preserve">PhD thesis, Princeton University.</w:t>
      </w:r>
      <w:r>
        <w:t xml:space="preserve"> </w:t>
      </w:r>
      <w:hyperlink ns5:id="rId279">
        <w:r>
          <w:rPr>
            <w:rStyle w:val="Hipervnculo"/>
          </w:rPr>
          <w:t xml:space="preserve">https://catalog.princeton.edu/catalog/2081365</w:t>
        </w:r>
      </w:hyperlink>
      <w:r>
        <w:t xml:space="preserve">.</w:t>
      </w:r>
    </w:p>
    <w:bookmarkEnd w:id="280"/>
    <w:bookmarkStart w:id="281" w:name="ref-nizam2023"/>
    <w:p>
      <w:pPr>
        <w:pStyle w:val="Bibliography"/>
        <w:spacing w:line="360" w:lineRule="auto"/>
        <w:jc w:val="both"/>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281"/>
    <w:bookmarkStart w:id="283"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 13(1)</w:t>
      </w:r>
      <w:r>
        <w:t xml:space="preserve">, ahead of print.</w:t>
      </w:r>
      <w:r>
        <w:t xml:space="preserve"> </w:t>
      </w:r>
      <w:hyperlink ns5:id="rId282">
        <w:r>
          <w:rPr>
            <w:rStyle w:val="Hipervnculo"/>
          </w:rPr>
          <w:t xml:space="preserve">https://doi.org/10.1038/s41467-022-33417-3</w:t>
        </w:r>
      </w:hyperlink>
      <w:r>
        <w:t xml:space="preserve">.</w:t>
      </w:r>
    </w:p>
    <w:bookmarkEnd w:id="283"/>
    <w:bookmarkStart w:id="285"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ns5:id="rId284">
        <w:r>
          <w:rPr>
            <w:rStyle w:val="Hipervnculo"/>
          </w:rPr>
          <w:t xml:space="preserve">https://doi.org/10.1016/j.neucom.2024.128282</w:t>
        </w:r>
      </w:hyperlink>
      <w:r>
        <w:t xml:space="preserve">.</w:t>
      </w:r>
    </w:p>
    <w:bookmarkEnd w:id="285"/>
    <w:bookmarkStart w:id="287" w:name="ref-poyiadzi2020"/>
    <w:p>
      <w:pPr>
        <w:pStyle w:val="Bibliography"/>
        <w:spacing w:line="360" w:lineRule="auto"/>
        <w:jc w:val="both"/>
      </w:pPr>
      <w:r>
        <w:t xml:space="preserve">Poyiadzi, Rafael, Kacper Sokol, Raul Santos-Rodriguez, Tijl De Bie, and Peter Flach. 2020.</w:t>
      </w:r>
      <w:r>
        <w:t xml:space="preserve"> </w:t>
      </w:r>
      <w:r>
        <w:t xml:space="preserve">“FACE: Feasible and Actionable Counterfactual Explanations.”</w:t>
      </w:r>
      <w:r>
        <w:t xml:space="preserve"> </w:t>
      </w:r>
      <w:r>
        <w:rPr>
          <w:i/>
          <w:iCs/>
        </w:rPr>
        <w:t xml:space="preserve">Proceedings of the AAAI/ACM Conference on AI, Ethics, and Society</w:t>
      </w:r>
      <w:r>
        <w:t xml:space="preserve">, 344–50.</w:t>
      </w:r>
      <w:r>
        <w:t xml:space="preserve"> </w:t>
      </w:r>
      <w:hyperlink ns5:id="rId286">
        <w:r>
          <w:rPr>
            <w:rStyle w:val="Hipervnculo"/>
          </w:rPr>
          <w:t xml:space="preserve">https://doi.org/10.1145/3375627.3375850</w:t>
        </w:r>
      </w:hyperlink>
      <w:r>
        <w:t xml:space="preserve">.</w:t>
      </w:r>
    </w:p>
    <w:bookmarkEnd w:id="287"/>
    <w:bookmarkStart w:id="289"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ns5:id="rId288">
        <w:r>
          <w:rPr>
            <w:rStyle w:val="Hipervnculo"/>
          </w:rPr>
          <w:t xml:space="preserve">https://doi.org/10.1145/2939672.2939778</w:t>
        </w:r>
      </w:hyperlink>
      <w:r>
        <w:t xml:space="preserve">.</w:t>
      </w:r>
    </w:p>
    <w:bookmarkEnd w:id="289"/>
    <w:bookmarkStart w:id="291"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 32(1)</w:t>
      </w:r>
      <w:r>
        <w:t xml:space="preserve">, ahead of print.</w:t>
      </w:r>
      <w:r>
        <w:t xml:space="preserve"> </w:t>
      </w:r>
      <w:hyperlink ns5:id="rId290">
        <w:r>
          <w:rPr>
            <w:rStyle w:val="Hipervnculo"/>
          </w:rPr>
          <w:t xml:space="preserve">https://doi.org/10.1609/aaai.v32i1.11491</w:t>
        </w:r>
      </w:hyperlink>
      <w:r>
        <w:t xml:space="preserve">.</w:t>
      </w:r>
    </w:p>
    <w:bookmarkEnd w:id="291"/>
    <w:bookmarkStart w:id="293"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 </w:t>
      </w:r>
      <w:r>
        <w:rPr>
          <w:i/>
          <w:iCs/>
        </w:rPr>
        <w:t xml:space="preserve">IEEE Transactions on Pattern Analysis and Machine Intelligence</w:t>
      </w:r>
      <w:r>
        <w:t xml:space="preserve"> </w:t>
      </w:r>
      <w:r>
        <w:t xml:space="preserve">46 (4): 2104–22.</w:t>
      </w:r>
      <w:r>
        <w:t xml:space="preserve"> </w:t>
      </w:r>
      <w:hyperlink ns5:id="rId292">
        <w:r>
          <w:rPr>
            <w:rStyle w:val="Hipervnculo"/>
          </w:rPr>
          <w:t xml:space="preserve">https://doi.org/10.1109/TPAMI.2023.3331846</w:t>
        </w:r>
      </w:hyperlink>
      <w:r>
        <w:t xml:space="preserve">.</w:t>
      </w:r>
    </w:p>
    <w:bookmarkEnd w:id="293"/>
    <w:bookmarkStart w:id="295"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 </w:t>
      </w:r>
      <w:r>
        <w:rPr>
          <w:i/>
          <w:iCs/>
        </w:rPr>
        <w:t xml:space="preserve">Statistics Surveys, 16(none)</w:t>
      </w:r>
      <w:r>
        <w:t xml:space="preserve">, ahead of print.</w:t>
      </w:r>
      <w:r>
        <w:t xml:space="preserve"> </w:t>
      </w:r>
      <w:hyperlink ns5:id="rId294">
        <w:r>
          <w:rPr>
            <w:rStyle w:val="Hipervnculo"/>
          </w:rPr>
          <w:t xml:space="preserve">https://doi.org/10.1214/21-ss133</w:t>
        </w:r>
      </w:hyperlink>
      <w:r>
        <w:t xml:space="preserve">.</w:t>
      </w:r>
    </w:p>
    <w:bookmarkEnd w:id="295"/>
    <w:bookmarkStart w:id="297"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 </w:t>
      </w:r>
      <w:r>
        <w:rPr>
          <w:i/>
          <w:iCs/>
        </w:rPr>
        <w:t xml:space="preserve">Applied Sciences, 14(19), 8884</w:t>
      </w:r>
      <w:r>
        <w:t xml:space="preserve">, ahead of print.</w:t>
      </w:r>
      <w:r>
        <w:t xml:space="preserve"> </w:t>
      </w:r>
      <w:hyperlink ns5:id="rId296">
        <w:r>
          <w:rPr>
            <w:rStyle w:val="Hipervnculo"/>
          </w:rPr>
          <w:t xml:space="preserve">https://doi.org/10.3390/app14198884</w:t>
        </w:r>
      </w:hyperlink>
      <w:r>
        <w:t xml:space="preserve">.</w:t>
      </w:r>
    </w:p>
    <w:bookmarkEnd w:id="297"/>
    <w:bookmarkStart w:id="299"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ns5:id="rId298">
        <w:r>
          <w:rPr>
            <w:rStyle w:val="Hipervnculo"/>
          </w:rPr>
          <w:t xml:space="preserve">https://doi.org/10.1007/978-3-030-28954-6</w:t>
        </w:r>
      </w:hyperlink>
      <w:r>
        <w:t xml:space="preserve">.</w:t>
      </w:r>
    </w:p>
    <w:bookmarkEnd w:id="299"/>
    <w:bookmarkStart w:id="301"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 38(5), 3043–3101</w:t>
      </w:r>
      <w:r>
        <w:t xml:space="preserve">, ahead of print.</w:t>
      </w:r>
      <w:r>
        <w:t xml:space="preserve"> </w:t>
      </w:r>
      <w:hyperlink ns5:id="rId300">
        <w:r>
          <w:rPr>
            <w:rStyle w:val="Hipervnculo"/>
          </w:rPr>
          <w:t xml:space="preserve">https://doi.org/10.1007/s10618-022-00867-8</w:t>
        </w:r>
      </w:hyperlink>
      <w:r>
        <w:t xml:space="preserve">.</w:t>
      </w:r>
    </w:p>
    <w:bookmarkEnd w:id="301"/>
    <w:bookmarkStart w:id="303" w:name="ref-slack2020"/>
    <w:p>
      <w:pPr>
        <w:pStyle w:val="Bibliography"/>
        <w:spacing w:line="360" w:lineRule="auto"/>
        <w:jc w:val="both"/>
      </w:pPr>
      <w:r>
        <w:t xml:space="preserve">Slack, Dylan, Sophie Hilgard, Emily Jia, Sameer Singh, and Himabindu Lakkaraju. 2020.</w:t>
      </w:r>
      <w:r>
        <w:t xml:space="preserve"> </w:t>
      </w:r>
      <w:r>
        <w:t xml:space="preserve">“Fooling LIME and SHAP: Adversarial Attacks on Post Hoc Explanation Methods.”</w:t>
      </w:r>
      <w:r>
        <w:t xml:space="preserve"> </w:t>
      </w:r>
      <w:r>
        <w:rPr>
          <w:i/>
          <w:iCs/>
        </w:rPr>
        <w:t xml:space="preserve">Proceedings of the AAAI/ACM Conference on AI, Ethics, and Society</w:t>
      </w:r>
      <w:r>
        <w:t xml:space="preserve">, 180–86.</w:t>
      </w:r>
      <w:r>
        <w:t xml:space="preserve"> </w:t>
      </w:r>
      <w:hyperlink ns5:id="rId302">
        <w:r>
          <w:rPr>
            <w:rStyle w:val="Hipervnculo"/>
          </w:rPr>
          <w:t xml:space="preserve">https://doi.org/10.1145/3375627.3375830</w:t>
        </w:r>
      </w:hyperlink>
      <w:r>
        <w:t xml:space="preserve">.</w:t>
      </w:r>
    </w:p>
    <w:bookmarkEnd w:id="303"/>
    <w:bookmarkStart w:id="305" w:name="ref-sokol2020"/>
    <w:p>
      <w:pPr>
        <w:pStyle w:val="Bibliography"/>
        <w:spacing w:line="360" w:lineRule="auto"/>
        <w:jc w:val="both"/>
      </w:pPr>
      <w:r>
        <w:t xml:space="preserve">Sokol, Kacper, and Peter Flach. 2020.</w:t>
      </w:r>
      <w:r>
        <w:t xml:space="preserve"> </w:t>
      </w:r>
      <w:r>
        <w:t xml:space="preserve">“One Explanation Does Not Fit All: The Promise of Interactive Explanations for Machine Learning Transparency.”</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304">
        <w:r>
          <w:rPr>
            <w:rStyle w:val="Hipervnculo"/>
          </w:rPr>
          <w:t xml:space="preserve">https://doi.org/10.1007/s13218-020-00637-y</w:t>
        </w:r>
      </w:hyperlink>
      <w:r>
        <w:t xml:space="preserve">.</w:t>
      </w:r>
    </w:p>
    <w:bookmarkEnd w:id="305"/>
    <w:bookmarkStart w:id="307" w:name="ref-tjoa2020"/>
    <w:p>
      <w:pPr>
        <w:pStyle w:val="Bibliography"/>
        <w:spacing w:line="360" w:lineRule="auto"/>
        <w:jc w:val="both"/>
      </w:pPr>
      <w:r>
        <w:t xml:space="preserve">Tjoa, Erico, and Cuntai Guan. 2021.</w:t>
      </w:r>
      <w:r>
        <w:t xml:space="preserve"> </w:t>
      </w:r>
      <w:r>
        <w:t xml:space="preserve">“A Survey on Explainable Artificial Intelligence (XAI): Toward Medical XAI.”</w:t>
      </w:r>
      <w:r>
        <w:t xml:space="preserve"> </w:t>
      </w:r>
      <w:r>
        <w:rPr>
          <w:i/>
          <w:iCs/>
        </w:rPr>
        <w:t xml:space="preserve">IEEE Transactions on Neural Networks and Learning Systems</w:t>
      </w:r>
      <w:r>
        <w:t xml:space="preserve"> </w:t>
      </w:r>
      <w:r>
        <w:t xml:space="preserve">32 (11): 4793–813.</w:t>
      </w:r>
      <w:r>
        <w:t xml:space="preserve"> </w:t>
      </w:r>
      <w:hyperlink ns5:id="rId306">
        <w:r>
          <w:rPr>
            <w:rStyle w:val="Hipervnculo"/>
          </w:rPr>
          <w:t xml:space="preserve">https://doi.org/10.1109/TNNLS.2020.3027314</w:t>
        </w:r>
      </w:hyperlink>
      <w:r>
        <w:t xml:space="preserve">.</w:t>
      </w:r>
    </w:p>
    <w:bookmarkEnd w:id="307"/>
    <w:bookmarkStart w:id="309" w:name="ref-tomsett2020"/>
    <w:p>
      <w:pPr>
        <w:pStyle w:val="Bibliography"/>
        <w:spacing w:line="360" w:lineRule="auto"/>
        <w:jc w:val="both"/>
      </w:pPr>
      <w:r>
        <w:t xml:space="preserve">Tomsett, Richard, Dan Harborne, Supriyo Chakraborty, Prudhvi Gurram, and Alun Preece. 2020.</w:t>
      </w:r>
      <w:r>
        <w:t xml:space="preserve"> </w:t>
      </w:r>
      <w:r>
        <w:t xml:space="preserve">“Sanity Checks for Saliency Metrics.”</w:t>
      </w:r>
      <w:r>
        <w:t xml:space="preserve"> </w:t>
      </w:r>
      <w:r>
        <w:rPr>
          <w:i/>
          <w:iCs/>
        </w:rPr>
        <w:t xml:space="preserve">Proceedings of the AAAI Conference on Artificial Intelligence</w:t>
      </w:r>
      <w:r>
        <w:t xml:space="preserve"> </w:t>
      </w:r>
      <w:r>
        <w:t xml:space="preserve">34 (04): 6021–29.</w:t>
      </w:r>
      <w:r>
        <w:t xml:space="preserve"> </w:t>
      </w:r>
      <w:hyperlink ns5:id="rId308">
        <w:r>
          <w:rPr>
            <w:rStyle w:val="Hipervnculo"/>
          </w:rPr>
          <w:t xml:space="preserve">https://doi.org/10.1609/aaai.v34i04.6064</w:t>
        </w:r>
      </w:hyperlink>
      <w:r>
        <w:t xml:space="preserve">.</w:t>
      </w:r>
    </w:p>
    <w:bookmarkEnd w:id="309"/>
    <w:bookmarkStart w:id="311"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ns5:id="rId310">
        <w:r>
          <w:rPr>
            <w:rStyle w:val="Hipervnculo"/>
          </w:rPr>
          <w:t xml:space="preserve">https://doi.org/10.1201/9781003442509</w:t>
        </w:r>
      </w:hyperlink>
      <w:r>
        <w:t xml:space="preserve">.</w:t>
      </w:r>
    </w:p>
    <w:bookmarkEnd w:id="311"/>
    <w:bookmarkStart w:id="313" w:name="ref-vandenbroeck2022"/>
    <w:p>
      <w:pPr>
        <w:pStyle w:val="Bibliography"/>
        <w:spacing w:line="360" w:lineRule="auto"/>
        <w:jc w:val="both"/>
      </w:pPr>
      <w:r>
        <w:t xml:space="preserve">Van den Broeck, Guy, Anton Lykov, Maximilian Schleich, and Dan Suciu. 2022.</w:t>
      </w:r>
      <w:r>
        <w:t xml:space="preserve"> </w:t>
      </w:r>
      <w:r>
        <w:t xml:space="preserve">“On the Tractability of SHAP Explanations.”</w:t>
      </w:r>
      <w:r>
        <w:t xml:space="preserve"> </w:t>
      </w:r>
      <w:r>
        <w:rPr>
          <w:i/>
          <w:iCs/>
        </w:rPr>
        <w:t xml:space="preserve">Journal of Artificial Intelligence Research</w:t>
      </w:r>
      <w:r>
        <w:t xml:space="preserve"> </w:t>
      </w:r>
      <w:r>
        <w:t xml:space="preserve">74: 851–86.</w:t>
      </w:r>
      <w:r>
        <w:t xml:space="preserve"> </w:t>
      </w:r>
      <w:hyperlink ns5:id="rId312">
        <w:r>
          <w:rPr>
            <w:rStyle w:val="Hipervnculo"/>
          </w:rPr>
          <w:t xml:space="preserve">https://doi.org/10.1613/jair.1.13283</w:t>
        </w:r>
      </w:hyperlink>
      <w:r>
        <w:t xml:space="preserve">.</w:t>
      </w:r>
    </w:p>
    <w:bookmarkEnd w:id="313"/>
    <w:bookmarkStart w:id="315" w:name="ref-voigt2017"/>
    <w:p>
      <w:pPr>
        <w:pStyle w:val="Bibliography"/>
        <w:spacing w:line="360" w:lineRule="auto"/>
        <w:jc w:val="both"/>
      </w:pPr>
      <w:r>
        <w:t xml:space="preserve">Voigt, Paul, and Axel von dem Bussche. 2017.</w:t>
      </w:r>
      <w:r>
        <w:t xml:space="preserve"> </w:t>
      </w:r>
      <w:r>
        <w:rPr>
          <w:i/>
          <w:iCs/>
        </w:rPr>
        <w:t xml:space="preserve">The EU General Data Protection Regulation (GDPR): A Practical Guide</w:t>
      </w:r>
      <w:r>
        <w:t xml:space="preserve">. Springer.</w:t>
      </w:r>
      <w:r>
        <w:t xml:space="preserve"> </w:t>
      </w:r>
      <w:hyperlink ns5:id="rId314">
        <w:r>
          <w:rPr>
            <w:rStyle w:val="Hipervnculo"/>
          </w:rPr>
          <w:t xml:space="preserve">https://doi.org/10.1007/978-3-319-57959-7</w:t>
        </w:r>
      </w:hyperlink>
      <w:r>
        <w:t xml:space="preserve">.</w:t>
      </w:r>
    </w:p>
    <w:bookmarkEnd w:id="315"/>
    <w:bookmarkStart w:id="317"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ns5:id="rId316">
        <w:r>
          <w:rPr>
            <w:rStyle w:val="Hipervnculo"/>
          </w:rPr>
          <w:t xml:space="preserve">https://doi.org/10.2139/ssrn.3063289</w:t>
        </w:r>
      </w:hyperlink>
      <w:r>
        <w:t xml:space="preserve">.</w:t>
      </w:r>
    </w:p>
    <w:bookmarkEnd w:id="317"/>
    <w:bookmarkStart w:id="319" w:name="ref-wilcoxon1945"/>
    <w:p>
      <w:pPr>
        <w:pStyle w:val="Bibliography"/>
        <w:spacing w:line="360" w:lineRule="auto"/>
        <w:jc w:val="both"/>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ns5:id="rId318">
        <w:r>
          <w:rPr>
            <w:rStyle w:val="Hipervnculo"/>
          </w:rPr>
          <w:t xml:space="preserve">https://doi.org/10.2307/3001968</w:t>
        </w:r>
      </w:hyperlink>
      <w:r>
        <w:t xml:space="preserve">.</w:t>
      </w:r>
    </w:p>
    <w:bookmarkEnd w:id="319"/>
    <w:bookmarkStart w:id="321"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ns5:id="rId320">
        <w:r>
          <w:rPr>
            <w:rStyle w:val="Hipervnculo"/>
          </w:rPr>
          <w:t xml:space="preserve">https://trustai4s-lab.github.io/ffidelity</w:t>
        </w:r>
      </w:hyperlink>
      <w:r>
        <w:t xml:space="preserve">.</w:t>
      </w:r>
    </w:p>
    <w:bookmarkEnd w:id="321"/>
    <w:bookmarkEnd w:id="322"/>
    <w:bookmarkEnd w:id="323"/>
    <w:bookmarkStart w:id="347" w:name="apéndices"/>
    <w:p>
      <w:pPr>
        <w:pStyle w:val="Ttulo1"/>
        <w:spacing w:line="360" w:lineRule="auto"/>
        <w:jc w:val="both"/>
      </w:pPr>
      <w:r>
        <w:t xml:space="preserve">Apéndices</w:t>
      </w:r>
    </w:p>
    <w:bookmarkStart w:id="325"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324" w:name="tbl-appendix-dataset-schema"/>
          <w:p>
            <w:pPr>
              <w:jc w:val="both"/>
              <w:spacing w:line="360" w:lineRule="auto"/>
            </w:pPr>
            <w:pPr>
              <w:jc w:val="left"/>
              <w:spacing w:before="200"/>
              <w:pStyle w:val="ImageCaption"/>
            </w:pPr>
            <w:r>
              <w:t xml:space="preserve">Table 7.5: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324"/>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325"/>
    <w:bookmarkStart w:id="327"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326" w:name="tbl-appendix-models"/>
          <w:p>
            <w:pPr>
              <w:jc w:val="both"/>
              <w:spacing w:line="360" w:lineRule="auto"/>
            </w:pPr>
            <w:pPr>
              <w:jc w:val="left"/>
              <w:spacing w:before="200"/>
              <w:pStyle w:val="ImageCaption"/>
            </w:pPr>
            <w:r>
              <w:t xml:space="preserve">Table 7.6: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326"/>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327"/>
    <w:bookmarkStart w:id="334"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328" w:name="tbl-appendix-explainers"/>
          <w:p>
            <w:pPr>
              <w:jc w:val="both"/>
              <w:spacing w:line="360" w:lineRule="auto"/>
            </w:pPr>
            <w:pPr>
              <w:jc w:val="left"/>
              <w:spacing w:before="200"/>
              <w:pStyle w:val="ImageCaption"/>
            </w:pPr>
            <w:r>
              <w:t xml:space="preserve">Table 7.7: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328"/>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333"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tblLayout w:type="fixed"/>
        <w:tblLook w:firstRow="0" w:lastRow="0" w:firstColumn="0" w:lastColumn="0" w:noHBand="0" w:noVBand="0" w:val="0000"/>
      </w:tblPr>
      <w:tblGrid>
        <w:gridCol w:w="7920"/>
      </w:tblGrid>
      <w:tr>
        <w:tc>
          <w:tcPr/>
          <w:bookmarkStart w:id="329" w:name="tbl-appendix-lime-sensitivity"/>
          <w:p>
            <w:pPr>
              <w:jc w:val="both"/>
              <w:spacing w:line="360" w:lineRule="auto"/>
            </w:pPr>
            <w:pPr>
              <w:jc w:val="left"/>
              <w:spacing w:before="200"/>
              <w:pStyle w:val="ImageCaption"/>
            </w:pPr>
            <w:r>
              <w:t xml:space="preserve">Table 7.8: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329"/>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Table 7.11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tblLayout w:type="fixed"/>
        <w:tblLook w:firstRow="0" w:lastRow="0" w:firstColumn="0" w:lastColumn="0" w:noHBand="0" w:noVBand="0" w:val="0000"/>
      </w:tblPr>
      <w:tblGrid>
        <w:gridCol w:w="7920"/>
      </w:tblGrid>
      <w:tr>
        <w:tc>
          <w:tcPr/>
          <w:bookmarkStart w:id="330" w:name="tbl-appendix-shap-sensitivity"/>
          <w:p>
            <w:pPr>
              <w:jc w:val="both"/>
              <w:spacing w:line="360" w:lineRule="auto"/>
            </w:pPr>
            <w:pPr>
              <w:jc w:val="left"/>
              <w:spacing w:before="200"/>
              <w:pStyle w:val="ImageCaption"/>
            </w:pPr>
            <w:r>
              <w:t xml:space="preserve">Table 7.9: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330"/>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tblLayout w:type="fixed"/>
        <w:tblLook w:firstRow="0" w:lastRow="0" w:firstColumn="0" w:lastColumn="0" w:noHBand="0" w:noVBand="0" w:val="0000"/>
      </w:tblPr>
      <w:tblGrid>
        <w:gridCol w:w="7920"/>
      </w:tblGrid>
      <w:tr>
        <w:tc>
          <w:tcPr/>
          <w:bookmarkStart w:id="331" w:name="tbl-appendix-anchors-sensitivity"/>
          <w:p>
            <w:pPr>
              <w:jc w:val="both"/>
              <w:spacing w:line="360" w:lineRule="auto"/>
            </w:pPr>
            <w:pPr>
              <w:jc w:val="left"/>
              <w:spacing w:before="200"/>
              <w:pStyle w:val="ImageCaption"/>
            </w:pPr>
            <w:r>
              <w:t xml:space="preserve">Table 7.10: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Table 4.5</w:t>
              </w:r>
            </w:hyperlink>
            <w:r>
              <w:t xml:space="preserve">—, mientras que la fidelidad y el coste corresponden a la</w:t>
            </w:r>
            <w:r>
              <w:t xml:space="preserve"> </w:t>
            </w:r>
            <w:r>
              <w:t xml:space="preserve">condición de sondeo RF, semilla 42.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del diseño completo (75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331"/>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0" w:lastRow="0" w:firstColumn="0" w:lastColumn="0" w:noHBand="0" w:noVBand="0" w:val="0000"/>
      </w:tblPr>
      <w:tblGrid>
        <w:gridCol w:w="7920"/>
      </w:tblGrid>
      <w:tr>
        <w:tc>
          <w:tcPr/>
          <w:bookmarkStart w:id="332" w:name="tbl-appendix-lime-kw-sensitivity"/>
          <w:p>
            <w:pPr>
              <w:jc w:val="both"/>
              <w:spacing w:line="360" w:lineRule="auto"/>
            </w:pPr>
            <w:pPr>
              <w:jc w:val="left"/>
              <w:spacing w:before="200"/>
              <w:pStyle w:val="ImageCaption"/>
            </w:pPr>
            <w:r>
              <w:t xml:space="preserve">Table 7.11: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rStyle w:val="VerbatimChar"/>
                    </w:rPr>
                    <w:t xml:space="preserve">kernel_width</w:t>
                  </w:r>
                </w:p>
              </w:tc>
              <w:tc>
                <w:tcPr/>
                <w:p>
                  <w:pPr>
                    <w:pStyle w:val="Compact"/>
                    <w:jc w:val="both"/>
                    <w:jc w:val="center"/>
                    <w:spacing w:line="360" w:lineRule="auto"/>
                  </w:pPr>
                  <w:r>
                    <w:t xml:space="preserve">Instancias válidas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332"/>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333"/>
    <w:bookmarkEnd w:id="334"/>
    <w:bookmarkStart w:id="342"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335" w:name="tbl-appendix-stat-outputs"/>
          <w:p>
            <w:pPr>
              <w:jc w:val="both"/>
              <w:spacing w:line="360" w:lineRule="auto"/>
            </w:pPr>
            <w:pPr>
              <w:jc w:val="left"/>
              <w:spacing w:before="200"/>
              <w:pStyle w:val="ImageCaption"/>
            </w:pPr>
            <w:r>
              <w:t xml:space="preserve">Table 7.12: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335"/>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337" w:name="Xe3909ed8b3f47a476ee07b1fbdd59a863fdc536"/>
    <w:p>
      <w:pPr>
        <w:pStyle w:val="Ttulo3"/>
        <w:spacing w:line="360" w:lineRule="auto"/>
        <w:jc w:val="both"/>
      </w:pPr>
      <w:r>
        <w:t xml:space="preserve">D.1 Resultados completos de la prueba de Friedman</w:t>
      </w:r>
    </w:p>
    <w:tbl>
      <w:tblPr>
        <w:tblStyle w:val="Table"/>
        <w:tblW w:type="pct" w:w="5000"/>
        <w:tblLayout w:type="fixed"/>
        <w:tblLook w:firstRow="0" w:lastRow="0" w:firstColumn="0" w:lastColumn="0" w:noHBand="0" w:noVBand="0" w:val="0000"/>
      </w:tblPr>
      <w:tblGrid>
        <w:gridCol w:w="7920"/>
      </w:tblGrid>
      <w:tr>
        <w:tc>
          <w:tcPr/>
          <w:bookmarkStart w:id="336" w:name="tbl-appendix-friedman-full"/>
          <w:p>
            <w:pPr>
              <w:jc w:val="both"/>
              <w:spacing w:line="360" w:lineRule="auto"/>
            </w:pPr>
            <w:pPr>
              <w:jc w:val="left"/>
              <w:spacing w:before="200"/>
              <w:pStyle w:val="ImageCaption"/>
            </w:pPr>
            <w:r>
              <w:t xml:space="preserve">Table 7.13: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3.02</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336"/>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las dos hipótesis omnibus (H1 y H2); ambas</w:t>
      </w:r>
      <w:r>
        <w:t xml:space="preserve"> </w:t>
      </w:r>
      <w:r>
        <w:t xml:space="preserve">permanecen significativas tras la corrección.</w:t>
      </w:r>
    </w:p>
    <w:bookmarkEnd w:id="337"/>
    <w:bookmarkStart w:id="339"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tblLayout w:type="fixed"/>
        <w:tblLook w:firstRow="0" w:lastRow="0" w:firstColumn="0" w:lastColumn="0" w:noHBand="0" w:noVBand="0" w:val="0000"/>
      </w:tblPr>
      <w:tblGrid>
        <w:gridCol w:w="7920"/>
      </w:tblGrid>
      <w:tr>
        <w:tc>
          <w:tcPr/>
          <w:bookmarkStart w:id="338" w:name="tbl-appendix-nemenyi-full"/>
          <w:p>
            <w:pPr>
              <w:jc w:val="both"/>
              <w:spacing w:line="360" w:lineRule="auto"/>
            </w:pPr>
            <w:pPr>
              <w:jc w:val="left"/>
              <w:spacing w:before="200"/>
              <w:pStyle w:val="ImageCaption"/>
            </w:pPr>
            <w:r>
              <w:t xml:space="preserve">Table 7.14: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338"/>
          <w:p>
            <w:pPr>
              <w:spacing w:line="360" w:lineRule="auto"/>
              <w:jc w:val="both"/>
            </w:pPr>
          </w:p>
        </w:tc>
      </w:tr>
    </w:tbl>
    <w:bookmarkEnd w:id="339"/>
    <w:bookmarkStart w:id="341"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tblLayout w:type="fixed"/>
        <w:tblLook w:firstRow="0" w:lastRow="0" w:firstColumn="0" w:lastColumn="0" w:noHBand="0" w:noVBand="0" w:val="0000"/>
      </w:tblPr>
      <w:tblGrid>
        <w:gridCol w:w="7920"/>
      </w:tblGrid>
      <w:tr>
        <w:tc>
          <w:tcPr/>
          <w:bookmarkStart w:id="340" w:name="tbl-appendix-wilcoxon-full"/>
          <w:p>
            <w:pPr>
              <w:jc w:val="both"/>
              <w:spacing w:line="360" w:lineRule="auto"/>
            </w:pPr>
            <w:pPr>
              <w:jc w:val="left"/>
              <w:spacing w:before="200"/>
              <w:pStyle w:val="ImageCaption"/>
            </w:pPr>
            <w:r>
              <w:t xml:space="preserve">Table 7.15: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340"/>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Table 5.6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Table 5.6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341"/>
    <w:bookmarkEnd w:id="342"/>
    <w:bookmarkStart w:id="344"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343" w:name="tbl-appendix-environment"/>
          <w:p>
            <w:pPr>
              <w:jc w:val="both"/>
              <w:spacing w:line="360" w:lineRule="auto"/>
            </w:pPr>
            <w:pPr>
              <w:jc w:val="left"/>
              <w:spacing w:before="200"/>
              <w:pStyle w:val="ImageCaption"/>
            </w:pPr>
            <w:r>
              <w:t xml:space="preserve">Table 7.16: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343"/>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344"/>
    <w:bookmarkStart w:id="346"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§sec-exp4-diseno, Capítulo 3; resultados en</w:t>
      </w:r>
      <w:r>
        <w:t xml:space="preserve"> </w:t>
      </w:r>
      <w:r>
        <w:t xml:space="preserve">§sec-exp4-fiabilidad,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Table 6.3</w:t>
        </w:r>
      </w:hyperlink>
      <w:r>
        <w:t xml:space="preserve"> </w:t>
      </w:r>
      <w:r>
        <w:t xml:space="preserve">del</w:t>
      </w:r>
      <w:r>
        <w:t xml:space="preserve"> </w:t>
      </w:r>
      <w:r>
        <w:t xml:space="preserve">Capítulo 5.</w:t>
      </w:r>
    </w:p>
    <w:tbl>
      <w:tblPr>
        <w:tblStyle w:val="Table"/>
        <w:tblW w:type="pct" w:w="5000"/>
        <w:tblLayout w:type="fixed"/>
        <w:tblLook w:firstRow="0" w:lastRow="0" w:firstColumn="0" w:lastColumn="0" w:noHBand="0" w:noVBand="0" w:val="0000"/>
      </w:tblPr>
      <w:tblGrid>
        <w:gridCol w:w="7920"/>
      </w:tblGrid>
      <w:tr>
        <w:tc>
          <w:tcPr/>
          <w:bookmarkStart w:id="345" w:name="tbl-appendix-llm"/>
          <w:p>
            <w:pPr>
              <w:jc w:val="both"/>
              <w:spacing w:line="360" w:lineRule="auto"/>
            </w:pPr>
            <w:pPr>
              <w:jc w:val="left"/>
              <w:spacing w:before="200"/>
              <w:pStyle w:val="ImageCaption"/>
            </w:pPr>
            <w:r>
              <w:t xml:space="preserve">Table 7.17: Artefactos de EXP4 y trazabilidad a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bl>
          <w:bookmarkEnd w:id="345"/>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§sec-exp4-fiabilidad y §sec-futuro).</w:t>
      </w:r>
    </w:p>
    <w:bookmarkEnd w:id="346"/>
    <w:bookmarkEnd w:id="347"/>
    <w:sectPr w:rsidR="004A1446" w:rsidSect="0070096E">
      <w:headerReference ns5:id="rId9" w:type="even"/>
      <w:headerReference ns5: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31" Target="media/rId131.png" /><Relationship Type="http://schemas.openxmlformats.org/officeDocument/2006/relationships/image" Id="rId147" Target="media/rId147.png" /><Relationship Type="http://schemas.openxmlformats.org/officeDocument/2006/relationships/image" Id="rId127" Target="media/rId127.png" /><Relationship Type="http://schemas.openxmlformats.org/officeDocument/2006/relationships/image" Id="rId151" Target="media/rId151.png" /><Relationship Type="http://schemas.openxmlformats.org/officeDocument/2006/relationships/hyperlink" Id="rId224" Target="http://archive.ics.uci.edu/ml" TargetMode="External" /><Relationship Type="http://schemas.openxmlformats.org/officeDocument/2006/relationships/hyperlink" Id="rId247" Target="https://archive.ics.uci.edu/dataset/2/adult" TargetMode="External" /><Relationship Type="http://schemas.openxmlformats.org/officeDocument/2006/relationships/hyperlink" Id="rId202" Target="https://arxiv.org/abs/1806.08049" TargetMode="External" /><Relationship Type="http://schemas.openxmlformats.org/officeDocument/2006/relationships/hyperlink" Id="rId279" Target="https://catalog.princeton.edu/catalog/2081365" TargetMode="External" /><Relationship Type="http://schemas.openxmlformats.org/officeDocument/2006/relationships/hyperlink" Id="rId204" Target="https://doi.org/10.1002/widm.1424" TargetMode="External" /><Relationship Type="http://schemas.openxmlformats.org/officeDocument/2006/relationships/hyperlink" Id="rId265" Target="https://doi.org/10.1002/widm.1493" TargetMode="External" /><Relationship Type="http://schemas.openxmlformats.org/officeDocument/2006/relationships/hyperlink" Id="rId298" Target="https://doi.org/10.1007/978-3-030-28954-6" TargetMode="External" /><Relationship Type="http://schemas.openxmlformats.org/officeDocument/2006/relationships/hyperlink" Id="rId314" Target="https://doi.org/10.1007/978-3-319-57959-7" TargetMode="External" /><Relationship Type="http://schemas.openxmlformats.org/officeDocument/2006/relationships/hyperlink" Id="rId300" Target="https://doi.org/10.1007/s10618-022-00867-8" TargetMode="External" /><Relationship Type="http://schemas.openxmlformats.org/officeDocument/2006/relationships/hyperlink" Id="rId226" Target="https://doi.org/10.1007/s11023-018-9482-5" TargetMode="External" /><Relationship Type="http://schemas.openxmlformats.org/officeDocument/2006/relationships/hyperlink" Id="rId236" Target="https://doi.org/10.1007/s12559-023-10179-8" TargetMode="External" /><Relationship Type="http://schemas.openxmlformats.org/officeDocument/2006/relationships/hyperlink" Id="rId304" Target="https://doi.org/10.1007/s13218-020-00637-y" TargetMode="External" /><Relationship Type="http://schemas.openxmlformats.org/officeDocument/2006/relationships/hyperlink" Id="rId239" Target="https://doi.org/10.1007/s13218-023-00806-9" TargetMode="External" /><Relationship Type="http://schemas.openxmlformats.org/officeDocument/2006/relationships/hyperlink" Id="rId267" Target="https://doi.org/10.1016/j.artint.2018.07.007" TargetMode="External" /><Relationship Type="http://schemas.openxmlformats.org/officeDocument/2006/relationships/hyperlink" Id="rId253" Target="https://doi.org/10.1016/j.artint.2021.103473" TargetMode="External" /><Relationship Type="http://schemas.openxmlformats.org/officeDocument/2006/relationships/hyperlink" Id="rId206" Target="https://doi.org/10.1016/j.inffus.2019.12.012" TargetMode="External" /><Relationship Type="http://schemas.openxmlformats.org/officeDocument/2006/relationships/hyperlink" Id="rId196" Target="https://doi.org/10.1016/j.inffus.2023.101805" TargetMode="External" /><Relationship Type="http://schemas.openxmlformats.org/officeDocument/2006/relationships/hyperlink" Id="rId249" Target="https://doi.org/10.1016/j.jcm.2016.02.012" TargetMode="External" /><Relationship Type="http://schemas.openxmlformats.org/officeDocument/2006/relationships/hyperlink" Id="rId284" Target="https://doi.org/10.1016/j.neucom.2024.128282" TargetMode="External" /><Relationship Type="http://schemas.openxmlformats.org/officeDocument/2006/relationships/hyperlink" Id="rId212" Target="https://doi.org/10.1023/a:1010933404324" TargetMode="External" /><Relationship Type="http://schemas.openxmlformats.org/officeDocument/2006/relationships/hyperlink" Id="rId282" Target="https://doi.org/10.1038/s41467-022-33417-3" TargetMode="External" /><Relationship Type="http://schemas.openxmlformats.org/officeDocument/2006/relationships/hyperlink" Id="rId275" Target="https://doi.org/10.1073/pnas.1900654116" TargetMode="External" /><Relationship Type="http://schemas.openxmlformats.org/officeDocument/2006/relationships/hyperlink" Id="rId228" Target="https://doi.org/10.1080/01621459.1937.10503522" TargetMode="External" /><Relationship Type="http://schemas.openxmlformats.org/officeDocument/2006/relationships/hyperlink" Id="rId191" Target="https://doi.org/10.1109/INES59045.2023.1030000" TargetMode="External" /><Relationship Type="http://schemas.openxmlformats.org/officeDocument/2006/relationships/hyperlink" Id="rId306" Target="https://doi.org/10.1109/TNNLS.2020.3027314" TargetMode="External" /><Relationship Type="http://schemas.openxmlformats.org/officeDocument/2006/relationships/hyperlink" Id="rId292" Target="https://doi.org/10.1109/TPAMI.2023.3331846" TargetMode="External" /><Relationship Type="http://schemas.openxmlformats.org/officeDocument/2006/relationships/hyperlink" Id="rId193" Target="https://doi.org/10.1109/access.2018.2870052" TargetMode="External" /><Relationship Type="http://schemas.openxmlformats.org/officeDocument/2006/relationships/hyperlink" Id="rId230" Target="https://doi.org/10.1109/dsaa.2018.00018" TargetMode="External" /><Relationship Type="http://schemas.openxmlformats.org/officeDocument/2006/relationships/hyperlink" Id="rId241" Target="https://doi.org/10.1126/science.359.6377.725" TargetMode="External" /><Relationship Type="http://schemas.openxmlformats.org/officeDocument/2006/relationships/hyperlink" Id="rId288" Target="https://doi.org/10.1145/2939672.2939778" TargetMode="External" /><Relationship Type="http://schemas.openxmlformats.org/officeDocument/2006/relationships/hyperlink" Id="rId189" Target="https://doi.org/10.1145/3173574.3174156" TargetMode="External" /><Relationship Type="http://schemas.openxmlformats.org/officeDocument/2006/relationships/hyperlink" Id="rId232" Target="https://doi.org/10.1145/3236009" TargetMode="External" /><Relationship Type="http://schemas.openxmlformats.org/officeDocument/2006/relationships/hyperlink" Id="rId259" Target="https://doi.org/10.1145/3236386.3241340" TargetMode="External" /><Relationship Type="http://schemas.openxmlformats.org/officeDocument/2006/relationships/hyperlink" Id="rId269" Target="https://doi.org/10.1145/3287560.3287574" TargetMode="External" /><Relationship Type="http://schemas.openxmlformats.org/officeDocument/2006/relationships/hyperlink" Id="rId245" Target="https://doi.org/10.1145/3313831.3376219" TargetMode="External" /><Relationship Type="http://schemas.openxmlformats.org/officeDocument/2006/relationships/hyperlink" Id="rId273" Target="https://doi.org/10.1145/3351095.3372850" TargetMode="External" /><Relationship Type="http://schemas.openxmlformats.org/officeDocument/2006/relationships/hyperlink" Id="rId302" Target="https://doi.org/10.1145/3375627.3375830" TargetMode="External" /><Relationship Type="http://schemas.openxmlformats.org/officeDocument/2006/relationships/hyperlink" Id="rId286" Target="https://doi.org/10.1145/3375627.3375850" TargetMode="External" /><Relationship Type="http://schemas.openxmlformats.org/officeDocument/2006/relationships/hyperlink" Id="rId271" Target="https://doi.org/10.1145/3387166" TargetMode="External" /><Relationship Type="http://schemas.openxmlformats.org/officeDocument/2006/relationships/hyperlink" Id="rId243" Target="https://doi.org/10.1145/3527848" TargetMode="External" /><Relationship Type="http://schemas.openxmlformats.org/officeDocument/2006/relationships/hyperlink" Id="rId277" Target="https://doi.org/10.1145/3583558" TargetMode="External" /><Relationship Type="http://schemas.openxmlformats.org/officeDocument/2006/relationships/hyperlink" Id="rId210" Target="https://doi.org/10.1145/3631700.3664911" TargetMode="External" /><Relationship Type="http://schemas.openxmlformats.org/officeDocument/2006/relationships/hyperlink" Id="rId263" Target="https://doi.org/10.1145/3647444.3647912" TargetMode="External" /><Relationship Type="http://schemas.openxmlformats.org/officeDocument/2006/relationships/hyperlink" Id="rId216" Target="https://doi.org/10.1145/3737445" TargetMode="External" /><Relationship Type="http://schemas.openxmlformats.org/officeDocument/2006/relationships/hyperlink" Id="rId198" Target="https://doi.org/10.1146/annurev-statistics-040120-030919" TargetMode="External" /><Relationship Type="http://schemas.openxmlformats.org/officeDocument/2006/relationships/hyperlink" Id="rId310" Target="https://doi.org/10.1201/9781003442509" TargetMode="External" /><Relationship Type="http://schemas.openxmlformats.org/officeDocument/2006/relationships/hyperlink" Id="rId294" Target="https://doi.org/10.1214/21-ss133" TargetMode="External" /><Relationship Type="http://schemas.openxmlformats.org/officeDocument/2006/relationships/hyperlink" Id="rId290" Target="https://doi.org/10.1609/aaai.v32i1.11491" TargetMode="External" /><Relationship Type="http://schemas.openxmlformats.org/officeDocument/2006/relationships/hyperlink" Id="rId308" Target="https://doi.org/10.1609/aaai.v34i04.6064" TargetMode="External" /><Relationship Type="http://schemas.openxmlformats.org/officeDocument/2006/relationships/hyperlink" Id="rId312" Target="https://doi.org/10.1613/jair.1.13283" TargetMode="External" /><Relationship Type="http://schemas.openxmlformats.org/officeDocument/2006/relationships/hyperlink" Id="rId234" Target="https://doi.org/10.18653/v1/2020.acl-main.491" TargetMode="External" /><Relationship Type="http://schemas.openxmlformats.org/officeDocument/2006/relationships/hyperlink" Id="rId214" Target="https://doi.org/10.18653/v1/2023.emnlp-main.792" TargetMode="External" /><Relationship Type="http://schemas.openxmlformats.org/officeDocument/2006/relationships/hyperlink" Id="rId316" Target="https://doi.org/10.2139/ssrn.3063289" TargetMode="External" /><Relationship Type="http://schemas.openxmlformats.org/officeDocument/2006/relationships/hyperlink" Id="rId318" Target="https://doi.org/10.2307/3001968" TargetMode="External" /><Relationship Type="http://schemas.openxmlformats.org/officeDocument/2006/relationships/hyperlink" Id="rId255" Target="https://doi.org/10.24963/ijcai.2019/388" TargetMode="External" /><Relationship Type="http://schemas.openxmlformats.org/officeDocument/2006/relationships/hyperlink" Id="rId208" Target="https://doi.org/10.3389/fdata.2021.688969" TargetMode="External" /><Relationship Type="http://schemas.openxmlformats.org/officeDocument/2006/relationships/hyperlink" Id="rId251" Target="https://doi.org/10.3389/fpsyg.2013.00863" TargetMode="External" /><Relationship Type="http://schemas.openxmlformats.org/officeDocument/2006/relationships/hyperlink" Id="rId296" Target="https://doi.org/10.3390/app14198884" TargetMode="External" /><Relationship Type="http://schemas.openxmlformats.org/officeDocument/2006/relationships/hyperlink" Id="rId257" Target="https://doi.org/10.3390/e23010018" TargetMode="External" /><Relationship Type="http://schemas.openxmlformats.org/officeDocument/2006/relationships/hyperlink" Id="rId218" Target="https://doi.org/10.3390/electronics8080832" TargetMode="External" /><Relationship Type="http://schemas.openxmlformats.org/officeDocument/2006/relationships/hyperlink" Id="rId200" Target="https://doi.org/10.3390/technologies13030093" TargetMode="External" /><Relationship Type="http://schemas.openxmlformats.org/officeDocument/2006/relationships/hyperlink" Id="rId222" Target="https://doi.org/10.48550/arxiv.1702.08608" TargetMode="External" /><Relationship Type="http://schemas.openxmlformats.org/officeDocument/2006/relationships/hyperlink" Id="rId261" Target="https://doi.org/10.48550/arxiv.1705.07874" TargetMode="External" /><Relationship Type="http://schemas.openxmlformats.org/officeDocument/2006/relationships/hyperlink" Id="rId320" Target="https://trustai4s-lab.github.io/ffidelity" TargetMode="External" /><Relationship Type="http://schemas.openxmlformats.org/officeDocument/2006/relationships/hyperlink" Id="rId220" Target="https://www.jmlr.org/papers/v7/demsar06a.html" TargetMode="External" /></Relationships>
</file>

<file path=word/_rels/footnotes.xml.rels><?xml version="1.0" encoding="UTF-8"?><Relationships xmlns="http://schemas.openxmlformats.org/package/2006/relationships"><Relationship Type="http://schemas.openxmlformats.org/officeDocument/2006/relationships/hyperlink" Id="rId224" Target="http://archive.ics.uci.edu/ml" TargetMode="External" /><Relationship Type="http://schemas.openxmlformats.org/officeDocument/2006/relationships/hyperlink" Id="rId247" Target="https://archive.ics.uci.edu/dataset/2/adult" TargetMode="External" /><Relationship Type="http://schemas.openxmlformats.org/officeDocument/2006/relationships/hyperlink" Id="rId202" Target="https://arxiv.org/abs/1806.08049" TargetMode="External" /><Relationship Type="http://schemas.openxmlformats.org/officeDocument/2006/relationships/hyperlink" Id="rId279" Target="https://catalog.princeton.edu/catalog/2081365" TargetMode="External" /><Relationship Type="http://schemas.openxmlformats.org/officeDocument/2006/relationships/hyperlink" Id="rId204" Target="https://doi.org/10.1002/widm.1424" TargetMode="External" /><Relationship Type="http://schemas.openxmlformats.org/officeDocument/2006/relationships/hyperlink" Id="rId265" Target="https://doi.org/10.1002/widm.1493" TargetMode="External" /><Relationship Type="http://schemas.openxmlformats.org/officeDocument/2006/relationships/hyperlink" Id="rId298" Target="https://doi.org/10.1007/978-3-030-28954-6" TargetMode="External" /><Relationship Type="http://schemas.openxmlformats.org/officeDocument/2006/relationships/hyperlink" Id="rId314" Target="https://doi.org/10.1007/978-3-319-57959-7" TargetMode="External" /><Relationship Type="http://schemas.openxmlformats.org/officeDocument/2006/relationships/hyperlink" Id="rId300" Target="https://doi.org/10.1007/s10618-022-00867-8" TargetMode="External" /><Relationship Type="http://schemas.openxmlformats.org/officeDocument/2006/relationships/hyperlink" Id="rId226" Target="https://doi.org/10.1007/s11023-018-9482-5" TargetMode="External" /><Relationship Type="http://schemas.openxmlformats.org/officeDocument/2006/relationships/hyperlink" Id="rId236" Target="https://doi.org/10.1007/s12559-023-10179-8" TargetMode="External" /><Relationship Type="http://schemas.openxmlformats.org/officeDocument/2006/relationships/hyperlink" Id="rId304" Target="https://doi.org/10.1007/s13218-020-00637-y" TargetMode="External" /><Relationship Type="http://schemas.openxmlformats.org/officeDocument/2006/relationships/hyperlink" Id="rId239" Target="https://doi.org/10.1007/s13218-023-00806-9" TargetMode="External" /><Relationship Type="http://schemas.openxmlformats.org/officeDocument/2006/relationships/hyperlink" Id="rId267" Target="https://doi.org/10.1016/j.artint.2018.07.007" TargetMode="External" /><Relationship Type="http://schemas.openxmlformats.org/officeDocument/2006/relationships/hyperlink" Id="rId253" Target="https://doi.org/10.1016/j.artint.2021.103473" TargetMode="External" /><Relationship Type="http://schemas.openxmlformats.org/officeDocument/2006/relationships/hyperlink" Id="rId206" Target="https://doi.org/10.1016/j.inffus.2019.12.012" TargetMode="External" /><Relationship Type="http://schemas.openxmlformats.org/officeDocument/2006/relationships/hyperlink" Id="rId196" Target="https://doi.org/10.1016/j.inffus.2023.101805" TargetMode="External" /><Relationship Type="http://schemas.openxmlformats.org/officeDocument/2006/relationships/hyperlink" Id="rId249" Target="https://doi.org/10.1016/j.jcm.2016.02.012" TargetMode="External" /><Relationship Type="http://schemas.openxmlformats.org/officeDocument/2006/relationships/hyperlink" Id="rId284" Target="https://doi.org/10.1016/j.neucom.2024.128282" TargetMode="External" /><Relationship Type="http://schemas.openxmlformats.org/officeDocument/2006/relationships/hyperlink" Id="rId212" Target="https://doi.org/10.1023/a:1010933404324" TargetMode="External" /><Relationship Type="http://schemas.openxmlformats.org/officeDocument/2006/relationships/hyperlink" Id="rId282" Target="https://doi.org/10.1038/s41467-022-33417-3" TargetMode="External" /><Relationship Type="http://schemas.openxmlformats.org/officeDocument/2006/relationships/hyperlink" Id="rId275" Target="https://doi.org/10.1073/pnas.1900654116" TargetMode="External" /><Relationship Type="http://schemas.openxmlformats.org/officeDocument/2006/relationships/hyperlink" Id="rId228" Target="https://doi.org/10.1080/01621459.1937.10503522" TargetMode="External" /><Relationship Type="http://schemas.openxmlformats.org/officeDocument/2006/relationships/hyperlink" Id="rId191" Target="https://doi.org/10.1109/INES59045.2023.1030000" TargetMode="External" /><Relationship Type="http://schemas.openxmlformats.org/officeDocument/2006/relationships/hyperlink" Id="rId306" Target="https://doi.org/10.1109/TNNLS.2020.3027314" TargetMode="External" /><Relationship Type="http://schemas.openxmlformats.org/officeDocument/2006/relationships/hyperlink" Id="rId292" Target="https://doi.org/10.1109/TPAMI.2023.3331846" TargetMode="External" /><Relationship Type="http://schemas.openxmlformats.org/officeDocument/2006/relationships/hyperlink" Id="rId193" Target="https://doi.org/10.1109/access.2018.2870052" TargetMode="External" /><Relationship Type="http://schemas.openxmlformats.org/officeDocument/2006/relationships/hyperlink" Id="rId230" Target="https://doi.org/10.1109/dsaa.2018.00018" TargetMode="External" /><Relationship Type="http://schemas.openxmlformats.org/officeDocument/2006/relationships/hyperlink" Id="rId241" Target="https://doi.org/10.1126/science.359.6377.725" TargetMode="External" /><Relationship Type="http://schemas.openxmlformats.org/officeDocument/2006/relationships/hyperlink" Id="rId288" Target="https://doi.org/10.1145/2939672.2939778" TargetMode="External" /><Relationship Type="http://schemas.openxmlformats.org/officeDocument/2006/relationships/hyperlink" Id="rId189" Target="https://doi.org/10.1145/3173574.3174156" TargetMode="External" /><Relationship Type="http://schemas.openxmlformats.org/officeDocument/2006/relationships/hyperlink" Id="rId232" Target="https://doi.org/10.1145/3236009" TargetMode="External" /><Relationship Type="http://schemas.openxmlformats.org/officeDocument/2006/relationships/hyperlink" Id="rId259" Target="https://doi.org/10.1145/3236386.3241340" TargetMode="External" /><Relationship Type="http://schemas.openxmlformats.org/officeDocument/2006/relationships/hyperlink" Id="rId269" Target="https://doi.org/10.1145/3287560.3287574" TargetMode="External" /><Relationship Type="http://schemas.openxmlformats.org/officeDocument/2006/relationships/hyperlink" Id="rId245" Target="https://doi.org/10.1145/3313831.3376219" TargetMode="External" /><Relationship Type="http://schemas.openxmlformats.org/officeDocument/2006/relationships/hyperlink" Id="rId273" Target="https://doi.org/10.1145/3351095.3372850" TargetMode="External" /><Relationship Type="http://schemas.openxmlformats.org/officeDocument/2006/relationships/hyperlink" Id="rId302" Target="https://doi.org/10.1145/3375627.3375830" TargetMode="External" /><Relationship Type="http://schemas.openxmlformats.org/officeDocument/2006/relationships/hyperlink" Id="rId286" Target="https://doi.org/10.1145/3375627.3375850" TargetMode="External" /><Relationship Type="http://schemas.openxmlformats.org/officeDocument/2006/relationships/hyperlink" Id="rId271" Target="https://doi.org/10.1145/3387166" TargetMode="External" /><Relationship Type="http://schemas.openxmlformats.org/officeDocument/2006/relationships/hyperlink" Id="rId243" Target="https://doi.org/10.1145/3527848" TargetMode="External" /><Relationship Type="http://schemas.openxmlformats.org/officeDocument/2006/relationships/hyperlink" Id="rId277" Target="https://doi.org/10.1145/3583558" TargetMode="External" /><Relationship Type="http://schemas.openxmlformats.org/officeDocument/2006/relationships/hyperlink" Id="rId210" Target="https://doi.org/10.1145/3631700.3664911" TargetMode="External" /><Relationship Type="http://schemas.openxmlformats.org/officeDocument/2006/relationships/hyperlink" Id="rId263" Target="https://doi.org/10.1145/3647444.3647912" TargetMode="External" /><Relationship Type="http://schemas.openxmlformats.org/officeDocument/2006/relationships/hyperlink" Id="rId216" Target="https://doi.org/10.1145/3737445" TargetMode="External" /><Relationship Type="http://schemas.openxmlformats.org/officeDocument/2006/relationships/hyperlink" Id="rId198" Target="https://doi.org/10.1146/annurev-statistics-040120-030919" TargetMode="External" /><Relationship Type="http://schemas.openxmlformats.org/officeDocument/2006/relationships/hyperlink" Id="rId310" Target="https://doi.org/10.1201/9781003442509" TargetMode="External" /><Relationship Type="http://schemas.openxmlformats.org/officeDocument/2006/relationships/hyperlink" Id="rId294" Target="https://doi.org/10.1214/21-ss133" TargetMode="External" /><Relationship Type="http://schemas.openxmlformats.org/officeDocument/2006/relationships/hyperlink" Id="rId290" Target="https://doi.org/10.1609/aaai.v32i1.11491" TargetMode="External" /><Relationship Type="http://schemas.openxmlformats.org/officeDocument/2006/relationships/hyperlink" Id="rId308" Target="https://doi.org/10.1609/aaai.v34i04.6064" TargetMode="External" /><Relationship Type="http://schemas.openxmlformats.org/officeDocument/2006/relationships/hyperlink" Id="rId312" Target="https://doi.org/10.1613/jair.1.13283" TargetMode="External" /><Relationship Type="http://schemas.openxmlformats.org/officeDocument/2006/relationships/hyperlink" Id="rId234" Target="https://doi.org/10.18653/v1/2020.acl-main.491" TargetMode="External" /><Relationship Type="http://schemas.openxmlformats.org/officeDocument/2006/relationships/hyperlink" Id="rId214" Target="https://doi.org/10.18653/v1/2023.emnlp-main.792" TargetMode="External" /><Relationship Type="http://schemas.openxmlformats.org/officeDocument/2006/relationships/hyperlink" Id="rId316" Target="https://doi.org/10.2139/ssrn.3063289" TargetMode="External" /><Relationship Type="http://schemas.openxmlformats.org/officeDocument/2006/relationships/hyperlink" Id="rId318" Target="https://doi.org/10.2307/3001968" TargetMode="External" /><Relationship Type="http://schemas.openxmlformats.org/officeDocument/2006/relationships/hyperlink" Id="rId255" Target="https://doi.org/10.24963/ijcai.2019/388" TargetMode="External" /><Relationship Type="http://schemas.openxmlformats.org/officeDocument/2006/relationships/hyperlink" Id="rId208" Target="https://doi.org/10.3389/fdata.2021.688969" TargetMode="External" /><Relationship Type="http://schemas.openxmlformats.org/officeDocument/2006/relationships/hyperlink" Id="rId251" Target="https://doi.org/10.3389/fpsyg.2013.00863" TargetMode="External" /><Relationship Type="http://schemas.openxmlformats.org/officeDocument/2006/relationships/hyperlink" Id="rId296" Target="https://doi.org/10.3390/app14198884" TargetMode="External" /><Relationship Type="http://schemas.openxmlformats.org/officeDocument/2006/relationships/hyperlink" Id="rId257" Target="https://doi.org/10.3390/e23010018" TargetMode="External" /><Relationship Type="http://schemas.openxmlformats.org/officeDocument/2006/relationships/hyperlink" Id="rId218" Target="https://doi.org/10.3390/electronics8080832" TargetMode="External" /><Relationship Type="http://schemas.openxmlformats.org/officeDocument/2006/relationships/hyperlink" Id="rId200" Target="https://doi.org/10.3390/technologies13030093" TargetMode="External" /><Relationship Type="http://schemas.openxmlformats.org/officeDocument/2006/relationships/hyperlink" Id="rId222" Target="https://doi.org/10.48550/arxiv.1702.08608" TargetMode="External" /><Relationship Type="http://schemas.openxmlformats.org/officeDocument/2006/relationships/hyperlink" Id="rId261" Target="https://doi.org/10.48550/arxiv.1705.07874" TargetMode="External" /><Relationship Type="http://schemas.openxmlformats.org/officeDocument/2006/relationships/hyperlink" Id="rId320" Target="https://trustai4s-lab.github.io/ffidelity" TargetMode="External" /><Relationship Type="http://schemas.openxmlformats.org/officeDocument/2006/relationships/hyperlink" Id="rId220" Target="https://www.jmlr.org/papers/v7/demsar06a.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2026-08-29T18:17:21Z</dcterms:created>
  <dcterms:modified xsi:type="dcterms:W3CDTF">2026-08-29T18:17:21Z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