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rPr>
          <w:i/>
          <w:iCs/>
        </w:rPr>
        <w:t xml:space="preserve">Author information omitted for double-blind review.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We ask whether</w:t>
      </w:r>
      <w:r>
        <w:t xml:space="preserve"> </w:t>
      </w:r>
      <w:r>
        <w:t xml:space="preserve">post-hoc explanations are less reliable when the model is wrong. On the UCI Adult Income</w:t>
      </w:r>
      <w:r>
        <w:t xml:space="preserve"> </w:t>
      </w:r>
      <w:r>
        <w:t xml:space="preserve">dataset, we compare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 and a control for the prediction margin; the</w:t>
      </w:r>
      <w:r>
        <w:t xml:space="preserve"> </w:t>
      </w:r>
      <w:r>
        <w:t xml:space="preserve">Statlog German Credit dataset serves for external validation. Explanations were less</w:t>
      </w:r>
      <w:r>
        <w:t xml:space="preserve"> </w:t>
      </w:r>
      <w:r>
        <w:t xml:space="preserve">stable on misclassified instances 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deficit, and at equal margin</w:t>
      </w:r>
      <w:r>
        <w:t xml:space="preserve"> </w:t>
      </w:r>
      <w:r>
        <w:t xml:space="preserve">the features SHAP ranked first carried less of an erroneous prediction. Both SHAP results</w:t>
      </w:r>
      <w:r>
        <w:t xml:space="preserve"> </w:t>
      </w:r>
      <w:r>
        <w:t xml:space="preserve">held on instances outside the models’ training data. Fidelity changed little and in</w:t>
      </w:r>
      <w:r>
        <w:t xml:space="preserve"> </w:t>
      </w:r>
      <w:r>
        <w:t xml:space="preserve">opposite directions across explainers. The pattern depended on the model family; external</w:t>
      </w:r>
      <w:r>
        <w:t xml:space="preserve"> </w:t>
      </w:r>
      <w:r>
        <w:t xml:space="preserve">validation reproduced it for 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9"/>
    <w:bookmarkStart w:id="10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Nos preguntamos si las explicaciones post hoc son menos fiables</w:t>
      </w:r>
      <w:r>
        <w:t xml:space="preserve"> </w:t>
      </w:r>
      <w:r>
        <w:t xml:space="preserve">cuando el modelo se equivoca. Sobre el conjunto de datos UCI Adult Income,</w:t>
      </w:r>
      <w:r>
        <w:t xml:space="preserve"> </w:t>
      </w:r>
      <w:r>
        <w:t xml:space="preserve">comparamos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y un control del margen de predicción; el conjunto Statlog German Credit sirve de</w:t>
      </w:r>
      <w:r>
        <w:t xml:space="preserve"> </w:t>
      </w:r>
      <w:r>
        <w:t xml:space="preserve">validación externa.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SHAP; con el margen fijo, las variables que SHAP</w:t>
      </w:r>
      <w:r>
        <w:t xml:space="preserve"> </w:t>
      </w:r>
      <w:r>
        <w:t xml:space="preserve">situó primero sostuvieron una parte menor de la predicción errónea. Ambos resultados</w:t>
      </w:r>
      <w:r>
        <w:t xml:space="preserve"> </w:t>
      </w:r>
      <w:r>
        <w:t xml:space="preserve">de SHAP se mantuvieron fuera de los datos de entrenamiento. El patrón dependió de la familia de modelos; la validación externa lo</w:t>
      </w:r>
      <w:r>
        <w:t xml:space="preserve"> </w:t>
      </w:r>
      <w:r>
        <w:t xml:space="preserve">reprodujo para Anchors,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inspect the predictions of an opaque classifier. Their quality is</w:t>
      </w:r>
      <w:r>
        <w:t xml:space="preserve"> </w:t>
      </w:r>
      <w:r>
        <w:t xml:space="preserve">measured with proxies: whether the features an explanation ranks first are those that move</w:t>
      </w:r>
      <w:r>
        <w:t xml:space="preserve"> </w:t>
      </w:r>
      <w:r>
        <w:t xml:space="preserve">the prediction</w:t>
      </w:r>
      <w:r>
        <w:t xml:space="preserve"> </w:t>
      </w:r>
      <w:r>
        <w:t xml:space="preserve">[5], [6], [7]</w:t>
      </w:r>
      <w:r>
        <w:t xml:space="preserve">, and</w:t>
      </w:r>
      <w:r>
        <w:t xml:space="preserve"> </w:t>
      </w:r>
      <w:r>
        <w:t xml:space="preserve">whether similar inputs receive similar explanations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Benchmarks report these metrics as averages over instances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An average hides one split that matters: whether the prediction was right. Explanations</w:t>
      </w:r>
      <w:r>
        <w:t xml:space="preserve"> </w:t>
      </w:r>
      <w:r>
        <w:t xml:space="preserve">are consulted when a decision is contested, when an auditor examines a failure, or when a</w:t>
      </w:r>
      <w:r>
        <w:t xml:space="preserve"> </w:t>
      </w:r>
      <w:r>
        <w:t xml:space="preserve">user decides whether to accept a recommendation, situations in which the prediction is</w:t>
      </w:r>
      <w:r>
        <w:t xml:space="preserve"> </w:t>
      </w:r>
      <w:r>
        <w:t xml:space="preserve">disproportionately likely to be wrong. Explanations can raise acceptance of a</w:t>
      </w:r>
      <w:r>
        <w:t xml:space="preserve"> </w:t>
      </w:r>
      <w:r>
        <w:t xml:space="preserve">recommendation whether or not it is correct</w:t>
      </w:r>
      <w:r>
        <w:t xml:space="preserve"> </w:t>
      </w:r>
      <w:r>
        <w:t xml:space="preserve">[10]</w:t>
      </w:r>
      <w:r>
        <w:t xml:space="preserve">, and they can be</w:t>
      </w:r>
      <w:r>
        <w:t xml:space="preserve"> </w:t>
      </w:r>
      <w:r>
        <w:t xml:space="preserve">unreliable in ways their appearance does not reveal</w:t>
      </w:r>
      <w:r>
        <w:t xml:space="preserve"> </w:t>
      </w:r>
      <w:r>
        <w:t xml:space="preserve">[11], [12]</w:t>
      </w:r>
      <w:r>
        <w:t xml:space="preserve">.</w:t>
      </w:r>
      <w:r>
        <w:t xml:space="preserve"> </w:t>
      </w:r>
      <w:r>
        <w:t xml:space="preserve">If they are also less faithful or less stable on errors, an explanation can look most</w:t>
      </w:r>
      <w:r>
        <w:t xml:space="preserve"> </w:t>
      </w:r>
      <w:r>
        <w:t xml:space="preserve">convincing where it deserves the least trust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The closest line of work relates explanations to model uncertainty. A recent survey of</w:t>
      </w:r>
      <w:r>
        <w:t xml:space="preserve"> </w:t>
      </w:r>
      <w:r>
        <w:t xml:space="preserve">uncertainty-aware XAI finds that the stability of explanations is reported inconsistently</w:t>
      </w:r>
      <w:r>
        <w:t xml:space="preserve"> </w:t>
      </w:r>
      <w:r>
        <w:t xml:space="preserve">[14]</w:t>
      </w:r>
      <w:r>
        <w:t xml:space="preserve">; uncertainty in inputs and model parameters propagates into</w:t>
      </w:r>
      <w:r>
        <w:t xml:space="preserve"> </w:t>
      </w:r>
      <w:r>
        <w:t xml:space="preserve">explanation variance, and not all methods propagate it reliably</w:t>
      </w:r>
      <w:r>
        <w:t xml:space="preserve"> </w:t>
      </w:r>
      <w:r>
        <w:t xml:space="preserve">[15]</w:t>
      </w:r>
      <w:r>
        <w:t xml:space="preserve">; counterfactual explanations are highly sensitive to model</w:t>
      </w:r>
      <w:r>
        <w:t xml:space="preserve"> </w:t>
      </w:r>
      <w:r>
        <w:t xml:space="preserve">uncertainty, even when accuracy is high</w:t>
      </w:r>
      <w:r>
        <w:t xml:space="preserve"> </w:t>
      </w:r>
      <w:r>
        <w:t xml:space="preserve">[16]</w:t>
      </w:r>
      <w:r>
        <w:t xml:space="preserve">; and SHAP can be</w:t>
      </w:r>
      <w:r>
        <w:t xml:space="preserve"> </w:t>
      </w:r>
      <w:r>
        <w:t xml:space="preserve">used to explain the uncertainty itself rather than the prediction</w:t>
      </w:r>
      <w:r>
        <w:t xml:space="preserve"> </w:t>
      </w:r>
      <w:r>
        <w:t xml:space="preserve">[17]</w:t>
      </w:r>
      <w:r>
        <w:t xml:space="preserve">. These studies vary uncertainty; whether the quality of an</w:t>
      </w:r>
      <w:r>
        <w:t xml:space="preserve"> </w:t>
      </w:r>
      <w:r>
        <w:t xml:space="preserve">explanation differs between the correct and the wrong predictions of a given model is a</w:t>
      </w:r>
      <w:r>
        <w:t xml:space="preserve"> </w:t>
      </w:r>
      <w:r>
        <w:t xml:space="preserve">related but separate question.</w:t>
      </w:r>
    </w:p>
    <w:p>
      <w:pPr>
        <w:pStyle w:val="BodyText"/>
      </w:pPr>
      <w:r>
        <w:t xml:space="preserve">We test this with a pre-specified re-analysis of an existing benchmark that explained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families, and ask: does explanation quality differ</w:t>
      </w:r>
      <w:r>
        <w:t xml:space="preserve"> </w:t>
      </w:r>
      <w:r>
        <w:t xml:space="preserve">between correct and misclassified instances (RQ1), does the difference depend on the</w:t>
      </w:r>
      <w:r>
        <w:t xml:space="preserve"> </w:t>
      </w:r>
      <w:r>
        <w:t xml:space="preserve">model family (RQ2), do false positives and false negatives differ (RQ3), and is the</w:t>
      </w:r>
      <w:r>
        <w:t xml:space="preserve"> </w:t>
      </w:r>
      <w:r>
        <w:t xml:space="preserve">difference explained by proximity to the decision boundary, where errors tend to lie</w:t>
      </w:r>
      <w:r>
        <w:t xml:space="preserve"> </w:t>
      </w:r>
      <w:r>
        <w:t xml:space="preserve">(RQ4)?</w:t>
      </w:r>
    </w:p>
    <w:bookmarkEnd w:id="11"/>
    <w:bookmarkStart w:id="15" w:name="materials-and-methods"/>
    <w:p>
      <w:pPr>
        <w:pStyle w:val="Heading1"/>
      </w:pPr>
      <w:r>
        <w:t xml:space="preserve">Materials and methods</w:t>
      </w:r>
    </w:p>
    <w:bookmarkStart w:id="12" w:name="datasets-and-experimental-runs"/>
    <w:p>
      <w:pPr>
        <w:pStyle w:val="Heading2"/>
      </w:pPr>
      <w:r>
        <w:t xml:space="preserve">Datasets and experimental runs</w:t>
      </w:r>
    </w:p>
    <w:p>
      <w:pPr>
        <w:pStyle w:val="FirstParagraph"/>
      </w:pPr>
      <w:r>
        <w:t xml:space="preserve">Two tabular datasets are used: UCI Adult Income</w:t>
      </w:r>
      <w:r>
        <w:t xml:space="preserve"> </w:t>
      </w:r>
      <w:r>
        <w:t xml:space="preserve">[18]</w:t>
      </w:r>
      <w:r>
        <w:t xml:space="preserve"> </w:t>
      </w:r>
      <w:r>
        <w:t xml:space="preserve">(primary) and Statlog</w:t>
      </w:r>
      <w:r>
        <w:t xml:space="preserve"> </w:t>
      </w:r>
      <w:r>
        <w:t xml:space="preserve">German Credit</w:t>
      </w:r>
      <w:r>
        <w:t xml:space="preserve"> </w:t>
      </w:r>
      <w:r>
        <w:t xml:space="preserve">[19]</w:t>
      </w:r>
      <w:r>
        <w:t xml:space="preserve"> </w:t>
      </w:r>
      <w:r>
        <w:t xml:space="preserve">(external validation). The explanation runs come from</w:t>
      </w:r>
      <w:r>
        <w:t xml:space="preserve"> </w:t>
      </w:r>
      <w:r>
        <w:t xml:space="preserve">a benchmark whose protocol is described in</w:t>
      </w:r>
      <w:r>
        <w:t xml:space="preserve"> </w:t>
      </w:r>
      <w:r>
        <w:t xml:space="preserve">[9]</w:t>
      </w:r>
      <w:r>
        <w:t xml:space="preserve">. That study, and a</w:t>
      </w:r>
      <w:r>
        <w:t xml:space="preserve"> </w:t>
      </w:r>
      <w:r>
        <w:t xml:space="preserve">later analysis of the same runs, compare explainers by their average quality; the present</w:t>
      </w:r>
      <w:r>
        <w:t xml:space="preserve"> </w:t>
      </w:r>
      <w:r>
        <w:t xml:space="preserve">analysis reports none of their results and compares each explainer with itself, between</w:t>
      </w:r>
      <w:r>
        <w:t xml:space="preserve"> </w:t>
      </w:r>
      <w:r>
        <w:t xml:space="preserve">correct and misclassified instances of the same run.</w:t>
      </w:r>
    </w:p>
    <w:p>
      <w:pPr>
        <w:pStyle w:val="BodyText"/>
      </w:pPr>
      <w:r>
        <w:t xml:space="preserve">Five classifiers were explained: logistic regression, random forest</w:t>
      </w:r>
      <w:r>
        <w:t xml:space="preserve"> </w:t>
      </w:r>
      <w:r>
        <w:t xml:space="preserve">[20]</w:t>
      </w:r>
      <w:r>
        <w:t xml:space="preserve">, XGBoost</w:t>
      </w:r>
      <w:r>
        <w:t xml:space="preserve"> </w:t>
      </w:r>
      <w:r>
        <w:t xml:space="preserve">[21]</w:t>
      </w:r>
      <w:r>
        <w:t xml:space="preserve">, a support vector machine and a</w:t>
      </w:r>
      <w:r>
        <w:t xml:space="preserve"> </w:t>
      </w:r>
      <w:r>
        <w:t xml:space="preserve">multilayer perceptron, all trained once on the seed-42 partition of the data. Each run</w:t>
      </w:r>
      <w:r>
        <w:t xml:space="preserve"> </w:t>
      </w:r>
      <w:r>
        <w:t xml:space="preserve">crossed one model, one explainer, one seed (42, 123, 456, 789 or 999), which fixed the</w:t>
      </w:r>
      <w:r>
        <w:t xml:space="preserve"> </w:t>
      </w:r>
      <w:r>
        <w:t xml:space="preserve">partition sampled,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 (TP, TN, FP,</w:t>
      </w:r>
      <w:r>
        <w:t xml:space="preserve"> </w:t>
      </w:r>
      <w:r>
        <w:t xml:space="preserve">FN), so correct and misclassified instances are about equally represented. Of the</w:t>
      </w:r>
      <w:r>
        <w:t xml:space="preserve"> </w:t>
      </w:r>
      <w:r>
        <w:t xml:space="preserve">299 runs, 265 were analysed (Anchors and DiCE runs</w:t>
      </w:r>
      <w:r>
        <w:t xml:space="preserve"> </w:t>
      </w:r>
      <w:r>
        <w:t xml:space="preserve">without explanations, and SHAP runs with fewer than ten instances in a group, were</w:t>
      </w:r>
      <w:r>
        <w:t xml:space="preserve"> </w:t>
      </w:r>
      <w:r>
        <w:t xml:space="preserve">excluded). They contain 122,529 explained instances, of which</w:t>
      </w:r>
      <w:r>
        <w:t xml:space="preserve"> </w:t>
      </w:r>
      <w:r>
        <w:t xml:space="preserve">70,788 belong to the training data (Section </w:t>
      </w:r>
      <w:hyperlink w:anchor="sec:sens">
        <w:r>
          <w:rPr>
            <w:rStyle w:val="Hyperlink"/>
          </w:rPr>
          <w:t xml:space="preserve">3.4</w:t>
        </w:r>
      </w:hyperlink>
      <w:r>
        <w:t xml:space="preserve">);</w:t>
      </w:r>
      <w:r>
        <w:t xml:space="preserve"> </w:t>
      </w:r>
      <w:r>
        <w:t xml:space="preserve">278 instances without a quadrant were excluded. On German Credit, random</w:t>
      </w:r>
      <w:r>
        <w:t xml:space="preserve"> </w:t>
      </w:r>
      <w:r>
        <w:t xml:space="preserve">forest and XGBoost were explained by SHAP and Anchors with three seeds each (12 runs, 13 to</w:t>
      </w:r>
      <w:r>
        <w:t xml:space="preserve"> </w:t>
      </w:r>
      <w:r>
        <w:t xml:space="preserve">37 errors per quadrant). Breast Cancer was excluded in advance, with one to four errors</w:t>
      </w:r>
      <w:r>
        <w:t xml:space="preserve"> </w:t>
      </w:r>
      <w:r>
        <w:t xml:space="preserve">per quadrant.</w:t>
      </w:r>
    </w:p>
    <w:bookmarkEnd w:id="12"/>
    <w:bookmarkStart w:id="13" w:name="quality-metrics"/>
    <w:p>
      <w:pPr>
        <w:pStyle w:val="Heading2"/>
      </w:pPr>
      <w:r>
        <w:t xml:space="preserve">Quality metrics</w:t>
      </w:r>
    </w:p>
    <w:p>
      <w:pPr>
        <w:pStyle w:val="FirstParagraph"/>
      </w:pPr>
      <w:r>
        <w:t xml:space="preserve">SHAP (TreeExplainer for tree models, KernelExplainer otherwise) and LIME (ten features)</w:t>
      </w:r>
      <w:r>
        <w:t xml:space="preserve"> </w:t>
      </w:r>
      <w:r>
        <w:t xml:space="preserve">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; Anchors is represented as a binary</w:t>
      </w:r>
      <w:r>
        <w:t xml:space="preserve"> </w:t>
      </w:r>
      <w:r>
        <w:t xml:space="preserve">vector of the features in its rule, and DiCE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for its 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predicted probability of the positive class and masking a feature meaning</w:t>
      </w:r>
      <w:r>
        <w:t xml:space="preserve"> </w:t>
      </w:r>
      <w:r>
        <w:t xml:space="preserve">replacing it with its training mean, the benchmark</w:t>
      </w:r>
      <w:r>
        <w:t xml:space="preserve"> </w:t>
      </w:r>
      <w:r>
        <w:t xml:space="preserve">[9]</w:t>
      </w:r>
      <w:r>
        <w:t xml:space="preserve"> </w:t>
      </w:r>
      <w:r>
        <w:t xml:space="preserve">computes</w:t>
      </w:r>
      <w:r>
        <w:t xml:space="preserve"> </w:t>
      </w:r>
      <w:r>
        <w:t xml:space="preserve">per instance the stability</w:t>
      </w:r>
      <w:r>
        <w:t xml:space="preserve"> </w:t>
      </w:r>
      <w:r>
        <w:t xml:space="preserve">[8]</w:t>
      </w:r>
      <w:r>
        <w:t xml:space="preserve">, the mean cosine similarity of</w:t>
      </w:r>
      <w:r>
        <w:t xml:space="preserve"> </w:t>
      </w:r>
      <w:r>
        <w:t xml:space="preserve">explanations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noisy copies of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fidelity</w:t>
      </w:r>
      <w:r>
        <w:t xml:space="preserve"> </w:t>
      </w:r>
      <w:r>
        <w:t xml:space="preserve">[5]</w:t>
      </w:r>
      <w:r>
        <w:t xml:space="preserve">, the correlation across features between</w:t>
      </w:r>
      <w:r>
        <w:t xml:space="preserve"> </w:t>
      </w:r>
      <w:r>
        <w:t xml:space="preserve">attribution size and the effect of masking that feature,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faithfulness gap</w:t>
      </w:r>
      <w:r>
        <w:t xml:space="preserve"> </w:t>
      </w:r>
      <w:r>
        <w:t xml:space="preserve">[6], [7]</w:t>
      </w:r>
      <w:r>
        <w:t xml:space="preserve">, the effect of</w:t>
      </w:r>
      <w:r>
        <w:t xml:space="preserve"> </w:t>
      </w:r>
      <w:r>
        <w:t xml:space="preserve">masking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top-ranked features together,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Higher is better for all three. Sparsity was a secondary metric and explanation time was</w:t>
      </w:r>
      <w:r>
        <w:t xml:space="preserve"> </w:t>
      </w:r>
      <w:r>
        <w:t xml:space="preserve">described.</w:t>
      </w:r>
    </w:p>
    <w:bookmarkEnd w:id="13"/>
    <w:bookmarkStart w:id="14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 was committed to the project repository before any result was</w:t>
      </w:r>
      <w:r>
        <w:t xml:space="preserve"> </w:t>
      </w:r>
      <w:r>
        <w:t xml:space="preserve">computed. Instances are nested in runs, so the run is the unit of 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 RQ1 uses a two-sided Wilcoxon</w:t>
      </w:r>
      <w:r>
        <w:t xml:space="preserve"> </w:t>
      </w:r>
      <w:r>
        <w:t xml:space="preserve">signed-rank test per explainer and metric</w:t>
      </w:r>
      <w:r>
        <w:t xml:space="preserve"> </w:t>
      </w:r>
      <w:r>
        <w:t xml:space="preserve">[22]</w:t>
      </w:r>
      <w:r>
        <w:t xml:space="preserve">, Holm-corrected</w:t>
      </w:r>
      <w:r>
        <w:t xml:space="preserve"> </w:t>
      </w:r>
      <w:r>
        <w:t xml:space="preserve">across the 12 tests</w:t>
      </w:r>
      <w:r>
        <w:t xml:space="preserve"> </w:t>
      </w:r>
      <w:r>
        <w:t xml:space="preserve">[23]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[24]</w:t>
      </w:r>
      <w:r>
        <w:t xml:space="preserve">; an effect is practically relevant if also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It was repeated with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within model and seed. RQ2 uses Kruskal–Wallis tests across families</w:t>
      </w:r>
      <w:r>
        <w:t xml:space="preserve"> </w:t>
      </w:r>
      <w:r>
        <w:t xml:space="preserve">[25]</w:t>
      </w:r>
      <w:r>
        <w:t xml:space="preserve"> </w:t>
      </w:r>
      <w:r>
        <w:t xml:space="preserve">and RQ3 the RQ1 test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both Holm-corrected. For RQ4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was recomputed from the</w:t>
      </w:r>
      <w:r>
        <w:t xml:space="preserve"> </w:t>
      </w:r>
      <w:r>
        <w:t xml:space="preserve">stored models and, per explainer and metric, we fitted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 and standard errors clustered by run</w:t>
      </w:r>
      <w:r>
        <w:t xml:space="preserve"> </w:t>
      </w:r>
      <w:r>
        <w:t xml:space="preserve">[26]</w:t>
      </w:r>
      <w:r>
        <w:t xml:space="preserve">; a difference is explained by the margin if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than halves and its interval includes zero. German Credit, with six runs per explainer, is</w:t>
      </w:r>
      <w:r>
        <w:t xml:space="preserve"> </w:t>
      </w:r>
      <w:r>
        <w:t xml:space="preserve">reported descriptively.</w:t>
      </w:r>
    </w:p>
    <w:p>
      <w:pPr>
        <w:pStyle w:val="BodyText"/>
      </w:pPr>
      <w:r>
        <w:t xml:space="preserve">Deviations from the plan: (1) for random-forest runs made first, the stored model</w:t>
      </w:r>
      <w:r>
        <w:t xml:space="preserve"> </w:t>
      </w:r>
      <w:r>
        <w:t xml:space="preserve">reproduces only part of the recorded predictions, so RQ4 uses the</w:t>
      </w:r>
      <w:r>
        <w:t xml:space="preserve"> </w:t>
      </w:r>
      <w:r>
        <w:t xml:space="preserve">223 of 274 runs it reproduces (99% or more),</w:t>
      </w:r>
      <w:r>
        <w:t xml:space="preserve"> </w:t>
      </w:r>
      <w:r>
        <w:t xml:space="preserve">including 9 of 60 random-forest runs;</w:t>
      </w:r>
      <w:r>
        <w:t xml:space="preserve"> </w:t>
      </w:r>
      <w:r>
        <w:t xml:space="preserve">RQ1–RQ3 are unaffected, as their labels come from the model that ran. (2) For the 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Platt-scaled</w:t>
      </w:r>
      <w:r>
        <w:t xml:space="preserve"> </w:t>
      </w:r>
      <w:r>
        <w:t xml:space="preserve">[27]</w:t>
      </w:r>
      <w:r>
        <w:t xml:space="preserve"> </w:t>
      </w:r>
      <w:r>
        <w:t xml:space="preserve">and disagrees with the predicted</w:t>
      </w:r>
      <w:r>
        <w:t xml:space="preserve"> </w:t>
      </w:r>
      <w:r>
        <w:t xml:space="preserve">class for 404 of 22,426 instances,</w:t>
      </w:r>
      <w:r>
        <w:t xml:space="preserve"> </w:t>
      </w:r>
      <w:r>
        <w:t xml:space="preserve">which were kept. Two post-hoc analyses were added: (3) RQ1 and RQ4 without training</w:t>
      </w:r>
      <w:r>
        <w:t xml:space="preserve"> </w:t>
      </w:r>
      <w:r>
        <w:t xml:space="preserve">instances, and RQ1 on seed 42 alone; (4) a check of the mechanism proposed for RQ3.</w:t>
      </w:r>
    </w:p>
    <w:bookmarkEnd w:id="14"/>
    <w:bookmarkEnd w:id="15"/>
    <w:bookmarkStart w:id="35" w:name="results"/>
    <w:p>
      <w:pPr>
        <w:pStyle w:val="Heading1"/>
      </w:pPr>
      <w:r>
        <w:t xml:space="preserve">Results</w:t>
      </w:r>
    </w:p>
    <w:bookmarkStart w:id="21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Stability was lower on misclassified instances for all four explainers</w:t>
      </w:r>
      <w:r>
        <w:t xml:space="preserve"> </w:t>
      </w:r>
      <w:r>
        <w:t xml:space="preserve">(Table </w:t>
      </w:r>
      <w:hyperlink w:anchor="tab:rq1">
        <w:r>
          <w:rPr>
            <w:rStyle w:val="Hyperlink"/>
          </w:rPr>
          <w:t xml:space="preserve">1</w:t>
        </w:r>
      </w:hyperlink>
      <w:r>
        <w:t xml:space="preserve">,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). The deficit was large for SHAP, in all</w:t>
      </w:r>
      <w:r>
        <w:t xml:space="preserve"> </w:t>
      </w:r>
      <w:r>
        <w:t xml:space="preserve">65 runs, and DiCE, in 67 of</w:t>
      </w:r>
      <w:r>
        <w:t xml:space="preserve"> </w:t>
      </w:r>
      <w:r>
        <w:t xml:space="preserve">68. For LIME it was consistent (73 of</w:t>
      </w:r>
      <w:r>
        <w:t xml:space="preserve"> </w:t>
      </w:r>
      <w:r>
        <w:t xml:space="preserve">75 runs) but small, as LIME’s stability on these data is near zero.</w:t>
      </w:r>
      <w:r>
        <w:t xml:space="preserve"> </w:t>
      </w:r>
      <w:r>
        <w:t xml:space="preserve">For Anchors most runs had stability near zero in both groups, so the median is close to</w:t>
      </w:r>
      <w:r>
        <w:t xml:space="preserve"> </w:t>
      </w:r>
      <w:r>
        <w:t xml:space="preserve">zero, yet the difference was negative in 49 of</w:t>
      </w:r>
      <w:r>
        <w:t xml:space="preserve"> </w:t>
      </w:r>
      <w:r>
        <w:t xml:space="preserve">57 runs. Fidelity was lower on errors for DiCE and Anchors,</w:t>
      </w:r>
      <w:r>
        <w:t xml:space="preserve"> </w:t>
      </w:r>
      <w:r>
        <w:t xml:space="preserve">higher for LIME, and not significant for SHAP, whose positive mean comes from a minority of</w:t>
      </w:r>
      <w:r>
        <w:t xml:space="preserve"> </w:t>
      </w:r>
      <w:r>
        <w:t xml:space="preserve">random-forest and SVM runs while its median is near zero. The faithfulness gap was lower on</w:t>
      </w:r>
      <w:r>
        <w:t xml:space="preserve"> </w:t>
      </w:r>
      <w:r>
        <w:t xml:space="preserve">errors for SHAP and DiCE only. Of the 12 tests, 9 were significant and</w:t>
      </w:r>
      <w:r>
        <w:t xml:space="preserve"> </w:t>
      </w:r>
      <w:r>
        <w:t xml:space="preserve">3 practically relevant (SHAP stability, DiCE stability and fidelity); the</w:t>
      </w:r>
      <w:r>
        <w:t xml:space="preserve"> </w:t>
      </w:r>
      <w:r>
        <w:t xml:space="preserve">model–seed analysis agreed for 10. Sparsity differences were within</w:t>
      </w:r>
      <w:r>
        <w:t xml:space="preserve"> </w:t>
      </w:r>
      <w:r>
        <w:t xml:space="preserve">0.005 of zero; only Anchors was slower on errors.</w:t>
      </w:r>
    </w:p>
    <w:bookmarkStart w:id="16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across the 12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across the 12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</w:tbl>
    <w:bookmarkEnd w:id="16"/>
    <w:bookmarkStart w:id="20" w:name="fig:rq1"/>
    <w:p>
      <w:pPr>
        <w:pStyle w:val="CaptionedFigure"/>
      </w:pPr>
      <w:r>
        <w:drawing>
          <wp:inline>
            <wp:extent cx="4800600" cy="159021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/fig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 (the Wilcoxon test concerns the median; for SHAP fidelity the median is</w:t>
      </w:r>
      <w:r>
        <w:t xml:space="preserve"> </w:t>
      </w:r>
      <w:r>
        <w:t xml:space="preserve">near zero while the mean is not). Negative values mean lower quality on errors.</w:t>
      </w:r>
    </w:p>
    <w:bookmarkEnd w:id="20"/>
    <w:bookmarkEnd w:id="21"/>
    <w:bookmarkStart w:id="27" w:name="model-families-and-error-types-rq2-rq3"/>
    <w:p>
      <w:pPr>
        <w:pStyle w:val="Heading2"/>
      </w:pPr>
      <w:r>
        <w:t xml:space="preserve">Model families and error types (RQ2, RQ3)</w:t>
      </w:r>
    </w:p>
    <w:p>
      <w:pPr>
        <w:pStyle w:val="FirstParagraph"/>
      </w:pPr>
      <w:r>
        <w:t xml:space="preserve">The size, and for fidelity and faithfulness gap the sign, of the difference depended on the</w:t>
      </w:r>
      <w:r>
        <w:t xml:space="preserve"> </w:t>
      </w:r>
      <w:r>
        <w:t xml:space="preserve">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); the Kruskal–Wallis test was significant for</w:t>
      </w:r>
      <w:r>
        <w:t xml:space="preserve"> </w:t>
      </w:r>
      <w:r>
        <w:t xml:space="preserve">10 of 12 combinations, all but LIME and Anchors</w:t>
      </w:r>
      <w:r>
        <w:t xml:space="preserve"> </w:t>
      </w:r>
      <w:r>
        <w:t xml:space="preserve">stability. The SHAP stability deficit was largest for the multilayer perceptron</w:t>
      </w:r>
      <w:r>
        <w:t xml:space="preserve"> </w:t>
      </w:r>
      <w:r>
        <w:t xml:space="preserve">(−0.216) and XGBoost (−0.168);</w:t>
      </w:r>
      <w:r>
        <w:t xml:space="preserve"> </w:t>
      </w:r>
      <w:r>
        <w:t xml:space="preserve">the DiCE deficit appeared in every family.</w:t>
      </w:r>
    </w:p>
    <w:bookmarkStart w:id="25" w:name="fig:rq2"/>
    <w:p>
      <w:pPr>
        <w:pStyle w:val="CaptionedFigure"/>
      </w:pPr>
      <w:r>
        <w:drawing>
          <wp:inline>
            <wp:extent cx="4800600" cy="166510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fig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65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 LIME</w:t>
      </w:r>
      <w:r>
        <w:t xml:space="preserve"> </w:t>
      </w:r>
      <w:r>
        <w:t xml:space="preserve">and Anchors stability differences are small on this scale.</w:t>
      </w:r>
    </w:p>
    <w:bookmarkEnd w:id="25"/>
    <w:p>
      <w:pPr>
        <w:pStyle w:val="BodyText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2</w:t>
        </w:r>
      </w:hyperlink>
      <w:r>
        <w:t xml:space="preserve">). This follows the predicted class, not</w:t>
      </w:r>
      <w:r>
        <w:t xml:space="preserve"> </w:t>
      </w:r>
      <w:r>
        <w:t xml:space="preserve">the error: between correct predictions the gap was far larger for true positives than for</w:t>
      </w:r>
      <w:r>
        <w:t xml:space="preserve"> </w:t>
      </w:r>
      <w:r>
        <w:t xml:space="preserve">true negatives (SHAP +0.597, positive in every run), and errors fell</w:t>
      </w:r>
      <w:r>
        <w:t xml:space="preserve"> </w:t>
      </w:r>
      <w:r>
        <w:t xml:space="preserve">between them (false positives below true positives, SHAP −0.142;</w:t>
      </w:r>
      <w:r>
        <w:t xml:space="preserve"> </w:t>
      </w:r>
      <w:r>
        <w:t xml:space="preserve">false negatives above true negatives, +0.078). Masking to the</w:t>
      </w:r>
      <w:r>
        <w:t xml:space="preserve"> </w:t>
      </w:r>
      <w:r>
        <w:t xml:space="preserve">training mean plausibly pushes instances towards the majority, negative class, so the gap</w:t>
      </w:r>
      <w:r>
        <w:t xml:space="preserve"> </w:t>
      </w:r>
      <w:r>
        <w:t xml:space="preserve">is not comparable across predicted classes.</w:t>
      </w:r>
    </w:p>
    <w:bookmarkStart w:id="26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6"/>
    <w:bookmarkEnd w:id="27"/>
    <w:bookmarkStart w:id="33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lay closer to the boundary (median margin</w:t>
      </w:r>
      <w:r>
        <w:t xml:space="preserve"> </w:t>
      </w:r>
      <w:r>
        <w:t xml:space="preserve">0.18 against</w:t>
      </w:r>
      <w:r>
        <w:t xml:space="preserve"> </w:t>
      </w:r>
      <w:r>
        <w:t xml:space="preserve">0.43 in the SHAP runs), and stability rose with</w:t>
      </w:r>
      <w:r>
        <w:t xml:space="preserve"> </w:t>
      </w:r>
      <w:r>
        <w:t xml:space="preserve">the margin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With the margin controlled 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), the</w:t>
      </w:r>
      <w:r>
        <w:t xml:space="preserve"> </w:t>
      </w:r>
      <w:r>
        <w:t xml:space="preserve">DiCE stability deficit almost vanished: near the boundary a counterfactual needs only a</w:t>
      </w:r>
      <w:r>
        <w:t xml:space="preserve"> </w:t>
      </w:r>
      <w:r>
        <w:t xml:space="preserve">small change, which varies more under noise. The SHAP stability deficit shrank but</w:t>
      </w:r>
      <w:r>
        <w:t xml:space="preserve"> </w:t>
      </w:r>
      <w:r>
        <w:t xml:space="preserve">remained, and is visible in every margin bin of 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. The faithfulness gap,</w:t>
      </w:r>
      <w:r>
        <w:t xml:space="preserve"> </w:t>
      </w:r>
      <w:r>
        <w:t xml:space="preserve">which near the boundary is inflated because any deletion moves the prediction, became</w:t>
      </w:r>
      <w:r>
        <w:t xml:space="preserve"> </w:t>
      </w:r>
      <w:r>
        <w:t xml:space="preserve">lower on errors for SHAP, LIME and Anchors. The fidelity differences were largely margin</w:t>
      </w:r>
      <w:r>
        <w:t xml:space="preserve"> </w:t>
      </w:r>
      <w:r>
        <w:t xml:space="preserve">effects (LIME’s advantage fell from +0.039 to</w:t>
      </w:r>
      <w:r>
        <w:t xml:space="preserve"> </w:t>
      </w:r>
      <w:r>
        <w:t xml:space="preserve">+0.014; DiCE’s deficit reversed).</w:t>
      </w:r>
    </w:p>
    <w:bookmarkStart w:id="28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for stability and faithfulness gap in run</w:t>
      </w:r>
      <w:r>
        <w:t xml:space="preserve"> </w:t>
      </w:r>
      <w:r>
        <w:t xml:space="preserve">fixed-effects regressions:</w:t>
      </w:r>
      <w:r>
        <w:t xml:space="preserve"> </w:t>
      </w:r>
      <w:r>
        <w:t xml:space="preserve">without the margin, with the margin (95% CI), and with the margin on instances outside</w:t>
      </w:r>
      <w:r>
        <w:t xml:space="preserve"> </w:t>
      </w:r>
      <w:r>
        <w:t xml:space="preserve">the training data (95% CI). Standard errors clustered by run; runs whose recorded</w:t>
      </w:r>
      <w:r>
        <w:t xml:space="preserve"> </w:t>
      </w:r>
      <w:r>
        <w:t xml:space="preserve">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for stability and faithfulness gap in run fixed-effects regressions: without the margin, with the margin (95% CI), and with the margin on instances outside the training data (95% CI). Standard errors clustered by run; runs whose recorded predictions the stored model reproduc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margin, held out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−0.040 [−0.059, −0.021]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−0.001 [−0.002, 0.000]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[−0.042, +0.007]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−0.027 [−0.052,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[−0.054,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−0.011 [−0.037, +0.015]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[−0.021, +0.006]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−0.005 [−0.016, +0.006]</w:t>
            </w:r>
          </w:p>
        </w:tc>
      </w:tr>
    </w:tbl>
    <w:bookmarkEnd w:id="28"/>
    <w:bookmarkStart w:id="32" w:name="fig:rq4"/>
    <w:p>
      <w:pPr>
        <w:pStyle w:val="CaptionedFigure"/>
      </w:pPr>
      <w:r>
        <w:drawing>
          <wp:inline>
            <wp:extent cx="4800600" cy="159095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2"/>
    <w:bookmarkEnd w:id="33"/>
    <w:bookmarkStart w:id="34" w:name="sec:sens"/>
    <w:p>
      <w:pPr>
        <w:pStyle w:val="Heading2"/>
      </w:pPr>
      <w:r>
        <w:t xml:space="preserve">Robustness and external check</w:t>
      </w:r>
    </w:p>
    <w:p>
      <w:pPr>
        <w:pStyle w:val="FirstParagraph"/>
      </w:pPr>
      <w:r>
        <w:t xml:space="preserve">Errors were less often training instances than correct predictions (for SHAP,</w:t>
      </w:r>
      <w:r>
        <w:t xml:space="preserve"> </w:t>
      </w:r>
      <w:r>
        <w:t xml:space="preserve">0.59 against 0.81 outside seed 42).</w:t>
      </w:r>
      <w:r>
        <w:t xml:space="preserve"> </w:t>
      </w:r>
      <w:r>
        <w:t xml:space="preserve">On held-out instances the stability deficit remained significant for all four explainers</w:t>
      </w:r>
      <w:r>
        <w:t xml:space="preserve"> </w:t>
      </w:r>
      <w:r>
        <w:t xml:space="preserve">(SHAP −0.068, DiCE</w:t>
      </w:r>
      <w:r>
        <w:t xml:space="preserve"> </w:t>
      </w:r>
      <w:r>
        <w:t xml:space="preserve">−0.212), and on seed 42 alone, which has no training</w:t>
      </w:r>
      <w:r>
        <w:t xml:space="preserve"> </w:t>
      </w:r>
      <w:r>
        <w:t xml:space="preserve">instances, for SHAP, LIME and DiCE. The raw faithfulness-gap deficits of SHAP and DiCE</w:t>
      </w:r>
      <w:r>
        <w:t xml:space="preserve"> </w:t>
      </w:r>
      <w:r>
        <w:t xml:space="preserve">fell to medians close to zero, but the margin-adjusted SHAP deficit remained, unlike those</w:t>
      </w:r>
      <w:r>
        <w:t xml:space="preserve"> </w:t>
      </w:r>
      <w:r>
        <w:t xml:space="preserve">of LIME and Anchors, and DiCE stability kept a small margin-adjusted residual</w:t>
      </w:r>
      <w:r>
        <w:t xml:space="preserve"> </w:t>
      </w:r>
      <w:r>
        <w:t xml:space="preserve">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On German Credit, Anchors reproduced the Adult pattern, with fidelity and faithfulness</w:t>
      </w:r>
      <w:r>
        <w:t xml:space="preserve"> </w:t>
      </w:r>
      <w:r>
        <w:t xml:space="preserve">gap lower on errors in all six runs (medians −0.084 and</w:t>
      </w:r>
      <w:r>
        <w:t xml:space="preserve"> </w:t>
      </w:r>
      <w:r>
        <w:t xml:space="preserve">−0.017). SHAP did not: its stability was higher on</w:t>
      </w:r>
      <w:r>
        <w:t xml:space="preserve"> </w:t>
      </w:r>
      <w:r>
        <w:t xml:space="preserve">errors in 4 of six runs (+0.025).</w:t>
      </w:r>
      <w:r>
        <w:t xml:space="preserve"> </w:t>
      </w:r>
      <w:r>
        <w:t xml:space="preserve">These runs use only tree models, but on Adult the SHAP deficit was also large for XGBoost,</w:t>
      </w:r>
      <w:r>
        <w:t xml:space="preserve"> </w:t>
      </w:r>
      <w:r>
        <w:t xml:space="preserve">so we know of no reason for the reversal.</w:t>
      </w:r>
    </w:p>
    <w:bookmarkEnd w:id="34"/>
    <w:bookmarkEnd w:id="35"/>
    <w:bookmarkStart w:id="3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Explanations of wrong predictions</w:t>
      </w:r>
      <w:r>
        <w:t xml:space="preserve"> </w:t>
      </w:r>
      <w:r>
        <w:t xml:space="preserve">were less stable for every explainer, also outside the training data, and markedly so for</w:t>
      </w:r>
      <w:r>
        <w:t xml:space="preserve"> </w:t>
      </w:r>
      <w:r>
        <w:t xml:space="preserve">SHAP and DiCE. Averages hide this, and would hide it further in deployment, where errors</w:t>
      </w:r>
      <w:r>
        <w:t xml:space="preserve"> </w:t>
      </w:r>
      <w:r>
        <w:t xml:space="preserve">are rarer than in this balanced sample. The margin control separates two causes. For DiCE</w:t>
      </w:r>
      <w:r>
        <w:t xml:space="preserve"> </w:t>
      </w:r>
      <w:r>
        <w:t xml:space="preserve">the deficit is mainly geometric: errors lie near the boundary, where explanations are less</w:t>
      </w:r>
      <w:r>
        <w:t xml:space="preserve"> </w:t>
      </w:r>
      <w:r>
        <w:t xml:space="preserve">stable whether or not the prediction is right, consistent with the sensitivity of</w:t>
      </w:r>
      <w:r>
        <w:t xml:space="preserve"> </w:t>
      </w:r>
      <w:r>
        <w:t xml:space="preserve">counterfactuals to model uncertainty</w:t>
      </w:r>
      <w:r>
        <w:t xml:space="preserve"> </w:t>
      </w:r>
      <w:r>
        <w:t xml:space="preserve">[16]</w:t>
      </w:r>
      <w:r>
        <w:t xml:space="preserve">. For SHAP it remains at</w:t>
      </w:r>
      <w:r>
        <w:t xml:space="preserve"> </w:t>
      </w:r>
      <w:r>
        <w:t xml:space="preserve">equal margin, and there its top features also carry less of an erroneous prediction. A</w:t>
      </w:r>
      <w:r>
        <w:t xml:space="preserve"> </w:t>
      </w:r>
      <w:r>
        <w:t xml:space="preserve">small margin is a simple proxy for predictive uncertainty; uncertainty-aware explanations</w:t>
      </w:r>
      <w:r>
        <w:t xml:space="preserve"> </w:t>
      </w:r>
      <w:r>
        <w:t xml:space="preserve">[14], [15]</w:t>
      </w:r>
      <w:r>
        <w:t xml:space="preserve"> </w:t>
      </w:r>
      <w:r>
        <w:t xml:space="preserve">would be a natural way to flag the</w:t>
      </w:r>
      <w:r>
        <w:t xml:space="preserve"> </w:t>
      </w:r>
      <w:r>
        <w:t xml:space="preserve">explanations this study finds least reliable.</w:t>
      </w:r>
    </w:p>
    <w:p>
      <w:pPr>
        <w:pStyle w:val="BodyText"/>
      </w:pPr>
      <w:r>
        <w:t xml:space="preserve">Three consequences follow for practice: explanation quality should be reported</w:t>
      </w:r>
      <w:r>
        <w:t xml:space="preserve"> </w:t>
      </w:r>
      <w:r>
        <w:t xml:space="preserve">separately for correct and misclassified instances; the stability of an explanation used</w:t>
      </w:r>
      <w:r>
        <w:t xml:space="preserve"> </w:t>
      </w:r>
      <w:r>
        <w:t xml:space="preserve">to contest or justify a decision should be checked for that instance; and deletion</w:t>
      </w:r>
      <w:r>
        <w:t xml:space="preserve"> </w:t>
      </w:r>
      <w:r>
        <w:t xml:space="preserve">metrics with a mean baseline should be reported per predicted class.</w:t>
      </w:r>
    </w:p>
    <w:p>
      <w:pPr>
        <w:pStyle w:val="BodyText"/>
      </w:pPr>
      <w:r>
        <w:t xml:space="preserve">Limits: one tabular benchmark, with an external check of six runs per explainer that</w:t>
      </w:r>
      <w:r>
        <w:t xml:space="preserve"> </w:t>
      </w:r>
      <w:r>
        <w:t xml:space="preserve">did not reproduce the SHAP stability deficit; fixed explainer settings, under which LIME’s</w:t>
      </w:r>
      <w:r>
        <w:t xml:space="preserve"> </w:t>
      </w:r>
      <w:r>
        <w:t xml:space="preserve">stability is near zero and the absolute relevance threshold cannot be met; Anchors and DiCE</w:t>
      </w:r>
      <w:r>
        <w:t xml:space="preserve"> </w:t>
      </w:r>
      <w:r>
        <w:t xml:space="preserve">runs missing not at random (removing units, not biasing within-run contrasts); part of the</w:t>
      </w:r>
      <w:r>
        <w:t xml:space="preserve"> </w:t>
      </w:r>
      <w:r>
        <w:t xml:space="preserve">random-forest runs in RQ4; a post-hoc treatment of the training overlap; and proxy metrics,</w:t>
      </w:r>
      <w:r>
        <w:t xml:space="preserve"> </w:t>
      </w:r>
      <w:r>
        <w:t xml:space="preserve">so whether users are misled needs a user study.</w:t>
      </w:r>
    </w:p>
    <w:bookmarkEnd w:id="36"/>
    <w:bookmarkStart w:id="37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</w:t>
      </w:r>
      <w:r>
        <w:t xml:space="preserve"> </w:t>
      </w:r>
      <w:r>
        <w:t xml:space="preserve">265 benchmark runs, stability was lower on misclassified instances for</w:t>
      </w:r>
      <w:r>
        <w:t xml:space="preserve"> </w:t>
      </w:r>
      <w:r>
        <w:t xml:space="preserve">SHAP, LIME, Anchors and DiCE, also outside the training data. The DiCE deficit is mostly</w:t>
      </w:r>
      <w:r>
        <w:t xml:space="preserve"> </w:t>
      </w:r>
      <w:r>
        <w:t xml:space="preserve">explained by the proximity of errors to the boundary; the SHAP deficit is not, and at equal</w:t>
      </w:r>
      <w:r>
        <w:t xml:space="preserve"> </w:t>
      </w:r>
      <w:r>
        <w:t xml:space="preserve">margin SHAP’s top features carry less of an erroneous prediction. Explanation quality</w:t>
      </w:r>
      <w:r>
        <w:t xml:space="preserve"> </w:t>
      </w:r>
      <w:r>
        <w:t xml:space="preserve">should be reported separately for correct and incorrect predictions, because an average</w:t>
      </w:r>
      <w:r>
        <w:t xml:space="preserve"> </w:t>
      </w:r>
      <w:r>
        <w:t xml:space="preserve">describes the explanations that are needed least.</w:t>
      </w:r>
    </w:p>
    <w:bookmarkEnd w:id="37"/>
    <w:bookmarkStart w:id="38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Code, run artifacts and the analysis script are in a public repository and a versioned</w:t>
      </w:r>
      <w:r>
        <w:t xml:space="preserve"> </w:t>
      </w:r>
      <w:r>
        <w:t xml:space="preserve">archive whose addresses are withheld for double-blind review.</w:t>
      </w:r>
    </w:p>
    <w:bookmarkEnd w:id="38"/>
    <w:bookmarkStart w:id="75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research questions, analysis plan, experimental design and interpretation are the</w:t>
      </w:r>
      <w:r>
        <w:t xml:space="preserve"> </w:t>
      </w:r>
      <w:r>
        <w:t xml:space="preserve">author’s. An AI assistant (Claude, Anthropic) was used under the author’s direction to</w:t>
      </w:r>
      <w:r>
        <w:t xml:space="preserve"> </w:t>
      </w:r>
      <w:r>
        <w:t xml:space="preserve">help write analysis code and to edit the text; the author checked every result and</w:t>
      </w:r>
      <w:r>
        <w:t xml:space="preserve"> </w:t>
      </w:r>
      <w:r>
        <w:t xml:space="preserve">statement and is responsible for the content.</w:t>
      </w:r>
    </w:p>
    <w:bookmarkStart w:id="74" w:name="refs"/>
    <w:bookmarkStart w:id="39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39"/>
    <w:bookmarkStart w:id="41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0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1"/>
    <w:bookmarkStart w:id="43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2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3"/>
    <w:bookmarkStart w:id="45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4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5"/>
    <w:bookmarkStart w:id="46" w:name="ref-bhatt2020evaluat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46"/>
    <w:bookmarkStart w:id="47" w:name="ref-samek2017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47"/>
    <w:bookmarkStart w:id="48" w:name="ref-hooker2019benchmar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48"/>
    <w:bookmarkStart w:id="50" w:name="ref-alvarezmelis2018robustnes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49">
        <w:r>
          <w:rPr>
            <w:rStyle w:val="Hyperlink"/>
          </w:rPr>
          <w:t xml:space="preserve">https://arxiv.org/abs/1806.08049</w:t>
        </w:r>
      </w:hyperlink>
    </w:p>
    <w:bookmarkEnd w:id="50"/>
    <w:bookmarkStart w:id="51" w:name="ref-herrera2026framework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1"/>
    <w:bookmarkStart w:id="52" w:name="ref-bansal2021whol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2"/>
    <w:bookmarkStart w:id="53" w:name="ref-adebayo2018san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3"/>
    <w:bookmarkStart w:id="54" w:name="ref-slack2020fooling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4"/>
    <w:bookmarkStart w:id="55" w:name="ref-rudin2019stop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5"/>
    <w:bookmarkStart w:id="56" w:name="ref-lofstrom2026concern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Löfström, T. Löfström, A. Hjort, and F. R. Yapicioglu,</w:t>
      </w:r>
      <w:r>
        <w:t xml:space="preserve"> </w:t>
      </w:r>
      <w:r>
        <w:t xml:space="preserve">“Concerning uncertainty—a systematic survey of uncertainty-aware</w:t>
      </w:r>
      <w:r>
        <w:t xml:space="preserve"> </w:t>
      </w:r>
      <w:r>
        <w:t xml:space="preserve">XAI</w:t>
      </w:r>
      <w:r>
        <w:t xml:space="preserve">,”</w:t>
      </w:r>
      <w:r>
        <w:t xml:space="preserve"> </w:t>
      </w:r>
      <w:r>
        <w:rPr>
          <w:i/>
          <w:iCs/>
        </w:rPr>
        <w:t xml:space="preserve">Philosophical Transactions of the Royal Society A</w:t>
      </w:r>
      <w:r>
        <w:t xml:space="preserve">, vol. 384, no. 2327, p. 20250079, 2026.</w:t>
      </w:r>
    </w:p>
    <w:bookmarkEnd w:id="56"/>
    <w:bookmarkStart w:id="57" w:name="ref-chiaburu2025uncertain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T. Chiaburu, F. Bießmann, and F. Haußer,</w:t>
      </w:r>
      <w:r>
        <w:t xml:space="preserve"> </w:t>
      </w:r>
      <w:r>
        <w:t xml:space="preserve">“Uncertainty propagation in</w:t>
      </w:r>
      <w:r>
        <w:t xml:space="preserve"> </w:t>
      </w:r>
      <w:r>
        <w:t xml:space="preserve">XAI</w:t>
      </w:r>
      <w:r>
        <w:t xml:space="preserve">: A comparison of analytical and empirical estimators,”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Explainable artificial intelligence: Third world conference, xAI 2025</w:t>
      </w:r>
      <w:r>
        <w:t xml:space="preserve">, in Communications in computer and information science. Springer, 2025, pp. 390–411.</w:t>
      </w:r>
    </w:p>
    <w:bookmarkEnd w:id="57"/>
    <w:bookmarkStart w:id="59" w:name="ref-christodoulou2026impa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L. Christodoulou and C. Sun,</w:t>
      </w:r>
      <w:r>
        <w:t xml:space="preserve"> </w:t>
      </w:r>
      <w:r>
        <w:t xml:space="preserve">“The impact of machine learning uncertainty on the robustness of counterfactual explanations,”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 309, p. 131198, 2026, doi:</w:t>
      </w:r>
      <w:r>
        <w:t xml:space="preserve"> </w:t>
      </w:r>
      <w:hyperlink r:id="rId58">
        <w:r>
          <w:rPr>
            <w:rStyle w:val="Hyperlink"/>
          </w:rPr>
          <w:t xml:space="preserve">10.1016/j.eswa.2026.131198</w:t>
        </w:r>
      </w:hyperlink>
      <w:r>
        <w:t xml:space="preserve">.</w:t>
      </w:r>
    </w:p>
    <w:bookmarkEnd w:id="59"/>
    <w:bookmarkStart w:id="61" w:name="ref-cheng2026uncertain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X. Cheng, T. Wang, D. Zhu, and J. Ma,</w:t>
      </w:r>
      <w:r>
        <w:t xml:space="preserve"> </w:t>
      </w:r>
      <w:r>
        <w:t xml:space="preserve">“Uncertainty explanation of artificial intelligence models by</w:t>
      </w:r>
      <w:r>
        <w:t xml:space="preserve"> </w:t>
      </w:r>
      <w:r>
        <w:t xml:space="preserve">SHAP</w:t>
      </w:r>
      <w:r>
        <w:t xml:space="preserve">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vol. 337, p. 115437, 2026, doi:</w:t>
      </w:r>
      <w:r>
        <w:t xml:space="preserve"> </w:t>
      </w:r>
      <w:hyperlink r:id="rId60">
        <w:r>
          <w:rPr>
            <w:rStyle w:val="Hyperlink"/>
          </w:rPr>
          <w:t xml:space="preserve">10.1016/j.knosys.2026.115437</w:t>
        </w:r>
      </w:hyperlink>
      <w:r>
        <w:t xml:space="preserve">.</w:t>
      </w:r>
    </w:p>
    <w:bookmarkEnd w:id="61"/>
    <w:bookmarkStart w:id="62" w:name="ref-becker1996adul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</w:t>
      </w:r>
    </w:p>
    <w:bookmarkEnd w:id="62"/>
    <w:bookmarkStart w:id="63" w:name="ref-hofmann1994statlog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</w:t>
      </w:r>
    </w:p>
    <w:bookmarkEnd w:id="63"/>
    <w:bookmarkStart w:id="64" w:name="ref-breiman2001rando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4"/>
    <w:bookmarkStart w:id="65" w:name="ref-chen2016xgboost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65"/>
    <w:bookmarkStart w:id="66" w:name="ref-wilcoxon1945individu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66"/>
    <w:bookmarkStart w:id="67" w:name="ref-holm1979simpl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67"/>
    <w:bookmarkStart w:id="68" w:name="ref-lakens2013calculat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68"/>
    <w:bookmarkStart w:id="70" w:name="ref-kruskal1952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69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70"/>
    <w:bookmarkStart w:id="72" w:name="ref-cameron2015practitioner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71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72"/>
    <w:bookmarkStart w:id="73" w:name="ref-platt1999probabilistic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3"/>
    <w:bookmarkEnd w:id="74"/>
    <w:bookmarkEnd w:id="75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49" Target="https://arxiv.org/abs/1806.08049" TargetMode="External" /><Relationship Type="http://schemas.openxmlformats.org/officeDocument/2006/relationships/hyperlink" Id="rId58" Target="https://doi.org/10.1016/j.eswa.2026.131198" TargetMode="External" /><Relationship Type="http://schemas.openxmlformats.org/officeDocument/2006/relationships/hyperlink" Id="rId60" Target="https://doi.org/10.1016/j.knosys.2026.115437" TargetMode="External" /><Relationship Type="http://schemas.openxmlformats.org/officeDocument/2006/relationships/hyperlink" Id="rId69" Target="https://doi.org/10.1080/01621459.1952.10483441" TargetMode="External" /><Relationship Type="http://schemas.openxmlformats.org/officeDocument/2006/relationships/hyperlink" Id="rId40" Target="https://doi.org/10.1145/2939672.2939778" TargetMode="External" /><Relationship Type="http://schemas.openxmlformats.org/officeDocument/2006/relationships/hyperlink" Id="rId44" Target="https://doi.org/10.1145/3351095.3372850" TargetMode="External" /><Relationship Type="http://schemas.openxmlformats.org/officeDocument/2006/relationships/hyperlink" Id="rId42" Target="https://doi.org/10.1609/aaai.v32i1.11491" TargetMode="External" /><Relationship Type="http://schemas.openxmlformats.org/officeDocument/2006/relationships/hyperlink" Id="rId71" Target="https://doi.org/10.3368/jhr.50.2.3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arxiv.org/abs/1806.08049" TargetMode="External" /><Relationship Type="http://schemas.openxmlformats.org/officeDocument/2006/relationships/hyperlink" Id="rId58" Target="https://doi.org/10.1016/j.eswa.2026.131198" TargetMode="External" /><Relationship Type="http://schemas.openxmlformats.org/officeDocument/2006/relationships/hyperlink" Id="rId60" Target="https://doi.org/10.1016/j.knosys.2026.115437" TargetMode="External" /><Relationship Type="http://schemas.openxmlformats.org/officeDocument/2006/relationships/hyperlink" Id="rId69" Target="https://doi.org/10.1080/01621459.1952.10483441" TargetMode="External" /><Relationship Type="http://schemas.openxmlformats.org/officeDocument/2006/relationships/hyperlink" Id="rId40" Target="https://doi.org/10.1145/2939672.2939778" TargetMode="External" /><Relationship Type="http://schemas.openxmlformats.org/officeDocument/2006/relationships/hyperlink" Id="rId44" Target="https://doi.org/10.1145/3351095.3372850" TargetMode="External" /><Relationship Type="http://schemas.openxmlformats.org/officeDocument/2006/relationships/hyperlink" Id="rId42" Target="https://doi.org/10.1609/aaai.v32i1.11491" TargetMode="External" /><Relationship Type="http://schemas.openxmlformats.org/officeDocument/2006/relationships/hyperlink" Id="rId71" Target="https://doi.org/10.3368/jhr.50.2.3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2026-10-03T16:13:24Z</dcterms:created>
  <dcterms:modified xsi:type="dcterms:W3CDTF">2026-10-03T16:13:24Z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