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 [AUTHOR: 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family, and on</w:t>
      </w:r>
      <w:r>
        <w:t xml:space="preserve"> </w:t>
      </w:r>
      <w:r>
        <w:t xml:space="preserve">German Credit it held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</w:t>
      </w:r>
      <w:r>
        <w:t xml:space="preserve"> </w:t>
      </w:r>
      <w:r>
        <w:t xml:space="preserve">[5]</w:t>
      </w:r>
      <w:r>
        <w:t xml:space="preserve">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[6], [7], [8]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[11]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[12], [13]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[14], [15]</w:t>
      </w:r>
      <w:r>
        <w:t xml:space="preserve">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on the UCI Adult income data</w:t>
      </w:r>
      <w:r>
        <w:t xml:space="preserve"> </w:t>
      </w:r>
      <w:r>
        <w:t xml:space="preserve">[16], [17]</w:t>
      </w:r>
      <w:r>
        <w:t xml:space="preserve">, released with its protocol in</w:t>
      </w:r>
      <w:r>
        <w:t xml:space="preserve"> </w:t>
      </w:r>
      <w:r>
        <w:t xml:space="preserve">[10]</w:t>
      </w:r>
      <w:r>
        <w:t xml:space="preserve">. That study, and a later analysis of the same runs, compare</w:t>
      </w:r>
      <w:r>
        <w:t xml:space="preserve"> </w:t>
      </w:r>
      <w:r>
        <w:t xml:space="preserve">explainers by their average quality; the present analysis reports none of their results</w:t>
      </w:r>
      <w:r>
        <w:t xml:space="preserve"> </w:t>
      </w:r>
      <w:r>
        <w:t xml:space="preserve">and compares each explainer with itself, between correct and misclassified instances of</w:t>
      </w:r>
      <w:r>
        <w:t xml:space="preserve"> </w:t>
      </w:r>
      <w:r>
        <w:t xml:space="preserve">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[18]</w:t>
      </w:r>
      <w:r>
        <w:t xml:space="preserve">, XGBoost</w:t>
      </w:r>
      <w:r>
        <w:t xml:space="preserve"> </w:t>
      </w:r>
      <w:r>
        <w:t xml:space="preserve">[19]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analysed: Anchors and DiCE</w:t>
      </w:r>
      <w:r>
        <w:t xml:space="preserve"> </w:t>
      </w:r>
      <w:r>
        <w:t xml:space="preserve">returned no explanations in 18 and</w:t>
      </w:r>
      <w:r>
        <w:t xml:space="preserve"> </w:t>
      </w:r>
      <w:r>
        <w:t xml:space="preserve">7 runs, and</w:t>
      </w:r>
      <w:r>
        <w:t xml:space="preserve"> </w:t>
      </w:r>
      <w:r>
        <w:t xml:space="preserve">9 SHAP runs had fewer than ten instances</w:t>
      </w:r>
      <w:r>
        <w:t xml:space="preserve"> </w:t>
      </w:r>
      <w:r>
        <w:t xml:space="preserve">in a group.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The external check</w:t>
      </w:r>
      <w:r>
        <w:t xml:space="preserve"> </w:t>
      </w:r>
      <w:r>
        <w:t xml:space="preserve">uses the benchmark’s German Credit runs</w:t>
      </w:r>
      <w:r>
        <w:t xml:space="preserve"> </w:t>
      </w:r>
      <w:r>
        <w:t xml:space="preserve">[20]</w:t>
      </w:r>
      <w:r>
        <w:t xml:space="preserve">: random forest and</w:t>
      </w:r>
      <w:r>
        <w:t xml:space="preserve"> </w:t>
      </w:r>
      <w:r>
        <w:t xml:space="preserve">XGBoost, explained by SHAP and Anchors,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[10]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[9]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[6]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[7], [8]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[21]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[22]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[23]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[24]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[25]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[26]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10, the DiCE faithfulness gap losing</w:t>
      </w:r>
      <w:r>
        <w:t xml:space="preserve"> </w:t>
      </w:r>
      <w:r>
        <w:t xml:space="preserve">significance. Sparsity differences were significant but within</w:t>
      </w:r>
      <w:r>
        <w:t xml:space="preserve"> </w:t>
      </w:r>
      <w:r>
        <w:t xml:space="preserve">0.005 of zero, and only Anchors was slower on errors (median</w:t>
      </w:r>
      <w:r>
        <w:t xml:space="preserve"> </w:t>
      </w:r>
      <w:r>
        <w:t xml:space="preserve">3,338 ms more per instance).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right. For SHAP it remains at equal margin, and</w:t>
      </w:r>
      <w:r>
        <w:t xml:space="preserve"> </w:t>
      </w:r>
      <w:r>
        <w:t xml:space="preserve">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The study has limits. It rests on one tabular benchmark, and the external check, with six</w:t>
      </w:r>
      <w:r>
        <w:t xml:space="preserve"> </w:t>
      </w:r>
      <w:r>
        <w:t xml:space="preserve">runs per explainer, did not reproduce the SHAP stability deficit. The runs are existing</w:t>
      </w:r>
      <w:r>
        <w:t xml:space="preserve"> </w:t>
      </w:r>
      <w:r>
        <w:t xml:space="preserve">ones, so explainer settings were fixed; LIME’s stability is near zero here, a scale on</w:t>
      </w:r>
      <w:r>
        <w:t xml:space="preserve"> </w:t>
      </w:r>
      <w:r>
        <w:t xml:space="preserve">which the absolute relevance threshold cannot be met. Anchors and DiCE runs are missing</w:t>
      </w:r>
      <w:r>
        <w:t xml:space="preserve"> </w:t>
      </w:r>
      <w:r>
        <w:t xml:space="preserve">not at random, which removes units but does not bias within-run contrasts. RQ4 used part of</w:t>
      </w:r>
      <w:r>
        <w:t xml:space="preserve"> </w:t>
      </w:r>
      <w:r>
        <w:t xml:space="preserve">the random-forest runs, and the training overlap was handled post hoc. Finally, the</w:t>
      </w:r>
      <w:r>
        <w:t xml:space="preserve"> </w:t>
      </w:r>
      <w:r>
        <w:t xml:space="preserve">metrics are proxies; whether users are misled requires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9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8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39"/>
    <w:bookmarkStart w:id="73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2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adadi2018xa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Adadi and M. Berrada,</w:t>
      </w:r>
      <w:r>
        <w:t xml:space="preserve"> </w:t>
      </w:r>
      <w:r>
        <w:t xml:space="preserve">“Peeking inside the black-box: A survey on explainable artificial intelligence (</w:t>
      </w:r>
      <w:r>
        <w:t xml:space="preserve">XAI</w:t>
      </w:r>
      <w:r>
        <w:t xml:space="preserve">),”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6, pp. 52138–52160, 2018.</w:t>
      </w:r>
    </w:p>
    <w:bookmarkEnd w:id="47"/>
    <w:bookmarkStart w:id="48" w:name="ref-bhatt2020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8"/>
    <w:bookmarkStart w:id="49" w:name="ref-samek2017evalu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9"/>
    <w:bookmarkStart w:id="50" w:name="ref-hooker2019benchmark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0"/>
    <w:bookmarkStart w:id="52" w:name="ref-alvarezmelis2018robustn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1">
        <w:r>
          <w:rPr>
            <w:rStyle w:val="Hyperlink"/>
          </w:rPr>
          <w:t xml:space="preserve">https://arxiv.org/abs/1806.08049</w:t>
        </w:r>
      </w:hyperlink>
    </w:p>
    <w:bookmarkEnd w:id="52"/>
    <w:bookmarkStart w:id="53" w:name="ref-herrera2026framework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3"/>
    <w:bookmarkStart w:id="54" w:name="ref-bansal2021who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4"/>
    <w:bookmarkStart w:id="55" w:name="ref-adebayo2018san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5"/>
    <w:bookmarkStart w:id="56" w:name="ref-slack2020fool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6"/>
    <w:bookmarkStart w:id="57" w:name="ref-rudin2019stop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7"/>
    <w:bookmarkStart w:id="58" w:name="ref-jacovi2020faithfulnes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Jacovi and Y. Goldberg,</w:t>
      </w:r>
      <w:r>
        <w:t xml:space="preserve"> </w:t>
      </w:r>
      <w:r>
        <w:t xml:space="preserve">“Towards faithfully interpretable</w:t>
      </w:r>
      <w:r>
        <w:t xml:space="preserve"> </w:t>
      </w:r>
      <w:r>
        <w:t xml:space="preserve">NLP</w:t>
      </w:r>
      <w:r>
        <w:t xml:space="preserve"> </w:t>
      </w:r>
      <w:r>
        <w:t xml:space="preserve">systems: How should we define and evaluate faithfulness?”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</w:t>
      </w:r>
      <w:r>
        <w:t xml:space="preserve">, 2020, pp. 4198–4205.</w:t>
      </w:r>
    </w:p>
    <w:bookmarkEnd w:id="58"/>
    <w:bookmarkStart w:id="59" w:name="ref-kohavi1996scaling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“Scaling up the accuracy of</w:t>
      </w:r>
      <w:r>
        <w:t xml:space="preserve"> </w:t>
      </w:r>
      <w:r>
        <w:t xml:space="preserve">Naive-Bayes</w:t>
      </w:r>
      <w:r>
        <w:t xml:space="preserve"> </w:t>
      </w:r>
      <w:r>
        <w:t xml:space="preserve">classifiers: A decision-tree hybrid,”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second international conference on knowledge discovery and data mining</w:t>
      </w:r>
      <w:r>
        <w:t xml:space="preserve">, 1996, pp. 202–207.</w:t>
      </w:r>
    </w:p>
    <w:bookmarkEnd w:id="59"/>
    <w:bookmarkStart w:id="60" w:name="ref-becker1996adul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0"/>
    <w:bookmarkStart w:id="61" w:name="ref-breiman2001rando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1"/>
    <w:bookmarkStart w:id="62" w:name="ref-chen2016xgboo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2"/>
    <w:bookmarkStart w:id="63" w:name="ref-hofmann1994statlo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3"/>
    <w:bookmarkStart w:id="64" w:name="ref-wilcoxon1945individu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4"/>
    <w:bookmarkStart w:id="65" w:name="ref-holm1979simpl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5"/>
    <w:bookmarkStart w:id="66" w:name="ref-lakens2013calculat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6"/>
    <w:bookmarkStart w:id="68" w:name="ref-kruskal1952us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67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68"/>
    <w:bookmarkStart w:id="70" w:name="ref-cameron2015practition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69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0"/>
    <w:bookmarkStart w:id="71" w:name="ref-platt1999probabilistic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1"/>
    <w:bookmarkEnd w:id="72"/>
    <w:bookmarkEnd w:id="73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1" Target="https://arxiv.org/abs/1806.08049" TargetMode="External" /><Relationship Type="http://schemas.openxmlformats.org/officeDocument/2006/relationships/hyperlink" Id="rId67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69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1806.08049" TargetMode="External" /><Relationship Type="http://schemas.openxmlformats.org/officeDocument/2006/relationships/hyperlink" Id="rId67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69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2026-10-03T15:35:53Z</dcterms:created>
  <dcterms:modified xsi:type="dcterms:W3CDTF">2026-10-03T15:35:53Z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