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Are explanations less reliable when the model is wrong?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explanation quality on misclassified instances</w:t>
      </w:r>
    </w:p>
    <w:p>
      <w:pPr>
        <w:pStyle w:val="BodyText"/>
      </w:pPr>
      <w:r>
        <w:rPr>
          <w:b/>
          <w:bCs/>
        </w:rPr>
        <w:t xml:space="preserve">Son menos fiables las explicaciones cuando el modelo se</w:t>
      </w:r>
      <w:r>
        <w:rPr>
          <w:b/>
          <w:bCs/>
        </w:rPr>
        <w:t xml:space="preserve"> </w:t>
      </w:r>
      <w:r>
        <w:rPr>
          <w:b/>
          <w:bCs/>
        </w:rPr>
        <w:t xml:space="preserve">equivoca? Calidad de las explicaciones post hoc en instancias mal clasificadas</w:t>
      </w:r>
    </w:p>
    <w:p>
      <w:pPr>
        <w:pStyle w:val="BodyText"/>
      </w:pPr>
      <w:r>
        <w:rPr>
          <w:i/>
          <w:iCs/>
        </w:rPr>
        <w:t xml:space="preserve">Author information omitted for double-blind review.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Explanations of machine-learning predictions are consulted most when a prediction is in</w:t>
      </w:r>
      <w:r>
        <w:t xml:space="preserve"> </w:t>
      </w:r>
      <w:r>
        <w:t xml:space="preserve">doubt, yet explainers are evaluated on averages over all instances. We ask whether</w:t>
      </w:r>
      <w:r>
        <w:t xml:space="preserve"> </w:t>
      </w:r>
      <w:r>
        <w:t xml:space="preserve">post-hoc explanations are less reliable when the model is wrong. Using an existing</w:t>
      </w:r>
      <w:r>
        <w:t xml:space="preserve"> </w:t>
      </w:r>
      <w:r>
        <w:t xml:space="preserve">benchmark on the UCI Adult data, we compare fidelity, stability and faithfulness gap</w:t>
      </w:r>
      <w:r>
        <w:t xml:space="preserve"> </w:t>
      </w:r>
      <w:r>
        <w:t xml:space="preserve">between correctly and incorrectly classified instances for SHAP, LIME, Anchors and DiCE</w:t>
      </w:r>
      <w:r>
        <w:t xml:space="preserve"> </w:t>
      </w:r>
      <w:r>
        <w:t xml:space="preserve">across five model families, with the run as the unit of analysis</w:t>
      </w:r>
      <w:r>
        <w:t xml:space="preserve"> </w:t>
      </w:r>
      <w:r>
        <w:t xml:space="preserve">(265 runs, 122,529 explained instances), Wilcoxon</w:t>
      </w:r>
      <w:r>
        <w:t xml:space="preserve"> </w:t>
      </w:r>
      <w:r>
        <w:t xml:space="preserve">signed-rank tests with Holm correction, a control for the prediction margin, and an</w:t>
      </w:r>
      <w:r>
        <w:t xml:space="preserve"> </w:t>
      </w:r>
      <w:r>
        <w:t xml:space="preserve">external check on German Credit. Explanations were less stable on misclassified instances</w:t>
      </w:r>
      <w:r>
        <w:t xml:space="preserve"> </w:t>
      </w:r>
      <w:r>
        <w:t xml:space="preserve">for all four explainers, and the deficit was large for SHAP (median difference</w:t>
      </w:r>
      <w:r>
        <w:t xml:space="preserve"> </w:t>
      </w:r>
      <w:r>
        <w:t xml:space="preserve">−0.076,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−1.36) and DiCE</w:t>
      </w:r>
      <w:r>
        <w:t xml:space="preserve"> </w:t>
      </w:r>
      <w:r>
        <w:t xml:space="preserve">(−0.210,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−2.15). The prediction</w:t>
      </w:r>
      <w:r>
        <w:t xml:space="preserve"> </w:t>
      </w:r>
      <w:r>
        <w:t xml:space="preserve">margin explained most of the DiCE deficit but not the SHAP deficit. Holding the margin</w:t>
      </w:r>
      <w:r>
        <w:t xml:space="preserve"> </w:t>
      </w:r>
      <w:r>
        <w:t xml:space="preserve">fixed, the features that SHAP, LIME and Anchors ranked first carried less of the</w:t>
      </w:r>
      <w:r>
        <w:t xml:space="preserve"> </w:t>
      </w:r>
      <w:r>
        <w:t xml:space="preserve">prediction on errors. Fidelity changed little and in opposite directions across</w:t>
      </w:r>
      <w:r>
        <w:t xml:space="preserve"> </w:t>
      </w:r>
      <w:r>
        <w:t xml:space="preserve">explainers. The pattern depended on the model family, and on German Credit it held for</w:t>
      </w:r>
      <w:r>
        <w:t xml:space="preserve"> </w:t>
      </w:r>
      <w:r>
        <w:t xml:space="preserve">Anchors but not for SHAP stability. Quality reported as an average can therefore</w:t>
      </w:r>
      <w:r>
        <w:t xml:space="preserve"> </w:t>
      </w:r>
      <w:r>
        <w:t xml:space="preserve">overstate how far an explanation of a wrong prediction should be trusted; audits should</w:t>
      </w:r>
      <w:r>
        <w:t xml:space="preserve"> </w:t>
      </w:r>
      <w:r>
        <w:t xml:space="preserve">report explanation quality separately for correct and incorrect predictions.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explainable artificial intelligence; post-hoc explanations;</w:t>
      </w:r>
      <w:r>
        <w:t xml:space="preserve"> </w:t>
      </w:r>
      <w:r>
        <w:t xml:space="preserve">misclassification; explanation reliability; SHAP; LIME.</w:t>
      </w:r>
    </w:p>
    <w:bookmarkEnd w:id="9"/>
    <w:bookmarkStart w:id="10" w:name="resumen"/>
    <w:p>
      <w:pPr>
        <w:pStyle w:val="Heading1"/>
      </w:pPr>
      <w:r>
        <w:t xml:space="preserve">Resumen</w:t>
      </w:r>
    </w:p>
    <w:p>
      <w:pPr>
        <w:pStyle w:val="FirstParagraph"/>
      </w:pPr>
      <w:r>
        <w:t xml:space="preserve">Las explicaciones de las predicciones de aprendizaje automático se consultan sobre todo</w:t>
      </w:r>
      <w:r>
        <w:t xml:space="preserve"> </w:t>
      </w:r>
      <w:r>
        <w:t xml:space="preserve">cuando una predicción es dudosa, pero los explicadores se evalúan con promedios sobre</w:t>
      </w:r>
      <w:r>
        <w:t xml:space="preserve"> </w:t>
      </w:r>
      <w:r>
        <w:t xml:space="preserve">todas las instancias. Nos preguntamos si las explicaciones post hoc son menos fiables</w:t>
      </w:r>
      <w:r>
        <w:t xml:space="preserve"> </w:t>
      </w:r>
      <w:r>
        <w:t xml:space="preserve">cuando el modelo se equivoca. Con un banco de pruebas existente sobre UCI Adult,</w:t>
      </w:r>
      <w:r>
        <w:t xml:space="preserve"> </w:t>
      </w:r>
      <w:r>
        <w:t xml:space="preserve">comparamos fidelidad, estabilidad y brecha de borrado entre instancias bien y mal</w:t>
      </w:r>
      <w:r>
        <w:t xml:space="preserve"> </w:t>
      </w:r>
      <w:r>
        <w:t xml:space="preserve">clasificadas para SHAP, LIME, Anchors y DiCE en cinco familias de modelos, con la</w:t>
      </w:r>
      <w:r>
        <w:t xml:space="preserve"> </w:t>
      </w:r>
      <w:r>
        <w:t xml:space="preserve">ejecución como unidad de análisis (265 ejecuciones,</w:t>
      </w:r>
      <w:r>
        <w:t xml:space="preserve"> </w:t>
      </w:r>
      <w:r>
        <w:t xml:space="preserve">122,529 instancias), pruebas de Wilcoxon con corrección de Holm,</w:t>
      </w:r>
      <w:r>
        <w:t xml:space="preserve"> </w:t>
      </w:r>
      <w:r>
        <w:t xml:space="preserve">un control del margen de predicción y una verificación externa con German Credit.</w:t>
      </w:r>
      <w:r>
        <w:t xml:space="preserve"> </w:t>
      </w:r>
      <w:r>
        <w:t xml:space="preserve">Las explicaciones fueron menos estables en las</w:t>
      </w:r>
      <w:r>
        <w:t xml:space="preserve"> </w:t>
      </w:r>
      <w:r>
        <w:t xml:space="preserve">instancias mal clasificadas para los cuatro explicadores, y el déficit fue grande para</w:t>
      </w:r>
      <w:r>
        <w:t xml:space="preserve"> </w:t>
      </w:r>
      <w:r>
        <w:t xml:space="preserve">SHAP (diferencia mediana −0.076,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−1.36) y DiCE (−0.210,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−2.15). El margen de predicción explicó la mayor parte</w:t>
      </w:r>
      <w:r>
        <w:t xml:space="preserve"> </w:t>
      </w:r>
      <w:r>
        <w:t xml:space="preserve">del déficit de DiCE, pero no el de SHAP. Con el margen fijo, las variables que SHAP, LIME</w:t>
      </w:r>
      <w:r>
        <w:t xml:space="preserve"> </w:t>
      </w:r>
      <w:r>
        <w:t xml:space="preserve">y Anchors situaron en primer lugar sostuvieron una parte menor de la predicción en los</w:t>
      </w:r>
      <w:r>
        <w:t xml:space="preserve"> </w:t>
      </w:r>
      <w:r>
        <w:t xml:space="preserve">errores. El patrón dependió de la familia de modelos y, en German Credit, se mantuvo</w:t>
      </w:r>
      <w:r>
        <w:t xml:space="preserve"> </w:t>
      </w:r>
      <w:r>
        <w:t xml:space="preserve">para Anchors pero no para la estabilidad de SHAP. La calidad promedio puede exagerar la</w:t>
      </w:r>
      <w:r>
        <w:t xml:space="preserve"> </w:t>
      </w:r>
      <w:r>
        <w:t xml:space="preserve">confianza que merece la explicación de una predicción errónea; las auditorías</w:t>
      </w:r>
      <w:r>
        <w:t xml:space="preserve"> </w:t>
      </w:r>
      <w:r>
        <w:t xml:space="preserve">deberían informarla por separado para predicciones correctas e incorrectas.</w:t>
      </w:r>
    </w:p>
    <w:p>
      <w:pPr>
        <w:pStyle w:val="BodyText"/>
      </w:pPr>
      <w:r>
        <w:rPr>
          <w:b/>
          <w:bCs/>
        </w:rPr>
        <w:t xml:space="preserve">Palabras clave:</w:t>
      </w:r>
      <w:r>
        <w:t xml:space="preserve"> </w:t>
      </w:r>
      <w:r>
        <w:t xml:space="preserve">inteligencia artificial explicable; explicaciones post</w:t>
      </w:r>
      <w:r>
        <w:t xml:space="preserve"> </w:t>
      </w:r>
      <w:r>
        <w:t xml:space="preserve">hoc; errores de clasificación; fiabilidad de las explicaciones; SHAP; LIME.</w:t>
      </w:r>
    </w:p>
    <w:bookmarkEnd w:id="10"/>
    <w:bookmarkStart w:id="1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Post-hoc explainers such as SHAP</w:t>
      </w:r>
      <w:r>
        <w:t xml:space="preserve"> </w:t>
      </w:r>
      <w:r>
        <w:t xml:space="preserve">[1]</w:t>
      </w:r>
      <w:r>
        <w:t xml:space="preserve">, LIME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Anchors</w:t>
      </w:r>
      <w:r>
        <w:t xml:space="preserve"> </w:t>
      </w:r>
      <w:r>
        <w:t xml:space="preserve">[3]</w:t>
      </w:r>
      <w:r>
        <w:t xml:space="preserve"> </w:t>
      </w:r>
      <w:r>
        <w:t xml:space="preserve">and DiCE</w:t>
      </w:r>
      <w:r>
        <w:t xml:space="preserve"> </w:t>
      </w:r>
      <w:r>
        <w:t xml:space="preserve">[4]</w:t>
      </w:r>
      <w:r>
        <w:t xml:space="preserve"> </w:t>
      </w:r>
      <w:r>
        <w:t xml:space="preserve">are the usual way to</w:t>
      </w:r>
      <w:r>
        <w:t xml:space="preserve"> </w:t>
      </w:r>
      <w:r>
        <w:t xml:space="preserve">make the predictions of an opaque classifier inspectable</w:t>
      </w:r>
      <w:r>
        <w:t xml:space="preserve"> </w:t>
      </w:r>
      <w:r>
        <w:t xml:space="preserve">[5]</w:t>
      </w:r>
      <w:r>
        <w:t xml:space="preserve">. Their</w:t>
      </w:r>
      <w:r>
        <w:t xml:space="preserve"> </w:t>
      </w:r>
      <w:r>
        <w:t xml:space="preserve">quality is assessed with proxy metrics: whether the features an explanation ranks as</w:t>
      </w:r>
      <w:r>
        <w:t xml:space="preserve"> </w:t>
      </w:r>
      <w:r>
        <w:t xml:space="preserve">important are those that move the prediction (fidelity and deletion tests</w:t>
      </w:r>
      <w:r>
        <w:t xml:space="preserve"> </w:t>
      </w:r>
      <w:r>
        <w:t xml:space="preserve">[6], [7], [8]</w:t>
      </w:r>
      <w:r>
        <w:t xml:space="preserve">), and whether similar</w:t>
      </w:r>
      <w:r>
        <w:t xml:space="preserve"> </w:t>
      </w:r>
      <w:r>
        <w:t xml:space="preserve">inputs receive similar explanations (stability</w:t>
      </w:r>
      <w:r>
        <w:t xml:space="preserve"> </w:t>
      </w:r>
      <w:r>
        <w:t xml:space="preserve">[9]</w:t>
      </w:r>
      <w:r>
        <w:t xml:space="preserve">). These</w:t>
      </w:r>
      <w:r>
        <w:t xml:space="preserve"> </w:t>
      </w:r>
      <w:r>
        <w:t xml:space="preserve">metrics are reported as averages over a sample of instances, and benchmarks compare</w:t>
      </w:r>
      <w:r>
        <w:t xml:space="preserve"> </w:t>
      </w:r>
      <w:r>
        <w:t xml:space="preserve">explainers by those averages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An average hides how quality is distributed across instances, and one split matters more</w:t>
      </w:r>
      <w:r>
        <w:t xml:space="preserve"> </w:t>
      </w:r>
      <w:r>
        <w:t xml:space="preserve">than most: whether the model’s prediction was right. An explanation is rarely consulted to</w:t>
      </w:r>
      <w:r>
        <w:t xml:space="preserve"> </w:t>
      </w:r>
      <w:r>
        <w:t xml:space="preserve">confirm an obviously correct decision. It is consulted when a decision is contested, when</w:t>
      </w:r>
      <w:r>
        <w:t xml:space="preserve"> </w:t>
      </w:r>
      <w:r>
        <w:t xml:space="preserve">an auditor examines a failure, or when a user must decide whether to accept a</w:t>
      </w:r>
      <w:r>
        <w:t xml:space="preserve"> </w:t>
      </w:r>
      <w:r>
        <w:t xml:space="preserve">recommendation. In those situations the prediction is disproportionately likely to be</w:t>
      </w:r>
      <w:r>
        <w:t xml:space="preserve"> </w:t>
      </w:r>
      <w:r>
        <w:t xml:space="preserve">wrong. User studies show that explanations can raise acceptance of a model’s</w:t>
      </w:r>
      <w:r>
        <w:t xml:space="preserve"> </w:t>
      </w:r>
      <w:r>
        <w:t xml:space="preserve">recommendation whether or not the recommendation is correct</w:t>
      </w:r>
      <w:r>
        <w:t xml:space="preserve"> </w:t>
      </w:r>
      <w:r>
        <w:t xml:space="preserve">[11]</w:t>
      </w:r>
      <w:r>
        <w:t xml:space="preserve">, and</w:t>
      </w:r>
      <w:r>
        <w:t xml:space="preserve"> </w:t>
      </w:r>
      <w:r>
        <w:t xml:space="preserve">explanations can be unreliable in ways that their appearance does not reveal</w:t>
      </w:r>
      <w:r>
        <w:t xml:space="preserve"> </w:t>
      </w:r>
      <w:r>
        <w:t xml:space="preserve">[12], [13]</w:t>
      </w:r>
      <w:r>
        <w:t xml:space="preserve">. If explanations are also less faithful or less</w:t>
      </w:r>
      <w:r>
        <w:t xml:space="preserve"> </w:t>
      </w:r>
      <w:r>
        <w:t xml:space="preserve">stable on misclassified instances, an explanation can look convincing exactly where it</w:t>
      </w:r>
      <w:r>
        <w:t xml:space="preserve"> </w:t>
      </w:r>
      <w:r>
        <w:t xml:space="preserve">deserves the least trust</w:t>
      </w:r>
      <w:r>
        <w:t xml:space="preserve"> </w:t>
      </w:r>
      <w:r>
        <w:t xml:space="preserve">[14], [15]</w:t>
      </w:r>
      <w:r>
        <w:t xml:space="preserve">.</w:t>
      </w:r>
    </w:p>
    <w:p>
      <w:pPr>
        <w:pStyle w:val="BodyText"/>
      </w:pPr>
      <w:r>
        <w:t xml:space="preserve">Whether explanation quality differs between correct and incorrect predictions is an</w:t>
      </w:r>
      <w:r>
        <w:t xml:space="preserve"> </w:t>
      </w:r>
      <w:r>
        <w:t xml:space="preserve">empirical question, and the usual reporting cannot answer it. We answer it with a</w:t>
      </w:r>
      <w:r>
        <w:t xml:space="preserve"> </w:t>
      </w:r>
      <w:r>
        <w:t xml:space="preserve">pre-specified re-analysis of an existing benchmark that explained, under one protocol,</w:t>
      </w:r>
      <w:r>
        <w:t xml:space="preserve"> </w:t>
      </w:r>
      <w:r>
        <w:t xml:space="preserve">balanced samples of true positives, true negatives, false positives and false negatives</w:t>
      </w:r>
      <w:r>
        <w:t xml:space="preserve"> </w:t>
      </w:r>
      <w:r>
        <w:t xml:space="preserve">for four explainers and five model families. We ask four questions: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RQ1.</w:t>
      </w:r>
      <w:r>
        <w:t xml:space="preserve"> </w:t>
      </w:r>
      <w:r>
        <w:t xml:space="preserve">Does explanation quality differ between correctly and incorrectly</w:t>
      </w:r>
      <w:r>
        <w:t xml:space="preserve"> </w:t>
      </w:r>
      <w:r>
        <w:t xml:space="preserve">classified instances, for each explainer?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RQ2.</w:t>
      </w:r>
      <w:r>
        <w:t xml:space="preserve"> </w:t>
      </w:r>
      <w:r>
        <w:t xml:space="preserve">Does the difference depend on the model family?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RQ3.</w:t>
      </w:r>
      <w:r>
        <w:t xml:space="preserve"> </w:t>
      </w:r>
      <w:r>
        <w:t xml:space="preserve">Among errors, do false positives and false negatives differ?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RQ4.</w:t>
      </w:r>
      <w:r>
        <w:t xml:space="preserve"> </w:t>
      </w:r>
      <w:r>
        <w:t xml:space="preserve">Is the difference explained by proximity to the decision boundary?</w:t>
      </w:r>
      <w:r>
        <w:t xml:space="preserve"> </w:t>
      </w:r>
      <w:r>
        <w:t xml:space="preserve">Errors tend to lie near it, and some metrics may depend on the margin rather than on</w:t>
      </w:r>
      <w:r>
        <w:t xml:space="preserve"> </w:t>
      </w:r>
      <w:r>
        <w:t xml:space="preserve">correctness itself.</w:t>
      </w:r>
    </w:p>
    <w:p>
      <w:pPr>
        <w:pStyle w:val="FirstParagraph"/>
      </w:pPr>
      <w:r>
        <w:t xml:space="preserve">The contribution is an instance-level answer, with the run as the unit of inference, a</w:t>
      </w:r>
      <w:r>
        <w:t xml:space="preserve"> </w:t>
      </w:r>
      <w:r>
        <w:t xml:space="preserve">margin control, an external check on a second dataset, and a practical recommendation</w:t>
      </w:r>
      <w:r>
        <w:t xml:space="preserve"> </w:t>
      </w:r>
      <w:r>
        <w:t xml:space="preserve">for how explanation audits should report quality.</w:t>
      </w:r>
    </w:p>
    <w:bookmarkEnd w:id="11"/>
    <w:bookmarkStart w:id="16" w:name="materials-and-methods"/>
    <w:p>
      <w:pPr>
        <w:pStyle w:val="Heading1"/>
      </w:pPr>
      <w:r>
        <w:t xml:space="preserve">Materials and methods</w:t>
      </w:r>
    </w:p>
    <w:bookmarkStart w:id="13" w:name="benchmark-and-data"/>
    <w:p>
      <w:pPr>
        <w:pStyle w:val="Heading2"/>
      </w:pPr>
      <w:r>
        <w:t xml:space="preserve">Benchmark and data</w:t>
      </w:r>
    </w:p>
    <w:p>
      <w:pPr>
        <w:pStyle w:val="FirstParagraph"/>
      </w:pPr>
      <w:r>
        <w:t xml:space="preserve">The data are the runs of an existing benchmark of post-hoc explainers on the UCI Adult</w:t>
      </w:r>
      <w:r>
        <w:t xml:space="preserve"> </w:t>
      </w:r>
      <w:r>
        <w:t xml:space="preserve">income data</w:t>
      </w:r>
      <w:r>
        <w:t xml:space="preserve"> </w:t>
      </w:r>
      <w:r>
        <w:t xml:space="preserve">[16], [17]</w:t>
      </w:r>
      <w:r>
        <w:t xml:space="preserve">, released with its protocol and</w:t>
      </w:r>
      <w:r>
        <w:t xml:space="preserve"> </w:t>
      </w:r>
      <w:r>
        <w:t xml:space="preserve">reproducibility contract in</w:t>
      </w:r>
      <w:r>
        <w:t xml:space="preserve"> </w:t>
      </w:r>
      <w:r>
        <w:t xml:space="preserve">[10]</w:t>
      </w:r>
      <w:r>
        <w:t xml:space="preserve">. That study, and a later</w:t>
      </w:r>
      <w:r>
        <w:t xml:space="preserve"> </w:t>
      </w:r>
      <w:r>
        <w:t xml:space="preserve">analysis of the same runs, compare explainers by their average quality over all</w:t>
      </w:r>
      <w:r>
        <w:t xml:space="preserve"> </w:t>
      </w:r>
      <w:r>
        <w:t xml:space="preserve">instances. The present analysis is different and reports none of their results: it</w:t>
      </w:r>
      <w:r>
        <w:t xml:space="preserve"> </w:t>
      </w:r>
      <w:r>
        <w:t xml:space="preserve">compares each explainer with itself, between correct and misclassified instances of the</w:t>
      </w:r>
      <w:r>
        <w:t xml:space="preserve"> </w:t>
      </w:r>
      <w:r>
        <w:t xml:space="preserve">same run. Re-using the cohort rather than re-executing it keeps the explainers, models and</w:t>
      </w:r>
      <w:r>
        <w:t xml:space="preserve"> </w:t>
      </w:r>
      <w:r>
        <w:t xml:space="preserve">instances fixed, so the only contrast is the correctness of the prediction.</w:t>
      </w:r>
    </w:p>
    <w:p>
      <w:pPr>
        <w:pStyle w:val="BodyText"/>
      </w:pPr>
      <w:r>
        <w:t xml:space="preserve">Five classifiers, each trained once, were explained: logistic regression,</w:t>
      </w:r>
      <w:r>
        <w:t xml:space="preserve"> </w:t>
      </w:r>
      <w:r>
        <w:t xml:space="preserve">random forest</w:t>
      </w:r>
      <w:r>
        <w:t xml:space="preserve"> </w:t>
      </w:r>
      <w:r>
        <w:t xml:space="preserve">[18]</w:t>
      </w:r>
      <w:r>
        <w:t xml:space="preserve">, gradient-boosted trees (XGBoost)</w:t>
      </w:r>
      <w:r>
        <w:t xml:space="preserve"> </w:t>
      </w:r>
      <w:r>
        <w:t xml:space="preserve">[19]</w:t>
      </w:r>
      <w:r>
        <w:t xml:space="preserve">, a support vector machine and a multilayer perceptron. Each run</w:t>
      </w:r>
      <w:r>
        <w:t xml:space="preserve"> </w:t>
      </w:r>
      <w:r>
        <w:t xml:space="preserve">crossed one model family with one explainer, one random seed (42, 123, 456, 789 or 999)</w:t>
      </w:r>
      <w:r>
        <w:t xml:space="preserve"> </w:t>
      </w:r>
      <w:r>
        <w:t xml:space="preserve">and one sampling intensity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instances per error quadrant. The</w:t>
      </w:r>
      <w:r>
        <w:t xml:space="preserve"> </w:t>
      </w:r>
      <w:r>
        <w:t xml:space="preserve">seed fixed the partition from which instances were drawn; the models were trained on the</w:t>
      </w:r>
      <w:r>
        <w:t xml:space="preserve"> </w:t>
      </w:r>
      <w:r>
        <w:t xml:space="preserve">partition of seed 42. Within a run, test instances</w:t>
      </w:r>
      <w:r>
        <w:t xml:space="preserve"> </w:t>
      </w:r>
      <w:r>
        <w:t xml:space="preserve">were sampled separately from the four quadrants (TP, TN, FP, FN), so correct and</w:t>
      </w:r>
      <w:r>
        <w:t xml:space="preserve"> </w:t>
      </w:r>
      <w:r>
        <w:t xml:space="preserve">misclassified instances are represented in nearly equal numbers by design.</w:t>
      </w:r>
    </w:p>
    <w:p>
      <w:pPr>
        <w:pStyle w:val="BodyText"/>
      </w:pPr>
      <w:r>
        <w:t xml:space="preserve">Of the 299 run files, 265 entered the analysis.</w:t>
      </w:r>
      <w:r>
        <w:t xml:space="preserve"> </w:t>
      </w:r>
      <w:r>
        <w:t xml:space="preserve">Anchors and DiCE produced no explanations in</w:t>
      </w:r>
      <w:r>
        <w:t xml:space="preserve"> </w:t>
      </w:r>
      <w:r>
        <w:t xml:space="preserve">18 and</w:t>
      </w:r>
      <w:r>
        <w:t xml:space="preserve"> </w:t>
      </w:r>
      <w:r>
        <w:t xml:space="preserve">7 runs respectively (failed or</w:t>
      </w:r>
      <w:r>
        <w:t xml:space="preserve"> </w:t>
      </w:r>
      <w:r>
        <w:t xml:space="preserve">non-converged), and 9 SHAP runs had fewer</w:t>
      </w:r>
      <w:r>
        <w:t xml:space="preserve"> </w:t>
      </w:r>
      <w:r>
        <w:t xml:space="preserve">than ten instances in one of the two groups. The analysis covers</w:t>
      </w:r>
      <w:r>
        <w:t xml:space="preserve"> </w:t>
      </w:r>
      <w:r>
        <w:t xml:space="preserve">122,529 explained instances; 278 instances</w:t>
      </w:r>
      <w:r>
        <w:t xml:space="preserve"> </w:t>
      </w:r>
      <w:r>
        <w:t xml:space="preserve">without a recorded quadrant were excluded. Table </w:t>
      </w:r>
      <w:hyperlink w:anchor="tab:data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gives the counts per</w:t>
      </w:r>
      <w:r>
        <w:t xml:space="preserve"> </w:t>
      </w:r>
      <w:r>
        <w:t xml:space="preserve">explainer.</w:t>
      </w:r>
    </w:p>
    <w:bookmarkStart w:id="12" w:name="tab:data"/>
    <w:p>
      <w:pPr>
        <w:pStyle w:val="TableCaption"/>
      </w:pPr>
      <w:r>
        <w:t xml:space="preserve">Runs and instances analysed per explainer (UCI Adult).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s and instances analysed per explainer (UCI Adult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Runs present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Runs analysed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Correct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Misclassified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74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15,369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14,302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17,500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17,103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12,992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12,775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16,300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16,188</w:t>
            </w:r>
          </w:p>
        </w:tc>
      </w:tr>
    </w:tbl>
    <w:bookmarkEnd w:id="12"/>
    <w:p>
      <w:pPr>
        <w:pStyle w:val="BodyText"/>
      </w:pPr>
      <w:r>
        <w:t xml:space="preserve">For the external check we used the German Credit data</w:t>
      </w:r>
      <w:r>
        <w:t xml:space="preserve"> </w:t>
      </w:r>
      <w:r>
        <w:t xml:space="preserve">[20]</w:t>
      </w:r>
      <w:r>
        <w:t xml:space="preserve"> </w:t>
      </w:r>
      <w:r>
        <w:t xml:space="preserve">from the</w:t>
      </w:r>
      <w:r>
        <w:t xml:space="preserve"> </w:t>
      </w:r>
      <w:r>
        <w:t xml:space="preserve">same benchmark: random forest and XGBoost, explained by SHAP and Anchors, three seeds</w:t>
      </w:r>
      <w:r>
        <w:t xml:space="preserve"> </w:t>
      </w:r>
      <w:r>
        <w:t xml:space="preserve">each (12 runs). These runs have 13 to 37 errors per quadrant. A</w:t>
      </w:r>
      <w:r>
        <w:t xml:space="preserve"> </w:t>
      </w:r>
      <w:r>
        <w:t xml:space="preserve">third dataset in the benchmark, Breast Cancer, was excluded in advance because it has only</w:t>
      </w:r>
      <w:r>
        <w:t xml:space="preserve"> </w:t>
      </w:r>
      <w:r>
        <w:t xml:space="preserve">one to four errors per quadrant per run.</w:t>
      </w:r>
    </w:p>
    <w:bookmarkEnd w:id="13"/>
    <w:bookmarkStart w:id="14" w:name="explainers-and-quality-metrics"/>
    <w:p>
      <w:pPr>
        <w:pStyle w:val="Heading2"/>
      </w:pPr>
      <w:r>
        <w:t xml:space="preserve">Explainers and quality metrics</w:t>
      </w:r>
    </w:p>
    <w:p>
      <w:pPr>
        <w:pStyle w:val="FirstParagraph"/>
      </w:pPr>
      <w:r>
        <w:t xml:space="preserve">SHAP used TreeExplainer for the tree models and KernelExplainer otherwise; LIME used a</w:t>
      </w:r>
      <w:r>
        <w:t xml:space="preserve"> </w:t>
      </w:r>
      <w:r>
        <w:t xml:space="preserve">tabular surrogate with ten features. Both return an attribution vector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over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model features. Anchors returns a rule; it is</w:t>
      </w:r>
      <w:r>
        <w:t xml:space="preserve"> </w:t>
      </w:r>
      <w:r>
        <w:t xml:space="preserve">represented as a binary vector marking the features in the rule. DiCE returns a</w:t>
      </w:r>
      <w:r>
        <w:t xml:space="preserve"> </w:t>
      </w:r>
      <w:r>
        <w:t xml:space="preserve">counterfactual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opposite class, represented as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|</m:t>
        </m:r>
      </m:oMath>
      <w:r>
        <w:t xml:space="preserve">.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model’s predicted probability of the positive class, and let masking feature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replace</w:t>
      </w:r>
      <w:r>
        <w:t xml:space="preserve"> </w:t>
      </w:r>
      <w:r>
        <w:t xml:space="preserve">its value with the training mean. The metrics, computed per instance by the benchmark</w:t>
      </w:r>
      <w:r>
        <w:t xml:space="preserve"> </w:t>
      </w:r>
      <w:r>
        <w:t xml:space="preserve">[10]</w:t>
      </w:r>
      <w:r>
        <w:t xml:space="preserve">, are:</w:t>
      </w:r>
    </w:p>
    <w:p>
      <w:pPr>
        <w:pStyle w:val="BodyText"/>
      </w:pPr>
      <w:r>
        <w:rPr>
          <w:b/>
          <w:bCs/>
        </w:rPr>
        <w:t xml:space="preserve">Stability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[9]</w:t>
      </w:r>
      <w:r>
        <w:t xml:space="preserve">: the explainer is run 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perturbed with Gaussian noise, 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mean cosine similarity of the</w:t>
      </w:r>
      <w:r>
        <w:t xml:space="preserve"> </w:t>
      </w:r>
      <w:r>
        <w:t xml:space="preserve">resulting vectors over all pairs: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T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Fidelity</w:t>
      </w:r>
      <w:r>
        <w:t xml:space="preserve"> </w:t>
      </w:r>
      <m:oMath>
        <m:r>
          <m:t>F</m:t>
        </m:r>
      </m:oMath>
      <w:r>
        <w:t xml:space="preserve">, a single-feature form of faithfulness correlation</w:t>
      </w:r>
      <w:r>
        <w:t xml:space="preserve"> </w:t>
      </w:r>
      <w:r>
        <w:t xml:space="preserve">[6]</w:t>
      </w:r>
      <w:r>
        <w:t xml:space="preserve">: the Pearson correlation, across features, between the</w:t>
      </w:r>
      <w:r>
        <w:t xml:space="preserve"> </w:t>
      </w:r>
      <w:r>
        <w:t xml:space="preserve">magnitude of each attribution and the change in prediction when that feature alone is</w:t>
      </w:r>
      <w:r>
        <w:t xml:space="preserve"> </w:t>
      </w:r>
      <w:r>
        <w:t xml:space="preserve">masked: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ρ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|</m:t>
                      </m:r>
                    </m:e>
                  </m:d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 </m:t>
              </m:r>
              <m:sSub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|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|</m:t>
                      </m:r>
                    </m:e>
                  </m:d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Faithfulness gap</w:t>
      </w:r>
      <w:r>
        <w:t xml:space="preserve"> </w:t>
      </w:r>
      <m:oMath>
        <m:r>
          <m:t>G</m:t>
        </m:r>
      </m:oMath>
      <w:r>
        <w:t xml:space="preserve">, a deletion test</w:t>
      </w:r>
      <w:r>
        <w:t xml:space="preserve"> </w:t>
      </w:r>
      <w:r>
        <w:t xml:space="preserve">[7], [8]</w:t>
      </w:r>
      <w:r>
        <w:t xml:space="preserve">:</w:t>
      </w:r>
      <w:r>
        <w:t xml:space="preserve"> </w:t>
      </w:r>
      <w:r>
        <w:t xml:space="preserve">the change in prediction when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features with the largest attributions are</w:t>
      </w:r>
      <w:r>
        <w:t xml:space="preserve"> </w:t>
      </w:r>
      <w:r>
        <w:t xml:space="preserve">masked together: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top-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Sparsity</w:t>
      </w:r>
      <w:r>
        <w:t xml:space="preserve">, the share of features with a non-negligible attribution, was analysed</w:t>
      </w:r>
      <w:r>
        <w:t xml:space="preserve"> </w:t>
      </w:r>
      <w:r>
        <w:t xml:space="preserve">as a secondary metric. Explanation time was summarised descriptively. For all three primary</w:t>
      </w:r>
      <w:r>
        <w:t xml:space="preserve"> </w:t>
      </w:r>
      <w:r>
        <w:t xml:space="preserve">metrics, higher values indicate a better explanation.</w:t>
      </w:r>
    </w:p>
    <w:bookmarkEnd w:id="14"/>
    <w:bookmarkStart w:id="15" w:name="statistical-analysis"/>
    <w:p>
      <w:pPr>
        <w:pStyle w:val="Heading2"/>
      </w:pPr>
      <w:r>
        <w:t xml:space="preserve">Statistical analysis</w:t>
      </w:r>
    </w:p>
    <w:p>
      <w:pPr>
        <w:pStyle w:val="FirstParagraph"/>
      </w:pPr>
      <w:r>
        <w:t xml:space="preserve">The analysis plan, with the questions, metrics, tests and corrections, was written and</w:t>
      </w:r>
      <w:r>
        <w:t xml:space="preserve"> </w:t>
      </w:r>
      <w:r>
        <w:t xml:space="preserve">committed to the project repository before any result was computed; its two deviations</w:t>
      </w:r>
      <w:r>
        <w:t xml:space="preserve"> </w:t>
      </w:r>
      <w:r>
        <w:t xml:space="preserve">are reported below. Instances are nested in runs, so instance-level tests would treat</w:t>
      </w:r>
      <w:r>
        <w:t xml:space="preserve"> </w:t>
      </w:r>
      <w:r>
        <w:t xml:space="preserve">thousands of dependent explanations as independent. The run is therefore the unit of</w:t>
      </w:r>
      <w:r>
        <w:t xml:space="preserve"> </w:t>
      </w:r>
      <w:r>
        <w:t xml:space="preserve">inference. For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metric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Q</m:t>
                  </m:r>
                </m:e>
              </m:acc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Q</m:t>
                  </m:r>
                </m:e>
              </m:acc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mean over misclassified instances (FP and FN) minus the mean over correct instances</w:t>
      </w:r>
      <w:r>
        <w:t xml:space="preserve"> </w:t>
      </w:r>
      <w:r>
        <w:t xml:space="preserve">(TP and TN). A negative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means lower quality on errors.</w:t>
      </w:r>
    </w:p>
    <w:p>
      <w:pPr>
        <w:pStyle w:val="BodyText"/>
      </w:pPr>
      <w:r>
        <w:rPr>
          <w:b/>
          <w:bCs/>
        </w:rPr>
        <w:t xml:space="preserve">RQ1:</w:t>
      </w:r>
      <w:r>
        <w:t xml:space="preserve"> </w:t>
      </w:r>
      <w:r>
        <w:t xml:space="preserve">for each explainer and primary metric (12 tests), a two-sided Wilcoxon</w:t>
      </w:r>
      <w:r>
        <w:t xml:space="preserve"> </w:t>
      </w:r>
      <w:r>
        <w:t xml:space="preserve">signed-rank test of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across runs</w:t>
      </w:r>
      <w:r>
        <w:t xml:space="preserve"> </w:t>
      </w:r>
      <w:r>
        <w:t xml:space="preserve">[21]</w:t>
      </w:r>
      <w:r>
        <w:t xml:space="preserve">, with Holm</w:t>
      </w:r>
      <w:r>
        <w:t xml:space="preserve"> </w:t>
      </w:r>
      <w:r>
        <w:t xml:space="preserve">correction across the 12 tests</w:t>
      </w:r>
      <w:r>
        <w:t xml:space="preserve"> </w:t>
      </w:r>
      <w:r>
        <w:t xml:space="preserve">[22]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We report the</w:t>
      </w:r>
      <w:r>
        <w:t xml:space="preserve"> </w:t>
      </w:r>
      <w:r>
        <w:t xml:space="preserve">median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, the mean with a 95% confidence interval, and the standardised effect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(mean over standard deviation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. An effect</w:t>
      </w:r>
      <w:r>
        <w:t xml:space="preserve"> </w:t>
      </w:r>
      <w:r>
        <w:t xml:space="preserve">is called practically relevant when it is significant after correction,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median</m:t>
        </m:r>
        <m:r>
          <m:t> 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0.05</m:t>
        </m:r>
      </m:oMath>
      <w:r>
        <w:t xml:space="preserve">. As a robustness check, the analysis was repeated</w:t>
      </w:r>
      <w:r>
        <w:t xml:space="preserve"> </w:t>
      </w:r>
      <w:r>
        <w:t xml:space="preserve">after averaging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over the three sampling intensities within each model and seed.</w:t>
      </w:r>
      <w:r>
        <w:t xml:space="preserve"> </w:t>
      </w:r>
      <w:r>
        <w:rPr>
          <w:b/>
          <w:bCs/>
        </w:rPr>
        <w:t xml:space="preserve">RQ2: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by model family, with a Kruskal–Wallis test</w:t>
      </w:r>
      <w:r>
        <w:t xml:space="preserve"> </w:t>
      </w:r>
      <w:r>
        <w:t xml:space="preserve">[24]</w:t>
      </w:r>
      <w:r>
        <w:t xml:space="preserve"> </w:t>
      </w:r>
      <w:r>
        <w:t xml:space="preserve">per explainer and metric (Holm across 12).</w:t>
      </w:r>
      <w:r>
        <w:t xml:space="preserve"> </w:t>
      </w:r>
      <w:r>
        <w:rPr>
          <w:b/>
          <w:bCs/>
        </w:rPr>
        <w:t xml:space="preserve">RQ3:</w:t>
      </w:r>
      <w:r>
        <w:t xml:space="preserve"> </w:t>
      </w:r>
      <w:r>
        <w:t xml:space="preserve">as RQ1 with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Q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Q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RQ4:</w:t>
      </w:r>
      <w:r>
        <w:t xml:space="preserve"> </w:t>
      </w:r>
      <w:r>
        <w:t xml:space="preserve">misclassified instances lie closer to the decision boundary, and metrics</w:t>
      </w:r>
      <w:r>
        <w:t xml:space="preserve"> </w:t>
      </w:r>
      <w:r>
        <w:t xml:space="preserve">that perturb or mask the input may behave differently there. The margin of an instance,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|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−</m:t>
        </m:r>
        <m:r>
          <m:t>0.5</m:t>
        </m:r>
        <m:r>
          <m:rPr>
            <m:sty m:val="p"/>
          </m:rPr>
          <m:t>|</m:t>
        </m:r>
      </m:oMath>
      <w:r>
        <w:t xml:space="preserve">, was recomputed from the stored models. For each explainer and</w:t>
      </w:r>
      <w:r>
        <w:t xml:space="preserve"> </w:t>
      </w:r>
      <w:r>
        <w:t xml:space="preserve">metric we fitted, at instance level,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t> 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r>
            <m:t>γ</m:t>
          </m:r>
          <m:r>
            <m:t> 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run fixed effects</w:t>
      </w:r>
      <w:r>
        <w:t xml:space="preserve"> </w:t>
      </w:r>
      <m:oMath>
        <m:sSub>
          <m:e>
            <m:r>
              <m:t>α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and standard errors clustered by run</w:t>
      </w:r>
      <w:r>
        <w:t xml:space="preserve"> </w:t>
      </w:r>
      <w:r>
        <w:t xml:space="preserve">[25]</w:t>
      </w:r>
      <w:r>
        <w:t xml:space="preserve">, and compared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with its value when the margin is</w:t>
      </w:r>
      <w:r>
        <w:t xml:space="preserve"> </w:t>
      </w:r>
      <w:r>
        <w:t xml:space="preserve">omitted. A difference is called explained by the margin when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shrinks by more than</w:t>
      </w:r>
      <w:r>
        <w:t xml:space="preserve"> </w:t>
      </w:r>
      <w:r>
        <w:t xml:space="preserve">half and its confidence interval includes zero. The external check repeats RQ1 on German</w:t>
      </w:r>
      <w:r>
        <w:t xml:space="preserve"> </w:t>
      </w:r>
      <w:r>
        <w:t xml:space="preserve">Credit descriptively: with six runs per explainer, no test can reach significance after</w:t>
      </w:r>
      <w:r>
        <w:t xml:space="preserve"> </w:t>
      </w:r>
      <w:r>
        <w:t xml:space="preserve">correction.</w:t>
      </w:r>
    </w:p>
    <w:p>
      <w:pPr>
        <w:pStyle w:val="BodyText"/>
      </w:pPr>
      <w:r>
        <w:rPr>
          <w:b/>
          <w:bCs/>
        </w:rPr>
        <w:t xml:space="preserve">Deviations from the plan.</w:t>
      </w:r>
      <w:r>
        <w:t xml:space="preserve"> </w:t>
      </w:r>
      <w:r>
        <w:t xml:space="preserve">(1) For the random-forest runs executed first, the stored</w:t>
      </w:r>
      <w:r>
        <w:t xml:space="preserve"> </w:t>
      </w:r>
      <w:r>
        <w:t xml:space="preserve">model reproduced only part of the recorded predictions, so their margin cannot be</w:t>
      </w:r>
      <w:r>
        <w:t xml:space="preserve"> </w:t>
      </w:r>
      <w:r>
        <w:t xml:space="preserve">recomputed; RQ4 therefore uses the 223 of</w:t>
      </w:r>
      <w:r>
        <w:t xml:space="preserve"> </w:t>
      </w:r>
      <w:r>
        <w:t xml:space="preserve">274 runs whose recorded predictions the stored model reproduces</w:t>
      </w:r>
      <w:r>
        <w:t xml:space="preserve"> </w:t>
      </w:r>
      <w:r>
        <w:t xml:space="preserve">(at least 99%), which leaves 9 of</w:t>
      </w:r>
      <w:r>
        <w:t xml:space="preserve"> </w:t>
      </w:r>
      <w:r>
        <w:t xml:space="preserve">60 random-forest runs. RQ1–RQ3 are unaffected, because their</w:t>
      </w:r>
      <w:r>
        <w:t xml:space="preserve"> </w:t>
      </w:r>
      <w:r>
        <w:t xml:space="preserve">correct and misclassified labels were assigned by the model that actually ran. (2) For the</w:t>
      </w:r>
      <w:r>
        <w:t xml:space="preserve"> </w:t>
      </w:r>
      <w:r>
        <w:t xml:space="preserve">SVM,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the Platt-scaled probability</w:t>
      </w:r>
      <w:r>
        <w:t xml:space="preserve"> </w:t>
      </w:r>
      <w:r>
        <w:t xml:space="preserve">[26]</w:t>
      </w:r>
      <w:r>
        <w:t xml:space="preserve">, which</w:t>
      </w:r>
      <w:r>
        <w:t xml:space="preserve"> </w:t>
      </w:r>
      <w:r>
        <w:t xml:space="preserve">disagrees with the predicted class for 404 of</w:t>
      </w:r>
      <w:r>
        <w:t xml:space="preserve"> </w:t>
      </w:r>
      <w:r>
        <w:t xml:space="preserve">22,426 instances; they were kept.</w:t>
      </w:r>
    </w:p>
    <w:bookmarkEnd w:id="15"/>
    <w:bookmarkEnd w:id="16"/>
    <w:bookmarkStart w:id="37" w:name="results"/>
    <w:p>
      <w:pPr>
        <w:pStyle w:val="Heading1"/>
      </w:pPr>
      <w:r>
        <w:t xml:space="preserve">Results</w:t>
      </w:r>
    </w:p>
    <w:bookmarkStart w:id="22" w:name="X113a1311184c30a7f1c357e0d675c998f9d33b0"/>
    <w:p>
      <w:pPr>
        <w:pStyle w:val="Heading2"/>
      </w:pPr>
      <w:r>
        <w:t xml:space="preserve">Correct versus misclassified instances (RQ1)</w:t>
      </w:r>
    </w:p>
    <w:p>
      <w:pPr>
        <w:pStyle w:val="FirstParagraph"/>
      </w:pPr>
      <w:r>
        <w:t xml:space="preserve">Table </w:t>
      </w:r>
      <w:hyperlink w:anchor="tab:rq1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Figure </w:t>
      </w:r>
      <w:hyperlink w:anchor="fig:rq1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give the per-run differences. Stability was</w:t>
      </w:r>
      <w:r>
        <w:t xml:space="preserve"> </w:t>
      </w:r>
      <w:r>
        <w:t xml:space="preserve">lower on misclassified instances for all four explainers after correction. The deficit</w:t>
      </w:r>
      <w:r>
        <w:t xml:space="preserve"> </w:t>
      </w:r>
      <w:r>
        <w:t xml:space="preserve">was large for SHAP, lower in all 65 runs (median</w:t>
      </w:r>
      <w:r>
        <w:t xml:space="preserve"> </w:t>
      </w:r>
      <w:r>
        <w:t xml:space="preserve">−0.076,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−1.36), and for DiCE,</w:t>
      </w:r>
      <w:r>
        <w:t xml:space="preserve"> </w:t>
      </w:r>
      <w:r>
        <w:t xml:space="preserve">lower in 67 of 68 runs (median</w:t>
      </w:r>
      <w:r>
        <w:t xml:space="preserve"> </w:t>
      </w:r>
      <w:r>
        <w:t xml:space="preserve">−0.210,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−2.15). For LIME the</w:t>
      </w:r>
      <w:r>
        <w:t xml:space="preserve"> </w:t>
      </w:r>
      <w:r>
        <w:t xml:space="preserve">deficit was consistent, lower in 73 of</w:t>
      </w:r>
      <w:r>
        <w:t xml:space="preserve"> </w:t>
      </w:r>
      <w:r>
        <w:t xml:space="preserve">75 runs, but small in absolute terms</w:t>
      </w:r>
      <w:r>
        <w:t xml:space="preserve"> </w:t>
      </w:r>
      <w:r>
        <w:t xml:space="preserve">(median −0.0034), because LIME’s stability on these data is</w:t>
      </w:r>
      <w:r>
        <w:t xml:space="preserve"> </w:t>
      </w:r>
      <w:r>
        <w:t xml:space="preserve">close to zero on average. For Anchors the median was close to zero.</w:t>
      </w:r>
    </w:p>
    <w:p>
      <w:pPr>
        <w:pStyle w:val="BodyText"/>
      </w:pPr>
      <w:r>
        <w:t xml:space="preserve">Fidelity moved in opposite directions. It was lower on errors for DiCE (median</w:t>
      </w:r>
      <w:r>
        <w:t xml:space="preserve"> </w:t>
      </w:r>
      <w:r>
        <w:t xml:space="preserve">−0.053) and Anchors (−0.022),</w:t>
      </w:r>
      <w:r>
        <w:t xml:space="preserve"> </w:t>
      </w:r>
      <w:r>
        <w:t xml:space="preserve">higher for LIME (+0.032), and not significantly different for</w:t>
      </w:r>
      <w:r>
        <w:t xml:space="preserve"> </w:t>
      </w:r>
      <w:r>
        <w:t xml:space="preserve">SHAP after correction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0.057). The</w:t>
      </w:r>
      <w:r>
        <w:t xml:space="preserve"> </w:t>
      </w:r>
      <w:r>
        <w:t xml:space="preserve">faithfulness gap was lower on errors for SHAP (median</w:t>
      </w:r>
      <w:r>
        <w:t xml:space="preserve"> </w:t>
      </w:r>
      <w:r>
        <w:t xml:space="preserve">−0.023, lower in 55</w:t>
      </w:r>
      <w:r>
        <w:t xml:space="preserve"> </w:t>
      </w:r>
      <w:r>
        <w:t xml:space="preserve">of 65 runs) and DiCE, and did not differ for LIME and</w:t>
      </w:r>
      <w:r>
        <w:t xml:space="preserve"> </w:t>
      </w:r>
      <w:r>
        <w:t xml:space="preserve">Anchors. Of the 12 primary tests, 9 were significant after</w:t>
      </w:r>
      <w:r>
        <w:t xml:space="preserve"> </w:t>
      </w:r>
      <w:r>
        <w:t xml:space="preserve">correction and 3 met the practical-relevance criterion: SHAP stability,</w:t>
      </w:r>
      <w:r>
        <w:t xml:space="preserve"> </w:t>
      </w:r>
      <w:r>
        <w:t xml:space="preserve">DiCE stability and DiCE fidelity. The robustness analysis over model–seed units agreed in</w:t>
      </w:r>
      <w:r>
        <w:t xml:space="preserve"> </w:t>
      </w:r>
      <w:r>
        <w:t xml:space="preserve">direction and significance for 10 of the 12 tests; the exceptions were the</w:t>
      </w:r>
      <w:r>
        <w:t xml:space="preserve"> </w:t>
      </w:r>
      <w:r>
        <w:t xml:space="preserve">LIME faithfulness gap, not significant in either analysis, and the DiCE faithfulness gap,</w:t>
      </w:r>
      <w:r>
        <w:t xml:space="preserve"> </w:t>
      </w:r>
      <w:r>
        <w:t xml:space="preserve">which lost significance.</w:t>
      </w:r>
    </w:p>
    <w:bookmarkStart w:id="17" w:name="tab:rq1"/>
    <w:p>
      <w:pPr>
        <w:pStyle w:val="TableCaption"/>
      </w:pPr>
      <w:r>
        <w:t xml:space="preserve">Per-run difference in quality, misclassified minus correct instances (UCI Adult).</w:t>
      </w:r>
      <w:r>
        <w:t xml:space="preserve"> </w:t>
      </w:r>
      <m:oMath>
        <m:r>
          <m:t>n</m:t>
        </m:r>
      </m:oMath>
      <w:r>
        <w:t xml:space="preserve">: runs; CI: 95% confidence interval of the mean;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: Wilcoxon</w:t>
      </w:r>
      <w:r>
        <w:t xml:space="preserve"> </w:t>
      </w:r>
      <w:r>
        <w:t xml:space="preserve">signed-rank, Holm-corrected within the 12 primary and, separately, the 4 sparsity tests.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run difference in quality, misclassified minus correct instances (UCI Adult). n: runs; CI: 95% confidence interval of the mean; p_{\mathrm{Holm}}: Wilcoxon signed-rank, Holm-corrected within the 12 primary and, separately, the 4 sparsity test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Metric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r>
                <m:t>n</m:t>
              </m:r>
            </m:oMath>
            <w:r>
              <w:rPr>
                <w:sz w:val="20"/>
                <w:szCs w:val="20"/>
              </w:rPr>
              <w:t xml:space="preserve">​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Median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Mean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[95% CI]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sSub>
                <m:e>
                  <m:r>
                    <m:t>d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20"/>
                <w:szCs w:val="20"/>
              </w:rPr>
              <w:t xml:space="preserve">​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m</m:t>
                  </m:r>
                </m:sub>
              </m:sSub>
            </m:oMath>
            <w:r>
              <w:rPr>
                <w:sz w:val="20"/>
                <w:szCs w:val="20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−0.076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−0.117 [−0.138, −0.095]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−1.36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−0.007 [−0.009, −0.006]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−1.06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−0.016 [−0.032, −0.001]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−0.28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−0.210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−0.198 [−0.221, −0.176]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−2.15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Fidelity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+0.021 [+0.009, +0.033]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+0.42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0.057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+0.032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+0.028 [+0.020, +0.035]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+0.82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−0.025 [−0.040, −0.010]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−0.45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0.013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−0.053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−0.047 [−0.061, −0.033]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−0.82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Faithfulness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−0.024 [−0.029, −0.018]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−1.07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+0.001 [−0.007, +0.008]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0.992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−0.003 [−0.012, +0.007]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0.954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−0.018 [−0.029, −0.007]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−0.41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0.013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Sparsity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+0.009 [+0.006, +0.012]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+0.85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+0.001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+0.002 [+0.001, +0.003]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+0.44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+0.014 [+0.007, +0.020]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+0.58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−0.003 [−0.003, −0.002]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−1.18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</w:tbl>
    <w:bookmarkEnd w:id="17"/>
    <w:bookmarkStart w:id="21" w:name="fig:rq1"/>
    <w:p>
      <w:pPr>
        <w:pStyle w:val="CaptionedFigure"/>
      </w:pPr>
      <w:r>
        <w:drawing>
          <wp:inline>
            <wp:extent cx="5334000" cy="1766904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figures/fig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6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per-run difference in quality between misclassified and correct instances,</w:t>
      </w:r>
      <w:r>
        <w:t xml:space="preserve"> </w:t>
      </w:r>
      <w:r>
        <w:t xml:space="preserve">with 95% confidence intervals (UCI Adult). Filled markers: significant after Holm</w:t>
      </w:r>
      <w:r>
        <w:t xml:space="preserve"> </w:t>
      </w:r>
      <w:r>
        <w:t xml:space="preserve">correction; open markers: not significant. Negative values mean lower quality on errors.</w:t>
      </w:r>
    </w:p>
    <w:bookmarkEnd w:id="21"/>
    <w:p>
      <w:pPr>
        <w:pStyle w:val="BodyText"/>
      </w:pPr>
      <w:r>
        <w:t xml:space="preserve">Sparsity differed little in absolute terms (all medians within</w:t>
      </w:r>
      <w:r>
        <w:t xml:space="preserve"> </w:t>
      </w:r>
      <m:oMath>
        <m:r>
          <m:rPr>
            <m:sty m:val="p"/>
          </m:rPr>
          <m:t>±</m:t>
        </m:r>
        <m:r>
          <m:t>0.0025</m:t>
        </m:r>
      </m:oMath>
      <w:r>
        <w:t xml:space="preserve"> </w:t>
      </w:r>
      <w:r>
        <w:t xml:space="preserve">of zero apart from Anchors). Explanation time did</w:t>
      </w:r>
      <w:r>
        <w:t xml:space="preserve"> </w:t>
      </w:r>
      <w:r>
        <w:t xml:space="preserve">not differ systematically, except for Anchors, which took a median</w:t>
      </w:r>
      <w:r>
        <w:t xml:space="preserve"> </w:t>
      </w:r>
      <w:r>
        <w:t xml:space="preserve">3,338 ms longer per instance on errors, plausibly because its rule</w:t>
      </w:r>
      <w:r>
        <w:t xml:space="preserve"> </w:t>
      </w:r>
      <w:r>
        <w:t xml:space="preserve">search runs longer near the boundary.</w:t>
      </w:r>
    </w:p>
    <w:bookmarkEnd w:id="22"/>
    <w:bookmarkStart w:id="27" w:name="differences-across-model-families-rq2"/>
    <w:p>
      <w:pPr>
        <w:pStyle w:val="Heading2"/>
      </w:pPr>
      <w:r>
        <w:t xml:space="preserve">Differences across model families (RQ2)</w:t>
      </w:r>
    </w:p>
    <w:p>
      <w:pPr>
        <w:pStyle w:val="FirstParagraph"/>
      </w:pPr>
      <w:r>
        <w:t xml:space="preserve">The size, and for fidelity and the faithfulness gap also the sign, of the difference</w:t>
      </w:r>
      <w:r>
        <w:t xml:space="preserve"> </w:t>
      </w:r>
      <w:r>
        <w:t xml:space="preserve">depended on the model family (Figure </w:t>
      </w:r>
      <w:hyperlink w:anchor="fig:rq2">
        <w:r>
          <w:rPr>
            <w:rStyle w:val="Hyperlink"/>
          </w:rPr>
          <w:t xml:space="preserve">2</w:t>
        </w:r>
      </w:hyperlink>
      <w:r>
        <w:t xml:space="preserve">). The Kruskal–Wallis test was</w:t>
      </w:r>
      <w:r>
        <w:t xml:space="preserve"> </w:t>
      </w:r>
      <w:r>
        <w:t xml:space="preserve">significant after correction for 10 of the</w:t>
      </w:r>
      <w:r>
        <w:t xml:space="preserve"> </w:t>
      </w:r>
      <w:r>
        <w:t xml:space="preserve">12 explainer–metric combinations; the two exceptions were the</w:t>
      </w:r>
      <w:r>
        <w:t xml:space="preserve"> </w:t>
      </w:r>
      <w:r>
        <w:t xml:space="preserve">stability of LIME and Anchors, whose differences were small for every family. The SHAP</w:t>
      </w:r>
      <w:r>
        <w:t xml:space="preserve"> </w:t>
      </w:r>
      <w:r>
        <w:t xml:space="preserve">stability deficit was largest for the multilayer perceptron (median</w:t>
      </w:r>
      <w:r>
        <w:t xml:space="preserve"> </w:t>
      </w:r>
      <w:r>
        <w:t xml:space="preserve">−0.216) and XGBoost (−0.168)</w:t>
      </w:r>
      <w:r>
        <w:t xml:space="preserve"> </w:t>
      </w:r>
      <w:r>
        <w:t xml:space="preserve">and smallest for the random forest (−0.025) and the SVM</w:t>
      </w:r>
      <w:r>
        <w:t xml:space="preserve"> </w:t>
      </w:r>
      <w:r>
        <w:t xml:space="preserve">(−0.030). The DiCE</w:t>
      </w:r>
      <w:r>
        <w:t xml:space="preserve"> </w:t>
      </w:r>
      <w:r>
        <w:t xml:space="preserve">stability deficit was present for every family and largest for logistic regression</w:t>
      </w:r>
      <w:r>
        <w:t xml:space="preserve"> </w:t>
      </w:r>
      <w:r>
        <w:t xml:space="preserve">(−0.321).</w:t>
      </w:r>
    </w:p>
    <w:bookmarkStart w:id="26" w:name="fig:rq2"/>
    <w:p>
      <w:pPr>
        <w:pStyle w:val="CaptionedFigure"/>
      </w:pPr>
      <w:r>
        <w:drawing>
          <wp:inline>
            <wp:extent cx="5334000" cy="1850118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fig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01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Median per-run difference (misclassified minus correct) by explainer and model</w:t>
      </w:r>
      <w:r>
        <w:t xml:space="preserve"> </w:t>
      </w:r>
      <w:r>
        <w:t xml:space="preserve">family. LR: logistic regression; RF: random forest; XGB: XGBoost; SVM: support vector</w:t>
      </w:r>
      <w:r>
        <w:t xml:space="preserve"> </w:t>
      </w:r>
      <w:r>
        <w:t xml:space="preserve">machine; MLP: multilayer perceptron. Red: lower quality on errors; blue: higher.</w:t>
      </w:r>
    </w:p>
    <w:bookmarkEnd w:id="26"/>
    <w:bookmarkEnd w:id="27"/>
    <w:bookmarkStart w:id="29" w:name="Xb36d7a40d8776a67cd5e9eea02f359347024849"/>
    <w:p>
      <w:pPr>
        <w:pStyle w:val="Heading2"/>
      </w:pPr>
      <w:r>
        <w:t xml:space="preserve">False positives versus false negatives (RQ3)</w:t>
      </w:r>
    </w:p>
    <w:p>
      <w:pPr>
        <w:pStyle w:val="FirstParagraph"/>
      </w:pPr>
      <w:r>
        <w:t xml:space="preserve">Among errors, the faithfulness gap was much larger for false positives than for false</w:t>
      </w:r>
      <w:r>
        <w:t xml:space="preserve"> </w:t>
      </w:r>
      <w:r>
        <w:t xml:space="preserve">negatives for every explainer (Table </w:t>
      </w:r>
      <w:hyperlink w:anchor="tab:rq3">
        <w:r>
          <w:rPr>
            <w:rStyle w:val="Hyperlink"/>
          </w:rPr>
          <w:t xml:space="preserve">3</w:t>
        </w:r>
      </w:hyperlink>
      <w:r>
        <w:t xml:space="preserve">); for SHAP and LIME this held in every</w:t>
      </w:r>
      <w:r>
        <w:t xml:space="preserve"> </w:t>
      </w:r>
      <w:r>
        <w:t xml:space="preserve">run. DiCE stability was lower on false positives. The other differences were small.</w:t>
      </w:r>
      <w:r>
        <w:t xml:space="preserve"> </w:t>
      </w:r>
      <w:r>
        <w:t xml:space="preserve">A likely reason for the faithfulness-gap asymmetry is how the metric masks features:</w:t>
      </w:r>
      <w:r>
        <w:t xml:space="preserve"> </w:t>
      </w:r>
      <w:r>
        <w:t xml:space="preserve">masking to the training mean moves an instance towards the majority, negative class, so</w:t>
      </w:r>
      <w:r>
        <w:t xml:space="preserve"> </w:t>
      </w:r>
      <w:r>
        <w:t xml:space="preserve">removing the top features changes a positive prediction (a false positive) far more than a</w:t>
      </w:r>
      <w:r>
        <w:t xml:space="preserve"> </w:t>
      </w:r>
      <w:r>
        <w:t xml:space="preserve">negative one (a false negative). The gap is therefore not comparable across predicted classes, which</w:t>
      </w:r>
      <w:r>
        <w:t xml:space="preserve"> </w:t>
      </w:r>
      <w:r>
        <w:t xml:space="preserve">matters for any audit that compares explanations of different decisions.</w:t>
      </w:r>
    </w:p>
    <w:bookmarkStart w:id="28" w:name="tab:rq3"/>
    <w:p>
      <w:pPr>
        <w:pStyle w:val="TableCaption"/>
      </w:pPr>
      <w:r>
        <w:t xml:space="preserve">Per-run difference, false positives minus false negatives: median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, Wilcoxon signed-rank, Holm-corrected across the 12 tests).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run difference, false positives minus false negatives: median \Delta (p_{\mathrm{Holm}}, Wilcoxon signed-rank, Holm-corrected across the 12 tests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Fidelity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Faithfulness gap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+0.022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+0.015 (0.705)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+0.353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+0.003 (0.315)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+0.004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+0.239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+0.027 (0.002)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0.000 (0.705)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+0.172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−0.019 (0.276)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−0.269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+0.046 (&lt;0.001)</w:t>
            </w:r>
          </w:p>
        </w:tc>
      </w:tr>
    </w:tbl>
    <w:bookmarkEnd w:id="28"/>
    <w:bookmarkEnd w:id="29"/>
    <w:bookmarkStart w:id="35" w:name="the-role-of-the-decision-boundary-rq4"/>
    <w:p>
      <w:pPr>
        <w:pStyle w:val="Heading2"/>
      </w:pPr>
      <w:r>
        <w:t xml:space="preserve">The role of the decision boundary (RQ4)</w:t>
      </w:r>
    </w:p>
    <w:p>
      <w:pPr>
        <w:pStyle w:val="FirstParagraph"/>
      </w:pPr>
      <w:r>
        <w:t xml:space="preserve">Errors were indeed closer to the boundary (median margin</w:t>
      </w:r>
      <w:r>
        <w:t xml:space="preserve"> </w:t>
      </w:r>
      <w:r>
        <w:t xml:space="preserve">0.18 against 0.43</w:t>
      </w:r>
      <w:r>
        <w:t xml:space="preserve"> </w:t>
      </w:r>
      <w:r>
        <w:t xml:space="preserve">for correct instances in the SHAP runs), and stability rose with the margin for every</w:t>
      </w:r>
      <w:r>
        <w:t xml:space="preserve"> </w:t>
      </w:r>
      <w:r>
        <w:t xml:space="preserve">explainer (Figure </w:t>
      </w:r>
      <w:hyperlink w:anchor="fig:rq4">
        <w:r>
          <w:rPr>
            <w:rStyle w:val="Hyperlink"/>
          </w:rPr>
          <w:t xml:space="preserve">3</w:t>
        </w:r>
      </w:hyperlink>
      <w:r>
        <w:t xml:space="preserve">). Controlling for the margin changed the picture in three</w:t>
      </w:r>
      <w:r>
        <w:t xml:space="preserve"> </w:t>
      </w:r>
      <w:r>
        <w:t xml:space="preserve">ways (Table </w:t>
      </w:r>
      <w:hyperlink w:anchor="tab:rq4">
        <w:r>
          <w:rPr>
            <w:rStyle w:val="Hyperlink"/>
          </w:rPr>
          <w:t xml:space="preserve">4</w:t>
        </w:r>
      </w:hyperlink>
      <w:r>
        <w:t xml:space="preserve">). First, the DiCE stability deficit was almost entirely a</w:t>
      </w:r>
      <w:r>
        <w:t xml:space="preserve"> </w:t>
      </w:r>
      <w:r>
        <w:t xml:space="preserve">margin effect: its coefficient fell from −0.191 to</w:t>
      </w:r>
      <w:r>
        <w:t xml:space="preserve"> </w:t>
      </w:r>
      <w:r>
        <w:t xml:space="preserve">−0.014, with a confidence interval including zero. A</w:t>
      </w:r>
      <w:r>
        <w:t xml:space="preserve"> </w:t>
      </w:r>
      <w:r>
        <w:t xml:space="preserve">counterfactual for an instance near the boundary needs only a small change, and small</w:t>
      </w:r>
      <w:r>
        <w:t xml:space="preserve"> </w:t>
      </w:r>
      <w:r>
        <w:t xml:space="preserve">changes vary more under noise. Second, the SHAP stability deficit was reduced but</w:t>
      </w:r>
      <w:r>
        <w:t xml:space="preserve"> </w:t>
      </w:r>
      <w:r>
        <w:t xml:space="preserve">remained: −0.146 without and −0.042</w:t>
      </w:r>
      <w:r>
        <w:t xml:space="preserve"> </w:t>
      </w:r>
      <w:r>
        <w:t xml:space="preserve">[−0.057, −0.027] with the margin.</w:t>
      </w:r>
      <w:r>
        <w:t xml:space="preserve"> </w:t>
      </w:r>
      <w:r>
        <w:t xml:space="preserve">Figure </w:t>
      </w:r>
      <w:hyperlink w:anchor="fig:rq4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shows the same: at equal margin, SHAP explanations of errors are less</w:t>
      </w:r>
      <w:r>
        <w:t xml:space="preserve"> </w:t>
      </w:r>
      <w:r>
        <w:t xml:space="preserve">stable than those of correct predictions. Third, the faithfulness gap, which in RQ1</w:t>
      </w:r>
      <w:r>
        <w:t xml:space="preserve"> </w:t>
      </w:r>
      <w:r>
        <w:t xml:space="preserve">was lower on errors only for SHAP and DiCE and by small amounts, became lower on errors once</w:t>
      </w:r>
      <w:r>
        <w:t xml:space="preserve"> </w:t>
      </w:r>
      <w:r>
        <w:t xml:space="preserve">the margin was held fixed for SHAP</w:t>
      </w:r>
      <w:r>
        <w:t xml:space="preserve"> </w:t>
      </w:r>
      <w:r>
        <w:t xml:space="preserve">(−0.064), LIME (−0.031)</w:t>
      </w:r>
      <w:r>
        <w:t xml:space="preserve"> </w:t>
      </w:r>
      <w:r>
        <w:t xml:space="preserve">and Anchors (−0.017). Near the boundary any deletion</w:t>
      </w:r>
      <w:r>
        <w:t xml:space="preserve"> </w:t>
      </w:r>
      <w:r>
        <w:t xml:space="preserve">moves the prediction a lot, which inflates the gap of errors; at equal margin, the</w:t>
      </w:r>
      <w:r>
        <w:t xml:space="preserve"> </w:t>
      </w:r>
      <w:r>
        <w:t xml:space="preserve">features named first carry less of an erroneous prediction. The fidelity differences</w:t>
      </w:r>
      <w:r>
        <w:t xml:space="preserve"> </w:t>
      </w:r>
      <w:r>
        <w:t xml:space="preserve">were largely margin effects: the LIME advantage on errors fell from</w:t>
      </w:r>
      <w:r>
        <w:t xml:space="preserve"> </w:t>
      </w:r>
      <w:r>
        <w:t xml:space="preserve">+0.039 to +0.014, the Anchors deficit</w:t>
      </w:r>
      <w:r>
        <w:t xml:space="preserve"> </w:t>
      </w:r>
      <w:r>
        <w:t xml:space="preserve">vanished, and the DiCE deficit reversed sign.</w:t>
      </w:r>
    </w:p>
    <w:bookmarkStart w:id="30" w:name="tab:rq4"/>
    <w:p>
      <w:pPr>
        <w:pStyle w:val="TableCaption"/>
      </w:pPr>
      <w:r>
        <w:t xml:space="preserve">Coefficient of misclassification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(95% CI) in run fixed-effects</w:t>
      </w:r>
      <w:r>
        <w:t xml:space="preserve"> </w:t>
      </w:r>
      <w:r>
        <w:t xml:space="preserve">regressions, without and with the prediction margin; standard errors clustered by run.</w:t>
      </w:r>
      <w:r>
        <w:t xml:space="preserve"> </w:t>
      </w:r>
      <w:r>
        <w:t xml:space="preserve">Runs whose recorded predictions the stored model reproduces.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efficient of misclassification \beta (95% CI) in run fixed-effects regressions, without and with the prediction margin; standard errors clustered by run. Runs whose recorded predictions the stored model reproduce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Metric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m:oMath>
              <m:r>
                <m:t>β</m:t>
              </m:r>
            </m:oMath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without margin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m:oMath>
              <m:r>
                <m:t>β</m:t>
              </m:r>
            </m:oMath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with margin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−0.146 [−0.170, −0.123]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−0.042 [−0.057, −0.027]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−0.008 [−0.009, −0.006]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−0.003 [−0.004, −0.002]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−0.030 [−0.062, +0.001]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−0.025 [−0.058, +0.008]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−0.191 [−0.219, −0.163]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−0.014 [−0.031, +0.004]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Fidelity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−0.002 [−0.011, +0.007]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−0.004 [−0.011, +0.003]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+0.039 [+0.032, +0.046]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+0.014 [+0.006, +0.021]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−0.013 [−0.032, +0.005]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+0.012 [−0.003, +0.027]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−0.045 [−0.062, −0.028]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+0.022 [+0.009, +0.034]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Faithfulness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−0.024 [−0.031, −0.017]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−0.064 [−0.075, −0.054]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+0.008 [0.000, +0.016]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−0.031 [−0.045, −0.018]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+0.003 [−0.006, +0.013]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−0.017 [−0.025, −0.008]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−0.013 [−0.025, 0.000]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−0.007 [−0.014, 0.000]</w:t>
            </w:r>
          </w:p>
        </w:tc>
      </w:tr>
    </w:tbl>
    <w:bookmarkEnd w:id="30"/>
    <w:bookmarkStart w:id="34" w:name="fig:rq4"/>
    <w:p>
      <w:pPr>
        <w:pStyle w:val="CaptionedFigure"/>
      </w:pPr>
      <w:r>
        <w:drawing>
          <wp:inline>
            <wp:extent cx="5334000" cy="169769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igures/fig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7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stability by prediction margin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−</m:t>
        </m:r>
        <m:r>
          <m:t>0.5</m:t>
        </m:r>
        <m:r>
          <m:rPr>
            <m:sty m:val="p"/>
          </m:rPr>
          <m:t>|</m:t>
        </m:r>
      </m:oMath>
      <w:r>
        <w:t xml:space="preserve"> </w:t>
      </w:r>
      <w:r>
        <w:t xml:space="preserve">for correct and</w:t>
      </w:r>
      <w:r>
        <w:t xml:space="preserve"> </w:t>
      </w:r>
      <w:r>
        <w:t xml:space="preserve">misclassified instances (UCI Adult; bins of width 0.05 with at least 30 instances).</w:t>
      </w:r>
    </w:p>
    <w:bookmarkEnd w:id="34"/>
    <w:bookmarkEnd w:id="35"/>
    <w:bookmarkStart w:id="36" w:name="external-check-on-german-credit"/>
    <w:p>
      <w:pPr>
        <w:pStyle w:val="Heading2"/>
      </w:pPr>
      <w:r>
        <w:t xml:space="preserve">External check on German Credit</w:t>
      </w:r>
    </w:p>
    <w:p>
      <w:pPr>
        <w:pStyle w:val="FirstParagraph"/>
      </w:pPr>
      <w:r>
        <w:t xml:space="preserve">On German Credit, Anchors reproduced the Adult pattern: fidelity and faithfulness gap were</w:t>
      </w:r>
      <w:r>
        <w:t xml:space="preserve"> </w:t>
      </w:r>
      <w:r>
        <w:t xml:space="preserve">lower on errors in all six runs (medians −0.084 and</w:t>
      </w:r>
      <w:r>
        <w:t xml:space="preserve"> </w:t>
      </w:r>
      <w:r>
        <w:t xml:space="preserve">−0.017) and stability in five</w:t>
      </w:r>
      <w:r>
        <w:t xml:space="preserve"> </w:t>
      </w:r>
      <w:r>
        <w:t xml:space="preserve">(−0.043). SHAP did not: its stability was higher on errors</w:t>
      </w:r>
      <w:r>
        <w:t xml:space="preserve"> </w:t>
      </w:r>
      <w:r>
        <w:t xml:space="preserve">in 4 of six runs (median +0.025),</w:t>
      </w:r>
      <w:r>
        <w:t xml:space="preserve"> </w:t>
      </w:r>
      <w:r>
        <w:t xml:space="preserve">while its fidelity was lower in all six (−0.045). With six runs</w:t>
      </w:r>
      <w:r>
        <w:t xml:space="preserve"> </w:t>
      </w:r>
      <w:r>
        <w:t xml:space="preserve">these are descriptive. They show that the size, and for SHAP the direction, of the</w:t>
      </w:r>
      <w:r>
        <w:t xml:space="preserve"> </w:t>
      </w:r>
      <w:r>
        <w:t xml:space="preserve">difference depends on the data as well as on the model.</w:t>
      </w:r>
    </w:p>
    <w:bookmarkEnd w:id="36"/>
    <w:bookmarkEnd w:id="37"/>
    <w:bookmarkStart w:id="38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answer to the title question is a qualified yes. On the Adult benchmark, explanations</w:t>
      </w:r>
      <w:r>
        <w:t xml:space="preserve"> </w:t>
      </w:r>
      <w:r>
        <w:t xml:space="preserve">of wrong predictions were less stable for every explainer, and for SHAP and DiCE the</w:t>
      </w:r>
      <w:r>
        <w:t xml:space="preserve"> </w:t>
      </w:r>
      <w:r>
        <w:t xml:space="preserve">difference was large: a SHAP explanation of a misclassified instance is markedly more</w:t>
      </w:r>
      <w:r>
        <w:t xml:space="preserve"> </w:t>
      </w:r>
      <w:r>
        <w:t xml:space="preserve">sensitive to small input noise than one of a correct prediction. Averages over all</w:t>
      </w:r>
      <w:r>
        <w:t xml:space="preserve"> </w:t>
      </w:r>
      <w:r>
        <w:t xml:space="preserve">instances hide this, because correct and incorrect predictions are pooled. Because the</w:t>
      </w:r>
      <w:r>
        <w:t xml:space="preserve"> </w:t>
      </w:r>
      <w:r>
        <w:t xml:space="preserve">benchmark sampled the four quadrants in balance, the pooled average even overweights</w:t>
      </w:r>
      <w:r>
        <w:t xml:space="preserve"> </w:t>
      </w:r>
      <w:r>
        <w:t xml:space="preserve">errors relative to their real frequency; in deployment, where errors are rarer, the</w:t>
      </w:r>
      <w:r>
        <w:t xml:space="preserve"> </w:t>
      </w:r>
      <w:r>
        <w:t xml:space="preserve">average would hide the deficit further.</w:t>
      </w:r>
    </w:p>
    <w:p>
      <w:pPr>
        <w:pStyle w:val="BodyText"/>
      </w:pPr>
      <w:r>
        <w:t xml:space="preserve">The margin control separates two explanations of the deficit. For DiCE the cause is</w:t>
      </w:r>
      <w:r>
        <w:t xml:space="preserve"> </w:t>
      </w:r>
      <w:r>
        <w:t xml:space="preserve">geometric: errors are near the boundary, and explanations near the boundary are less</w:t>
      </w:r>
      <w:r>
        <w:t xml:space="preserve"> </w:t>
      </w:r>
      <w:r>
        <w:t xml:space="preserve">stable whether or not the prediction is right. For SHAP a deficit remains at equal</w:t>
      </w:r>
      <w:r>
        <w:t xml:space="preserve"> </w:t>
      </w:r>
      <w:r>
        <w:t xml:space="preserve">margin, so correctness itself, or something correlated with it beyond the margin, matters.</w:t>
      </w:r>
      <w:r>
        <w:t xml:space="preserve"> </w:t>
      </w:r>
      <w:r>
        <w:t xml:space="preserve">The faithfulness gap shows the opposite masking effect: the raw contrast understates the</w:t>
      </w:r>
      <w:r>
        <w:t xml:space="preserve"> </w:t>
      </w:r>
      <w:r>
        <w:t xml:space="preserve">deficit because near-boundary instances are easy to move. In both directions, comparing</w:t>
      </w:r>
      <w:r>
        <w:t xml:space="preserve"> </w:t>
      </w:r>
      <w:r>
        <w:t xml:space="preserve">explanation quality across instances without accounting for the margin can mislead.</w:t>
      </w:r>
    </w:p>
    <w:p>
      <w:pPr>
        <w:pStyle w:val="BodyText"/>
      </w:pPr>
      <w:r>
        <w:t xml:space="preserve">Three practical consequences follow. First, explanation benchmarks and audits should</w:t>
      </w:r>
      <w:r>
        <w:t xml:space="preserve"> </w:t>
      </w:r>
      <w:r>
        <w:t xml:space="preserve">report quality separately for correct and misclassified instances, or at least by error</w:t>
      </w:r>
      <w:r>
        <w:t xml:space="preserve"> </w:t>
      </w:r>
      <w:r>
        <w:t xml:space="preserve">quadrant, rather than only as an average. Second, when an explanation of an individual</w:t>
      </w:r>
      <w:r>
        <w:t xml:space="preserve"> </w:t>
      </w:r>
      <w:r>
        <w:t xml:space="preserve">decision is used to contest or justify it, its stability should be checked for that</w:t>
      </w:r>
      <w:r>
        <w:t xml:space="preserve"> </w:t>
      </w:r>
      <w:r>
        <w:t xml:space="preserve">instance, since it is lower precisely for the decisions that are most likely to be</w:t>
      </w:r>
      <w:r>
        <w:t xml:space="preserve"> </w:t>
      </w:r>
      <w:r>
        <w:t xml:space="preserve">contested. Third, deletion-based metrics with a mean baseline are not comparable across</w:t>
      </w:r>
      <w:r>
        <w:t xml:space="preserve"> </w:t>
      </w:r>
      <w:r>
        <w:t xml:space="preserve">predicted classes (RQ3) and should be reported per class.</w:t>
      </w:r>
    </w:p>
    <w:p>
      <w:pPr>
        <w:pStyle w:val="BodyText"/>
      </w:pPr>
      <w:r>
        <w:t xml:space="preserve">The study has limits. The main dataset is a single tabular benchmark; the external check</w:t>
      </w:r>
      <w:r>
        <w:t xml:space="preserve"> </w:t>
      </w:r>
      <w:r>
        <w:t xml:space="preserve">covers two explainers on one more dataset, with only six runs each, and it did not</w:t>
      </w:r>
      <w:r>
        <w:t xml:space="preserve"> </w:t>
      </w:r>
      <w:r>
        <w:t xml:space="preserve">reproduce the SHAP stability deficit. The data are existing runs, so the analysis could</w:t>
      </w:r>
      <w:r>
        <w:t xml:space="preserve"> </w:t>
      </w:r>
      <w:r>
        <w:t xml:space="preserve">not change the explainer settings; LIME’s stability is near zero on these data, which</w:t>
      </w:r>
      <w:r>
        <w:t xml:space="preserve"> </w:t>
      </w:r>
      <w:r>
        <w:t xml:space="preserve">limits what can be said about it. Anchors and DiCE have missing runs that are not missing</w:t>
      </w:r>
      <w:r>
        <w:t xml:space="preserve"> </w:t>
      </w:r>
      <w:r>
        <w:t xml:space="preserve">at random, although the within-run design means missing runs remove units without biasing</w:t>
      </w:r>
      <w:r>
        <w:t xml:space="preserve"> </w:t>
      </w:r>
      <w:r>
        <w:t xml:space="preserve">the contrast within the runs that exist. RQ4 could use only part of the random-forest</w:t>
      </w:r>
      <w:r>
        <w:t xml:space="preserve"> </w:t>
      </w:r>
      <w:r>
        <w:t xml:space="preserve">runs. The models were trained on the partition of one seed, so for the other seeds the</w:t>
      </w:r>
      <w:r>
        <w:t xml:space="preserve"> </w:t>
      </w:r>
      <w:r>
        <w:t xml:space="preserve">sampled instances partly overlap the training data; this changes which instances are</w:t>
      </w:r>
      <w:r>
        <w:t xml:space="preserve"> </w:t>
      </w:r>
      <w:r>
        <w:t xml:space="preserve">errors, not how the contrast within a run is computed, but errors on training instances</w:t>
      </w:r>
      <w:r>
        <w:t xml:space="preserve"> </w:t>
      </w:r>
      <w:r>
        <w:t xml:space="preserve">may be atypical. The metrics are proxies: lower stability or faithfulness on errors does not by</w:t>
      </w:r>
      <w:r>
        <w:t xml:space="preserve"> </w:t>
      </w:r>
      <w:r>
        <w:t xml:space="preserve">itself show that users would be misled, which requires a user study.</w:t>
      </w:r>
    </w:p>
    <w:bookmarkEnd w:id="38"/>
    <w:bookmarkStart w:id="39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Post-hoc explanations were less reliable when the model was wrong. In a pre-specified</w:t>
      </w:r>
      <w:r>
        <w:t xml:space="preserve"> </w:t>
      </w:r>
      <w:r>
        <w:t xml:space="preserve">analysis of 265 benchmark runs, stability was lower on misclassified</w:t>
      </w:r>
      <w:r>
        <w:t xml:space="preserve"> </w:t>
      </w:r>
      <w:r>
        <w:t xml:space="preserve">instances for SHAP, LIME, Anchors and DiCE, with large deficits for SHAP and DiCE. The</w:t>
      </w:r>
      <w:r>
        <w:t xml:space="preserve"> </w:t>
      </w:r>
      <w:r>
        <w:t xml:space="preserve">DiCE deficit is explained by the proximity of errors to the decision boundary; the SHAP</w:t>
      </w:r>
      <w:r>
        <w:t xml:space="preserve"> </w:t>
      </w:r>
      <w:r>
        <w:t xml:space="preserve">deficit is not. At equal margin, the features that explanations rank first carry less of</w:t>
      </w:r>
      <w:r>
        <w:t xml:space="preserve"> </w:t>
      </w:r>
      <w:r>
        <w:t xml:space="preserve">an erroneous prediction. The pattern depends on the model family and the dataset.</w:t>
      </w:r>
      <w:r>
        <w:t xml:space="preserve"> </w:t>
      </w:r>
      <w:r>
        <w:t xml:space="preserve">Explanation quality should therefore be reported separately for correct and incorrect</w:t>
      </w:r>
      <w:r>
        <w:t xml:space="preserve"> </w:t>
      </w:r>
      <w:r>
        <w:t xml:space="preserve">predictions, because an average describes the explanations that are needed least.</w:t>
      </w:r>
    </w:p>
    <w:bookmarkEnd w:id="39"/>
    <w:bookmarkStart w:id="4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Code, run artifacts and the analysis script are in a public repository and a versioned</w:t>
      </w:r>
      <w:r>
        <w:t xml:space="preserve"> </w:t>
      </w:r>
      <w:r>
        <w:t xml:space="preserve">archive whose addresses are withheld for double-blind review.</w:t>
      </w:r>
    </w:p>
    <w:bookmarkEnd w:id="40"/>
    <w:bookmarkStart w:id="76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research questions, analysis plan, experimental design and interpretation are the</w:t>
      </w:r>
      <w:r>
        <w:t xml:space="preserve"> </w:t>
      </w:r>
      <w:r>
        <w:t xml:space="preserve">author’s. An AI assistant (Claude, Anthropic) was used under the author’s direction to</w:t>
      </w:r>
      <w:r>
        <w:t xml:space="preserve"> </w:t>
      </w:r>
      <w:r>
        <w:t xml:space="preserve">help write analysis code and to edit the text; the author checked every result and</w:t>
      </w:r>
      <w:r>
        <w:t xml:space="preserve"> </w:t>
      </w:r>
      <w:r>
        <w:t xml:space="preserve">statement and is responsible for the content.</w:t>
      </w:r>
    </w:p>
    <w:bookmarkStart w:id="75" w:name="refs"/>
    <w:bookmarkStart w:id="41" w:name="ref-lundberg2017unifi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S. M. Lundberg and S.-I. Lee,</w:t>
      </w:r>
      <w:r>
        <w:t xml:space="preserve"> </w:t>
      </w:r>
      <w:r>
        <w:t xml:space="preserve">“A unified approach to interpreting model predictions,”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2017, pp. 4765–4774.</w:t>
      </w:r>
    </w:p>
    <w:bookmarkEnd w:id="41"/>
    <w:bookmarkStart w:id="43" w:name="ref-ribeiro2016wh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M. T. Ribeiro, S. Singh, and C. Guestrin,</w:t>
      </w:r>
      <w:r>
        <w:t xml:space="preserve"> </w:t>
      </w:r>
      <w:r>
        <w:t xml:space="preserve">“</w:t>
      </w:r>
      <w:r>
        <w:t xml:space="preserve">Why</w:t>
      </w:r>
      <w:r>
        <w:t xml:space="preserve"> </w:t>
      </w:r>
      <w:r>
        <w:t xml:space="preserve">should</w:t>
      </w:r>
      <w:r>
        <w:t xml:space="preserve"> </w:t>
      </w:r>
      <w:r>
        <w:t xml:space="preserve">I</w:t>
      </w:r>
      <w:r>
        <w:t xml:space="preserve"> </w:t>
      </w:r>
      <w:r>
        <w:t xml:space="preserve">trust you?: Explaining the predictions of any classifier,”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 mining</w:t>
      </w:r>
      <w:r>
        <w:t xml:space="preserve">, 2016, pp. 1135–1144. doi:</w:t>
      </w:r>
      <w:r>
        <w:t xml:space="preserve"> </w:t>
      </w:r>
      <w:hyperlink r:id="rId42">
        <w:r>
          <w:rPr>
            <w:rStyle w:val="Hyperlink"/>
          </w:rPr>
          <w:t xml:space="preserve">10.1145/2939672.2939778</w:t>
        </w:r>
      </w:hyperlink>
      <w:r>
        <w:t xml:space="preserve">.</w:t>
      </w:r>
    </w:p>
    <w:bookmarkEnd w:id="43"/>
    <w:bookmarkStart w:id="45" w:name="ref-ribeiro2018anchor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T. Ribeiro, S. Singh, and C. Guestrin,</w:t>
      </w:r>
      <w:r>
        <w:t xml:space="preserve"> </w:t>
      </w:r>
      <w:r>
        <w:t xml:space="preserve">“Anchors: High-precision model-agnostic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thirty-second AAAI conference on artificial intelligence</w:t>
      </w:r>
      <w:r>
        <w:t xml:space="preserve">, 2018, pp. 1527–1535. doi:</w:t>
      </w:r>
      <w:r>
        <w:t xml:space="preserve"> </w:t>
      </w:r>
      <w:hyperlink r:id="rId44">
        <w:r>
          <w:rPr>
            <w:rStyle w:val="Hyperlink"/>
          </w:rPr>
          <w:t xml:space="preserve">10.1609/aaai.v32i1.11491</w:t>
        </w:r>
      </w:hyperlink>
      <w:r>
        <w:t xml:space="preserve">.</w:t>
      </w:r>
    </w:p>
    <w:bookmarkEnd w:id="45"/>
    <w:bookmarkStart w:id="47" w:name="ref-mothilal2020di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K. Mothilal, A. Sharma, and C. Tan,</w:t>
      </w:r>
      <w:r>
        <w:t xml:space="preserve"> </w:t>
      </w:r>
      <w:r>
        <w:t xml:space="preserve">“Explaining machine learning classifiers through diverse counterfactual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2020 conference on fairness, accountability, and transparency</w:t>
      </w:r>
      <w:r>
        <w:t xml:space="preserve">, 2020, pp. 607–617. doi:</w:t>
      </w:r>
      <w:r>
        <w:t xml:space="preserve"> </w:t>
      </w:r>
      <w:hyperlink r:id="rId46">
        <w:r>
          <w:rPr>
            <w:rStyle w:val="Hyperlink"/>
          </w:rPr>
          <w:t xml:space="preserve">10.1145/3351095.3372850</w:t>
        </w:r>
      </w:hyperlink>
      <w:r>
        <w:t xml:space="preserve">.</w:t>
      </w:r>
    </w:p>
    <w:bookmarkEnd w:id="47"/>
    <w:bookmarkStart w:id="48" w:name="ref-adadi2018xa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Adadi and M. Berrada,</w:t>
      </w:r>
      <w:r>
        <w:t xml:space="preserve"> </w:t>
      </w:r>
      <w:r>
        <w:t xml:space="preserve">“Peeking inside the black-box: A survey on explainable artificial intelligence (</w:t>
      </w:r>
      <w:r>
        <w:t xml:space="preserve">XAI</w:t>
      </w:r>
      <w:r>
        <w:t xml:space="preserve">),”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 6, pp. 52138–52160, 2018.</w:t>
      </w:r>
    </w:p>
    <w:bookmarkEnd w:id="48"/>
    <w:bookmarkStart w:id="49" w:name="ref-bhatt2020evalua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U. Bhatt, A. Weller, and J. M. F. Moura,</w:t>
      </w:r>
      <w:r>
        <w:t xml:space="preserve"> </w:t>
      </w:r>
      <w:r>
        <w:t xml:space="preserve">“Evaluating and aggregating feature-based model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twenty-ninth international joint conference on artificial intelligence (IJCAI)</w:t>
      </w:r>
      <w:r>
        <w:t xml:space="preserve">, 2020, pp. 3016–3022.</w:t>
      </w:r>
    </w:p>
    <w:bookmarkEnd w:id="49"/>
    <w:bookmarkStart w:id="50" w:name="ref-samek2017evaluat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Samek, A. Binder, G. Montavon, S. Lapuschkin, and K.-R. Müller,</w:t>
      </w:r>
      <w:r>
        <w:t xml:space="preserve"> </w:t>
      </w:r>
      <w:r>
        <w:t xml:space="preserve">“Evaluating the visualization of what a deep neural network has learned,”</w:t>
      </w:r>
      <w:r>
        <w:t xml:space="preserve"> </w:t>
      </w:r>
      <w:r>
        <w:rPr>
          <w:i/>
          <w:iCs/>
        </w:rPr>
        <w:t xml:space="preserve">IEEE Transactions on Neural Networks and Learning Systems</w:t>
      </w:r>
      <w:r>
        <w:t xml:space="preserve">, vol. 28, no. 11, pp. 2660–2673, 2017.</w:t>
      </w:r>
    </w:p>
    <w:bookmarkEnd w:id="50"/>
    <w:bookmarkStart w:id="51" w:name="ref-hooker2019benchmark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S. Hooker, D. Erhan, P.-J. Kindermans, and B. Kim,</w:t>
      </w:r>
      <w:r>
        <w:t xml:space="preserve"> </w:t>
      </w:r>
      <w:r>
        <w:t xml:space="preserve">“A benchmark for interpretability methods in deep neural networks,”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2019, pp. 9737–9748.</w:t>
      </w:r>
    </w:p>
    <w:bookmarkEnd w:id="51"/>
    <w:bookmarkStart w:id="53" w:name="ref-alvarezmelis2018robustnes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Alvarez-Melis and T. S. Jaakkola,</w:t>
      </w:r>
      <w:r>
        <w:t xml:space="preserve"> </w:t>
      </w:r>
      <w:r>
        <w:t xml:space="preserve">“On the robustness of interpretability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ICML workshop on human interpretability in machine learning (WHI 2018)</w:t>
      </w:r>
      <w:r>
        <w:t xml:space="preserve">, 2018. Available:</w:t>
      </w:r>
      <w:r>
        <w:t xml:space="preserve"> </w:t>
      </w:r>
      <w:hyperlink r:id="rId52">
        <w:r>
          <w:rPr>
            <w:rStyle w:val="Hyperlink"/>
          </w:rPr>
          <w:t xml:space="preserve">https://arxiv.org/abs/1806.08049</w:t>
        </w:r>
      </w:hyperlink>
    </w:p>
    <w:bookmarkEnd w:id="53"/>
    <w:bookmarkStart w:id="54" w:name="ref-herrera2026framework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Herrera-Vásquez and M. Herrero-Uceda,</w:t>
      </w:r>
      <w:r>
        <w:t xml:space="preserve"> </w:t>
      </w:r>
      <w:r>
        <w:t xml:space="preserve">“A framework for rigorous evaluation of model-agnostic explainability methods: Multi-metric statistical benchmarking, operational protocol, and reproducibility,”</w:t>
      </w:r>
      <w:r>
        <w:t xml:space="preserve"> </w:t>
      </w:r>
      <w:r>
        <w:rPr>
          <w:i/>
          <w:iCs/>
        </w:rPr>
        <w:t xml:space="preserve">Revista de Investigaci</w:t>
      </w:r>
      <w:r>
        <w:rPr>
          <w:i/>
          <w:iCs/>
        </w:rPr>
        <w:t xml:space="preserve">ó</w:t>
      </w:r>
      <w:r>
        <w:rPr>
          <w:i/>
          <w:iCs/>
        </w:rPr>
        <w:t xml:space="preserve">n Multidisciplinaria Iberoamericana (RIMI)</w:t>
      </w:r>
      <w:r>
        <w:t xml:space="preserve">, no. 3, 2026.</w:t>
      </w:r>
    </w:p>
    <w:bookmarkEnd w:id="54"/>
    <w:bookmarkStart w:id="55" w:name="ref-bansal2021who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Bansal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“Does the whole exceed its parts?</w:t>
      </w:r>
      <w:r>
        <w:t xml:space="preserve"> </w:t>
      </w:r>
      <w:r>
        <w:t xml:space="preserve">The</w:t>
      </w:r>
      <w:r>
        <w:t xml:space="preserve"> </w:t>
      </w:r>
      <w:r>
        <w:t xml:space="preserve">effect of</w:t>
      </w:r>
      <w:r>
        <w:t xml:space="preserve"> </w:t>
      </w:r>
      <w:r>
        <w:t xml:space="preserve">AI</w:t>
      </w:r>
      <w:r>
        <w:t xml:space="preserve"> </w:t>
      </w:r>
      <w:r>
        <w:t xml:space="preserve">explanations on complementary team performance,”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CHI conference on human factors in computing systems</w:t>
      </w:r>
      <w:r>
        <w:t xml:space="preserve">, 2021, pp. 1–16.</w:t>
      </w:r>
    </w:p>
    <w:bookmarkEnd w:id="55"/>
    <w:bookmarkStart w:id="56" w:name="ref-adebayo2018sani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Adebayo, J. Gilmer, M. Muelly, I. Goodfellow, M. Hardt, and B. Kim,</w:t>
      </w:r>
      <w:r>
        <w:t xml:space="preserve"> </w:t>
      </w:r>
      <w:r>
        <w:t xml:space="preserve">“Sanity checks for saliency maps,”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2018, pp. 9505–9515.</w:t>
      </w:r>
    </w:p>
    <w:bookmarkEnd w:id="56"/>
    <w:bookmarkStart w:id="57" w:name="ref-slack2020fooling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D. Slack, S. Hilgard, E. Jia, S. Singh, and H. Lakkaraju,</w:t>
      </w:r>
      <w:r>
        <w:t xml:space="preserve"> </w:t>
      </w:r>
      <w:r>
        <w:t xml:space="preserve">“Fooling</w:t>
      </w:r>
      <w:r>
        <w:t xml:space="preserve"> </w:t>
      </w:r>
      <w:r>
        <w:t xml:space="preserve">LIME</w:t>
      </w:r>
      <w:r>
        <w:t xml:space="preserve"> </w:t>
      </w:r>
      <w:r>
        <w:t xml:space="preserve">and</w:t>
      </w:r>
      <w:r>
        <w:t xml:space="preserve"> </w:t>
      </w:r>
      <w:r>
        <w:t xml:space="preserve">SHAP</w:t>
      </w:r>
      <w:r>
        <w:t xml:space="preserve">: Adversarial attacks on post hoc explanation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AAAI/ACM conference on AI, ethics, and society</w:t>
      </w:r>
      <w:r>
        <w:t xml:space="preserve">, 2020, pp. 180–186.</w:t>
      </w:r>
    </w:p>
    <w:bookmarkEnd w:id="57"/>
    <w:bookmarkStart w:id="58" w:name="ref-rudin2019stop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C. Rudin,</w:t>
      </w:r>
      <w:r>
        <w:t xml:space="preserve"> </w:t>
      </w:r>
      <w:r>
        <w:t xml:space="preserve">“Stop explaining black box machine learning models for high stakes decisions and use interpretable models instead,”</w:t>
      </w:r>
      <w:r>
        <w:t xml:space="preserve"> </w:t>
      </w:r>
      <w:r>
        <w:rPr>
          <w:i/>
          <w:iCs/>
        </w:rPr>
        <w:t xml:space="preserve">Nature Machine Intelligence</w:t>
      </w:r>
      <w:r>
        <w:t xml:space="preserve">, vol. 1, no. 5, pp. 206–215, 2019.</w:t>
      </w:r>
    </w:p>
    <w:bookmarkEnd w:id="58"/>
    <w:bookmarkStart w:id="59" w:name="ref-jacovi2020faithfulnes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Jacovi and Y. Goldberg,</w:t>
      </w:r>
      <w:r>
        <w:t xml:space="preserve"> </w:t>
      </w:r>
      <w:r>
        <w:t xml:space="preserve">“Towards faithfully interpretable</w:t>
      </w:r>
      <w:r>
        <w:t xml:space="preserve"> </w:t>
      </w:r>
      <w:r>
        <w:t xml:space="preserve">NLP</w:t>
      </w:r>
      <w:r>
        <w:t xml:space="preserve"> </w:t>
      </w:r>
      <w:r>
        <w:t xml:space="preserve">systems: How should we define and evaluate faithfulness?”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58th annual meeting of the association for computational linguistics</w:t>
      </w:r>
      <w:r>
        <w:t xml:space="preserve">, 2020, pp. 4198–4205.</w:t>
      </w:r>
    </w:p>
    <w:bookmarkEnd w:id="59"/>
    <w:bookmarkStart w:id="60" w:name="ref-kohavi1996scaling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R. Kohavi,</w:t>
      </w:r>
      <w:r>
        <w:t xml:space="preserve"> </w:t>
      </w:r>
      <w:r>
        <w:t xml:space="preserve">“Scaling up the accuracy of</w:t>
      </w:r>
      <w:r>
        <w:t xml:space="preserve"> </w:t>
      </w:r>
      <w:r>
        <w:t xml:space="preserve">Naive-Bayes</w:t>
      </w:r>
      <w:r>
        <w:t xml:space="preserve"> </w:t>
      </w:r>
      <w:r>
        <w:t xml:space="preserve">classifiers: A decision-tree hybrid,”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second international conference on knowledge discovery and data mining</w:t>
      </w:r>
      <w:r>
        <w:t xml:space="preserve">, 1996, pp. 202–207.</w:t>
      </w:r>
    </w:p>
    <w:bookmarkEnd w:id="60"/>
    <w:bookmarkStart w:id="62" w:name="ref-becker1996adul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Becker and R. Kohavi,</w:t>
      </w:r>
      <w:r>
        <w:t xml:space="preserve"> </w:t>
      </w:r>
      <w:r>
        <w:t xml:space="preserve">“Adult [dataset].”</w:t>
      </w:r>
      <w:r>
        <w:t xml:space="preserve"> </w:t>
      </w:r>
      <w:r>
        <w:t xml:space="preserve">UCI Machine Learning Repository, 1996. doi:</w:t>
      </w:r>
      <w:r>
        <w:t xml:space="preserve"> </w:t>
      </w:r>
      <w:hyperlink r:id="rId61">
        <w:r>
          <w:rPr>
            <w:rStyle w:val="Hyperlink"/>
          </w:rPr>
          <w:t xml:space="preserve">10.24432/C5XW20</w:t>
        </w:r>
      </w:hyperlink>
      <w:r>
        <w:t xml:space="preserve">.</w:t>
      </w:r>
    </w:p>
    <w:bookmarkEnd w:id="62"/>
    <w:bookmarkStart w:id="63" w:name="ref-breiman2001rando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L. Breiman,</w:t>
      </w:r>
      <w:r>
        <w:t xml:space="preserve"> </w:t>
      </w:r>
      <w:r>
        <w:t xml:space="preserve">“Random forests,”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vol. 45, no. 1, pp. 5–32, 2001.</w:t>
      </w:r>
    </w:p>
    <w:bookmarkEnd w:id="63"/>
    <w:bookmarkStart w:id="64" w:name="ref-chen2016xgboo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T. Chen and C. Guestrin,</w:t>
      </w:r>
      <w:r>
        <w:t xml:space="preserve"> </w:t>
      </w:r>
      <w:r>
        <w:t xml:space="preserve">“</w:t>
      </w:r>
      <w:r>
        <w:t xml:space="preserve">XGBoost</w:t>
      </w:r>
      <w:r>
        <w:t xml:space="preserve">: A scalable tree boosting system,”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 mining</w:t>
      </w:r>
      <w:r>
        <w:t xml:space="preserve">, 2016, pp. 785–794.</w:t>
      </w:r>
    </w:p>
    <w:bookmarkEnd w:id="64"/>
    <w:bookmarkStart w:id="66" w:name="ref-hofmann1994statlog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Hofmann,</w:t>
      </w:r>
      <w:r>
        <w:t xml:space="preserve"> </w:t>
      </w:r>
      <w:r>
        <w:t xml:space="preserve">“Statlog (</w:t>
      </w:r>
      <w:r>
        <w:t xml:space="preserve">German</w:t>
      </w:r>
      <w:r>
        <w:t xml:space="preserve"> </w:t>
      </w:r>
      <w:r>
        <w:t xml:space="preserve">credit data) [dataset].”</w:t>
      </w:r>
      <w:r>
        <w:t xml:space="preserve"> </w:t>
      </w:r>
      <w:r>
        <w:t xml:space="preserve">UCI Machine Learning Repository, 1994. doi:</w:t>
      </w:r>
      <w:r>
        <w:t xml:space="preserve"> </w:t>
      </w:r>
      <w:hyperlink r:id="rId65">
        <w:r>
          <w:rPr>
            <w:rStyle w:val="Hyperlink"/>
          </w:rPr>
          <w:t xml:space="preserve">10.24432/C5NC77</w:t>
        </w:r>
      </w:hyperlink>
      <w:r>
        <w:t xml:space="preserve">.</w:t>
      </w:r>
    </w:p>
    <w:bookmarkEnd w:id="66"/>
    <w:bookmarkStart w:id="67" w:name="ref-wilcoxon1945individu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F. Wilcoxon,</w:t>
      </w:r>
      <w:r>
        <w:t xml:space="preserve"> </w:t>
      </w:r>
      <w:r>
        <w:t xml:space="preserve">“Individual comparisons by ranking methods,”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, vol. 1, no. 6, pp. 80–83, 1945.</w:t>
      </w:r>
    </w:p>
    <w:bookmarkEnd w:id="67"/>
    <w:bookmarkStart w:id="68" w:name="ref-holm1979simpl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68"/>
    <w:bookmarkStart w:id="69" w:name="ref-lakens2013calculat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Lakens,</w:t>
      </w:r>
      <w:r>
        <w:t xml:space="preserve"> </w:t>
      </w:r>
      <w:r>
        <w:t xml:space="preserve">“Calculating and reporting effect sizes to facilitate cumulative science: A practical primer for t-tests and</w:t>
      </w:r>
      <w:r>
        <w:t xml:space="preserve"> </w:t>
      </w:r>
      <w:r>
        <w:t xml:space="preserve">ANOVAs</w:t>
      </w:r>
      <w:r>
        <w:t xml:space="preserve">,”</w:t>
      </w:r>
      <w:r>
        <w:t xml:space="preserve"> </w:t>
      </w:r>
      <w:r>
        <w:rPr>
          <w:i/>
          <w:iCs/>
        </w:rPr>
        <w:t xml:space="preserve">Frontiers in Psychology</w:t>
      </w:r>
      <w:r>
        <w:t xml:space="preserve">, vol. 4, p. 863, 2013.</w:t>
      </w:r>
    </w:p>
    <w:bookmarkEnd w:id="69"/>
    <w:bookmarkStart w:id="71" w:name="ref-kruskal1952us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W. H. Kruskal and W. A. Wallis,</w:t>
      </w:r>
      <w:r>
        <w:t xml:space="preserve"> </w:t>
      </w:r>
      <w:r>
        <w:t xml:space="preserve">“Use of ranks in one-criterion variance analysis,”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47, no. 260, pp. 583–621, 1952, doi:</w:t>
      </w:r>
      <w:r>
        <w:t xml:space="preserve"> </w:t>
      </w:r>
      <w:hyperlink r:id="rId70">
        <w:r>
          <w:rPr>
            <w:rStyle w:val="Hyperlink"/>
          </w:rPr>
          <w:t xml:space="preserve">10.1080/01621459.1952.10483441</w:t>
        </w:r>
      </w:hyperlink>
      <w:r>
        <w:t xml:space="preserve">.</w:t>
      </w:r>
    </w:p>
    <w:bookmarkEnd w:id="71"/>
    <w:bookmarkStart w:id="73" w:name="ref-cameron2015practition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C. Cameron and D. L. Miller,</w:t>
      </w:r>
      <w:r>
        <w:t xml:space="preserve"> </w:t>
      </w:r>
      <w:r>
        <w:t xml:space="preserve">“A practitioner’s guide to cluster-robust inference,”</w:t>
      </w:r>
      <w:r>
        <w:t xml:space="preserve"> </w:t>
      </w:r>
      <w:r>
        <w:rPr>
          <w:i/>
          <w:iCs/>
        </w:rPr>
        <w:t xml:space="preserve">Journal of Human Resources</w:t>
      </w:r>
      <w:r>
        <w:t xml:space="preserve">, vol. 50, no. 2, pp. 317–372, 2015, doi:</w:t>
      </w:r>
      <w:r>
        <w:t xml:space="preserve"> </w:t>
      </w:r>
      <w:hyperlink r:id="rId72">
        <w:r>
          <w:rPr>
            <w:rStyle w:val="Hyperlink"/>
          </w:rPr>
          <w:t xml:space="preserve">10.3368/jhr.50.2.317</w:t>
        </w:r>
      </w:hyperlink>
      <w:r>
        <w:t xml:space="preserve">.</w:t>
      </w:r>
    </w:p>
    <w:bookmarkEnd w:id="73"/>
    <w:bookmarkStart w:id="74" w:name="ref-platt1999probabilistic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J. C. Platt,</w:t>
      </w:r>
      <w:r>
        <w:t xml:space="preserve"> </w:t>
      </w:r>
      <w:r>
        <w:t xml:space="preserve">“Probabilistic outputs for support vector machines and comparisons to regularized likelihood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large margin classifiers</w:t>
      </w:r>
      <w:r>
        <w:t xml:space="preserve">, A. J. Smola, P. Bartlett, B. Schölkopf, and D. Schuurmans, Eds., MIT Press, 1999, pp. 61–74.</w:t>
      </w:r>
    </w:p>
    <w:bookmarkEnd w:id="74"/>
    <w:bookmarkEnd w:id="75"/>
    <w:bookmarkEnd w:id="76"/>
    <w:sectPr>
      <w:pgSz w:w="12240" w:h="15840"/>
      <w:pgMar w:top="1418" w:right="1418" w:bottom="1418" w:left="1418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bidi="ar-SA" w:eastAsia="Times New Roman" w:val="en-US"/>
      </w:rPr>
    </w:rPrDefault>
    <w:pPrDefault>
      <w:pPr>
        <w:spacing w:before="0" w:after="10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before="0" w:after="100" w:line="36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before="0" w:after="0" w:line="240" w:lineRule="auto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360" w:lineRule="auto"/>
      <w:contextualSpacing/>
      <w:jc w:val="center"/>
    </w:pPr>
    <w:rPr>
      <w:rFonts w:ascii="Times New Roman" w:hAnsi="Times New Roman" w:eastAsia="Times New Roman" w:cs="Times New Roman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Times New Roman" w:cs="Times New Roman"/>
      <w:sz w:val="24"/>
      <w:szCs w:val="2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Times New Roman" w:cs="Times New Roman"/>
      <w:spacing w:val="15" w:line="360" w:lineRule="auto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Times New Roman" w:cs="Times New Roman"/>
      <w:color w:themeColor="text1" w:themeTint="A6" w:val="595959"/>
      <w:spacing w:val="15" w:line="360" w:lineRule="auto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 w:line="360" w:lineRule="auto"/>
      <w:jc w:val="center"/>
    </w:pPr>
    <w:rPr>
      <w:b/>
      <w:sz w:val="24"/>
      <w:szCs w:val="24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360" w:lineRule="auto"/>
    </w:pPr>
    <w:rPr>
      <w:sz w:val="24"/>
      <w:szCs w:val="24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3"/>
    </w:pPr>
    <w:rPr>
      <w:rFonts w:ascii="Times New Roman" w:hAnsi="Times New Roman" w:eastAsia="Times New Roman" w:cs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4"/>
    </w:pPr>
    <w:rPr>
      <w:rFonts w:ascii="Times New Roman" w:hAnsi="Times New Roman" w:eastAsia="Times New Roman" w:cs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 w:line="360" w:lineRule="auto"/>
      <w:outlineLvl w:val="5"/>
    </w:pPr>
    <w:rPr>
      <w:rFonts w:ascii="Times New Roman" w:hAnsi="Times New Roman" w:eastAsia="Times New Roman" w:cs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 w:line="360" w:lineRule="auto"/>
      <w:outlineLvl w:val="6"/>
    </w:pPr>
    <w:rPr>
      <w:rFonts w:ascii="Times New Roman" w:hAnsi="Times New Roman" w:eastAsia="Times New Roman" w:cs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line="360" w:lineRule="auto"/>
      <w:outlineLvl w:val="7"/>
    </w:pPr>
    <w:rPr>
      <w:rFonts w:ascii="Times New Roman" w:hAnsi="Times New Roman" w:eastAsia="Times New Roman" w:cs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line="360" w:lineRule="auto"/>
      <w:outlineLvl w:val="8"/>
    </w:pPr>
    <w:rPr>
      <w:rFonts w:ascii="Times New Roman" w:hAnsi="Times New Roman" w:eastAsia="Times New Roman" w:cs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Times New Roman" w:cs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Times New Roman" w:cs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Times New Roman" w:cs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360" w:lineRule="auto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 w:line="360" w:lineRule="auto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360" w:lineRule="auto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 w:line="360" w:lineRule="auto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eastAsia="Times New Roman" w:cs="Times New Roman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360" w:lineRule="auto"/>
      <w:outlineLvl w:val="9"/>
    </w:pPr>
    <w:rPr>
      <w:rFonts w:ascii="Times New Roman" w:hAnsi="Times New Roman" w:eastAsia="Times New Roman" w:cs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52" Target="https://arxiv.org/abs/1806.08049" TargetMode="External" /><Relationship Type="http://schemas.openxmlformats.org/officeDocument/2006/relationships/hyperlink" Id="rId70" Target="https://doi.org/10.1080/01621459.1952.10483441" TargetMode="External" /><Relationship Type="http://schemas.openxmlformats.org/officeDocument/2006/relationships/hyperlink" Id="rId42" Target="https://doi.org/10.1145/2939672.2939778" TargetMode="External" /><Relationship Type="http://schemas.openxmlformats.org/officeDocument/2006/relationships/hyperlink" Id="rId46" Target="https://doi.org/10.1145/3351095.3372850" TargetMode="External" /><Relationship Type="http://schemas.openxmlformats.org/officeDocument/2006/relationships/hyperlink" Id="rId44" Target="https://doi.org/10.1609/aaai.v32i1.11491" TargetMode="External" /><Relationship Type="http://schemas.openxmlformats.org/officeDocument/2006/relationships/hyperlink" Id="rId65" Target="https://doi.org/10.24432/C5NC77" TargetMode="External" /><Relationship Type="http://schemas.openxmlformats.org/officeDocument/2006/relationships/hyperlink" Id="rId61" Target="https://doi.org/10.24432/C5XW20" TargetMode="External" /><Relationship Type="http://schemas.openxmlformats.org/officeDocument/2006/relationships/hyperlink" Id="rId72" Target="https://doi.org/10.3368/jhr.50.2.3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arxiv.org/abs/1806.08049" TargetMode="External" /><Relationship Type="http://schemas.openxmlformats.org/officeDocument/2006/relationships/hyperlink" Id="rId70" Target="https://doi.org/10.1080/01621459.1952.10483441" TargetMode="External" /><Relationship Type="http://schemas.openxmlformats.org/officeDocument/2006/relationships/hyperlink" Id="rId42" Target="https://doi.org/10.1145/2939672.2939778" TargetMode="External" /><Relationship Type="http://schemas.openxmlformats.org/officeDocument/2006/relationships/hyperlink" Id="rId46" Target="https://doi.org/10.1145/3351095.3372850" TargetMode="External" /><Relationship Type="http://schemas.openxmlformats.org/officeDocument/2006/relationships/hyperlink" Id="rId44" Target="https://doi.org/10.1609/aaai.v32i1.11491" TargetMode="External" /><Relationship Type="http://schemas.openxmlformats.org/officeDocument/2006/relationships/hyperlink" Id="rId65" Target="https://doi.org/10.24432/C5NC77" TargetMode="External" /><Relationship Type="http://schemas.openxmlformats.org/officeDocument/2006/relationships/hyperlink" Id="rId61" Target="https://doi.org/10.24432/C5XW20" TargetMode="External" /><Relationship Type="http://schemas.openxmlformats.org/officeDocument/2006/relationships/hyperlink" Id="rId72" Target="https://doi.org/10.3368/jhr.50.2.3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2026-10-03T14:47:24Z</dcterms:created>
  <dcterms:modified xsi:type="dcterms:W3CDTF">2026-10-03T14:47:24Z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ieee.csl</vt:lpwstr>
  </property>
</Properties>
</file>